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3EDA" w14:textId="77777777" w:rsidR="00436AC1" w:rsidRDefault="009D07DE" w:rsidP="0061636B">
      <w:pPr>
        <w:autoSpaceDE w:val="0"/>
        <w:autoSpaceDN w:val="0"/>
        <w:adjustRightInd w:val="0"/>
        <w:spacing w:after="0" w:line="240" w:lineRule="auto"/>
        <w:jc w:val="center"/>
        <w:rPr>
          <w:rFonts w:cs="Times New Roman"/>
          <w:b/>
          <w:sz w:val="28"/>
          <w:szCs w:val="28"/>
        </w:rPr>
      </w:pPr>
      <w:r w:rsidRPr="006873EB">
        <w:rPr>
          <w:rFonts w:cs="Times New Roman"/>
          <w:b/>
          <w:sz w:val="28"/>
          <w:szCs w:val="28"/>
        </w:rPr>
        <w:t xml:space="preserve">Terms of Reference </w:t>
      </w:r>
    </w:p>
    <w:p w14:paraId="41280E12" w14:textId="60A8E74C" w:rsidR="002F6732" w:rsidRDefault="009D07DE" w:rsidP="0061636B">
      <w:pPr>
        <w:autoSpaceDE w:val="0"/>
        <w:autoSpaceDN w:val="0"/>
        <w:adjustRightInd w:val="0"/>
        <w:spacing w:after="0" w:line="240" w:lineRule="auto"/>
        <w:jc w:val="center"/>
        <w:rPr>
          <w:b/>
          <w:color w:val="2F5496" w:themeColor="accent5" w:themeShade="BF"/>
          <w:sz w:val="28"/>
          <w:szCs w:val="28"/>
        </w:rPr>
      </w:pPr>
      <w:r w:rsidRPr="006873EB">
        <w:rPr>
          <w:rFonts w:cs="Times New Roman"/>
          <w:b/>
          <w:sz w:val="28"/>
          <w:szCs w:val="28"/>
        </w:rPr>
        <w:t xml:space="preserve">                                </w:t>
      </w:r>
    </w:p>
    <w:p w14:paraId="38B09A49" w14:textId="3AC64CF3" w:rsidR="00076DE6" w:rsidRDefault="00F34B51">
      <w:pPr>
        <w:autoSpaceDE w:val="0"/>
        <w:autoSpaceDN w:val="0"/>
        <w:adjustRightInd w:val="0"/>
        <w:spacing w:after="0" w:line="240" w:lineRule="auto"/>
        <w:jc w:val="center"/>
        <w:rPr>
          <w:b/>
          <w:color w:val="2F5496" w:themeColor="accent5" w:themeShade="BF"/>
          <w:sz w:val="28"/>
          <w:szCs w:val="28"/>
        </w:rPr>
      </w:pPr>
      <w:r w:rsidRPr="0055350A">
        <w:rPr>
          <w:b/>
          <w:color w:val="2F5496" w:themeColor="accent5" w:themeShade="BF"/>
          <w:sz w:val="28"/>
          <w:szCs w:val="28"/>
        </w:rPr>
        <w:t xml:space="preserve">Consultancy: </w:t>
      </w:r>
      <w:r w:rsidR="001033A4">
        <w:rPr>
          <w:b/>
          <w:color w:val="2F5496" w:themeColor="accent5" w:themeShade="BF"/>
          <w:sz w:val="28"/>
          <w:szCs w:val="28"/>
        </w:rPr>
        <w:t>Project Preparation Team Leader</w:t>
      </w:r>
      <w:r w:rsidR="00436AC1">
        <w:rPr>
          <w:b/>
          <w:color w:val="2F5496" w:themeColor="accent5" w:themeShade="BF"/>
          <w:sz w:val="28"/>
          <w:szCs w:val="28"/>
        </w:rPr>
        <w:t xml:space="preserve"> </w:t>
      </w:r>
      <w:r w:rsidR="001033A4">
        <w:rPr>
          <w:b/>
          <w:color w:val="2F5496" w:themeColor="accent5" w:themeShade="BF"/>
          <w:sz w:val="28"/>
          <w:szCs w:val="28"/>
        </w:rPr>
        <w:t xml:space="preserve">/ Protected Areas Financing Consultant </w:t>
      </w:r>
      <w:r w:rsidR="00436AC1">
        <w:rPr>
          <w:b/>
          <w:color w:val="2F5496" w:themeColor="accent5" w:themeShade="BF"/>
          <w:sz w:val="28"/>
          <w:szCs w:val="28"/>
        </w:rPr>
        <w:t>(International Position)</w:t>
      </w:r>
    </w:p>
    <w:p w14:paraId="3E0F8678" w14:textId="77777777" w:rsidR="00436AC1" w:rsidRPr="00BF49D5" w:rsidRDefault="00436AC1">
      <w:pPr>
        <w:autoSpaceDE w:val="0"/>
        <w:autoSpaceDN w:val="0"/>
        <w:adjustRightInd w:val="0"/>
        <w:spacing w:after="0" w:line="240" w:lineRule="auto"/>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076DE6" w:rsidRPr="0055350A" w14:paraId="6E3D5998" w14:textId="77777777" w:rsidTr="006862C7">
        <w:tc>
          <w:tcPr>
            <w:tcW w:w="2965" w:type="dxa"/>
          </w:tcPr>
          <w:p w14:paraId="6A1BC2E0" w14:textId="77777777" w:rsidR="00076DE6" w:rsidRPr="0055350A" w:rsidRDefault="00076DE6" w:rsidP="00436AC1">
            <w:pPr>
              <w:autoSpaceDE w:val="0"/>
              <w:autoSpaceDN w:val="0"/>
              <w:adjustRightInd w:val="0"/>
              <w:spacing w:after="0" w:line="240" w:lineRule="auto"/>
              <w:jc w:val="both"/>
              <w:rPr>
                <w:b/>
              </w:rPr>
            </w:pPr>
            <w:r w:rsidRPr="0055350A">
              <w:rPr>
                <w:b/>
              </w:rPr>
              <w:t xml:space="preserve">Location: </w:t>
            </w:r>
          </w:p>
        </w:tc>
        <w:tc>
          <w:tcPr>
            <w:tcW w:w="6385" w:type="dxa"/>
          </w:tcPr>
          <w:p w14:paraId="460FFBD8" w14:textId="76383817" w:rsidR="00076DE6" w:rsidRPr="0055350A" w:rsidRDefault="008C6852" w:rsidP="00436AC1">
            <w:pPr>
              <w:autoSpaceDE w:val="0"/>
              <w:autoSpaceDN w:val="0"/>
              <w:adjustRightInd w:val="0"/>
              <w:spacing w:after="0" w:line="240" w:lineRule="auto"/>
              <w:jc w:val="both"/>
            </w:pPr>
            <w:r>
              <w:t xml:space="preserve">Port Moresby, </w:t>
            </w:r>
            <w:r w:rsidR="00436AC1">
              <w:t>with travels to provinces of</w:t>
            </w:r>
            <w:r w:rsidR="00C93081" w:rsidRPr="0055350A">
              <w:t xml:space="preserve"> Papua New Guinea </w:t>
            </w:r>
          </w:p>
        </w:tc>
      </w:tr>
      <w:tr w:rsidR="00076DE6" w:rsidRPr="0055350A" w14:paraId="74A882E8" w14:textId="77777777" w:rsidTr="006862C7">
        <w:tc>
          <w:tcPr>
            <w:tcW w:w="2965" w:type="dxa"/>
          </w:tcPr>
          <w:p w14:paraId="42A30B0A" w14:textId="77777777" w:rsidR="00076DE6" w:rsidRPr="0055350A" w:rsidRDefault="0094537A" w:rsidP="00436AC1">
            <w:pPr>
              <w:autoSpaceDE w:val="0"/>
              <w:autoSpaceDN w:val="0"/>
              <w:adjustRightInd w:val="0"/>
              <w:spacing w:after="0" w:line="240" w:lineRule="auto"/>
              <w:jc w:val="both"/>
              <w:rPr>
                <w:b/>
              </w:rPr>
            </w:pPr>
            <w:r w:rsidRPr="0055350A">
              <w:rPr>
                <w:b/>
              </w:rPr>
              <w:t xml:space="preserve">Type of Contract: </w:t>
            </w:r>
          </w:p>
        </w:tc>
        <w:tc>
          <w:tcPr>
            <w:tcW w:w="6385" w:type="dxa"/>
          </w:tcPr>
          <w:p w14:paraId="03EB4AFD" w14:textId="77777777" w:rsidR="00076DE6" w:rsidRPr="0055350A" w:rsidRDefault="0094537A" w:rsidP="00436AC1">
            <w:pPr>
              <w:autoSpaceDE w:val="0"/>
              <w:autoSpaceDN w:val="0"/>
              <w:adjustRightInd w:val="0"/>
              <w:spacing w:after="0" w:line="240" w:lineRule="auto"/>
              <w:jc w:val="both"/>
            </w:pPr>
            <w:r w:rsidRPr="0055350A">
              <w:t>I</w:t>
            </w:r>
            <w:r w:rsidR="0061636B">
              <w:t xml:space="preserve">ndividual </w:t>
            </w:r>
            <w:r w:rsidRPr="0055350A">
              <w:t>C</w:t>
            </w:r>
            <w:r w:rsidR="0061636B">
              <w:t>ontract (IC)</w:t>
            </w:r>
          </w:p>
        </w:tc>
      </w:tr>
      <w:tr w:rsidR="00076DE6" w:rsidRPr="0055350A" w14:paraId="7E9BAA02" w14:textId="77777777" w:rsidTr="006862C7">
        <w:tc>
          <w:tcPr>
            <w:tcW w:w="2965" w:type="dxa"/>
          </w:tcPr>
          <w:p w14:paraId="7FB2E48E" w14:textId="77777777" w:rsidR="00076DE6" w:rsidRPr="0055350A" w:rsidRDefault="0094537A" w:rsidP="00436AC1">
            <w:pPr>
              <w:autoSpaceDE w:val="0"/>
              <w:autoSpaceDN w:val="0"/>
              <w:adjustRightInd w:val="0"/>
              <w:spacing w:after="0" w:line="240" w:lineRule="auto"/>
              <w:jc w:val="both"/>
              <w:rPr>
                <w:b/>
              </w:rPr>
            </w:pPr>
            <w:r w:rsidRPr="0055350A">
              <w:rPr>
                <w:b/>
              </w:rPr>
              <w:t xml:space="preserve">Project: </w:t>
            </w:r>
          </w:p>
        </w:tc>
        <w:tc>
          <w:tcPr>
            <w:tcW w:w="6385" w:type="dxa"/>
          </w:tcPr>
          <w:p w14:paraId="0CF7198B" w14:textId="756D1AC0" w:rsidR="00076DE6" w:rsidRPr="0055350A" w:rsidRDefault="00436AC1" w:rsidP="00436AC1">
            <w:pPr>
              <w:autoSpaceDE w:val="0"/>
              <w:autoSpaceDN w:val="0"/>
              <w:adjustRightInd w:val="0"/>
              <w:spacing w:after="0" w:line="240" w:lineRule="auto"/>
              <w:jc w:val="both"/>
            </w:pPr>
            <w:r w:rsidRPr="00436AC1">
              <w:t xml:space="preserve">Sustainable </w:t>
            </w:r>
            <w:r>
              <w:t>Financing of Papua New Guinea’s Protected A</w:t>
            </w:r>
            <w:r w:rsidRPr="00436AC1">
              <w:t xml:space="preserve">rea </w:t>
            </w:r>
            <w:r>
              <w:t>N</w:t>
            </w:r>
            <w:r w:rsidRPr="00436AC1">
              <w:t>etwork</w:t>
            </w:r>
          </w:p>
        </w:tc>
      </w:tr>
      <w:tr w:rsidR="00076DE6" w:rsidRPr="0055350A" w14:paraId="2CF357BF" w14:textId="77777777" w:rsidTr="006862C7">
        <w:tc>
          <w:tcPr>
            <w:tcW w:w="2965" w:type="dxa"/>
          </w:tcPr>
          <w:p w14:paraId="34D5F7A1" w14:textId="77777777" w:rsidR="00076DE6" w:rsidRPr="0055350A" w:rsidRDefault="0094537A" w:rsidP="00436AC1">
            <w:pPr>
              <w:autoSpaceDE w:val="0"/>
              <w:autoSpaceDN w:val="0"/>
              <w:adjustRightInd w:val="0"/>
              <w:spacing w:after="0" w:line="240" w:lineRule="auto"/>
              <w:jc w:val="both"/>
              <w:rPr>
                <w:b/>
              </w:rPr>
            </w:pPr>
            <w:r w:rsidRPr="0055350A">
              <w:rPr>
                <w:b/>
              </w:rPr>
              <w:t xml:space="preserve">Languages Required: </w:t>
            </w:r>
          </w:p>
        </w:tc>
        <w:tc>
          <w:tcPr>
            <w:tcW w:w="6385" w:type="dxa"/>
          </w:tcPr>
          <w:p w14:paraId="0F899A5B" w14:textId="77777777" w:rsidR="00076DE6" w:rsidRPr="0055350A" w:rsidRDefault="006862C7" w:rsidP="00436AC1">
            <w:pPr>
              <w:autoSpaceDE w:val="0"/>
              <w:autoSpaceDN w:val="0"/>
              <w:adjustRightInd w:val="0"/>
              <w:spacing w:after="0" w:line="240" w:lineRule="auto"/>
              <w:jc w:val="both"/>
            </w:pPr>
            <w:r w:rsidRPr="0055350A">
              <w:t>English</w:t>
            </w:r>
          </w:p>
        </w:tc>
      </w:tr>
      <w:tr w:rsidR="0018664C" w:rsidRPr="0055350A" w14:paraId="1A074771" w14:textId="77777777" w:rsidTr="006862C7">
        <w:tc>
          <w:tcPr>
            <w:tcW w:w="2965" w:type="dxa"/>
          </w:tcPr>
          <w:p w14:paraId="0E7A0731" w14:textId="77777777" w:rsidR="0018664C" w:rsidRPr="0055350A" w:rsidRDefault="0018664C" w:rsidP="00436AC1">
            <w:pPr>
              <w:autoSpaceDE w:val="0"/>
              <w:autoSpaceDN w:val="0"/>
              <w:adjustRightInd w:val="0"/>
              <w:spacing w:after="0" w:line="240" w:lineRule="auto"/>
              <w:jc w:val="both"/>
              <w:rPr>
                <w:b/>
              </w:rPr>
            </w:pPr>
            <w:r w:rsidRPr="0055350A">
              <w:rPr>
                <w:b/>
              </w:rPr>
              <w:t xml:space="preserve">Starting Date: </w:t>
            </w:r>
          </w:p>
        </w:tc>
        <w:tc>
          <w:tcPr>
            <w:tcW w:w="6385" w:type="dxa"/>
          </w:tcPr>
          <w:p w14:paraId="7A729D3E" w14:textId="019B0A4C" w:rsidR="0018664C" w:rsidRPr="0055350A" w:rsidRDefault="00282165" w:rsidP="00436AC1">
            <w:pPr>
              <w:autoSpaceDE w:val="0"/>
              <w:autoSpaceDN w:val="0"/>
              <w:adjustRightInd w:val="0"/>
              <w:spacing w:after="0" w:line="240" w:lineRule="auto"/>
              <w:jc w:val="both"/>
            </w:pPr>
            <w:r>
              <w:t>To be agreed</w:t>
            </w:r>
          </w:p>
        </w:tc>
      </w:tr>
      <w:tr w:rsidR="00076DE6" w:rsidRPr="0055350A" w14:paraId="1D6C36DF" w14:textId="77777777" w:rsidTr="006862C7">
        <w:tc>
          <w:tcPr>
            <w:tcW w:w="2965" w:type="dxa"/>
          </w:tcPr>
          <w:p w14:paraId="36D4DA34" w14:textId="77777777" w:rsidR="00076DE6" w:rsidRDefault="0094537A" w:rsidP="00436AC1">
            <w:pPr>
              <w:autoSpaceDE w:val="0"/>
              <w:autoSpaceDN w:val="0"/>
              <w:adjustRightInd w:val="0"/>
              <w:spacing w:after="0" w:line="240" w:lineRule="auto"/>
              <w:jc w:val="both"/>
              <w:rPr>
                <w:b/>
              </w:rPr>
            </w:pPr>
            <w:r w:rsidRPr="0055350A">
              <w:rPr>
                <w:b/>
              </w:rPr>
              <w:t xml:space="preserve">Duration of Contract: </w:t>
            </w:r>
          </w:p>
          <w:p w14:paraId="244C6D87" w14:textId="2E1D51C0" w:rsidR="00E1710F" w:rsidRPr="0055350A" w:rsidRDefault="00E1710F" w:rsidP="00436AC1">
            <w:pPr>
              <w:autoSpaceDE w:val="0"/>
              <w:autoSpaceDN w:val="0"/>
              <w:adjustRightInd w:val="0"/>
              <w:spacing w:after="0" w:line="240" w:lineRule="auto"/>
              <w:jc w:val="both"/>
              <w:rPr>
                <w:b/>
              </w:rPr>
            </w:pPr>
            <w:r>
              <w:rPr>
                <w:b/>
              </w:rPr>
              <w:t>Deadline for application:</w:t>
            </w:r>
          </w:p>
        </w:tc>
        <w:tc>
          <w:tcPr>
            <w:tcW w:w="6385" w:type="dxa"/>
          </w:tcPr>
          <w:p w14:paraId="40A99062" w14:textId="491C5E93" w:rsidR="00076DE6" w:rsidRDefault="00436AC1" w:rsidP="00436AC1">
            <w:pPr>
              <w:autoSpaceDE w:val="0"/>
              <w:autoSpaceDN w:val="0"/>
              <w:adjustRightInd w:val="0"/>
              <w:spacing w:after="0" w:line="240" w:lineRule="auto"/>
              <w:jc w:val="both"/>
            </w:pPr>
            <w:r>
              <w:t>75 working days throughout January-December</w:t>
            </w:r>
            <w:r w:rsidR="00C25ECB">
              <w:t xml:space="preserve"> </w:t>
            </w:r>
            <w:r w:rsidR="0055350A">
              <w:t>201</w:t>
            </w:r>
            <w:r w:rsidR="00177CB0">
              <w:t>7</w:t>
            </w:r>
            <w:r w:rsidR="0055350A">
              <w:t xml:space="preserve"> </w:t>
            </w:r>
          </w:p>
          <w:p w14:paraId="6064F841" w14:textId="013A13CA" w:rsidR="00E1710F" w:rsidRDefault="009473A9" w:rsidP="00436AC1">
            <w:pPr>
              <w:autoSpaceDE w:val="0"/>
              <w:autoSpaceDN w:val="0"/>
              <w:adjustRightInd w:val="0"/>
              <w:spacing w:after="0" w:line="240" w:lineRule="auto"/>
              <w:jc w:val="both"/>
            </w:pPr>
            <w:r>
              <w:t>24</w:t>
            </w:r>
            <w:bookmarkStart w:id="0" w:name="_GoBack"/>
            <w:bookmarkEnd w:id="0"/>
            <w:r w:rsidR="00C16430">
              <w:t xml:space="preserve"> March</w:t>
            </w:r>
            <w:r w:rsidR="00E1710F">
              <w:t xml:space="preserve"> 2017</w:t>
            </w:r>
          </w:p>
          <w:p w14:paraId="78C72376" w14:textId="77777777" w:rsidR="00E1710F" w:rsidRDefault="00E1710F" w:rsidP="00436AC1">
            <w:pPr>
              <w:autoSpaceDE w:val="0"/>
              <w:autoSpaceDN w:val="0"/>
              <w:adjustRightInd w:val="0"/>
              <w:spacing w:after="0" w:line="240" w:lineRule="auto"/>
              <w:jc w:val="both"/>
            </w:pPr>
          </w:p>
          <w:p w14:paraId="2312A5B8" w14:textId="4AFF5696" w:rsidR="00436AC1" w:rsidRPr="0055350A" w:rsidRDefault="00436AC1" w:rsidP="00436AC1">
            <w:pPr>
              <w:autoSpaceDE w:val="0"/>
              <w:autoSpaceDN w:val="0"/>
              <w:adjustRightInd w:val="0"/>
              <w:spacing w:after="0" w:line="240" w:lineRule="auto"/>
              <w:jc w:val="both"/>
            </w:pPr>
          </w:p>
        </w:tc>
      </w:tr>
    </w:tbl>
    <w:p w14:paraId="1F2B0AEA" w14:textId="29FEABAC" w:rsidR="009F50A4" w:rsidRDefault="003F0203" w:rsidP="006873EB">
      <w:pPr>
        <w:autoSpaceDE w:val="0"/>
        <w:autoSpaceDN w:val="0"/>
        <w:adjustRightInd w:val="0"/>
        <w:spacing w:after="0" w:line="240" w:lineRule="auto"/>
        <w:rPr>
          <w:b/>
          <w:color w:val="2F5496" w:themeColor="accent5" w:themeShade="BF"/>
          <w:sz w:val="28"/>
        </w:rPr>
      </w:pPr>
      <w:r>
        <w:rPr>
          <w:b/>
          <w:color w:val="2F5496" w:themeColor="accent5" w:themeShade="BF"/>
          <w:sz w:val="28"/>
        </w:rPr>
        <w:t>Background</w:t>
      </w:r>
    </w:p>
    <w:p w14:paraId="2A0CAE8B" w14:textId="77777777" w:rsidR="00436AC1" w:rsidRDefault="00436AC1" w:rsidP="006873EB">
      <w:pPr>
        <w:autoSpaceDE w:val="0"/>
        <w:autoSpaceDN w:val="0"/>
        <w:adjustRightInd w:val="0"/>
        <w:spacing w:after="0" w:line="240" w:lineRule="auto"/>
        <w:rPr>
          <w:color w:val="000000"/>
        </w:rPr>
      </w:pPr>
    </w:p>
    <w:p w14:paraId="795E090D" w14:textId="77777777" w:rsidR="00436AC1" w:rsidRPr="00436AC1" w:rsidRDefault="00436AC1" w:rsidP="00436AC1">
      <w:pPr>
        <w:spacing w:after="120"/>
        <w:ind w:right="50"/>
        <w:jc w:val="both"/>
        <w:rPr>
          <w:color w:val="000000"/>
        </w:rPr>
      </w:pPr>
      <w:r w:rsidRPr="00436AC1">
        <w:rPr>
          <w:color w:val="000000"/>
        </w:rPr>
        <w:t xml:space="preserve">The Government of Papua New Guinea - represented by the Conservation and Environmental Protection Agency (CEPA) - and the UNDP Papua New Guinea Country Office (CO) have developed a project concept for a Full-Sized Project (FSP) which seeks to support the development of more sustainable, long term revenue streams to fund the establishment and management of the system of protected areas in Papua New Guinea (PNG). </w:t>
      </w:r>
    </w:p>
    <w:p w14:paraId="22C68CB5" w14:textId="7609CB41" w:rsidR="00CB1980" w:rsidRPr="00C1277D" w:rsidRDefault="00436AC1" w:rsidP="00CB1980">
      <w:pPr>
        <w:pStyle w:val="ListParagraph"/>
        <w:ind w:left="6"/>
        <w:jc w:val="both"/>
        <w:rPr>
          <w:rFonts w:ascii="Calibri" w:hAnsi="Calibri"/>
          <w:sz w:val="20"/>
          <w:szCs w:val="20"/>
        </w:rPr>
      </w:pPr>
      <w:r w:rsidRPr="00436AC1">
        <w:rPr>
          <w:color w:val="000000"/>
        </w:rPr>
        <w:t xml:space="preserve">This FSP, titled ‘Sustainable financing of Papua New Guinea’s protected area network’, forms part of a modular approach to strengthening biodiversity conservation in PNG. This modular approach comprises three discrete but complementary GEF-funded projects, two of which are already under implementation. The first is the GEF-4 project, Community-based Forest and Coastal Conservation and Resource Management in Papua New Guinea project (2012-2018) which aims to develop and demonstrate community-based resource management and conservation models for communal landowners located in the Owen Stanley Range and New Britain island. The second is the GEF-5 project, Strengthening the Management Effectiveness of the National System of Protected Areas in Papua New Guinea (2015-2019) which is focused on supporting the establishment of the CEPA; facilitating the implementation of the PAP; and improving the planning and management of two demonstration conservation areas - YUS and Torricelli. </w:t>
      </w:r>
      <w:r w:rsidR="00CB1980">
        <w:rPr>
          <w:color w:val="000000"/>
        </w:rPr>
        <w:t>It is expected that</w:t>
      </w:r>
      <w:r w:rsidR="00CB1980" w:rsidRPr="00CB1980">
        <w:rPr>
          <w:color w:val="000000"/>
        </w:rPr>
        <w:t xml:space="preserve"> lessons and knowledge generated from the existing two projects will be integrated into the design of the new project so as to ensure complementarity and knowledge exchange between the three projects during implementation.</w:t>
      </w:r>
      <w:r w:rsidR="00CB1980" w:rsidRPr="00C1277D">
        <w:rPr>
          <w:rFonts w:ascii="Calibri" w:hAnsi="Calibri"/>
          <w:sz w:val="20"/>
          <w:szCs w:val="20"/>
          <w:lang w:val="en-ZA"/>
        </w:rPr>
        <w:t xml:space="preserve"> </w:t>
      </w:r>
    </w:p>
    <w:p w14:paraId="14272651" w14:textId="77777777" w:rsidR="00436AC1" w:rsidRPr="00436AC1" w:rsidRDefault="00436AC1" w:rsidP="00436AC1">
      <w:pPr>
        <w:spacing w:after="120"/>
        <w:ind w:right="50"/>
        <w:jc w:val="both"/>
        <w:rPr>
          <w:color w:val="000000"/>
        </w:rPr>
      </w:pPr>
    </w:p>
    <w:p w14:paraId="36C6E376" w14:textId="14280210" w:rsidR="00436AC1" w:rsidRDefault="00436AC1" w:rsidP="00436AC1">
      <w:pPr>
        <w:spacing w:after="120"/>
        <w:ind w:right="50"/>
        <w:jc w:val="both"/>
        <w:rPr>
          <w:color w:val="000000"/>
        </w:rPr>
      </w:pPr>
      <w:r w:rsidRPr="00436AC1">
        <w:rPr>
          <w:color w:val="000000"/>
        </w:rPr>
        <w:t>The Project Identification Form (PIF) for the FSP has been endorsed by the GEF Secretariat, and a Project Preparation Grant (PPG) approved. This PPG will support all the preparatory work required to draft and finalize all the documentation required by the GEF for CEO Endorsement. The preparatory work to be undertaken during the PPG phase will include: the collection and collation of key information; technical reviews and feasibility assessments; establishing the baseline and GEF incremental benefits for the project; the detailed design and costing of project outputs and activities; identifying the optimal management arrangements for the implementation of the project and project activities; clarifying stakeholder inputs and roles and responsibilities; and defining project performance indicators and targets. The PPG phase will be underpinned by a participatory approach, with regular consultation and working meetings with all key PPG stakeholders throughout the PPG phase. Specific attention will be given to gender issues by undertaking a gender analysis to ensure optimal involvement of women in, and beneficiation from project interventions.</w:t>
      </w:r>
    </w:p>
    <w:p w14:paraId="5DE3E798" w14:textId="61BDDB3A" w:rsidR="00436AC1" w:rsidRDefault="000F5AA9" w:rsidP="002E2C31">
      <w:pPr>
        <w:spacing w:after="120"/>
        <w:ind w:right="50"/>
        <w:rPr>
          <w:color w:val="000000"/>
        </w:rPr>
      </w:pPr>
      <w:r>
        <w:rPr>
          <w:color w:val="000000"/>
        </w:rPr>
        <w:t xml:space="preserve">The project PIF can be accessed at: </w:t>
      </w:r>
      <w:hyperlink r:id="rId8" w:history="1">
        <w:r w:rsidR="00A0193D">
          <w:rPr>
            <w:rStyle w:val="Hyperlink"/>
          </w:rPr>
          <w:t>https://www.thegef.org/project/sustainable-financing-papua-new-guinea%E2%80%99s-protected-area-network</w:t>
        </w:r>
      </w:hyperlink>
    </w:p>
    <w:p w14:paraId="1859E857" w14:textId="77777777" w:rsidR="002E2C31" w:rsidRPr="00436AC1" w:rsidRDefault="002E2C31" w:rsidP="00436AC1">
      <w:pPr>
        <w:spacing w:after="120"/>
        <w:ind w:right="50"/>
        <w:jc w:val="both"/>
        <w:rPr>
          <w:color w:val="000000"/>
        </w:rPr>
      </w:pPr>
    </w:p>
    <w:p w14:paraId="15AD3CDE" w14:textId="7502FB83" w:rsidR="00C40D67" w:rsidRDefault="00D3651F" w:rsidP="00D3651F">
      <w:pPr>
        <w:autoSpaceDE w:val="0"/>
        <w:autoSpaceDN w:val="0"/>
        <w:adjustRightInd w:val="0"/>
        <w:spacing w:after="0" w:line="240" w:lineRule="auto"/>
        <w:rPr>
          <w:rFonts w:cs="Arial"/>
          <w:b/>
          <w:bCs/>
          <w:color w:val="2F5496" w:themeColor="accent5" w:themeShade="BF"/>
          <w:sz w:val="28"/>
          <w:szCs w:val="20"/>
        </w:rPr>
      </w:pPr>
      <w:r w:rsidRPr="00D3651F">
        <w:rPr>
          <w:rFonts w:cs="Arial"/>
          <w:b/>
          <w:bCs/>
          <w:color w:val="2F5496" w:themeColor="accent5" w:themeShade="BF"/>
          <w:sz w:val="28"/>
          <w:szCs w:val="20"/>
        </w:rPr>
        <w:t>Objectives:</w:t>
      </w:r>
    </w:p>
    <w:p w14:paraId="0E77BF43" w14:textId="2EB36049" w:rsidR="00CB1980" w:rsidRDefault="00CB1980" w:rsidP="00D3651F">
      <w:pPr>
        <w:autoSpaceDE w:val="0"/>
        <w:autoSpaceDN w:val="0"/>
        <w:adjustRightInd w:val="0"/>
        <w:spacing w:after="0" w:line="240" w:lineRule="auto"/>
        <w:rPr>
          <w:rFonts w:cs="Arial"/>
          <w:b/>
          <w:bCs/>
          <w:color w:val="2F5496" w:themeColor="accent5" w:themeShade="BF"/>
          <w:sz w:val="28"/>
          <w:szCs w:val="20"/>
        </w:rPr>
      </w:pPr>
    </w:p>
    <w:p w14:paraId="5F55CB66" w14:textId="0FE3EBE2" w:rsidR="00CB1980" w:rsidRPr="00CB1980" w:rsidRDefault="00CB1980" w:rsidP="00CB1980">
      <w:pPr>
        <w:jc w:val="both"/>
        <w:rPr>
          <w:rFonts w:ascii="Calibri" w:hAnsi="Calibri"/>
          <w:lang w:val="en-ZA"/>
        </w:rPr>
      </w:pPr>
      <w:r>
        <w:rPr>
          <w:rFonts w:ascii="Calibri" w:hAnsi="Calibri"/>
          <w:lang w:val="en-ZA"/>
        </w:rPr>
        <w:t>The objective of this assignment is to lead on the p</w:t>
      </w:r>
      <w:r w:rsidRPr="00CB1980">
        <w:rPr>
          <w:rFonts w:ascii="Calibri" w:hAnsi="Calibri"/>
          <w:lang w:val="en-ZA"/>
        </w:rPr>
        <w:t xml:space="preserve">reparatory work </w:t>
      </w:r>
      <w:r>
        <w:rPr>
          <w:rFonts w:ascii="Calibri" w:hAnsi="Calibri"/>
          <w:lang w:val="en-ZA"/>
        </w:rPr>
        <w:t>to prepare the final</w:t>
      </w:r>
      <w:r w:rsidRPr="00CB1980">
        <w:rPr>
          <w:rFonts w:ascii="Calibri" w:hAnsi="Calibri"/>
          <w:lang w:val="en-ZA"/>
        </w:rPr>
        <w:t xml:space="preserve"> project documentation for submission to the GEF Secretariat. </w:t>
      </w:r>
      <w:r>
        <w:rPr>
          <w:rFonts w:ascii="Calibri" w:hAnsi="Calibri"/>
          <w:lang w:val="en-ZA"/>
        </w:rPr>
        <w:t>The Project Preparation Team Leader / Protected Areas Financing Consultant will be responsible to prepare th</w:t>
      </w:r>
      <w:r w:rsidRPr="00CB1980">
        <w:rPr>
          <w:rFonts w:ascii="Calibri" w:hAnsi="Calibri"/>
          <w:lang w:val="en-ZA"/>
        </w:rPr>
        <w:t xml:space="preserve">e full </w:t>
      </w:r>
      <w:r>
        <w:rPr>
          <w:rFonts w:ascii="Calibri" w:hAnsi="Calibri"/>
          <w:lang w:val="en-ZA"/>
        </w:rPr>
        <w:t xml:space="preserve">package of </w:t>
      </w:r>
      <w:r w:rsidRPr="00CB1980">
        <w:rPr>
          <w:rFonts w:ascii="Calibri" w:hAnsi="Calibri"/>
          <w:lang w:val="en-ZA"/>
        </w:rPr>
        <w:t>project documentation for submission</w:t>
      </w:r>
      <w:r>
        <w:rPr>
          <w:rFonts w:ascii="Calibri" w:hAnsi="Calibri"/>
          <w:lang w:val="en-ZA"/>
        </w:rPr>
        <w:t>,</w:t>
      </w:r>
      <w:r w:rsidRPr="00CB1980">
        <w:rPr>
          <w:rFonts w:ascii="Calibri" w:hAnsi="Calibri"/>
          <w:lang w:val="en-ZA"/>
        </w:rPr>
        <w:t xml:space="preserve"> compris</w:t>
      </w:r>
      <w:r>
        <w:rPr>
          <w:rFonts w:ascii="Calibri" w:hAnsi="Calibri"/>
          <w:lang w:val="en-ZA"/>
        </w:rPr>
        <w:t>ed of</w:t>
      </w:r>
      <w:r w:rsidRPr="00CB1980">
        <w:rPr>
          <w:rFonts w:ascii="Calibri" w:hAnsi="Calibri"/>
          <w:lang w:val="en-ZA"/>
        </w:rPr>
        <w:t>: (i) UNDP Project Document (UNDP PRODOC) and its associated annexures</w:t>
      </w:r>
      <w:r>
        <w:rPr>
          <w:rFonts w:ascii="Calibri" w:hAnsi="Calibri"/>
          <w:lang w:val="en-ZA"/>
        </w:rPr>
        <w:t xml:space="preserve"> including co-financing letters</w:t>
      </w:r>
      <w:r w:rsidRPr="00CB1980">
        <w:rPr>
          <w:rFonts w:ascii="Calibri" w:hAnsi="Calibri"/>
          <w:lang w:val="en-ZA"/>
        </w:rPr>
        <w:t xml:space="preserve">; and (ii) GEF CEO Endorsement Request (GEF CEO ER) and its associated annexures. </w:t>
      </w:r>
    </w:p>
    <w:p w14:paraId="4C8E67BC" w14:textId="2825627A" w:rsidR="00CB1980" w:rsidRPr="00CB1980" w:rsidRDefault="00CB1980" w:rsidP="00CB1980">
      <w:pPr>
        <w:jc w:val="both"/>
        <w:rPr>
          <w:rFonts w:ascii="Calibri" w:hAnsi="Calibri"/>
          <w:lang w:val="en-GB"/>
        </w:rPr>
      </w:pPr>
      <w:r w:rsidRPr="00CB1980">
        <w:rPr>
          <w:rFonts w:ascii="Calibri" w:hAnsi="Calibri"/>
          <w:lang w:val="en-ZA"/>
        </w:rPr>
        <w:t xml:space="preserve">The drafting of the full project documentation will be </w:t>
      </w:r>
      <w:r>
        <w:rPr>
          <w:rFonts w:ascii="Calibri" w:hAnsi="Calibri"/>
          <w:lang w:val="en-ZA"/>
        </w:rPr>
        <w:t>conduct</w:t>
      </w:r>
      <w:r w:rsidRPr="00CB1980">
        <w:rPr>
          <w:rFonts w:ascii="Calibri" w:hAnsi="Calibri"/>
          <w:lang w:val="en-ZA"/>
        </w:rPr>
        <w:t xml:space="preserve">ed in </w:t>
      </w:r>
      <w:r w:rsidRPr="00CB1980">
        <w:rPr>
          <w:rFonts w:ascii="Calibri" w:hAnsi="Calibri"/>
          <w:lang w:val="en-GB"/>
        </w:rPr>
        <w:t>close collaboration with C</w:t>
      </w:r>
      <w:r>
        <w:rPr>
          <w:rFonts w:ascii="Calibri" w:hAnsi="Calibri"/>
          <w:lang w:val="en-GB"/>
        </w:rPr>
        <w:t xml:space="preserve">onservation and Environment Protection Authority (CEPA) of PNG </w:t>
      </w:r>
      <w:r w:rsidRPr="00CB1980">
        <w:rPr>
          <w:rFonts w:ascii="Calibri" w:hAnsi="Calibri"/>
          <w:lang w:val="en-GB"/>
        </w:rPr>
        <w:t xml:space="preserve">and the </w:t>
      </w:r>
      <w:r>
        <w:rPr>
          <w:rFonts w:ascii="Calibri" w:hAnsi="Calibri"/>
          <w:lang w:val="en-GB"/>
        </w:rPr>
        <w:t xml:space="preserve">relevant </w:t>
      </w:r>
      <w:r w:rsidRPr="00CB1980">
        <w:rPr>
          <w:rFonts w:ascii="Calibri" w:hAnsi="Calibri"/>
          <w:lang w:val="en-GB"/>
        </w:rPr>
        <w:t>stakeholders to ensure collective agreement on the project results framework, multi-year work plan (and budget) and implementation arrangements (including the roles, responsibilities and accountability of the project partners</w:t>
      </w:r>
      <w:r>
        <w:rPr>
          <w:rFonts w:ascii="Calibri" w:hAnsi="Calibri"/>
          <w:lang w:val="en-GB"/>
        </w:rPr>
        <w:t xml:space="preserve"> and associated co-financing commitments</w:t>
      </w:r>
      <w:r w:rsidRPr="00CB1980">
        <w:rPr>
          <w:rFonts w:ascii="Calibri" w:hAnsi="Calibri"/>
          <w:lang w:val="en-GB"/>
        </w:rPr>
        <w:t>).</w:t>
      </w:r>
    </w:p>
    <w:p w14:paraId="3204BB6F" w14:textId="705EA98C" w:rsidR="00034118" w:rsidRDefault="00341C34" w:rsidP="00C349AA">
      <w:pPr>
        <w:autoSpaceDE w:val="0"/>
        <w:autoSpaceDN w:val="0"/>
        <w:adjustRightInd w:val="0"/>
        <w:spacing w:after="0" w:line="240" w:lineRule="auto"/>
        <w:rPr>
          <w:rFonts w:cs="Arial"/>
          <w:b/>
          <w:bCs/>
          <w:color w:val="2F5496" w:themeColor="accent5" w:themeShade="BF"/>
          <w:sz w:val="28"/>
          <w:szCs w:val="20"/>
        </w:rPr>
      </w:pPr>
      <w:r>
        <w:rPr>
          <w:rFonts w:cs="Arial"/>
          <w:b/>
          <w:bCs/>
          <w:color w:val="2F5496" w:themeColor="accent5" w:themeShade="BF"/>
          <w:sz w:val="28"/>
          <w:szCs w:val="20"/>
        </w:rPr>
        <w:t>Duties and R</w:t>
      </w:r>
      <w:r w:rsidR="00C349AA" w:rsidRPr="00034118">
        <w:rPr>
          <w:rFonts w:cs="Arial"/>
          <w:b/>
          <w:bCs/>
          <w:color w:val="2F5496" w:themeColor="accent5" w:themeShade="BF"/>
          <w:sz w:val="28"/>
          <w:szCs w:val="20"/>
        </w:rPr>
        <w:t>esponsibilities</w:t>
      </w:r>
    </w:p>
    <w:p w14:paraId="7A9B47B5" w14:textId="77777777" w:rsidR="00436AC1" w:rsidRDefault="00436AC1" w:rsidP="00C349AA">
      <w:pPr>
        <w:autoSpaceDE w:val="0"/>
        <w:autoSpaceDN w:val="0"/>
        <w:adjustRightInd w:val="0"/>
        <w:spacing w:after="0" w:line="240" w:lineRule="auto"/>
        <w:rPr>
          <w:rFonts w:cs="Arial"/>
          <w:b/>
          <w:bCs/>
          <w:color w:val="2F5496" w:themeColor="accent5" w:themeShade="BF"/>
          <w:sz w:val="28"/>
          <w:szCs w:val="20"/>
        </w:rPr>
      </w:pPr>
    </w:p>
    <w:p w14:paraId="236F6596" w14:textId="2215B2D8" w:rsidR="00CB1980" w:rsidRDefault="00CB1980" w:rsidP="00CB1980">
      <w:pPr>
        <w:spacing w:after="60"/>
        <w:jc w:val="both"/>
        <w:rPr>
          <w:rFonts w:eastAsia="Times New Roman"/>
          <w:lang w:eastAsia="en-AU"/>
        </w:rPr>
      </w:pPr>
      <w:r w:rsidRPr="001033A4">
        <w:rPr>
          <w:rFonts w:eastAsia="Times New Roman"/>
          <w:lang w:eastAsia="en-AU"/>
        </w:rPr>
        <w:t xml:space="preserve">The </w:t>
      </w:r>
      <w:r>
        <w:rPr>
          <w:rFonts w:ascii="Calibri" w:hAnsi="Calibri"/>
          <w:lang w:val="en-ZA"/>
        </w:rPr>
        <w:t>Project Preparation Team Leader / Protected Areas Financing Consultant</w:t>
      </w:r>
      <w:r w:rsidRPr="001033A4">
        <w:rPr>
          <w:rFonts w:eastAsia="Times New Roman"/>
          <w:lang w:eastAsia="en-AU"/>
        </w:rPr>
        <w:t xml:space="preserve"> </w:t>
      </w:r>
      <w:r>
        <w:rPr>
          <w:rFonts w:eastAsia="Times New Roman"/>
          <w:lang w:eastAsia="en-AU"/>
        </w:rPr>
        <w:t>will be</w:t>
      </w:r>
      <w:r w:rsidRPr="001033A4">
        <w:rPr>
          <w:rFonts w:eastAsia="Times New Roman"/>
          <w:lang w:eastAsia="en-AU"/>
        </w:rPr>
        <w:t xml:space="preserve"> responsible for coordinating the work of all other consultants and experts, and will ensure the quality and timely preparation of all reports and documentation with three missions to PNG and home-based work.  The consultant will carry out the following tasks: </w:t>
      </w:r>
    </w:p>
    <w:p w14:paraId="357AC3E3" w14:textId="77777777" w:rsidR="00716BFB" w:rsidRPr="00F614AD" w:rsidRDefault="00716BFB" w:rsidP="00CB1980">
      <w:pPr>
        <w:spacing w:after="60"/>
        <w:jc w:val="both"/>
        <w:rPr>
          <w:rFonts w:eastAsia="Times New Roman" w:cstheme="minorHAnsi"/>
          <w:lang w:eastAsia="en-AU"/>
        </w:rPr>
      </w:pPr>
    </w:p>
    <w:p w14:paraId="1D0051C5" w14:textId="490CCE43" w:rsidR="00716BFB" w:rsidRPr="00F614AD" w:rsidRDefault="00716BFB" w:rsidP="00716BFB">
      <w:pPr>
        <w:numPr>
          <w:ilvl w:val="0"/>
          <w:numId w:val="34"/>
        </w:numPr>
        <w:spacing w:after="0" w:line="240" w:lineRule="auto"/>
        <w:jc w:val="both"/>
        <w:rPr>
          <w:rFonts w:cstheme="minorHAnsi"/>
          <w:lang w:val="en-ZA"/>
        </w:rPr>
      </w:pPr>
      <w:r w:rsidRPr="00F614AD">
        <w:rPr>
          <w:rFonts w:eastAsia="SimSun" w:cstheme="minorHAnsi"/>
          <w:lang w:val="en-GB"/>
        </w:rPr>
        <w:t>Provide an overall technical guidance to the PPG team in relation to GEF requirements for project development, planning and monitoring;</w:t>
      </w:r>
    </w:p>
    <w:p w14:paraId="304DC178" w14:textId="77777777" w:rsidR="00716BFB" w:rsidRPr="00F614AD" w:rsidRDefault="00716BFB" w:rsidP="00716BFB">
      <w:pPr>
        <w:ind w:left="360"/>
        <w:jc w:val="both"/>
        <w:rPr>
          <w:rFonts w:cstheme="minorHAnsi"/>
          <w:lang w:val="en-ZA"/>
        </w:rPr>
      </w:pPr>
    </w:p>
    <w:p w14:paraId="3203D656" w14:textId="77777777" w:rsidR="00716BFB" w:rsidRPr="00F614AD" w:rsidRDefault="00716BFB" w:rsidP="00716BFB">
      <w:pPr>
        <w:pStyle w:val="Footer"/>
        <w:numPr>
          <w:ilvl w:val="0"/>
          <w:numId w:val="34"/>
        </w:numPr>
        <w:tabs>
          <w:tab w:val="clear" w:pos="4680"/>
          <w:tab w:val="clear" w:pos="9360"/>
          <w:tab w:val="left" w:pos="350"/>
        </w:tabs>
        <w:jc w:val="both"/>
        <w:rPr>
          <w:rFonts w:cstheme="minorHAnsi"/>
          <w:lang w:val="en-ZA"/>
        </w:rPr>
      </w:pPr>
      <w:r w:rsidRPr="00F614AD">
        <w:rPr>
          <w:rFonts w:cstheme="minorHAnsi"/>
          <w:lang w:val="en-ZA"/>
        </w:rPr>
        <w:t>As this project is part of a modular approach to strengthening biodiversity conservation in PNG, the team leader will be responsible to analyse lessons learnt from the existing two projects and integrate into the project’s design. The two existing projects are: 1) “</w:t>
      </w:r>
      <w:r w:rsidRPr="00F614AD">
        <w:rPr>
          <w:rFonts w:cstheme="minorHAnsi"/>
          <w:i/>
          <w:lang w:val="en-ZA"/>
        </w:rPr>
        <w:t>Community-based Forest and Coastal Conservation and Resource Management in Papua New Guinea” project (2012-2018)</w:t>
      </w:r>
      <w:r w:rsidRPr="00F614AD">
        <w:rPr>
          <w:rFonts w:cstheme="minorHAnsi"/>
          <w:lang w:val="en-ZA"/>
        </w:rPr>
        <w:t xml:space="preserve">, and 2) </w:t>
      </w:r>
      <w:r w:rsidRPr="00F614AD">
        <w:rPr>
          <w:rFonts w:cstheme="minorHAnsi"/>
          <w:i/>
          <w:lang w:val="en-ZA"/>
        </w:rPr>
        <w:t>“Strengthening the Management Effectiveness of the National System of Protected Areas in Papua New Guinea (2015-2019)”</w:t>
      </w:r>
      <w:r w:rsidRPr="00F614AD">
        <w:rPr>
          <w:rFonts w:cstheme="minorHAnsi"/>
          <w:lang w:val="en-ZA"/>
        </w:rPr>
        <w:t>.</w:t>
      </w:r>
    </w:p>
    <w:p w14:paraId="58426E7E" w14:textId="77777777" w:rsidR="00716BFB" w:rsidRPr="00F614AD" w:rsidRDefault="00716BFB" w:rsidP="00716BFB">
      <w:pPr>
        <w:pStyle w:val="Footer"/>
        <w:tabs>
          <w:tab w:val="left" w:pos="350"/>
        </w:tabs>
        <w:jc w:val="both"/>
        <w:rPr>
          <w:rFonts w:cstheme="minorHAnsi"/>
          <w:lang w:val="en-ZA"/>
        </w:rPr>
      </w:pPr>
    </w:p>
    <w:p w14:paraId="0795BC08" w14:textId="3DA6B221" w:rsidR="00716BFB" w:rsidRPr="00F614AD" w:rsidRDefault="00716BFB" w:rsidP="00716BFB">
      <w:pPr>
        <w:numPr>
          <w:ilvl w:val="0"/>
          <w:numId w:val="34"/>
        </w:numPr>
        <w:spacing w:after="0" w:line="240" w:lineRule="auto"/>
        <w:jc w:val="both"/>
        <w:rPr>
          <w:rFonts w:cstheme="minorHAnsi"/>
          <w:lang w:val="en-ZA"/>
        </w:rPr>
      </w:pPr>
      <w:r w:rsidRPr="00F614AD">
        <w:rPr>
          <w:rFonts w:cstheme="minorHAnsi"/>
          <w:lang w:val="en-ZA"/>
        </w:rPr>
        <w:t>With inputs from national and international consultants, develop the Situational Analysis (baseline situation) of the project proposal, including:</w:t>
      </w:r>
    </w:p>
    <w:p w14:paraId="165B33BC" w14:textId="77777777"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A description of the enabling legal, regulatory and policy framework for biodiversity conservation and protected areas; and</w:t>
      </w:r>
    </w:p>
    <w:p w14:paraId="43DC68F2" w14:textId="7626843F"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An analysis of the key project stakeholders, including a description of their roles and responsibilities (specifically as it applies to protected areas);</w:t>
      </w:r>
    </w:p>
    <w:p w14:paraId="530784C3" w14:textId="77777777"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hr-HR"/>
        </w:rPr>
        <w:t>Capacity assessment of CEPA including financial management capabilities (e.g., developing budgets; preparing financial policies and procedures; establishing financial controls; developing accounting systems; and facilitating financial reporting and auditing, etc.);</w:t>
      </w:r>
    </w:p>
    <w:p w14:paraId="627D1A02" w14:textId="77777777"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 xml:space="preserve">A profile of the current system of protected areas </w:t>
      </w:r>
      <w:r w:rsidRPr="00F614AD">
        <w:rPr>
          <w:rFonts w:cstheme="minorHAnsi"/>
        </w:rPr>
        <w:t>(i.e. PA types, land tenure, governance, staffing, partnerships, state of management, state of biodiversity, threats and their root cause, etc.);</w:t>
      </w:r>
    </w:p>
    <w:p w14:paraId="745BB184" w14:textId="77777777"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An assessment of the current state of biodiversity (e.g. ecosystem processes, habitats, species, representativeness, resilience) in the protected area system;</w:t>
      </w:r>
    </w:p>
    <w:p w14:paraId="7CB5F947" w14:textId="77777777" w:rsidR="00716BFB" w:rsidRPr="00F614AD" w:rsidRDefault="00716BFB" w:rsidP="00716BFB">
      <w:pPr>
        <w:pStyle w:val="Footer"/>
        <w:numPr>
          <w:ilvl w:val="0"/>
          <w:numId w:val="35"/>
        </w:numPr>
        <w:tabs>
          <w:tab w:val="clear" w:pos="4680"/>
          <w:tab w:val="clear" w:pos="9360"/>
          <w:tab w:val="left" w:pos="709"/>
          <w:tab w:val="center" w:pos="4320"/>
          <w:tab w:val="right" w:pos="8640"/>
        </w:tabs>
        <w:jc w:val="both"/>
        <w:rPr>
          <w:rFonts w:cstheme="minorHAnsi"/>
          <w:lang w:val="en-ZA"/>
        </w:rPr>
      </w:pPr>
      <w:r w:rsidRPr="00F614AD">
        <w:rPr>
          <w:rFonts w:cstheme="minorHAnsi"/>
          <w:lang w:val="en-ZA"/>
        </w:rPr>
        <w:t xml:space="preserve">A description and costing of the ‘baseline </w:t>
      </w:r>
      <w:r w:rsidRPr="00F614AD">
        <w:rPr>
          <w:rFonts w:cstheme="minorHAnsi"/>
        </w:rPr>
        <w:t>scenario’ (or any ‘associated baseline projects’) for the protected area system covering the period of the project implementation (i.e. 5 years);</w:t>
      </w:r>
    </w:p>
    <w:p w14:paraId="6C292163" w14:textId="77777777" w:rsidR="00716BFB" w:rsidRPr="00F614AD" w:rsidRDefault="00716BFB" w:rsidP="00716BFB">
      <w:pPr>
        <w:pStyle w:val="Footer"/>
        <w:numPr>
          <w:ilvl w:val="0"/>
          <w:numId w:val="35"/>
        </w:numPr>
        <w:tabs>
          <w:tab w:val="clear" w:pos="4680"/>
          <w:tab w:val="clear" w:pos="9360"/>
          <w:tab w:val="left" w:pos="709"/>
          <w:tab w:val="center" w:pos="4320"/>
          <w:tab w:val="right" w:pos="8640"/>
        </w:tabs>
        <w:jc w:val="both"/>
        <w:rPr>
          <w:rFonts w:cstheme="minorHAnsi"/>
          <w:lang w:val="en-ZA"/>
        </w:rPr>
      </w:pPr>
      <w:r w:rsidRPr="00F614AD">
        <w:rPr>
          <w:rFonts w:cstheme="minorHAnsi"/>
        </w:rPr>
        <w:t xml:space="preserve">A description of the progress in, and challenges to: (i) implementing the </w:t>
      </w:r>
      <w:r w:rsidRPr="00F614AD">
        <w:rPr>
          <w:rFonts w:cstheme="minorHAnsi"/>
          <w:lang w:val="en-ZA"/>
        </w:rPr>
        <w:t>new ‘PNG Protected Area Classification System’ during the 5-year transition period identified in the PAP; and (ii) the</w:t>
      </w:r>
      <w:r w:rsidRPr="00F614AD">
        <w:rPr>
          <w:rFonts w:cstheme="minorHAnsi"/>
          <w:lang w:val="en-ZA" w:eastAsia="en-ZA"/>
        </w:rPr>
        <w:t xml:space="preserve"> ‘</w:t>
      </w:r>
      <w:r w:rsidRPr="00F614AD">
        <w:rPr>
          <w:rFonts w:cstheme="minorHAnsi"/>
          <w:lang w:val="en-ZA"/>
        </w:rPr>
        <w:t>Protected Areas Proposal database’ for expansion of existing, or establishment of new, protected areas;</w:t>
      </w:r>
    </w:p>
    <w:p w14:paraId="00F2B1E7" w14:textId="77777777" w:rsidR="00716BFB" w:rsidRPr="00F614AD" w:rsidRDefault="00716BFB" w:rsidP="00716BFB">
      <w:pPr>
        <w:pStyle w:val="Footer"/>
        <w:numPr>
          <w:ilvl w:val="0"/>
          <w:numId w:val="35"/>
        </w:numPr>
        <w:tabs>
          <w:tab w:val="clear" w:pos="4680"/>
          <w:tab w:val="clear" w:pos="9360"/>
          <w:tab w:val="left" w:pos="709"/>
          <w:tab w:val="center" w:pos="4320"/>
          <w:tab w:val="right" w:pos="8640"/>
        </w:tabs>
        <w:jc w:val="both"/>
        <w:rPr>
          <w:rFonts w:cstheme="minorHAnsi"/>
          <w:lang w:val="en-ZA"/>
        </w:rPr>
      </w:pPr>
      <w:r w:rsidRPr="00F614AD">
        <w:rPr>
          <w:rFonts w:cstheme="minorHAnsi"/>
          <w:lang w:val="en-ZA"/>
        </w:rPr>
        <w:t>Confirm and validate the selection of six protected areas preliminarily identified in the PIF through a stakeholder consultation including consultation with the customary landowners;</w:t>
      </w:r>
    </w:p>
    <w:p w14:paraId="799FA3C9" w14:textId="77777777" w:rsidR="00716BFB" w:rsidRPr="00F614AD" w:rsidRDefault="00716BFB" w:rsidP="00716BFB">
      <w:pPr>
        <w:pStyle w:val="Footer"/>
        <w:numPr>
          <w:ilvl w:val="0"/>
          <w:numId w:val="35"/>
        </w:numPr>
        <w:tabs>
          <w:tab w:val="clear" w:pos="4680"/>
          <w:tab w:val="clear" w:pos="9360"/>
          <w:tab w:val="left" w:pos="709"/>
          <w:tab w:val="center" w:pos="4320"/>
          <w:tab w:val="right" w:pos="8640"/>
        </w:tabs>
        <w:jc w:val="both"/>
        <w:rPr>
          <w:rFonts w:cstheme="minorHAnsi"/>
          <w:lang w:val="en-ZA"/>
        </w:rPr>
      </w:pPr>
      <w:r w:rsidRPr="00F614AD">
        <w:rPr>
          <w:rFonts w:cstheme="minorHAnsi"/>
          <w:lang w:val="en-ZA"/>
        </w:rPr>
        <w:t xml:space="preserve">A detailed profile of the six individual protected areas (map, type, extent, management capacity, state of planning and management, threats, opportunities, etc.) - and their surrounding communities (maps, villages, population by age and gender, </w:t>
      </w:r>
      <w:r w:rsidRPr="00F614AD">
        <w:rPr>
          <w:rFonts w:cstheme="minorHAnsi"/>
          <w:lang w:val="en-GB"/>
        </w:rPr>
        <w:t>social structures,</w:t>
      </w:r>
      <w:r w:rsidRPr="00F614AD">
        <w:rPr>
          <w:rFonts w:cstheme="minorHAnsi"/>
          <w:lang w:val="en-ZA"/>
        </w:rPr>
        <w:t xml:space="preserve"> land use, socio-economic indicators, development needs, etc.) - being targeted for project support;</w:t>
      </w:r>
    </w:p>
    <w:p w14:paraId="7C5B510D" w14:textId="77777777" w:rsidR="00716BFB" w:rsidRPr="00F614AD" w:rsidRDefault="00716BFB" w:rsidP="00716BFB">
      <w:pPr>
        <w:pStyle w:val="Footer"/>
        <w:numPr>
          <w:ilvl w:val="0"/>
          <w:numId w:val="35"/>
        </w:numPr>
        <w:tabs>
          <w:tab w:val="clear" w:pos="4680"/>
          <w:tab w:val="clear" w:pos="9360"/>
          <w:tab w:val="left" w:pos="709"/>
          <w:tab w:val="center" w:pos="4320"/>
          <w:tab w:val="right" w:pos="8640"/>
        </w:tabs>
        <w:jc w:val="both"/>
        <w:rPr>
          <w:rFonts w:cstheme="minorHAnsi"/>
          <w:lang w:val="en-ZA"/>
        </w:rPr>
      </w:pPr>
      <w:r w:rsidRPr="00F614AD">
        <w:rPr>
          <w:rFonts w:cstheme="minorHAnsi"/>
          <w:lang w:val="en-ZA"/>
        </w:rPr>
        <w:t>A baseline assessment for the METTs for the six targeted protected areas;</w:t>
      </w:r>
    </w:p>
    <w:p w14:paraId="56414ED7" w14:textId="77777777"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GB"/>
        </w:rPr>
        <w:t xml:space="preserve">An assessment of the roles and responsibilities of customary social structures, local and district government institutions and other partnering organisations in the planning and management of the </w:t>
      </w:r>
      <w:r w:rsidRPr="00F614AD">
        <w:rPr>
          <w:rFonts w:cstheme="minorHAnsi"/>
          <w:lang w:val="en-ZA"/>
        </w:rPr>
        <w:t>six individual protected areas</w:t>
      </w:r>
      <w:r w:rsidRPr="00F614AD">
        <w:rPr>
          <w:rFonts w:cstheme="minorHAnsi"/>
          <w:lang w:val="en-GB"/>
        </w:rPr>
        <w:t>;</w:t>
      </w:r>
    </w:p>
    <w:p w14:paraId="227A7655" w14:textId="65ACE15C"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eastAsia="SimSun" w:cstheme="minorHAnsi"/>
          <w:lang w:val="en-GB"/>
        </w:rPr>
        <w:t>The stakeholder consultations with the customary landowners and the indigenous communities should fully comply with the principles of free, prior and informed consent to fully take on-board their concerns and customar</w:t>
      </w:r>
      <w:r w:rsidR="00F614AD">
        <w:rPr>
          <w:rFonts w:eastAsia="SimSun" w:cstheme="minorHAnsi"/>
          <w:lang w:val="en-GB"/>
        </w:rPr>
        <w:t>y rights in the project design;</w:t>
      </w:r>
    </w:p>
    <w:p w14:paraId="430B3EE4" w14:textId="6A8E2180" w:rsidR="00716BFB" w:rsidRPr="00F614AD" w:rsidRDefault="00716BFB" w:rsidP="001D0978">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Based on the report of the International Conservation Trust Fund Specialist, finalization of the</w:t>
      </w:r>
      <w:r w:rsidRPr="00F614AD">
        <w:rPr>
          <w:rFonts w:cstheme="minorHAnsi"/>
          <w:lang w:val="hr-HR"/>
        </w:rPr>
        <w:t xml:space="preserve"> detailed assessment of the current funding sources (income) for, and financial flows (expenditure) through the: (i) protected area system and (ii) six targeted protected areas; as well as determination of the 'financing gap' for the: (i) protected area system and (ii) six targeted protected areas; and</w:t>
      </w:r>
    </w:p>
    <w:p w14:paraId="21787A43" w14:textId="583CFE31" w:rsidR="00716BFB" w:rsidRPr="00F614AD" w:rsidRDefault="00716BFB" w:rsidP="00716BFB">
      <w:pPr>
        <w:pStyle w:val="Footer"/>
        <w:numPr>
          <w:ilvl w:val="0"/>
          <w:numId w:val="35"/>
        </w:numPr>
        <w:tabs>
          <w:tab w:val="clear" w:pos="4680"/>
          <w:tab w:val="clear" w:pos="9360"/>
          <w:tab w:val="left" w:pos="709"/>
        </w:tabs>
        <w:jc w:val="both"/>
        <w:rPr>
          <w:rFonts w:cstheme="minorHAnsi"/>
          <w:lang w:val="en-ZA"/>
        </w:rPr>
      </w:pPr>
      <w:r w:rsidRPr="00F614AD">
        <w:rPr>
          <w:rFonts w:cstheme="minorHAnsi"/>
          <w:lang w:val="en-ZA"/>
        </w:rPr>
        <w:t>Based on the report of the International Conservation Trust Fund Specialist, finalization of the baseline assessment for the Financial Scorecard for the protected area system.</w:t>
      </w:r>
    </w:p>
    <w:p w14:paraId="3EAC573A" w14:textId="77777777" w:rsidR="00716BFB" w:rsidRPr="00F614AD" w:rsidRDefault="00716BFB" w:rsidP="00716BFB">
      <w:pPr>
        <w:pStyle w:val="Footer"/>
        <w:tabs>
          <w:tab w:val="clear" w:pos="4680"/>
          <w:tab w:val="clear" w:pos="9360"/>
          <w:tab w:val="left" w:pos="709"/>
        </w:tabs>
        <w:ind w:left="720"/>
        <w:jc w:val="both"/>
        <w:rPr>
          <w:rFonts w:cstheme="minorHAnsi"/>
          <w:lang w:val="en-ZA"/>
        </w:rPr>
      </w:pPr>
    </w:p>
    <w:p w14:paraId="5F756B2A" w14:textId="5751AA76" w:rsidR="00716BFB" w:rsidRPr="00F614AD" w:rsidRDefault="00716BFB" w:rsidP="00716BFB">
      <w:pPr>
        <w:numPr>
          <w:ilvl w:val="0"/>
          <w:numId w:val="34"/>
        </w:numPr>
        <w:spacing w:after="0" w:line="240" w:lineRule="auto"/>
        <w:jc w:val="both"/>
        <w:rPr>
          <w:rFonts w:cstheme="minorHAnsi"/>
          <w:lang w:val="en-ZA"/>
        </w:rPr>
      </w:pPr>
      <w:r w:rsidRPr="00F614AD">
        <w:rPr>
          <w:rFonts w:cstheme="minorHAnsi"/>
          <w:lang w:val="en-ZA"/>
        </w:rPr>
        <w:t>The incumbent will be responsible for p</w:t>
      </w:r>
      <w:r w:rsidRPr="00F614AD">
        <w:rPr>
          <w:rFonts w:cstheme="minorHAnsi"/>
          <w:lang w:val="en-GB"/>
        </w:rPr>
        <w:t xml:space="preserve">reparation of the </w:t>
      </w:r>
      <w:r w:rsidRPr="00F614AD">
        <w:rPr>
          <w:rFonts w:cstheme="minorHAnsi"/>
          <w:lang w:val="en-ZA"/>
        </w:rPr>
        <w:t xml:space="preserve">final project documentation for submission to the GEF Secretariat. The full project documentation for submission will be comprised of: (i) UNDP Project Document (UNDP PRODOC) and its associated annexures; and (ii) GEF CEO Endorsement Request (GEF CEO) and its associated annexures. The activities to be undertaken in this component will include </w:t>
      </w:r>
      <w:r w:rsidRPr="00F614AD">
        <w:rPr>
          <w:rFonts w:cstheme="minorHAnsi"/>
          <w:i/>
          <w:lang w:val="en-ZA"/>
        </w:rPr>
        <w:t>inter alia</w:t>
      </w:r>
      <w:r w:rsidRPr="00F614AD">
        <w:rPr>
          <w:rFonts w:cstheme="minorHAnsi"/>
          <w:lang w:val="en-ZA"/>
        </w:rPr>
        <w:t>:</w:t>
      </w:r>
    </w:p>
    <w:p w14:paraId="252F802C" w14:textId="77777777" w:rsidR="00716BFB" w:rsidRPr="00F614AD" w:rsidRDefault="00716BFB" w:rsidP="00CB1980">
      <w:pPr>
        <w:spacing w:after="60"/>
        <w:jc w:val="both"/>
        <w:rPr>
          <w:rFonts w:eastAsia="Times New Roman" w:cstheme="minorHAnsi"/>
          <w:lang w:val="en-ZA" w:eastAsia="en-AU"/>
        </w:rPr>
      </w:pPr>
    </w:p>
    <w:p w14:paraId="48F0CA59"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Integrate all of the technical and consultation inputs (from Components 1-3 above) into the project documentation;</w:t>
      </w:r>
    </w:p>
    <w:p w14:paraId="588FA234"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rPr>
        <w:t>Map the T</w:t>
      </w:r>
      <w:r w:rsidRPr="00F614AD">
        <w:rPr>
          <w:rFonts w:cstheme="minorHAnsi"/>
          <w:lang w:val="en-GB"/>
        </w:rPr>
        <w:t xml:space="preserve">heory of Change (TOC) for the </w:t>
      </w:r>
      <w:r w:rsidRPr="00F614AD">
        <w:rPr>
          <w:rFonts w:cstheme="minorHAnsi"/>
        </w:rPr>
        <w:t>project</w:t>
      </w:r>
      <w:r w:rsidRPr="00F614AD">
        <w:rPr>
          <w:rFonts w:cstheme="minorHAnsi"/>
          <w:lang w:val="en-GB"/>
        </w:rPr>
        <w:t xml:space="preserve"> in an outcomes framework. This outcomes framework will then </w:t>
      </w:r>
      <w:r w:rsidRPr="00F614AD">
        <w:rPr>
          <w:rFonts w:cstheme="minorHAnsi"/>
        </w:rPr>
        <w:t>provide the basis for identifying what type of activity or intervention will lead to the outcomes identified as pre-conditions for achieving the long-term goal for the project.</w:t>
      </w:r>
      <w:r w:rsidRPr="00F614AD">
        <w:rPr>
          <w:rFonts w:cstheme="minorHAnsi"/>
          <w:lang w:val="en-GB"/>
        </w:rPr>
        <w:t xml:space="preserve"> </w:t>
      </w:r>
    </w:p>
    <w:p w14:paraId="194E97FC"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 xml:space="preserve">With reference to the TOC, describe the </w:t>
      </w:r>
      <w:r w:rsidRPr="00F614AD">
        <w:rPr>
          <w:rFonts w:cstheme="minorHAnsi"/>
          <w:lang w:val="en-ZA"/>
        </w:rPr>
        <w:t>key management challenges, the magnitude of these challenges and their underlying root causes</w:t>
      </w:r>
      <w:r w:rsidRPr="00F614AD">
        <w:rPr>
          <w:rFonts w:cstheme="minorHAnsi"/>
          <w:lang w:val="en-GB"/>
        </w:rPr>
        <w:t xml:space="preserve"> that the project seeks to address;</w:t>
      </w:r>
    </w:p>
    <w:p w14:paraId="77295205"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With reference to the TOC, describe the project strategy, with an explanation of how it is expected to lead to change at the output level;</w:t>
      </w:r>
    </w:p>
    <w:p w14:paraId="073C81DB"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With reference to the TOC, identify the key assumptions (internal and external) that will be critical for achieving the project outputs [</w:t>
      </w:r>
      <w:r w:rsidRPr="00F614AD">
        <w:rPr>
          <w:rFonts w:cstheme="minorHAnsi"/>
        </w:rPr>
        <w:t>Include a theory of change diagram showing the linkages between the development challenge and the immediate, underlying and root causes];</w:t>
      </w:r>
    </w:p>
    <w:p w14:paraId="374E61BC"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With reference to the TOC, describe the planned interventions of the project, with an explanation of why those interventions are best suited to achieve the intended results;</w:t>
      </w:r>
    </w:p>
    <w:p w14:paraId="55084575"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With reference to the TOC, describe the inputs (people, purchases, partnerships, etc.) that are required to deliver the project outputs;</w:t>
      </w:r>
    </w:p>
    <w:p w14:paraId="395D8361"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how the project will work with partners to achieve results, and briefly map what other stakeholders and initiatives are doing to address the development challenge;</w:t>
      </w:r>
    </w:p>
    <w:p w14:paraId="5385ECF7"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the project risks, and the measures that will be adopted to mitigate these risks;</w:t>
      </w:r>
    </w:p>
    <w:p w14:paraId="53E09992"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Identify the key stakeholders and outline a strategy to ensure that these stakeholders are engaged throughout the project implementation;</w:t>
      </w:r>
    </w:p>
    <w:p w14:paraId="6A7047B5"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the approach to knowledge management for the project;</w:t>
      </w:r>
    </w:p>
    <w:p w14:paraId="707BEA81"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how the project investments will be sustained, and any arrangement to scale-up project results;</w:t>
      </w:r>
    </w:p>
    <w:p w14:paraId="5CE04B73"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the cost-efficiencies and cost-effectiveness of the project strategy, outputs and activities;</w:t>
      </w:r>
    </w:p>
    <w:p w14:paraId="23BB6CE5"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Describe the project’s governance, management and implementation arrangements;</w:t>
      </w:r>
    </w:p>
    <w:p w14:paraId="684D592B"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Complete the project Results Framework (i.e. Outputs and Output Indicators with baselines, targets and means of verification);</w:t>
      </w:r>
    </w:p>
    <w:p w14:paraId="7A62A780"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Complete the Monitoring Plan and Evaluation Plan tables for the project;</w:t>
      </w:r>
    </w:p>
    <w:p w14:paraId="63D65D56" w14:textId="6350DBBB"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Prepare the Multi-Year Work Plan for the project (i.e. Outputs, Activities and Budget);</w:t>
      </w:r>
    </w:p>
    <w:p w14:paraId="41A0893F" w14:textId="0E5B68F6"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Prepare the TORs for the Project Board/Steering Committee and key management positions;</w:t>
      </w:r>
    </w:p>
    <w:p w14:paraId="7988029E" w14:textId="77777777" w:rsidR="00F614AD"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rPr>
        <w:t>Address any STAP, GEFSEC and Council comments on the project;</w:t>
      </w:r>
    </w:p>
    <w:p w14:paraId="0237DDB9" w14:textId="3B6A5692"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Prepare drafts of the UNDP PRODOC and GEF CEO ER for review and comments by national stakeholders;</w:t>
      </w:r>
    </w:p>
    <w:p w14:paraId="3441BB74" w14:textId="77777777" w:rsidR="00716BFB" w:rsidRPr="00F614AD" w:rsidRDefault="00716BFB" w:rsidP="00F614AD">
      <w:pPr>
        <w:pStyle w:val="ListParagraph"/>
        <w:numPr>
          <w:ilvl w:val="0"/>
          <w:numId w:val="37"/>
        </w:numPr>
        <w:spacing w:after="0" w:line="240" w:lineRule="auto"/>
        <w:jc w:val="both"/>
        <w:rPr>
          <w:rFonts w:cstheme="minorHAnsi"/>
          <w:lang w:val="en-GB"/>
        </w:rPr>
      </w:pPr>
      <w:r w:rsidRPr="00F614AD">
        <w:rPr>
          <w:rFonts w:cstheme="minorHAnsi"/>
          <w:lang w:val="en-GB"/>
        </w:rPr>
        <w:t>Revise and update the UNDP PRODOC and GEF CEO endorsement document for review by UNDP; and</w:t>
      </w:r>
    </w:p>
    <w:p w14:paraId="29EEC83C" w14:textId="58C1224A" w:rsidR="00436AC1" w:rsidRPr="00F614AD" w:rsidRDefault="00716BFB" w:rsidP="00F614AD">
      <w:pPr>
        <w:pStyle w:val="ListParagraph"/>
        <w:numPr>
          <w:ilvl w:val="0"/>
          <w:numId w:val="37"/>
        </w:numPr>
        <w:autoSpaceDE w:val="0"/>
        <w:autoSpaceDN w:val="0"/>
        <w:adjustRightInd w:val="0"/>
        <w:spacing w:after="0" w:line="240" w:lineRule="auto"/>
        <w:jc w:val="both"/>
        <w:rPr>
          <w:rFonts w:eastAsia="Times New Roman" w:cstheme="minorHAnsi"/>
          <w:lang w:eastAsia="en-AU"/>
        </w:rPr>
      </w:pPr>
      <w:r w:rsidRPr="00F614AD">
        <w:rPr>
          <w:rFonts w:cstheme="minorHAnsi"/>
          <w:lang w:val="en-GB"/>
        </w:rPr>
        <w:t>Revise and update the UNDP PRODOC and GEF CEO ER for submission to the GEFSEC.</w:t>
      </w:r>
    </w:p>
    <w:p w14:paraId="3E214FE8" w14:textId="77777777" w:rsidR="00935004" w:rsidRPr="00A15538" w:rsidRDefault="00935004" w:rsidP="00935004">
      <w:pPr>
        <w:pStyle w:val="ListParagraph"/>
        <w:autoSpaceDE w:val="0"/>
        <w:autoSpaceDN w:val="0"/>
        <w:adjustRightInd w:val="0"/>
        <w:spacing w:after="0" w:line="240" w:lineRule="auto"/>
        <w:jc w:val="both"/>
        <w:rPr>
          <w:rFonts w:eastAsia="Times New Roman"/>
          <w:lang w:eastAsia="en-AU"/>
        </w:rPr>
      </w:pPr>
    </w:p>
    <w:p w14:paraId="11A165D4" w14:textId="2A2D710C" w:rsidR="00935004" w:rsidRPr="00935004" w:rsidRDefault="00935004" w:rsidP="00935004">
      <w:pPr>
        <w:widowControl w:val="0"/>
        <w:spacing w:after="120"/>
        <w:jc w:val="both"/>
        <w:rPr>
          <w:rFonts w:eastAsia="Times New Roman"/>
          <w:lang w:eastAsia="en-AU"/>
        </w:rPr>
      </w:pPr>
      <w:r w:rsidRPr="00935004">
        <w:rPr>
          <w:rFonts w:eastAsia="Times New Roman"/>
          <w:lang w:eastAsia="en-AU"/>
        </w:rPr>
        <w:t xml:space="preserve">The </w:t>
      </w:r>
      <w:r w:rsidR="00F614AD">
        <w:rPr>
          <w:rFonts w:ascii="Calibri" w:hAnsi="Calibri"/>
          <w:lang w:val="en-ZA"/>
        </w:rPr>
        <w:t>Project Preparation Team Leader / Protected Areas Financing Consultant</w:t>
      </w:r>
      <w:r w:rsidR="00F614AD" w:rsidRPr="001033A4">
        <w:rPr>
          <w:rFonts w:eastAsia="Times New Roman"/>
          <w:lang w:eastAsia="en-AU"/>
        </w:rPr>
        <w:t xml:space="preserve"> </w:t>
      </w:r>
      <w:r w:rsidRPr="00935004">
        <w:rPr>
          <w:rFonts w:eastAsia="Times New Roman"/>
          <w:lang w:eastAsia="en-AU"/>
        </w:rPr>
        <w:t>is expected to deliver the following outputs:</w:t>
      </w:r>
    </w:p>
    <w:tbl>
      <w:tblPr>
        <w:tblStyle w:val="TableGrid"/>
        <w:tblW w:w="10566" w:type="dxa"/>
        <w:tblInd w:w="-365" w:type="dxa"/>
        <w:tblLayout w:type="fixed"/>
        <w:tblLook w:val="04A0" w:firstRow="1" w:lastRow="0" w:firstColumn="1" w:lastColumn="0" w:noHBand="0" w:noVBand="1"/>
      </w:tblPr>
      <w:tblGrid>
        <w:gridCol w:w="6030"/>
        <w:gridCol w:w="1260"/>
        <w:gridCol w:w="1717"/>
        <w:gridCol w:w="1559"/>
      </w:tblGrid>
      <w:tr w:rsidR="00935004" w:rsidRPr="00AE3271" w14:paraId="71947067" w14:textId="77777777" w:rsidTr="00AE3271">
        <w:trPr>
          <w:trHeight w:val="674"/>
        </w:trPr>
        <w:tc>
          <w:tcPr>
            <w:tcW w:w="6030" w:type="dxa"/>
            <w:vAlign w:val="center"/>
          </w:tcPr>
          <w:p w14:paraId="6F7D2BA4" w14:textId="270D6371" w:rsidR="00935004" w:rsidRPr="00AE3271" w:rsidRDefault="00AE3271" w:rsidP="00157475">
            <w:pPr>
              <w:widowControl w:val="0"/>
              <w:spacing w:after="120"/>
              <w:jc w:val="center"/>
              <w:rPr>
                <w:rFonts w:cstheme="minorHAnsi"/>
                <w:b/>
                <w:lang w:val="en-GB"/>
              </w:rPr>
            </w:pPr>
            <w:r>
              <w:rPr>
                <w:rFonts w:cstheme="minorHAnsi"/>
                <w:b/>
                <w:lang w:val="en-GB"/>
              </w:rPr>
              <w:t>Deliverables/</w:t>
            </w:r>
            <w:r w:rsidR="00935004" w:rsidRPr="00AE3271">
              <w:rPr>
                <w:rFonts w:cstheme="minorHAnsi"/>
                <w:b/>
                <w:lang w:val="en-GB"/>
              </w:rPr>
              <w:t>Outputs</w:t>
            </w:r>
          </w:p>
        </w:tc>
        <w:tc>
          <w:tcPr>
            <w:tcW w:w="1260" w:type="dxa"/>
            <w:vAlign w:val="center"/>
          </w:tcPr>
          <w:p w14:paraId="0EF45F15" w14:textId="2FC838FF" w:rsidR="00935004" w:rsidRPr="00AE3271" w:rsidRDefault="00935004" w:rsidP="00AE3271">
            <w:pPr>
              <w:widowControl w:val="0"/>
              <w:spacing w:after="120"/>
              <w:jc w:val="center"/>
              <w:rPr>
                <w:rFonts w:cstheme="minorHAnsi"/>
                <w:b/>
                <w:lang w:val="en-GB"/>
              </w:rPr>
            </w:pPr>
            <w:r w:rsidRPr="00AE3271">
              <w:rPr>
                <w:rFonts w:cstheme="minorHAnsi"/>
                <w:b/>
                <w:lang w:val="en-GB"/>
              </w:rPr>
              <w:t xml:space="preserve">Duration </w:t>
            </w:r>
          </w:p>
        </w:tc>
        <w:tc>
          <w:tcPr>
            <w:tcW w:w="1717" w:type="dxa"/>
            <w:vAlign w:val="center"/>
          </w:tcPr>
          <w:p w14:paraId="2300220B" w14:textId="77777777" w:rsidR="00282165" w:rsidRDefault="00282165" w:rsidP="00157475">
            <w:pPr>
              <w:widowControl w:val="0"/>
              <w:spacing w:after="120"/>
              <w:jc w:val="center"/>
              <w:rPr>
                <w:rFonts w:cstheme="minorHAnsi"/>
                <w:b/>
                <w:lang w:val="en-GB"/>
              </w:rPr>
            </w:pPr>
            <w:r>
              <w:rPr>
                <w:rFonts w:cstheme="minorHAnsi"/>
                <w:b/>
                <w:lang w:val="en-GB"/>
              </w:rPr>
              <w:t>TENTATIVE</w:t>
            </w:r>
          </w:p>
          <w:p w14:paraId="5699807C" w14:textId="06C086CD" w:rsidR="00935004" w:rsidRPr="00AE3271" w:rsidRDefault="00935004" w:rsidP="00157475">
            <w:pPr>
              <w:widowControl w:val="0"/>
              <w:spacing w:after="120"/>
              <w:jc w:val="center"/>
              <w:rPr>
                <w:rFonts w:cstheme="minorHAnsi"/>
                <w:b/>
                <w:lang w:val="en-GB"/>
              </w:rPr>
            </w:pPr>
            <w:r w:rsidRPr="00AE3271">
              <w:rPr>
                <w:rFonts w:cstheme="minorHAnsi"/>
                <w:b/>
                <w:lang w:val="en-GB"/>
              </w:rPr>
              <w:t>Due Dates</w:t>
            </w:r>
          </w:p>
        </w:tc>
        <w:tc>
          <w:tcPr>
            <w:tcW w:w="1559" w:type="dxa"/>
            <w:vAlign w:val="center"/>
          </w:tcPr>
          <w:p w14:paraId="59E2EC69" w14:textId="47A3CFD7" w:rsidR="00935004" w:rsidRPr="00AE3271" w:rsidRDefault="00AE3271" w:rsidP="00AE3271">
            <w:pPr>
              <w:widowControl w:val="0"/>
              <w:spacing w:after="120"/>
              <w:jc w:val="center"/>
              <w:rPr>
                <w:rFonts w:cstheme="minorHAnsi"/>
                <w:b/>
                <w:lang w:val="en-GB"/>
              </w:rPr>
            </w:pPr>
            <w:r w:rsidRPr="00AE3271">
              <w:rPr>
                <w:rFonts w:cstheme="minorHAnsi"/>
                <w:b/>
                <w:lang w:val="en-GB"/>
              </w:rPr>
              <w:t>Certifying O</w:t>
            </w:r>
            <w:r w:rsidR="00935004" w:rsidRPr="00AE3271">
              <w:rPr>
                <w:rFonts w:cstheme="minorHAnsi"/>
                <w:b/>
                <w:lang w:val="en-GB"/>
              </w:rPr>
              <w:t>fficer</w:t>
            </w:r>
          </w:p>
        </w:tc>
      </w:tr>
      <w:tr w:rsidR="00935004" w14:paraId="5BDC8A56" w14:textId="77777777" w:rsidTr="00AE3271">
        <w:tc>
          <w:tcPr>
            <w:tcW w:w="6030" w:type="dxa"/>
            <w:vAlign w:val="center"/>
          </w:tcPr>
          <w:p w14:paraId="7E7FE757" w14:textId="369903D4" w:rsidR="00935004" w:rsidRPr="00935004" w:rsidRDefault="00935004" w:rsidP="00AE3271">
            <w:pPr>
              <w:pStyle w:val="ListParagraph"/>
              <w:numPr>
                <w:ilvl w:val="0"/>
                <w:numId w:val="32"/>
              </w:numPr>
              <w:spacing w:after="0" w:line="240" w:lineRule="auto"/>
              <w:ind w:left="343" w:hanging="270"/>
              <w:jc w:val="both"/>
              <w:rPr>
                <w:rFonts w:eastAsia="Times New Roman"/>
                <w:lang w:eastAsia="en-AU"/>
              </w:rPr>
            </w:pPr>
            <w:r>
              <w:rPr>
                <w:rFonts w:eastAsia="Times New Roman"/>
                <w:lang w:eastAsia="en-AU"/>
              </w:rPr>
              <w:t>Detailed mission plan with list of stakeholders</w:t>
            </w:r>
            <w:r w:rsidR="00AE3271">
              <w:rPr>
                <w:rFonts w:eastAsia="Times New Roman"/>
                <w:lang w:eastAsia="en-AU"/>
              </w:rPr>
              <w:t xml:space="preserve"> and their roles</w:t>
            </w:r>
            <w:r w:rsidR="00C477F5">
              <w:rPr>
                <w:rFonts w:eastAsia="Times New Roman"/>
                <w:lang w:eastAsia="en-AU"/>
              </w:rPr>
              <w:t>, upon submission of which the first tranche to cover the costs of initial mission to Papua New Guinea is to be released</w:t>
            </w:r>
            <w:r w:rsidR="00AE3271">
              <w:rPr>
                <w:rFonts w:eastAsia="Times New Roman"/>
                <w:lang w:eastAsia="en-AU"/>
              </w:rPr>
              <w:t>;</w:t>
            </w:r>
          </w:p>
        </w:tc>
        <w:tc>
          <w:tcPr>
            <w:tcW w:w="1260" w:type="dxa"/>
            <w:vAlign w:val="center"/>
          </w:tcPr>
          <w:p w14:paraId="67FD3164" w14:textId="4C97A9DC" w:rsidR="00935004" w:rsidRPr="00AE3271" w:rsidRDefault="006B6693" w:rsidP="00157475">
            <w:pPr>
              <w:widowControl w:val="0"/>
              <w:spacing w:after="120"/>
              <w:jc w:val="center"/>
              <w:rPr>
                <w:rFonts w:cstheme="minorHAnsi"/>
                <w:lang w:val="en-GB"/>
              </w:rPr>
            </w:pPr>
            <w:r>
              <w:rPr>
                <w:rFonts w:cstheme="minorHAnsi"/>
                <w:lang w:val="en-GB"/>
              </w:rPr>
              <w:t>1 day</w:t>
            </w:r>
          </w:p>
        </w:tc>
        <w:tc>
          <w:tcPr>
            <w:tcW w:w="1717" w:type="dxa"/>
            <w:vAlign w:val="center"/>
          </w:tcPr>
          <w:p w14:paraId="775CC70E" w14:textId="7CC43DEA" w:rsidR="00935004" w:rsidRPr="00AE3271" w:rsidRDefault="00A0193D" w:rsidP="00157475">
            <w:pPr>
              <w:widowControl w:val="0"/>
              <w:spacing w:after="120"/>
              <w:jc w:val="center"/>
              <w:rPr>
                <w:rFonts w:cstheme="minorHAnsi"/>
                <w:lang w:val="en-GB"/>
              </w:rPr>
            </w:pPr>
            <w:r>
              <w:rPr>
                <w:rFonts w:cstheme="minorHAnsi"/>
                <w:lang w:val="en-GB"/>
              </w:rPr>
              <w:t>Upon signature of contract</w:t>
            </w:r>
          </w:p>
        </w:tc>
        <w:tc>
          <w:tcPr>
            <w:tcW w:w="1559" w:type="dxa"/>
            <w:vAlign w:val="center"/>
          </w:tcPr>
          <w:p w14:paraId="3D4D5C59" w14:textId="77777777" w:rsidR="00935004" w:rsidRPr="00AE3271" w:rsidRDefault="00935004" w:rsidP="00157475">
            <w:pPr>
              <w:widowControl w:val="0"/>
              <w:spacing w:after="120"/>
              <w:jc w:val="center"/>
              <w:rPr>
                <w:rFonts w:cstheme="minorHAnsi"/>
                <w:lang w:val="en-GB"/>
              </w:rPr>
            </w:pPr>
            <w:r w:rsidRPr="00AE3271">
              <w:rPr>
                <w:rFonts w:cstheme="minorHAnsi"/>
                <w:lang w:val="en-GB"/>
              </w:rPr>
              <w:t>Technical Specialist</w:t>
            </w:r>
          </w:p>
        </w:tc>
      </w:tr>
      <w:tr w:rsidR="00935004" w14:paraId="66A1AEF4" w14:textId="77777777" w:rsidTr="00AE3271">
        <w:tc>
          <w:tcPr>
            <w:tcW w:w="6030" w:type="dxa"/>
            <w:vAlign w:val="center"/>
          </w:tcPr>
          <w:p w14:paraId="1B56CE80" w14:textId="1CA3E12B" w:rsidR="006B6693" w:rsidRDefault="006B6693" w:rsidP="006B6693">
            <w:pPr>
              <w:pStyle w:val="ListParagraph"/>
              <w:autoSpaceDE w:val="0"/>
              <w:autoSpaceDN w:val="0"/>
              <w:adjustRightInd w:val="0"/>
              <w:spacing w:after="0" w:line="240" w:lineRule="auto"/>
              <w:ind w:left="343"/>
              <w:jc w:val="both"/>
              <w:rPr>
                <w:rFonts w:eastAsia="Times New Roman"/>
                <w:lang w:eastAsia="en-AU"/>
              </w:rPr>
            </w:pPr>
            <w:r>
              <w:rPr>
                <w:rFonts w:eastAsia="Times New Roman"/>
                <w:lang w:eastAsia="en-AU"/>
              </w:rPr>
              <w:t>During 1</w:t>
            </w:r>
            <w:r w:rsidRPr="006B6693">
              <w:rPr>
                <w:rFonts w:eastAsia="Times New Roman"/>
                <w:vertAlign w:val="superscript"/>
                <w:lang w:eastAsia="en-AU"/>
              </w:rPr>
              <w:t>st</w:t>
            </w:r>
            <w:r>
              <w:rPr>
                <w:rFonts w:eastAsia="Times New Roman"/>
                <w:lang w:eastAsia="en-AU"/>
              </w:rPr>
              <w:t xml:space="preserve"> Mission to PNG:</w:t>
            </w:r>
          </w:p>
          <w:p w14:paraId="64B86590" w14:textId="372C104B" w:rsidR="00935004" w:rsidRPr="00935004" w:rsidRDefault="00F614AD" w:rsidP="00F614AD">
            <w:pPr>
              <w:pStyle w:val="ListParagraph"/>
              <w:numPr>
                <w:ilvl w:val="0"/>
                <w:numId w:val="32"/>
              </w:numPr>
              <w:autoSpaceDE w:val="0"/>
              <w:autoSpaceDN w:val="0"/>
              <w:adjustRightInd w:val="0"/>
              <w:spacing w:after="0" w:line="240" w:lineRule="auto"/>
              <w:ind w:left="343" w:hanging="270"/>
              <w:jc w:val="both"/>
              <w:rPr>
                <w:rFonts w:eastAsia="Times New Roman"/>
                <w:lang w:eastAsia="en-AU"/>
              </w:rPr>
            </w:pPr>
            <w:r>
              <w:rPr>
                <w:rFonts w:eastAsia="SimSun" w:cstheme="minorHAnsi"/>
              </w:rPr>
              <w:t xml:space="preserve">Stakeholder </w:t>
            </w:r>
            <w:r w:rsidRPr="00F614AD">
              <w:rPr>
                <w:rFonts w:eastAsia="SimSun" w:cstheme="minorHAnsi"/>
                <w:lang w:val="en-GB"/>
              </w:rPr>
              <w:t>consultations</w:t>
            </w:r>
            <w:r>
              <w:rPr>
                <w:rFonts w:eastAsia="SimSun" w:cstheme="minorHAnsi"/>
                <w:lang w:val="en-GB"/>
              </w:rPr>
              <w:t>, including</w:t>
            </w:r>
            <w:r w:rsidRPr="00F614AD">
              <w:rPr>
                <w:rFonts w:eastAsia="SimSun" w:cstheme="minorHAnsi"/>
                <w:lang w:val="en-GB"/>
              </w:rPr>
              <w:t xml:space="preserve"> with the customary landowners and the indigenous communities </w:t>
            </w:r>
            <w:r>
              <w:rPr>
                <w:rFonts w:eastAsia="SimSun" w:cstheme="minorHAnsi"/>
                <w:lang w:val="en-GB"/>
              </w:rPr>
              <w:t>fully compliant</w:t>
            </w:r>
            <w:r w:rsidRPr="00F614AD">
              <w:rPr>
                <w:rFonts w:eastAsia="SimSun" w:cstheme="minorHAnsi"/>
                <w:lang w:val="en-GB"/>
              </w:rPr>
              <w:t xml:space="preserve"> with the principles of free, prior and informed consent to fully take on-board their concerns and customar</w:t>
            </w:r>
            <w:r>
              <w:rPr>
                <w:rFonts w:eastAsia="SimSun" w:cstheme="minorHAnsi"/>
                <w:lang w:val="en-GB"/>
              </w:rPr>
              <w:t>y rights in the project design;</w:t>
            </w:r>
          </w:p>
        </w:tc>
        <w:tc>
          <w:tcPr>
            <w:tcW w:w="1260" w:type="dxa"/>
            <w:vAlign w:val="center"/>
          </w:tcPr>
          <w:p w14:paraId="111D1F01" w14:textId="168DC93C" w:rsidR="00935004" w:rsidRPr="00AE3271" w:rsidRDefault="00F614AD" w:rsidP="00157475">
            <w:pPr>
              <w:widowControl w:val="0"/>
              <w:spacing w:after="120"/>
              <w:jc w:val="center"/>
              <w:rPr>
                <w:rFonts w:cstheme="minorHAnsi"/>
                <w:lang w:val="en-GB"/>
              </w:rPr>
            </w:pPr>
            <w:r>
              <w:rPr>
                <w:rFonts w:cstheme="minorHAnsi"/>
                <w:lang w:val="en-GB"/>
              </w:rPr>
              <w:t>15</w:t>
            </w:r>
            <w:r w:rsidR="00AE3271" w:rsidRPr="00AE3271">
              <w:rPr>
                <w:rFonts w:cstheme="minorHAnsi"/>
                <w:lang w:val="en-GB"/>
              </w:rPr>
              <w:t xml:space="preserve"> days</w:t>
            </w:r>
          </w:p>
        </w:tc>
        <w:tc>
          <w:tcPr>
            <w:tcW w:w="1717" w:type="dxa"/>
            <w:vAlign w:val="center"/>
          </w:tcPr>
          <w:p w14:paraId="253B2D1A" w14:textId="07761974" w:rsidR="00935004" w:rsidRPr="00AE3271" w:rsidRDefault="00757E5F" w:rsidP="00157475">
            <w:pPr>
              <w:widowControl w:val="0"/>
              <w:spacing w:after="120"/>
              <w:jc w:val="center"/>
              <w:rPr>
                <w:rFonts w:cstheme="minorHAnsi"/>
                <w:lang w:val="en-GB"/>
              </w:rPr>
            </w:pPr>
            <w:r>
              <w:rPr>
                <w:rFonts w:cstheme="minorHAnsi"/>
                <w:lang w:val="en-GB"/>
              </w:rPr>
              <w:t>March</w:t>
            </w:r>
            <w:r w:rsidR="00AE3271" w:rsidRPr="00AE3271">
              <w:rPr>
                <w:rFonts w:cstheme="minorHAnsi"/>
                <w:lang w:val="en-GB"/>
              </w:rPr>
              <w:t xml:space="preserve"> 2017</w:t>
            </w:r>
          </w:p>
        </w:tc>
        <w:tc>
          <w:tcPr>
            <w:tcW w:w="1559" w:type="dxa"/>
            <w:vAlign w:val="center"/>
          </w:tcPr>
          <w:p w14:paraId="6A3DF9B6" w14:textId="757C6502" w:rsidR="00935004" w:rsidRPr="00AE3271" w:rsidRDefault="00AE3271" w:rsidP="00157475">
            <w:pPr>
              <w:widowControl w:val="0"/>
              <w:spacing w:after="120"/>
              <w:jc w:val="center"/>
              <w:rPr>
                <w:rFonts w:cstheme="minorHAnsi"/>
                <w:lang w:val="en-GB"/>
              </w:rPr>
            </w:pPr>
            <w:r w:rsidRPr="00AE3271">
              <w:rPr>
                <w:rFonts w:cstheme="minorHAnsi"/>
                <w:lang w:val="en-GB"/>
              </w:rPr>
              <w:t>Technical Specialist</w:t>
            </w:r>
          </w:p>
        </w:tc>
      </w:tr>
      <w:tr w:rsidR="00AE3271" w14:paraId="52ECC6E1" w14:textId="77777777" w:rsidTr="00AE3271">
        <w:tc>
          <w:tcPr>
            <w:tcW w:w="6030" w:type="dxa"/>
            <w:vAlign w:val="center"/>
          </w:tcPr>
          <w:p w14:paraId="6F23D733" w14:textId="08E81475" w:rsidR="006B6693" w:rsidRPr="00F614AD" w:rsidRDefault="00F614AD" w:rsidP="00F614AD">
            <w:pPr>
              <w:pStyle w:val="ListParagraph"/>
              <w:numPr>
                <w:ilvl w:val="0"/>
                <w:numId w:val="32"/>
              </w:numPr>
              <w:spacing w:after="0" w:line="240" w:lineRule="auto"/>
              <w:ind w:left="343"/>
              <w:jc w:val="both"/>
              <w:rPr>
                <w:rFonts w:eastAsia="Times New Roman"/>
                <w:lang w:eastAsia="en-AU"/>
              </w:rPr>
            </w:pPr>
            <w:r>
              <w:rPr>
                <w:rFonts w:eastAsia="Times New Roman"/>
                <w:lang w:eastAsia="en-AU"/>
              </w:rPr>
              <w:t xml:space="preserve">Detailed </w:t>
            </w:r>
            <w:r w:rsidRPr="00F614AD">
              <w:rPr>
                <w:rFonts w:cstheme="minorHAnsi"/>
                <w:lang w:val="en-ZA"/>
              </w:rPr>
              <w:t>Situational Analysis (baseline situation) of the project proposal</w:t>
            </w:r>
            <w:r>
              <w:rPr>
                <w:rFonts w:cstheme="minorHAnsi"/>
                <w:lang w:val="en-ZA"/>
              </w:rPr>
              <w:t xml:space="preserve"> drafted.</w:t>
            </w:r>
          </w:p>
        </w:tc>
        <w:tc>
          <w:tcPr>
            <w:tcW w:w="1260" w:type="dxa"/>
            <w:vAlign w:val="center"/>
          </w:tcPr>
          <w:p w14:paraId="4D03B59D" w14:textId="422D9F6E" w:rsidR="00AE3271" w:rsidRPr="00AE3271" w:rsidRDefault="006B6693" w:rsidP="00AE3271">
            <w:pPr>
              <w:widowControl w:val="0"/>
              <w:spacing w:after="120"/>
              <w:jc w:val="center"/>
              <w:rPr>
                <w:rFonts w:cstheme="minorHAnsi"/>
                <w:lang w:val="en-GB"/>
              </w:rPr>
            </w:pPr>
            <w:r>
              <w:rPr>
                <w:rFonts w:cstheme="minorHAnsi"/>
                <w:lang w:val="en-GB"/>
              </w:rPr>
              <w:t>20</w:t>
            </w:r>
            <w:r w:rsidR="00AE3271" w:rsidRPr="00AE3271">
              <w:rPr>
                <w:rFonts w:cstheme="minorHAnsi"/>
                <w:lang w:val="en-GB"/>
              </w:rPr>
              <w:t xml:space="preserve"> days</w:t>
            </w:r>
          </w:p>
        </w:tc>
        <w:tc>
          <w:tcPr>
            <w:tcW w:w="1717" w:type="dxa"/>
            <w:vAlign w:val="center"/>
          </w:tcPr>
          <w:p w14:paraId="225B2C11" w14:textId="21FFF3D1" w:rsidR="00AE3271" w:rsidRPr="00AE3271" w:rsidRDefault="006B6693" w:rsidP="006B6693">
            <w:pPr>
              <w:widowControl w:val="0"/>
              <w:spacing w:after="120"/>
              <w:jc w:val="center"/>
              <w:rPr>
                <w:rFonts w:cstheme="minorHAnsi"/>
                <w:lang w:val="en-GB"/>
              </w:rPr>
            </w:pPr>
            <w:r>
              <w:rPr>
                <w:rFonts w:cstheme="minorHAnsi"/>
                <w:lang w:val="en-GB"/>
              </w:rPr>
              <w:t>April 2017</w:t>
            </w:r>
          </w:p>
        </w:tc>
        <w:tc>
          <w:tcPr>
            <w:tcW w:w="1559" w:type="dxa"/>
            <w:vAlign w:val="center"/>
          </w:tcPr>
          <w:p w14:paraId="1EB64E76" w14:textId="62DEC380" w:rsidR="00AE3271" w:rsidRPr="00AE3271" w:rsidRDefault="00AE3271" w:rsidP="00AE3271">
            <w:pPr>
              <w:widowControl w:val="0"/>
              <w:spacing w:after="120"/>
              <w:jc w:val="center"/>
              <w:rPr>
                <w:rFonts w:cstheme="minorHAnsi"/>
                <w:lang w:val="en-GB"/>
              </w:rPr>
            </w:pPr>
            <w:r w:rsidRPr="00AE3271">
              <w:rPr>
                <w:rFonts w:cstheme="minorHAnsi"/>
                <w:lang w:val="en-GB"/>
              </w:rPr>
              <w:t>Technical Specialist</w:t>
            </w:r>
          </w:p>
        </w:tc>
      </w:tr>
      <w:tr w:rsidR="00AE3271" w14:paraId="507F5815" w14:textId="77777777" w:rsidTr="00AE3271">
        <w:trPr>
          <w:trHeight w:val="1664"/>
        </w:trPr>
        <w:tc>
          <w:tcPr>
            <w:tcW w:w="6030" w:type="dxa"/>
          </w:tcPr>
          <w:p w14:paraId="11EB4238" w14:textId="407F2530" w:rsidR="006B6693" w:rsidRPr="00F614AD" w:rsidRDefault="00EC587D" w:rsidP="00F614AD">
            <w:pPr>
              <w:spacing w:after="0" w:line="240" w:lineRule="auto"/>
              <w:ind w:left="343"/>
              <w:jc w:val="both"/>
              <w:rPr>
                <w:rFonts w:eastAsia="Times New Roman"/>
                <w:lang w:eastAsia="en-AU"/>
              </w:rPr>
            </w:pPr>
            <w:r>
              <w:rPr>
                <w:rFonts w:eastAsia="Times New Roman"/>
                <w:lang w:eastAsia="en-AU"/>
              </w:rPr>
              <w:t>During 2</w:t>
            </w:r>
            <w:r w:rsidRPr="00EC587D">
              <w:rPr>
                <w:rFonts w:eastAsia="Times New Roman"/>
                <w:vertAlign w:val="superscript"/>
                <w:lang w:eastAsia="en-AU"/>
              </w:rPr>
              <w:t>nd</w:t>
            </w:r>
            <w:r w:rsidR="006B6693" w:rsidRPr="00F614AD">
              <w:rPr>
                <w:rFonts w:eastAsia="Times New Roman"/>
                <w:lang w:eastAsia="en-AU"/>
              </w:rPr>
              <w:t xml:space="preserve"> Mission to PNG:</w:t>
            </w:r>
          </w:p>
          <w:p w14:paraId="5CF8809A" w14:textId="77777777" w:rsidR="00F614AD" w:rsidRPr="00F614AD" w:rsidRDefault="00F614AD" w:rsidP="00F614AD">
            <w:pPr>
              <w:pStyle w:val="ListParagraph"/>
              <w:numPr>
                <w:ilvl w:val="0"/>
                <w:numId w:val="32"/>
              </w:numPr>
              <w:spacing w:after="0" w:line="240" w:lineRule="auto"/>
              <w:ind w:left="343"/>
              <w:jc w:val="both"/>
              <w:rPr>
                <w:rFonts w:eastAsia="Times New Roman"/>
                <w:lang w:eastAsia="en-AU"/>
              </w:rPr>
            </w:pPr>
            <w:r>
              <w:rPr>
                <w:rFonts w:cstheme="minorHAnsi"/>
                <w:lang w:val="en-GB"/>
              </w:rPr>
              <w:t>The draft</w:t>
            </w:r>
            <w:r w:rsidRPr="00F614AD">
              <w:rPr>
                <w:rFonts w:cstheme="minorHAnsi"/>
                <w:lang w:val="en-ZA"/>
              </w:rPr>
              <w:t xml:space="preserve"> project documentation for submission to the GEF Secretariat. The full project documentation for submission will be comprised of: (i) UNDP Project Document (UNDP PRODOC) and its associated annexures; and (ii) GEF CEO Endorsement Request (GEF CEO) and its associated annexures. </w:t>
            </w:r>
          </w:p>
          <w:p w14:paraId="3A2724AA" w14:textId="77777777" w:rsidR="00AE3271" w:rsidRPr="003D5EBD" w:rsidRDefault="00F614AD" w:rsidP="003D5EBD">
            <w:pPr>
              <w:pStyle w:val="ListParagraph"/>
              <w:numPr>
                <w:ilvl w:val="0"/>
                <w:numId w:val="32"/>
              </w:numPr>
              <w:spacing w:after="0" w:line="240" w:lineRule="auto"/>
              <w:ind w:left="343"/>
              <w:jc w:val="both"/>
              <w:rPr>
                <w:rFonts w:eastAsia="Times New Roman"/>
                <w:lang w:eastAsia="en-AU"/>
              </w:rPr>
            </w:pPr>
            <w:r>
              <w:rPr>
                <w:rFonts w:cstheme="minorHAnsi"/>
              </w:rPr>
              <w:t>Co-financing letters solicited, with support from UNDP CO, from all relevant stakeholders.</w:t>
            </w:r>
          </w:p>
          <w:p w14:paraId="32D01834" w14:textId="5AB1BE44" w:rsidR="003D5EBD" w:rsidRPr="003D5EBD" w:rsidRDefault="003D5EBD" w:rsidP="003D5EBD">
            <w:pPr>
              <w:pStyle w:val="ListParagraph"/>
              <w:numPr>
                <w:ilvl w:val="0"/>
                <w:numId w:val="32"/>
              </w:numPr>
              <w:spacing w:after="0" w:line="240" w:lineRule="auto"/>
              <w:ind w:left="343"/>
              <w:jc w:val="both"/>
              <w:rPr>
                <w:rFonts w:eastAsia="Times New Roman"/>
                <w:lang w:eastAsia="en-AU"/>
              </w:rPr>
            </w:pPr>
            <w:r>
              <w:rPr>
                <w:rFonts w:cstheme="minorHAnsi"/>
              </w:rPr>
              <w:t>Project validation workshop with all relevant stakeholders conducted and workshop minutes prepared.</w:t>
            </w:r>
          </w:p>
        </w:tc>
        <w:tc>
          <w:tcPr>
            <w:tcW w:w="1260" w:type="dxa"/>
            <w:vAlign w:val="center"/>
          </w:tcPr>
          <w:p w14:paraId="6E1EA601" w14:textId="0626AFF5" w:rsidR="00AE3271" w:rsidRPr="00AE3271" w:rsidRDefault="006B6693" w:rsidP="003D5EBD">
            <w:pPr>
              <w:widowControl w:val="0"/>
              <w:spacing w:after="120"/>
              <w:jc w:val="center"/>
              <w:rPr>
                <w:rFonts w:cstheme="minorHAnsi"/>
                <w:lang w:val="en-GB"/>
              </w:rPr>
            </w:pPr>
            <w:r>
              <w:rPr>
                <w:rFonts w:cstheme="minorHAnsi"/>
                <w:lang w:val="en-GB"/>
              </w:rPr>
              <w:t>2</w:t>
            </w:r>
            <w:r w:rsidR="003D5EBD">
              <w:rPr>
                <w:rFonts w:cstheme="minorHAnsi"/>
                <w:lang w:val="en-GB"/>
              </w:rPr>
              <w:t>4</w:t>
            </w:r>
            <w:r w:rsidR="00AE3271" w:rsidRPr="00AE3271">
              <w:rPr>
                <w:rFonts w:cstheme="minorHAnsi"/>
                <w:lang w:val="en-GB"/>
              </w:rPr>
              <w:t xml:space="preserve"> days</w:t>
            </w:r>
          </w:p>
        </w:tc>
        <w:tc>
          <w:tcPr>
            <w:tcW w:w="1717" w:type="dxa"/>
            <w:vAlign w:val="center"/>
          </w:tcPr>
          <w:p w14:paraId="28D363C9" w14:textId="5FB74B2C" w:rsidR="00AE3271" w:rsidRPr="00AE3271" w:rsidRDefault="003D5EBD" w:rsidP="003D5EBD">
            <w:pPr>
              <w:widowControl w:val="0"/>
              <w:spacing w:after="120"/>
              <w:jc w:val="center"/>
              <w:rPr>
                <w:rFonts w:cstheme="minorHAnsi"/>
                <w:lang w:val="en-GB"/>
              </w:rPr>
            </w:pPr>
            <w:r>
              <w:rPr>
                <w:rFonts w:cstheme="minorHAnsi"/>
                <w:lang w:val="en-GB"/>
              </w:rPr>
              <w:t>June</w:t>
            </w:r>
            <w:r w:rsidR="00AE3271" w:rsidRPr="00AE3271">
              <w:rPr>
                <w:rFonts w:cstheme="minorHAnsi"/>
                <w:lang w:val="en-GB"/>
              </w:rPr>
              <w:t xml:space="preserve"> 2017</w:t>
            </w:r>
          </w:p>
        </w:tc>
        <w:tc>
          <w:tcPr>
            <w:tcW w:w="1559" w:type="dxa"/>
            <w:vAlign w:val="center"/>
          </w:tcPr>
          <w:p w14:paraId="50A7CD64" w14:textId="77777777" w:rsidR="00AE3271" w:rsidRPr="00AE3271" w:rsidRDefault="00AE3271" w:rsidP="00AE3271">
            <w:pPr>
              <w:widowControl w:val="0"/>
              <w:spacing w:after="120"/>
              <w:jc w:val="center"/>
              <w:rPr>
                <w:rFonts w:cstheme="minorHAnsi"/>
                <w:lang w:val="en-GB"/>
              </w:rPr>
            </w:pPr>
            <w:r w:rsidRPr="00AE3271">
              <w:rPr>
                <w:rFonts w:cstheme="minorHAnsi"/>
                <w:lang w:val="en-GB"/>
              </w:rPr>
              <w:t>Technical Specialist</w:t>
            </w:r>
          </w:p>
        </w:tc>
      </w:tr>
      <w:tr w:rsidR="006B6693" w14:paraId="3E849CB1" w14:textId="77777777" w:rsidTr="00AE3271">
        <w:trPr>
          <w:trHeight w:val="1664"/>
        </w:trPr>
        <w:tc>
          <w:tcPr>
            <w:tcW w:w="6030" w:type="dxa"/>
          </w:tcPr>
          <w:p w14:paraId="67D9980F" w14:textId="08B4FE26" w:rsidR="003D5EBD" w:rsidRDefault="003D5EBD" w:rsidP="003D5EBD">
            <w:pPr>
              <w:pStyle w:val="ListParagraph"/>
              <w:numPr>
                <w:ilvl w:val="0"/>
                <w:numId w:val="32"/>
              </w:numPr>
              <w:spacing w:after="0" w:line="240" w:lineRule="auto"/>
              <w:ind w:left="343"/>
              <w:jc w:val="both"/>
              <w:rPr>
                <w:rFonts w:eastAsia="Times New Roman"/>
                <w:lang w:eastAsia="en-AU"/>
              </w:rPr>
            </w:pPr>
            <w:r>
              <w:rPr>
                <w:rFonts w:eastAsia="Times New Roman"/>
                <w:lang w:eastAsia="en-AU"/>
              </w:rPr>
              <w:t xml:space="preserve">Final </w:t>
            </w:r>
            <w:r w:rsidR="006B6693" w:rsidRPr="006B6693">
              <w:rPr>
                <w:rFonts w:eastAsia="Times New Roman"/>
                <w:lang w:eastAsia="en-AU"/>
              </w:rPr>
              <w:t xml:space="preserve">project documentation </w:t>
            </w:r>
            <w:r>
              <w:rPr>
                <w:rFonts w:eastAsia="Times New Roman"/>
                <w:lang w:eastAsia="en-AU"/>
              </w:rPr>
              <w:t>submitted</w:t>
            </w:r>
            <w:r w:rsidR="006B6693" w:rsidRPr="006B6693">
              <w:rPr>
                <w:rFonts w:eastAsia="Times New Roman"/>
                <w:lang w:eastAsia="en-AU"/>
              </w:rPr>
              <w:t xml:space="preserve"> to</w:t>
            </w:r>
            <w:r>
              <w:rPr>
                <w:rFonts w:eastAsia="Times New Roman"/>
                <w:lang w:eastAsia="en-AU"/>
              </w:rPr>
              <w:t>, and cleared by,</w:t>
            </w:r>
            <w:r w:rsidR="006B6693" w:rsidRPr="006B6693">
              <w:rPr>
                <w:rFonts w:eastAsia="Times New Roman"/>
                <w:lang w:eastAsia="en-AU"/>
              </w:rPr>
              <w:t xml:space="preserve"> the GEF Secretariat</w:t>
            </w:r>
            <w:r w:rsidR="008A4B66">
              <w:rPr>
                <w:rFonts w:eastAsia="Times New Roman"/>
                <w:lang w:eastAsia="en-AU"/>
              </w:rPr>
              <w:t>,</w:t>
            </w:r>
            <w:r>
              <w:rPr>
                <w:rFonts w:eastAsia="Times New Roman"/>
                <w:lang w:eastAsia="en-AU"/>
              </w:rPr>
              <w:t xml:space="preserve"> i.e.</w:t>
            </w:r>
            <w:r w:rsidR="006B6693" w:rsidRPr="006B6693">
              <w:rPr>
                <w:rFonts w:eastAsia="Times New Roman"/>
                <w:lang w:eastAsia="en-AU"/>
              </w:rPr>
              <w:t>: (i) UNDP Project Document (UNDP PRODOC) and its associated annexures; and (ii) GEF CEO Endorsement Request (GEF CEO) and its associated annexures.</w:t>
            </w:r>
            <w:r w:rsidR="008A4B66">
              <w:rPr>
                <w:rFonts w:eastAsia="Times New Roman"/>
                <w:lang w:eastAsia="en-AU"/>
              </w:rPr>
              <w:t xml:space="preserve"> </w:t>
            </w:r>
          </w:p>
          <w:p w14:paraId="76FEE35C" w14:textId="77777777" w:rsidR="003D5EBD" w:rsidRDefault="008A4B66" w:rsidP="003D5EBD">
            <w:pPr>
              <w:pStyle w:val="ListParagraph"/>
              <w:numPr>
                <w:ilvl w:val="0"/>
                <w:numId w:val="32"/>
              </w:numPr>
              <w:spacing w:after="0" w:line="240" w:lineRule="auto"/>
              <w:ind w:left="343"/>
              <w:jc w:val="both"/>
              <w:rPr>
                <w:rFonts w:eastAsia="Times New Roman"/>
                <w:lang w:eastAsia="en-AU"/>
              </w:rPr>
            </w:pPr>
            <w:r w:rsidRPr="003D5EBD">
              <w:rPr>
                <w:rFonts w:eastAsia="Times New Roman"/>
                <w:lang w:eastAsia="en-AU"/>
              </w:rPr>
              <w:t xml:space="preserve">The </w:t>
            </w:r>
            <w:r w:rsidR="003D5EBD">
              <w:rPr>
                <w:rFonts w:eastAsia="Times New Roman"/>
                <w:lang w:eastAsia="en-AU"/>
              </w:rPr>
              <w:t xml:space="preserve">Project Preparation Team Leader </w:t>
            </w:r>
            <w:r w:rsidRPr="003D5EBD">
              <w:rPr>
                <w:rFonts w:eastAsia="Times New Roman"/>
                <w:lang w:eastAsia="en-AU"/>
              </w:rPr>
              <w:t>will be res</w:t>
            </w:r>
            <w:r w:rsidR="003D5EBD">
              <w:rPr>
                <w:rFonts w:eastAsia="Times New Roman"/>
                <w:lang w:eastAsia="en-AU"/>
              </w:rPr>
              <w:t>ponsible to coordinate responses (or respond independently)</w:t>
            </w:r>
            <w:r w:rsidRPr="003D5EBD">
              <w:rPr>
                <w:rFonts w:eastAsia="Times New Roman"/>
                <w:lang w:eastAsia="en-AU"/>
              </w:rPr>
              <w:t xml:space="preserve"> to </w:t>
            </w:r>
            <w:r w:rsidR="003D5EBD">
              <w:rPr>
                <w:rFonts w:eastAsia="Times New Roman"/>
                <w:lang w:eastAsia="en-AU"/>
              </w:rPr>
              <w:t>all</w:t>
            </w:r>
            <w:r w:rsidRPr="003D5EBD">
              <w:rPr>
                <w:rFonts w:eastAsia="Times New Roman"/>
                <w:lang w:eastAsia="en-AU"/>
              </w:rPr>
              <w:t xml:space="preserve"> comments </w:t>
            </w:r>
            <w:r w:rsidR="003D5EBD">
              <w:rPr>
                <w:rFonts w:eastAsia="Times New Roman"/>
                <w:lang w:eastAsia="en-AU"/>
              </w:rPr>
              <w:t>on the project documentation</w:t>
            </w:r>
            <w:r w:rsidRPr="003D5EBD">
              <w:rPr>
                <w:rFonts w:eastAsia="Times New Roman"/>
                <w:lang w:eastAsia="en-AU"/>
              </w:rPr>
              <w:t>, from UNDP/GEF Regional Technical Advisor,</w:t>
            </w:r>
            <w:r w:rsidR="003D5EBD">
              <w:rPr>
                <w:rFonts w:eastAsia="Times New Roman"/>
                <w:lang w:eastAsia="en-AU"/>
              </w:rPr>
              <w:t xml:space="preserve"> and</w:t>
            </w:r>
            <w:r w:rsidRPr="003D5EBD">
              <w:rPr>
                <w:rFonts w:eastAsia="Times New Roman"/>
                <w:lang w:eastAsia="en-AU"/>
              </w:rPr>
              <w:t xml:space="preserve"> GEF Secretariat.</w:t>
            </w:r>
            <w:r w:rsidR="006B6693" w:rsidRPr="003D5EBD">
              <w:rPr>
                <w:rFonts w:eastAsia="Times New Roman"/>
                <w:lang w:eastAsia="en-AU"/>
              </w:rPr>
              <w:t xml:space="preserve"> </w:t>
            </w:r>
          </w:p>
          <w:p w14:paraId="755E6D6D" w14:textId="20019005" w:rsidR="006B6693" w:rsidRPr="003D5EBD" w:rsidRDefault="006B6693" w:rsidP="003D5EBD">
            <w:pPr>
              <w:pStyle w:val="ListParagraph"/>
              <w:numPr>
                <w:ilvl w:val="0"/>
                <w:numId w:val="32"/>
              </w:numPr>
              <w:spacing w:after="0" w:line="240" w:lineRule="auto"/>
              <w:ind w:left="343"/>
              <w:jc w:val="both"/>
              <w:rPr>
                <w:rFonts w:eastAsia="Times New Roman"/>
                <w:lang w:eastAsia="en-AU"/>
              </w:rPr>
            </w:pPr>
            <w:r w:rsidRPr="003D5EBD">
              <w:rPr>
                <w:rFonts w:eastAsia="Times New Roman"/>
                <w:lang w:eastAsia="en-AU"/>
              </w:rPr>
              <w:t xml:space="preserve">The </w:t>
            </w:r>
            <w:r w:rsidR="008A4B66" w:rsidRPr="003D5EBD">
              <w:rPr>
                <w:rFonts w:eastAsia="Times New Roman"/>
                <w:lang w:eastAsia="en-AU"/>
              </w:rPr>
              <w:t xml:space="preserve">payment for this deliverable will be released only upon final clearance of UNDP PRODOC and GEF CEO Endorsement Request and its associated annexures, by GEF </w:t>
            </w:r>
            <w:r w:rsidR="00F27D4B" w:rsidRPr="003D5EBD">
              <w:rPr>
                <w:rFonts w:eastAsia="Times New Roman"/>
                <w:lang w:eastAsia="en-AU"/>
              </w:rPr>
              <w:t>Secretariat</w:t>
            </w:r>
            <w:r w:rsidR="008A4B66" w:rsidRPr="003D5EBD">
              <w:rPr>
                <w:rFonts w:eastAsia="Times New Roman"/>
                <w:lang w:eastAsia="en-AU"/>
              </w:rPr>
              <w:t>.</w:t>
            </w:r>
          </w:p>
        </w:tc>
        <w:tc>
          <w:tcPr>
            <w:tcW w:w="1260" w:type="dxa"/>
            <w:vAlign w:val="center"/>
          </w:tcPr>
          <w:p w14:paraId="4298D912" w14:textId="23B4BAB2" w:rsidR="006B6693" w:rsidRDefault="006B6693" w:rsidP="006B6693">
            <w:pPr>
              <w:widowControl w:val="0"/>
              <w:spacing w:after="120"/>
              <w:jc w:val="center"/>
              <w:rPr>
                <w:rFonts w:cstheme="minorHAnsi"/>
                <w:lang w:val="en-GB"/>
              </w:rPr>
            </w:pPr>
            <w:r>
              <w:rPr>
                <w:rFonts w:cstheme="minorHAnsi"/>
                <w:lang w:val="en-GB"/>
              </w:rPr>
              <w:t>14</w:t>
            </w:r>
            <w:r w:rsidRPr="00AE3271">
              <w:rPr>
                <w:rFonts w:cstheme="minorHAnsi"/>
                <w:lang w:val="en-GB"/>
              </w:rPr>
              <w:t xml:space="preserve"> days</w:t>
            </w:r>
          </w:p>
        </w:tc>
        <w:tc>
          <w:tcPr>
            <w:tcW w:w="1717" w:type="dxa"/>
            <w:vAlign w:val="center"/>
          </w:tcPr>
          <w:p w14:paraId="7CCC65B8" w14:textId="46774C47" w:rsidR="006B6693" w:rsidRDefault="003D5EBD" w:rsidP="003D5EBD">
            <w:pPr>
              <w:widowControl w:val="0"/>
              <w:spacing w:after="120"/>
              <w:jc w:val="center"/>
              <w:rPr>
                <w:rFonts w:cstheme="minorHAnsi"/>
                <w:lang w:val="en-GB"/>
              </w:rPr>
            </w:pPr>
            <w:r>
              <w:rPr>
                <w:rFonts w:cstheme="minorHAnsi"/>
                <w:lang w:val="en-GB"/>
              </w:rPr>
              <w:t>July</w:t>
            </w:r>
            <w:r w:rsidR="006B6693" w:rsidRPr="00AE3271">
              <w:rPr>
                <w:rFonts w:cstheme="minorHAnsi"/>
                <w:lang w:val="en-GB"/>
              </w:rPr>
              <w:t xml:space="preserve"> 2017</w:t>
            </w:r>
          </w:p>
        </w:tc>
        <w:tc>
          <w:tcPr>
            <w:tcW w:w="1559" w:type="dxa"/>
            <w:vAlign w:val="center"/>
          </w:tcPr>
          <w:p w14:paraId="48675069" w14:textId="541DBF85" w:rsidR="006B6693" w:rsidRPr="00AE3271" w:rsidRDefault="006B6693" w:rsidP="006B6693">
            <w:pPr>
              <w:widowControl w:val="0"/>
              <w:spacing w:after="120"/>
              <w:jc w:val="center"/>
              <w:rPr>
                <w:rFonts w:cstheme="minorHAnsi"/>
                <w:lang w:val="en-GB"/>
              </w:rPr>
            </w:pPr>
            <w:r w:rsidRPr="00AE3271">
              <w:rPr>
                <w:rFonts w:cstheme="minorHAnsi"/>
                <w:lang w:val="en-GB"/>
              </w:rPr>
              <w:t>Technical Specialist</w:t>
            </w:r>
          </w:p>
        </w:tc>
      </w:tr>
    </w:tbl>
    <w:p w14:paraId="406306E7" w14:textId="77777777" w:rsidR="00935004" w:rsidRPr="00436AC1" w:rsidRDefault="00935004" w:rsidP="00935004">
      <w:pPr>
        <w:autoSpaceDE w:val="0"/>
        <w:autoSpaceDN w:val="0"/>
        <w:adjustRightInd w:val="0"/>
        <w:spacing w:after="0" w:line="240" w:lineRule="auto"/>
        <w:jc w:val="both"/>
        <w:rPr>
          <w:rFonts w:eastAsia="Times New Roman"/>
          <w:lang w:eastAsia="en-AU"/>
        </w:rPr>
      </w:pPr>
    </w:p>
    <w:p w14:paraId="79390609" w14:textId="57276C9C" w:rsidR="002F6732" w:rsidRDefault="002560C9" w:rsidP="00C349AA">
      <w:pPr>
        <w:autoSpaceDE w:val="0"/>
        <w:autoSpaceDN w:val="0"/>
        <w:adjustRightInd w:val="0"/>
        <w:spacing w:after="0" w:line="240" w:lineRule="auto"/>
        <w:rPr>
          <w:rFonts w:eastAsia="SymbolMT" w:cs="SymbolMT"/>
          <w:b/>
          <w:color w:val="2F5496" w:themeColor="accent5" w:themeShade="BF"/>
          <w:sz w:val="28"/>
          <w:szCs w:val="20"/>
        </w:rPr>
      </w:pPr>
      <w:r>
        <w:rPr>
          <w:rFonts w:eastAsia="SymbolMT" w:cs="SymbolMT"/>
          <w:b/>
          <w:color w:val="2F5496" w:themeColor="accent5" w:themeShade="BF"/>
          <w:sz w:val="28"/>
          <w:szCs w:val="20"/>
        </w:rPr>
        <w:t xml:space="preserve">Education and experience </w:t>
      </w:r>
    </w:p>
    <w:p w14:paraId="1E7E8F64" w14:textId="77777777" w:rsidR="00A15538" w:rsidRDefault="00A15538" w:rsidP="00C349AA">
      <w:pPr>
        <w:autoSpaceDE w:val="0"/>
        <w:autoSpaceDN w:val="0"/>
        <w:adjustRightInd w:val="0"/>
        <w:spacing w:after="0" w:line="240" w:lineRule="auto"/>
        <w:rPr>
          <w:rFonts w:eastAsia="SymbolMT" w:cs="SymbolMT"/>
          <w:b/>
          <w:color w:val="2F5496" w:themeColor="accent5" w:themeShade="BF"/>
          <w:sz w:val="28"/>
          <w:szCs w:val="20"/>
        </w:rPr>
      </w:pPr>
    </w:p>
    <w:p w14:paraId="1BA98B72" w14:textId="7D4894B0" w:rsidR="002560C9" w:rsidRDefault="002560C9" w:rsidP="002560C9">
      <w:pPr>
        <w:pStyle w:val="NoSpacing"/>
        <w:numPr>
          <w:ilvl w:val="0"/>
          <w:numId w:val="4"/>
        </w:numPr>
        <w:rPr>
          <w:rFonts w:asciiTheme="minorHAnsi" w:hAnsiTheme="minorHAnsi"/>
          <w:sz w:val="22"/>
          <w:szCs w:val="22"/>
          <w:lang w:val="en-GB"/>
        </w:rPr>
      </w:pPr>
      <w:r w:rsidRPr="00E576A4">
        <w:rPr>
          <w:rFonts w:asciiTheme="minorHAnsi" w:hAnsiTheme="minorHAnsi"/>
          <w:sz w:val="22"/>
          <w:szCs w:val="22"/>
          <w:lang w:val="en-GB"/>
        </w:rPr>
        <w:t xml:space="preserve">Master’s Degree in </w:t>
      </w:r>
      <w:r w:rsidR="00A15538">
        <w:rPr>
          <w:rFonts w:asciiTheme="minorHAnsi" w:hAnsiTheme="minorHAnsi"/>
          <w:sz w:val="22"/>
          <w:szCs w:val="22"/>
          <w:lang w:val="en-GB"/>
        </w:rPr>
        <w:t>environmental economics</w:t>
      </w:r>
      <w:r w:rsidRPr="00E576A4">
        <w:rPr>
          <w:rFonts w:asciiTheme="minorHAnsi" w:hAnsiTheme="minorHAnsi"/>
          <w:sz w:val="22"/>
          <w:szCs w:val="22"/>
          <w:lang w:val="en-GB"/>
        </w:rPr>
        <w:t xml:space="preserve">, </w:t>
      </w:r>
      <w:r w:rsidR="00A15538">
        <w:rPr>
          <w:rFonts w:asciiTheme="minorHAnsi" w:hAnsiTheme="minorHAnsi"/>
          <w:sz w:val="22"/>
          <w:szCs w:val="22"/>
          <w:lang w:val="en-GB"/>
        </w:rPr>
        <w:t xml:space="preserve">natural resource management, </w:t>
      </w:r>
      <w:r w:rsidR="00F93CB3">
        <w:rPr>
          <w:rFonts w:asciiTheme="minorHAnsi" w:hAnsiTheme="minorHAnsi"/>
          <w:sz w:val="22"/>
          <w:szCs w:val="22"/>
          <w:lang w:val="en-GB"/>
        </w:rPr>
        <w:t xml:space="preserve">or </w:t>
      </w:r>
      <w:r w:rsidRPr="00E576A4">
        <w:rPr>
          <w:rFonts w:asciiTheme="minorHAnsi" w:hAnsiTheme="minorHAnsi"/>
          <w:sz w:val="22"/>
          <w:szCs w:val="22"/>
          <w:lang w:val="en-GB"/>
        </w:rPr>
        <w:t>related social science</w:t>
      </w:r>
      <w:r w:rsidR="00F93CB3">
        <w:rPr>
          <w:rFonts w:asciiTheme="minorHAnsi" w:hAnsiTheme="minorHAnsi"/>
          <w:sz w:val="22"/>
          <w:szCs w:val="22"/>
          <w:lang w:val="en-GB"/>
        </w:rPr>
        <w:t>s</w:t>
      </w:r>
      <w:r>
        <w:rPr>
          <w:rFonts w:asciiTheme="minorHAnsi" w:hAnsiTheme="minorHAnsi"/>
          <w:sz w:val="22"/>
          <w:szCs w:val="22"/>
          <w:lang w:val="en-GB"/>
        </w:rPr>
        <w:t>;</w:t>
      </w:r>
    </w:p>
    <w:p w14:paraId="1304B66F" w14:textId="77777777" w:rsidR="00A15538" w:rsidRDefault="00A15538" w:rsidP="00A15538">
      <w:pPr>
        <w:pStyle w:val="NoSpacing"/>
        <w:ind w:left="720"/>
        <w:rPr>
          <w:rFonts w:asciiTheme="minorHAnsi" w:hAnsiTheme="minorHAnsi"/>
          <w:sz w:val="22"/>
          <w:szCs w:val="22"/>
          <w:lang w:val="en-GB"/>
        </w:rPr>
      </w:pPr>
    </w:p>
    <w:p w14:paraId="5F35E640" w14:textId="2484F23A" w:rsidR="00A15538" w:rsidRPr="003D5EBD" w:rsidRDefault="00A15538" w:rsidP="003D5EBD">
      <w:pPr>
        <w:pStyle w:val="Footer"/>
        <w:numPr>
          <w:ilvl w:val="0"/>
          <w:numId w:val="38"/>
        </w:numPr>
        <w:tabs>
          <w:tab w:val="clear" w:pos="4680"/>
          <w:tab w:val="clear" w:pos="9360"/>
          <w:tab w:val="left" w:pos="709"/>
        </w:tabs>
        <w:ind w:left="710"/>
        <w:jc w:val="both"/>
        <w:rPr>
          <w:rFonts w:ascii="Calibri" w:hAnsi="Calibri" w:cs="Calibri"/>
          <w:color w:val="000000"/>
          <w:sz w:val="20"/>
          <w:szCs w:val="20"/>
          <w:lang w:val="en-GB"/>
        </w:rPr>
      </w:pPr>
      <w:r w:rsidRPr="00A15538">
        <w:rPr>
          <w:rFonts w:eastAsia="Times New Roman"/>
          <w:lang w:eastAsia="en-AU"/>
        </w:rPr>
        <w:t xml:space="preserve">Minimum 10 years of </w:t>
      </w:r>
      <w:r w:rsidRPr="003D5EBD">
        <w:rPr>
          <w:rFonts w:eastAsia="Times New Roman" w:cs="Times New Roman"/>
          <w:lang w:val="en-GB"/>
        </w:rPr>
        <w:t>demonstrable experience in the field of biodiversity conservation focused on conservation financing</w:t>
      </w:r>
      <w:r w:rsidR="003D5EBD" w:rsidRPr="003D5EBD">
        <w:rPr>
          <w:rFonts w:eastAsia="Times New Roman" w:cs="Times New Roman"/>
          <w:lang w:val="en-GB"/>
        </w:rPr>
        <w:t>, protected areas management, protected areas financing, and biodiversity mainstreaming in development planning;</w:t>
      </w:r>
    </w:p>
    <w:p w14:paraId="317F4EAF" w14:textId="0B4E7B4E" w:rsidR="00A15538" w:rsidRPr="00E576A4" w:rsidRDefault="00A15538" w:rsidP="00A15538">
      <w:pPr>
        <w:pStyle w:val="NoSpacing"/>
        <w:numPr>
          <w:ilvl w:val="0"/>
          <w:numId w:val="4"/>
        </w:numPr>
        <w:rPr>
          <w:rFonts w:asciiTheme="minorHAnsi" w:hAnsiTheme="minorHAnsi"/>
          <w:sz w:val="22"/>
          <w:szCs w:val="22"/>
          <w:lang w:val="en-GB"/>
        </w:rPr>
      </w:pPr>
      <w:r w:rsidRPr="00E576A4">
        <w:rPr>
          <w:rFonts w:asciiTheme="minorHAnsi" w:hAnsiTheme="minorHAnsi"/>
          <w:sz w:val="22"/>
          <w:szCs w:val="22"/>
          <w:lang w:val="en-GB"/>
        </w:rPr>
        <w:t xml:space="preserve">Previous </w:t>
      </w:r>
      <w:r w:rsidR="003D5EBD">
        <w:rPr>
          <w:rFonts w:asciiTheme="minorHAnsi" w:hAnsiTheme="minorHAnsi"/>
          <w:sz w:val="22"/>
          <w:szCs w:val="22"/>
          <w:lang w:val="en-GB"/>
        </w:rPr>
        <w:t xml:space="preserve">demonstrable </w:t>
      </w:r>
      <w:r w:rsidRPr="00E576A4">
        <w:rPr>
          <w:rFonts w:asciiTheme="minorHAnsi" w:hAnsiTheme="minorHAnsi"/>
          <w:sz w:val="22"/>
          <w:szCs w:val="22"/>
          <w:lang w:val="en-GB"/>
        </w:rPr>
        <w:t xml:space="preserve">experience of working with </w:t>
      </w:r>
      <w:r w:rsidR="00477D76">
        <w:rPr>
          <w:rFonts w:asciiTheme="minorHAnsi" w:hAnsiTheme="minorHAnsi"/>
          <w:sz w:val="22"/>
          <w:szCs w:val="22"/>
          <w:lang w:val="en-GB"/>
        </w:rPr>
        <w:t>UN/UNDP</w:t>
      </w:r>
      <w:r w:rsidRPr="00E576A4">
        <w:rPr>
          <w:rFonts w:asciiTheme="minorHAnsi" w:hAnsiTheme="minorHAnsi"/>
          <w:sz w:val="22"/>
          <w:szCs w:val="22"/>
          <w:lang w:val="en-GB"/>
        </w:rPr>
        <w:t xml:space="preserve"> a</w:t>
      </w:r>
      <w:r w:rsidR="00477D76">
        <w:rPr>
          <w:rFonts w:asciiTheme="minorHAnsi" w:hAnsiTheme="minorHAnsi"/>
          <w:sz w:val="22"/>
          <w:szCs w:val="22"/>
          <w:lang w:val="en-GB"/>
        </w:rPr>
        <w:t xml:space="preserve">nd development partners in the </w:t>
      </w:r>
      <w:r w:rsidRPr="00E576A4">
        <w:rPr>
          <w:rFonts w:asciiTheme="minorHAnsi" w:hAnsiTheme="minorHAnsi"/>
          <w:sz w:val="22"/>
          <w:szCs w:val="22"/>
          <w:lang w:val="en-GB"/>
        </w:rPr>
        <w:t xml:space="preserve">design and </w:t>
      </w:r>
      <w:r>
        <w:rPr>
          <w:rFonts w:asciiTheme="minorHAnsi" w:hAnsiTheme="minorHAnsi"/>
          <w:sz w:val="22"/>
          <w:szCs w:val="22"/>
          <w:lang w:val="en-GB"/>
        </w:rPr>
        <w:t xml:space="preserve">implementation of </w:t>
      </w:r>
      <w:r w:rsidR="003D5EBD">
        <w:rPr>
          <w:rFonts w:asciiTheme="minorHAnsi" w:hAnsiTheme="minorHAnsi"/>
          <w:sz w:val="22"/>
          <w:szCs w:val="22"/>
          <w:lang w:val="en-GB"/>
        </w:rPr>
        <w:t xml:space="preserve">recent </w:t>
      </w:r>
      <w:r w:rsidR="00477D76">
        <w:rPr>
          <w:rFonts w:asciiTheme="minorHAnsi" w:hAnsiTheme="minorHAnsi"/>
          <w:sz w:val="22"/>
          <w:szCs w:val="22"/>
          <w:lang w:val="en-GB"/>
        </w:rPr>
        <w:t xml:space="preserve">GEF-funded </w:t>
      </w:r>
      <w:r>
        <w:rPr>
          <w:rFonts w:asciiTheme="minorHAnsi" w:hAnsiTheme="minorHAnsi"/>
          <w:sz w:val="22"/>
          <w:szCs w:val="22"/>
          <w:lang w:val="en-GB"/>
        </w:rPr>
        <w:t>projects;</w:t>
      </w:r>
    </w:p>
    <w:p w14:paraId="7BFA637E" w14:textId="33AA62A7" w:rsidR="00A15538" w:rsidRPr="00E576A4" w:rsidRDefault="00A15538" w:rsidP="00A15538">
      <w:pPr>
        <w:pStyle w:val="NoSpacing"/>
        <w:numPr>
          <w:ilvl w:val="0"/>
          <w:numId w:val="4"/>
        </w:numPr>
        <w:rPr>
          <w:rFonts w:asciiTheme="minorHAnsi" w:hAnsiTheme="minorHAnsi"/>
          <w:sz w:val="22"/>
          <w:szCs w:val="22"/>
          <w:lang w:val="en-GB"/>
        </w:rPr>
      </w:pPr>
      <w:r w:rsidRPr="00E576A4">
        <w:rPr>
          <w:rFonts w:asciiTheme="minorHAnsi" w:hAnsiTheme="minorHAnsi"/>
          <w:sz w:val="22"/>
          <w:szCs w:val="22"/>
          <w:lang w:val="en-GB"/>
        </w:rPr>
        <w:t xml:space="preserve">Ability to </w:t>
      </w:r>
      <w:r w:rsidR="003D5EBD">
        <w:rPr>
          <w:rFonts w:asciiTheme="minorHAnsi" w:hAnsiTheme="minorHAnsi"/>
          <w:sz w:val="22"/>
          <w:szCs w:val="22"/>
          <w:lang w:val="en-GB"/>
        </w:rPr>
        <w:t xml:space="preserve">independently </w:t>
      </w:r>
      <w:r w:rsidRPr="00E576A4">
        <w:rPr>
          <w:rFonts w:asciiTheme="minorHAnsi" w:hAnsiTheme="minorHAnsi"/>
          <w:sz w:val="22"/>
          <w:szCs w:val="22"/>
          <w:lang w:val="en-GB"/>
        </w:rPr>
        <w:t>design and facilitate multi-stakeholder workshops</w:t>
      </w:r>
      <w:r>
        <w:rPr>
          <w:rFonts w:asciiTheme="minorHAnsi" w:hAnsiTheme="minorHAnsi"/>
          <w:sz w:val="22"/>
          <w:szCs w:val="22"/>
          <w:lang w:val="en-GB"/>
        </w:rPr>
        <w:t>;</w:t>
      </w:r>
    </w:p>
    <w:p w14:paraId="3501DFE9" w14:textId="33998FDF" w:rsidR="00A15538" w:rsidRPr="00E576A4" w:rsidRDefault="00A15538" w:rsidP="00A15538">
      <w:pPr>
        <w:pStyle w:val="NoSpacing"/>
        <w:numPr>
          <w:ilvl w:val="0"/>
          <w:numId w:val="4"/>
        </w:numPr>
        <w:rPr>
          <w:rFonts w:asciiTheme="minorHAnsi" w:hAnsiTheme="minorHAnsi"/>
          <w:sz w:val="22"/>
          <w:szCs w:val="22"/>
          <w:lang w:val="en-GB"/>
        </w:rPr>
      </w:pPr>
      <w:r>
        <w:rPr>
          <w:rFonts w:asciiTheme="minorHAnsi" w:hAnsiTheme="minorHAnsi"/>
          <w:sz w:val="22"/>
          <w:szCs w:val="22"/>
          <w:lang w:val="en-GB"/>
        </w:rPr>
        <w:t>G</w:t>
      </w:r>
      <w:r w:rsidRPr="00E576A4">
        <w:rPr>
          <w:rFonts w:asciiTheme="minorHAnsi" w:hAnsiTheme="minorHAnsi"/>
          <w:sz w:val="22"/>
          <w:szCs w:val="22"/>
          <w:lang w:val="en-GB"/>
        </w:rPr>
        <w:t xml:space="preserve">ood understanding and knowledge of </w:t>
      </w:r>
      <w:r>
        <w:rPr>
          <w:rFonts w:asciiTheme="minorHAnsi" w:hAnsiTheme="minorHAnsi"/>
          <w:sz w:val="22"/>
          <w:szCs w:val="22"/>
          <w:lang w:val="en-GB"/>
        </w:rPr>
        <w:t>environment sector financing</w:t>
      </w:r>
      <w:r w:rsidRPr="00E576A4">
        <w:rPr>
          <w:rFonts w:asciiTheme="minorHAnsi" w:hAnsiTheme="minorHAnsi"/>
          <w:sz w:val="22"/>
          <w:szCs w:val="22"/>
          <w:lang w:val="en-GB"/>
        </w:rPr>
        <w:t xml:space="preserve"> issues in the Pacific region will be an asset</w:t>
      </w:r>
      <w:r>
        <w:rPr>
          <w:rFonts w:asciiTheme="minorHAnsi" w:hAnsiTheme="minorHAnsi"/>
          <w:sz w:val="22"/>
          <w:szCs w:val="22"/>
          <w:lang w:val="en-GB"/>
        </w:rPr>
        <w:t>;</w:t>
      </w:r>
    </w:p>
    <w:p w14:paraId="57CB16D4" w14:textId="56C6E3A8" w:rsidR="00A15538" w:rsidRPr="00477D76" w:rsidRDefault="00A15538" w:rsidP="00477D76">
      <w:pPr>
        <w:pStyle w:val="ListParagraph"/>
        <w:numPr>
          <w:ilvl w:val="0"/>
          <w:numId w:val="4"/>
        </w:numPr>
        <w:autoSpaceDE w:val="0"/>
        <w:autoSpaceDN w:val="0"/>
        <w:adjustRightInd w:val="0"/>
        <w:spacing w:after="0" w:line="240" w:lineRule="auto"/>
        <w:jc w:val="both"/>
        <w:rPr>
          <w:rFonts w:eastAsia="Times New Roman"/>
          <w:lang w:eastAsia="en-AU"/>
        </w:rPr>
      </w:pPr>
      <w:r w:rsidRPr="00A15538">
        <w:rPr>
          <w:rFonts w:eastAsia="Times New Roman"/>
          <w:lang w:eastAsia="en-AU"/>
        </w:rPr>
        <w:t>Knowledge of, and adherence to GEF’s principles and guidelines for engagement with indigenous peoples.</w:t>
      </w:r>
    </w:p>
    <w:p w14:paraId="792A4641" w14:textId="77777777" w:rsidR="00A15538" w:rsidRPr="00E576A4" w:rsidRDefault="00A15538" w:rsidP="00477D76">
      <w:pPr>
        <w:pStyle w:val="NoSpacing"/>
        <w:ind w:left="720"/>
        <w:rPr>
          <w:rFonts w:asciiTheme="minorHAnsi" w:hAnsiTheme="minorHAnsi"/>
          <w:sz w:val="22"/>
          <w:szCs w:val="22"/>
          <w:lang w:val="en-GB"/>
        </w:rPr>
      </w:pPr>
    </w:p>
    <w:p w14:paraId="6B2FEADC" w14:textId="77777777" w:rsidR="002560C9" w:rsidRPr="00E576A4" w:rsidRDefault="002560C9" w:rsidP="006873EB">
      <w:pPr>
        <w:autoSpaceDE w:val="0"/>
        <w:autoSpaceDN w:val="0"/>
        <w:adjustRightInd w:val="0"/>
        <w:spacing w:after="0" w:line="240" w:lineRule="auto"/>
        <w:rPr>
          <w:lang w:val="en-GB"/>
        </w:rPr>
      </w:pPr>
      <w:r>
        <w:rPr>
          <w:rFonts w:eastAsia="SymbolMT" w:cs="SymbolMT"/>
          <w:b/>
          <w:color w:val="2F5496" w:themeColor="accent5" w:themeShade="BF"/>
          <w:sz w:val="28"/>
          <w:szCs w:val="20"/>
        </w:rPr>
        <w:t>Corporate Competencies</w:t>
      </w:r>
    </w:p>
    <w:p w14:paraId="2851E3F2" w14:textId="77777777" w:rsidR="002560C9" w:rsidRPr="00E576A4" w:rsidRDefault="002560C9" w:rsidP="002560C9">
      <w:pPr>
        <w:pStyle w:val="NoSpacing"/>
        <w:numPr>
          <w:ilvl w:val="0"/>
          <w:numId w:val="14"/>
        </w:numPr>
        <w:rPr>
          <w:rFonts w:asciiTheme="minorHAnsi" w:hAnsiTheme="minorHAnsi"/>
          <w:sz w:val="22"/>
          <w:szCs w:val="22"/>
          <w:lang w:val="en-GB"/>
        </w:rPr>
      </w:pPr>
      <w:r w:rsidRPr="00E576A4">
        <w:rPr>
          <w:rFonts w:asciiTheme="minorHAnsi" w:hAnsiTheme="minorHAnsi"/>
          <w:sz w:val="22"/>
          <w:szCs w:val="22"/>
          <w:lang w:val="en-GB"/>
        </w:rPr>
        <w:t>Demonstrates integrity by modelling the UN values and ethical standards</w:t>
      </w:r>
      <w:r w:rsidR="000E401A">
        <w:rPr>
          <w:rFonts w:asciiTheme="minorHAnsi" w:hAnsiTheme="minorHAnsi"/>
          <w:sz w:val="22"/>
          <w:szCs w:val="22"/>
          <w:lang w:val="en-GB"/>
        </w:rPr>
        <w:t xml:space="preserve">; </w:t>
      </w:r>
    </w:p>
    <w:p w14:paraId="68A295A6" w14:textId="77777777" w:rsidR="002560C9" w:rsidRPr="00E576A4" w:rsidRDefault="002560C9" w:rsidP="002560C9">
      <w:pPr>
        <w:pStyle w:val="NoSpacing"/>
        <w:numPr>
          <w:ilvl w:val="0"/>
          <w:numId w:val="14"/>
        </w:numPr>
        <w:rPr>
          <w:rFonts w:asciiTheme="minorHAnsi" w:hAnsiTheme="minorHAnsi"/>
          <w:sz w:val="22"/>
          <w:szCs w:val="22"/>
          <w:lang w:val="en-GB"/>
        </w:rPr>
      </w:pPr>
      <w:r w:rsidRPr="00E576A4">
        <w:rPr>
          <w:rFonts w:asciiTheme="minorHAnsi" w:hAnsiTheme="minorHAnsi"/>
          <w:sz w:val="22"/>
          <w:szCs w:val="22"/>
          <w:lang w:val="en-GB"/>
        </w:rPr>
        <w:t>Displays cultural, gender, religion, race, nationality and age sensitivity and adaptability</w:t>
      </w:r>
      <w:r>
        <w:rPr>
          <w:rFonts w:asciiTheme="minorHAnsi" w:hAnsiTheme="minorHAnsi"/>
          <w:sz w:val="22"/>
          <w:szCs w:val="22"/>
          <w:lang w:val="en-GB"/>
        </w:rPr>
        <w:t>;</w:t>
      </w:r>
      <w:r w:rsidR="000E401A">
        <w:rPr>
          <w:rFonts w:asciiTheme="minorHAnsi" w:hAnsiTheme="minorHAnsi"/>
          <w:sz w:val="22"/>
          <w:szCs w:val="22"/>
          <w:lang w:val="en-GB"/>
        </w:rPr>
        <w:t xml:space="preserve"> and</w:t>
      </w:r>
    </w:p>
    <w:p w14:paraId="4054003C" w14:textId="77777777" w:rsidR="002560C9" w:rsidRPr="00E576A4" w:rsidRDefault="002560C9" w:rsidP="002560C9">
      <w:pPr>
        <w:pStyle w:val="NoSpacing"/>
        <w:numPr>
          <w:ilvl w:val="0"/>
          <w:numId w:val="14"/>
        </w:numPr>
        <w:rPr>
          <w:rFonts w:asciiTheme="minorHAnsi" w:hAnsiTheme="minorHAnsi"/>
          <w:sz w:val="22"/>
          <w:szCs w:val="22"/>
          <w:lang w:val="en-GB"/>
        </w:rPr>
      </w:pPr>
      <w:r w:rsidRPr="00E576A4">
        <w:rPr>
          <w:rFonts w:asciiTheme="minorHAnsi" w:hAnsiTheme="minorHAnsi"/>
          <w:sz w:val="22"/>
          <w:szCs w:val="22"/>
          <w:lang w:val="en-GB"/>
        </w:rPr>
        <w:t>Treats all people fairly without fear or favour</w:t>
      </w:r>
      <w:r>
        <w:rPr>
          <w:rFonts w:asciiTheme="minorHAnsi" w:hAnsiTheme="minorHAnsi"/>
          <w:sz w:val="22"/>
          <w:szCs w:val="22"/>
          <w:lang w:val="en-GB"/>
        </w:rPr>
        <w:t>.</w:t>
      </w:r>
    </w:p>
    <w:p w14:paraId="7199CC18" w14:textId="77777777" w:rsidR="002560C9" w:rsidRPr="00E576A4" w:rsidRDefault="002560C9" w:rsidP="002560C9">
      <w:pPr>
        <w:pStyle w:val="NoSpacing"/>
        <w:rPr>
          <w:rFonts w:asciiTheme="minorHAnsi" w:hAnsiTheme="minorHAnsi"/>
          <w:sz w:val="22"/>
          <w:szCs w:val="22"/>
          <w:lang w:val="en-GB"/>
        </w:rPr>
      </w:pPr>
    </w:p>
    <w:p w14:paraId="3437ADCE" w14:textId="77777777" w:rsidR="002F6732" w:rsidRDefault="002560C9" w:rsidP="006873EB">
      <w:pPr>
        <w:autoSpaceDE w:val="0"/>
        <w:autoSpaceDN w:val="0"/>
        <w:adjustRightInd w:val="0"/>
        <w:spacing w:after="0" w:line="240" w:lineRule="auto"/>
        <w:rPr>
          <w:rFonts w:eastAsia="Calibri"/>
        </w:rPr>
      </w:pPr>
      <w:r>
        <w:rPr>
          <w:rFonts w:eastAsia="SymbolMT" w:cs="SymbolMT"/>
          <w:b/>
          <w:color w:val="2F5496" w:themeColor="accent5" w:themeShade="BF"/>
          <w:sz w:val="28"/>
          <w:szCs w:val="20"/>
        </w:rPr>
        <w:t xml:space="preserve">Functional Competencies </w:t>
      </w:r>
    </w:p>
    <w:p w14:paraId="57137FB1" w14:textId="77777777" w:rsidR="002560C9" w:rsidRPr="00E576A4" w:rsidRDefault="002560C9" w:rsidP="002560C9">
      <w:pPr>
        <w:numPr>
          <w:ilvl w:val="0"/>
          <w:numId w:val="15"/>
        </w:numPr>
        <w:autoSpaceDE w:val="0"/>
        <w:autoSpaceDN w:val="0"/>
        <w:adjustRightInd w:val="0"/>
        <w:spacing w:after="0" w:line="240" w:lineRule="auto"/>
        <w:jc w:val="both"/>
        <w:rPr>
          <w:rFonts w:eastAsia="Calibri"/>
        </w:rPr>
      </w:pPr>
      <w:r w:rsidRPr="00E576A4">
        <w:rPr>
          <w:rFonts w:eastAsia="Calibri"/>
        </w:rPr>
        <w:t>Excellent speaking and writing skills in English are necessary</w:t>
      </w:r>
      <w:r w:rsidR="000E401A">
        <w:rPr>
          <w:rFonts w:eastAsia="Calibri"/>
        </w:rPr>
        <w:t>;</w:t>
      </w:r>
    </w:p>
    <w:p w14:paraId="22168A8F" w14:textId="35B46ADE" w:rsidR="002560C9" w:rsidRPr="00E576A4" w:rsidRDefault="002560C9" w:rsidP="002560C9">
      <w:pPr>
        <w:numPr>
          <w:ilvl w:val="0"/>
          <w:numId w:val="15"/>
        </w:numPr>
        <w:autoSpaceDE w:val="0"/>
        <w:autoSpaceDN w:val="0"/>
        <w:adjustRightInd w:val="0"/>
        <w:spacing w:after="0" w:line="240" w:lineRule="auto"/>
        <w:jc w:val="both"/>
        <w:rPr>
          <w:rFonts w:eastAsia="Calibri"/>
        </w:rPr>
      </w:pPr>
      <w:r w:rsidRPr="00E576A4">
        <w:rPr>
          <w:rFonts w:eastAsia="Calibri"/>
        </w:rPr>
        <w:t xml:space="preserve">High level planning, organizational and time management skills, including flexibility, attention to detail and the ability to work under pressure to meet challenging </w:t>
      </w:r>
      <w:r w:rsidR="00477D76" w:rsidRPr="00E576A4">
        <w:rPr>
          <w:rFonts w:eastAsia="Calibri"/>
        </w:rPr>
        <w:t>deadlines;</w:t>
      </w:r>
    </w:p>
    <w:p w14:paraId="55CE60F2" w14:textId="175A584F" w:rsidR="002560C9" w:rsidRPr="00E576A4" w:rsidRDefault="002560C9" w:rsidP="002560C9">
      <w:pPr>
        <w:numPr>
          <w:ilvl w:val="0"/>
          <w:numId w:val="15"/>
        </w:numPr>
        <w:autoSpaceDE w:val="0"/>
        <w:autoSpaceDN w:val="0"/>
        <w:adjustRightInd w:val="0"/>
        <w:spacing w:after="0" w:line="240" w:lineRule="auto"/>
        <w:jc w:val="both"/>
        <w:rPr>
          <w:rFonts w:eastAsia="Calibri"/>
        </w:rPr>
      </w:pPr>
      <w:r w:rsidRPr="00E576A4">
        <w:rPr>
          <w:rFonts w:eastAsia="Calibri"/>
        </w:rPr>
        <w:t xml:space="preserve">Analytical and problem solving skills of a high order, including the ability to formulate recommendations and advice senior management on tackling difficult </w:t>
      </w:r>
      <w:r w:rsidR="00477D76" w:rsidRPr="00E576A4">
        <w:rPr>
          <w:rFonts w:eastAsia="Calibri"/>
        </w:rPr>
        <w:t>scenarios;</w:t>
      </w:r>
    </w:p>
    <w:p w14:paraId="696A0B50" w14:textId="77777777" w:rsidR="002560C9" w:rsidRDefault="002560C9" w:rsidP="002560C9">
      <w:pPr>
        <w:numPr>
          <w:ilvl w:val="0"/>
          <w:numId w:val="15"/>
        </w:numPr>
        <w:autoSpaceDE w:val="0"/>
        <w:autoSpaceDN w:val="0"/>
        <w:adjustRightInd w:val="0"/>
        <w:spacing w:after="0" w:line="240" w:lineRule="auto"/>
        <w:jc w:val="both"/>
        <w:rPr>
          <w:rFonts w:eastAsia="Calibri"/>
        </w:rPr>
      </w:pPr>
      <w:r w:rsidRPr="00E576A4">
        <w:rPr>
          <w:rFonts w:eastAsia="Calibri"/>
        </w:rPr>
        <w:t>Leadership qualities, including the ability to make sound judgment, meet challenges constructively and creatively</w:t>
      </w:r>
      <w:r w:rsidR="000E401A">
        <w:rPr>
          <w:rFonts w:eastAsia="Calibri"/>
        </w:rPr>
        <w:t>;</w:t>
      </w:r>
    </w:p>
    <w:p w14:paraId="2440EF61" w14:textId="77777777" w:rsidR="000E401A" w:rsidRPr="000E401A" w:rsidRDefault="000E401A" w:rsidP="000E401A">
      <w:pPr>
        <w:pStyle w:val="NoSpacing"/>
        <w:numPr>
          <w:ilvl w:val="0"/>
          <w:numId w:val="15"/>
        </w:numPr>
        <w:rPr>
          <w:rFonts w:asciiTheme="minorHAnsi" w:hAnsiTheme="minorHAnsi"/>
          <w:sz w:val="22"/>
          <w:szCs w:val="22"/>
          <w:lang w:val="en-GB"/>
        </w:rPr>
      </w:pPr>
      <w:r w:rsidRPr="00E576A4">
        <w:rPr>
          <w:rFonts w:asciiTheme="minorHAnsi" w:hAnsiTheme="minorHAnsi"/>
          <w:sz w:val="22"/>
          <w:szCs w:val="22"/>
          <w:lang w:val="en-GB"/>
        </w:rPr>
        <w:t xml:space="preserve">Excellent interpersonal skills, including ability to establish strong cooperative relationships with senior government officials, civil society and donors. </w:t>
      </w:r>
    </w:p>
    <w:p w14:paraId="6A2C249E" w14:textId="77777777" w:rsidR="002560C9" w:rsidRDefault="002560C9" w:rsidP="002560C9">
      <w:pPr>
        <w:numPr>
          <w:ilvl w:val="0"/>
          <w:numId w:val="15"/>
        </w:numPr>
        <w:spacing w:after="0" w:line="240" w:lineRule="auto"/>
        <w:jc w:val="both"/>
      </w:pPr>
      <w:r w:rsidRPr="00E576A4">
        <w:t>Ability to quickly adapt to change, an</w:t>
      </w:r>
      <w:r w:rsidR="000E401A">
        <w:t>d to remain calm under pressure; and</w:t>
      </w:r>
    </w:p>
    <w:p w14:paraId="3A85AD12" w14:textId="77777777" w:rsidR="002560C9" w:rsidRPr="002560C9" w:rsidRDefault="002560C9" w:rsidP="002560C9">
      <w:pPr>
        <w:numPr>
          <w:ilvl w:val="0"/>
          <w:numId w:val="15"/>
        </w:numPr>
        <w:spacing w:after="0" w:line="240" w:lineRule="auto"/>
        <w:jc w:val="both"/>
      </w:pPr>
      <w:r w:rsidRPr="002560C9">
        <w:rPr>
          <w:rFonts w:eastAsia="Calibri"/>
        </w:rPr>
        <w:t>Proven cross-cultural communication</w:t>
      </w:r>
      <w:r w:rsidR="00F93CB3">
        <w:rPr>
          <w:rFonts w:eastAsia="Calibri"/>
        </w:rPr>
        <w:t xml:space="preserve"> and the ability</w:t>
      </w:r>
      <w:r w:rsidRPr="002560C9">
        <w:rPr>
          <w:rFonts w:eastAsia="Calibri"/>
        </w:rPr>
        <w:t xml:space="preserve"> to function effectively in an international, multicultural environment.</w:t>
      </w:r>
    </w:p>
    <w:p w14:paraId="354D660E" w14:textId="6AAF851B" w:rsidR="002560C9" w:rsidRDefault="002560C9" w:rsidP="002560C9">
      <w:pPr>
        <w:jc w:val="both"/>
        <w:rPr>
          <w:rFonts w:eastAsia="Calibri"/>
        </w:rPr>
      </w:pPr>
    </w:p>
    <w:p w14:paraId="35C97198" w14:textId="77777777" w:rsidR="00986075" w:rsidRPr="00657C8C" w:rsidRDefault="00986075" w:rsidP="00657C8C">
      <w:pPr>
        <w:autoSpaceDE w:val="0"/>
        <w:autoSpaceDN w:val="0"/>
        <w:adjustRightInd w:val="0"/>
        <w:spacing w:after="0" w:line="240" w:lineRule="auto"/>
        <w:rPr>
          <w:rFonts w:eastAsia="SymbolMT" w:cs="SymbolMT"/>
          <w:b/>
          <w:color w:val="2F5496" w:themeColor="accent5" w:themeShade="BF"/>
          <w:sz w:val="28"/>
          <w:szCs w:val="20"/>
        </w:rPr>
      </w:pPr>
      <w:r w:rsidRPr="00657C8C">
        <w:rPr>
          <w:rFonts w:eastAsia="SymbolMT" w:cs="SymbolMT"/>
          <w:b/>
          <w:color w:val="2F5496" w:themeColor="accent5" w:themeShade="BF"/>
          <w:sz w:val="28"/>
          <w:szCs w:val="20"/>
        </w:rPr>
        <w:t xml:space="preserve">Evaluation </w:t>
      </w:r>
    </w:p>
    <w:p w14:paraId="0C179AE1" w14:textId="77777777" w:rsidR="00986075" w:rsidRPr="006A1CA2" w:rsidRDefault="00986075" w:rsidP="00986075">
      <w:pPr>
        <w:rPr>
          <w:rFonts w:ascii="Calibri" w:hAnsi="Calibri"/>
          <w:u w:val="single"/>
        </w:rPr>
      </w:pPr>
      <w:r w:rsidRPr="006A1CA2">
        <w:rPr>
          <w:rFonts w:ascii="Calibri" w:hAnsi="Calibri"/>
          <w:u w:val="single"/>
        </w:rPr>
        <w:t xml:space="preserve">Cumulative analysis </w:t>
      </w:r>
    </w:p>
    <w:p w14:paraId="009D683C" w14:textId="77777777" w:rsidR="00986075" w:rsidRPr="001163A9" w:rsidRDefault="00986075" w:rsidP="00986075">
      <w:pPr>
        <w:rPr>
          <w:rFonts w:ascii="Calibri" w:hAnsi="Calibri"/>
        </w:rPr>
      </w:pPr>
      <w:r w:rsidRPr="006A1CA2">
        <w:rPr>
          <w:rFonts w:ascii="Calibri" w:hAnsi="Calibri"/>
        </w:rPr>
        <w:t>The proposals will be evaluated using the cumulative analysis method with a split 70% technical and 30% financial scoring. The proposal with the highest cumulative scoring will be awarded the contract. Applications will be evaluated technically and points are attributed based on how well the proposal meets the requirements of the Terms of Reference using the guidelines detailed in the table below:</w:t>
      </w:r>
    </w:p>
    <w:p w14:paraId="31B465A5" w14:textId="77777777" w:rsidR="00986075" w:rsidRPr="006A1CA2" w:rsidRDefault="00986075" w:rsidP="00986075">
      <w:pPr>
        <w:rPr>
          <w:rFonts w:ascii="Calibri" w:hAnsi="Calibri"/>
        </w:rPr>
      </w:pPr>
      <w:r w:rsidRPr="006A1CA2">
        <w:rPr>
          <w:rFonts w:ascii="Calibri" w:hAnsi="Calibri"/>
        </w:rPr>
        <w:t>When using this weighted scoring method, the award of the contract may be made to the individual consultant whose offer has been evaluated and determined as:</w:t>
      </w:r>
    </w:p>
    <w:p w14:paraId="70AC25FC" w14:textId="77777777" w:rsidR="00986075" w:rsidRPr="006A1CA2" w:rsidRDefault="00986075" w:rsidP="00986075">
      <w:pPr>
        <w:rPr>
          <w:rFonts w:ascii="Calibri" w:hAnsi="Calibri"/>
        </w:rPr>
      </w:pPr>
      <w:r w:rsidRPr="006A1CA2">
        <w:rPr>
          <w:rFonts w:ascii="Calibri" w:hAnsi="Calibri"/>
        </w:rPr>
        <w:t xml:space="preserve">a) </w:t>
      </w:r>
      <w:r>
        <w:rPr>
          <w:rFonts w:ascii="Calibri" w:hAnsi="Calibri"/>
        </w:rPr>
        <w:t>R</w:t>
      </w:r>
      <w:r w:rsidRPr="006A1CA2">
        <w:rPr>
          <w:rFonts w:ascii="Calibri" w:hAnsi="Calibri"/>
        </w:rPr>
        <w:t>esponsive/compliant/acceptable, and</w:t>
      </w:r>
    </w:p>
    <w:p w14:paraId="173A1EFC" w14:textId="77777777" w:rsidR="00986075" w:rsidRPr="006A1CA2" w:rsidRDefault="00986075" w:rsidP="00986075">
      <w:pPr>
        <w:rPr>
          <w:rFonts w:ascii="Calibri" w:hAnsi="Calibri"/>
        </w:rPr>
      </w:pPr>
      <w:r w:rsidRPr="006A1CA2">
        <w:rPr>
          <w:rFonts w:ascii="Calibri" w:hAnsi="Calibri"/>
        </w:rPr>
        <w:t xml:space="preserve">b) Having received the highest score out of a pre-determined set of weighted technical and financial criteria specific to the solicitation. </w:t>
      </w:r>
    </w:p>
    <w:p w14:paraId="2BC3711B" w14:textId="77777777" w:rsidR="00986075" w:rsidRPr="006A1CA2" w:rsidRDefault="00986075" w:rsidP="00986075">
      <w:pPr>
        <w:rPr>
          <w:rFonts w:ascii="Calibri" w:hAnsi="Calibri"/>
        </w:rPr>
      </w:pPr>
      <w:r w:rsidRPr="006A1CA2">
        <w:rPr>
          <w:rFonts w:ascii="Calibri" w:hAnsi="Calibri"/>
        </w:rPr>
        <w:t xml:space="preserve">* Technical Criteria weighting; </w:t>
      </w:r>
      <w:r>
        <w:rPr>
          <w:rFonts w:ascii="Calibri" w:hAnsi="Calibri"/>
        </w:rPr>
        <w:t>7</w:t>
      </w:r>
      <w:r w:rsidRPr="006A1CA2">
        <w:rPr>
          <w:rFonts w:ascii="Calibri" w:hAnsi="Calibri"/>
        </w:rPr>
        <w:t>0%</w:t>
      </w:r>
    </w:p>
    <w:p w14:paraId="03D6DE32" w14:textId="77777777" w:rsidR="00986075" w:rsidRPr="006A1CA2" w:rsidRDefault="00986075" w:rsidP="00986075">
      <w:pPr>
        <w:rPr>
          <w:rFonts w:ascii="Calibri" w:hAnsi="Calibri"/>
        </w:rPr>
      </w:pPr>
      <w:r w:rsidRPr="006A1CA2">
        <w:rPr>
          <w:rFonts w:ascii="Calibri" w:hAnsi="Calibri"/>
        </w:rPr>
        <w:t xml:space="preserve">* Financial Criteria weighting; </w:t>
      </w:r>
      <w:r>
        <w:rPr>
          <w:rFonts w:ascii="Calibri" w:hAnsi="Calibri"/>
        </w:rPr>
        <w:t>3</w:t>
      </w:r>
      <w:r w:rsidRPr="006A1CA2">
        <w:rPr>
          <w:rFonts w:ascii="Calibri" w:hAnsi="Calibri"/>
        </w:rPr>
        <w:t>0%</w:t>
      </w:r>
    </w:p>
    <w:p w14:paraId="6516DF48" w14:textId="77777777" w:rsidR="00986075" w:rsidRDefault="00986075" w:rsidP="00986075">
      <w:pPr>
        <w:pStyle w:val="Default"/>
        <w:jc w:val="both"/>
        <w:rPr>
          <w:sz w:val="20"/>
          <w:szCs w:val="20"/>
        </w:rPr>
      </w:pPr>
      <w:r w:rsidRPr="006A1CA2">
        <w:rPr>
          <w:sz w:val="20"/>
          <w:szCs w:val="20"/>
        </w:rPr>
        <w:t>Only candidates obtaining a minimum of 49 points in the Technical Evaluation would be considered for the Financial Evaluation. Interviews may be conducted as part of technical assessment for shortlisted proposals.</w:t>
      </w:r>
    </w:p>
    <w:p w14:paraId="3980B30F" w14:textId="77777777" w:rsidR="00986075" w:rsidRDefault="00986075" w:rsidP="00986075">
      <w:pPr>
        <w:pStyle w:val="Default"/>
        <w:jc w:val="both"/>
        <w:rPr>
          <w:sz w:val="20"/>
          <w:szCs w:val="20"/>
        </w:rPr>
      </w:pPr>
    </w:p>
    <w:p w14:paraId="1962217D" w14:textId="77777777" w:rsidR="00986075" w:rsidRPr="006A1CA2" w:rsidRDefault="00986075" w:rsidP="00986075">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149"/>
        <w:gridCol w:w="1150"/>
      </w:tblGrid>
      <w:tr w:rsidR="00986075" w:rsidRPr="006A1CA2" w14:paraId="5CBBE704" w14:textId="77777777" w:rsidTr="00C726A7">
        <w:tc>
          <w:tcPr>
            <w:tcW w:w="6609" w:type="dxa"/>
            <w:shd w:val="clear" w:color="auto" w:fill="auto"/>
          </w:tcPr>
          <w:p w14:paraId="64AB867C" w14:textId="77777777" w:rsidR="00986075" w:rsidRPr="006A1CA2" w:rsidRDefault="00986075" w:rsidP="00C726A7">
            <w:pPr>
              <w:pStyle w:val="Default"/>
              <w:jc w:val="both"/>
              <w:rPr>
                <w:b/>
                <w:sz w:val="20"/>
                <w:szCs w:val="20"/>
              </w:rPr>
            </w:pPr>
            <w:r w:rsidRPr="006A1CA2">
              <w:rPr>
                <w:b/>
                <w:sz w:val="20"/>
                <w:szCs w:val="20"/>
              </w:rPr>
              <w:t>Criteria</w:t>
            </w:r>
          </w:p>
        </w:tc>
        <w:tc>
          <w:tcPr>
            <w:tcW w:w="1149" w:type="dxa"/>
            <w:shd w:val="clear" w:color="auto" w:fill="auto"/>
          </w:tcPr>
          <w:p w14:paraId="2353273A" w14:textId="77777777" w:rsidR="00986075" w:rsidRPr="006A1CA2" w:rsidRDefault="00986075" w:rsidP="00C726A7">
            <w:pPr>
              <w:pStyle w:val="Default"/>
              <w:jc w:val="center"/>
              <w:rPr>
                <w:b/>
                <w:sz w:val="20"/>
                <w:szCs w:val="20"/>
              </w:rPr>
            </w:pPr>
            <w:r>
              <w:rPr>
                <w:b/>
                <w:sz w:val="20"/>
                <w:szCs w:val="20"/>
              </w:rPr>
              <w:t>Points</w:t>
            </w:r>
          </w:p>
        </w:tc>
        <w:tc>
          <w:tcPr>
            <w:tcW w:w="1150" w:type="dxa"/>
          </w:tcPr>
          <w:p w14:paraId="4814B04A" w14:textId="77777777" w:rsidR="00986075" w:rsidRPr="006A1CA2" w:rsidRDefault="00986075" w:rsidP="00C726A7">
            <w:pPr>
              <w:pStyle w:val="Default"/>
              <w:jc w:val="center"/>
              <w:rPr>
                <w:b/>
                <w:sz w:val="20"/>
                <w:szCs w:val="20"/>
              </w:rPr>
            </w:pPr>
            <w:r w:rsidRPr="006A1CA2">
              <w:rPr>
                <w:b/>
                <w:sz w:val="20"/>
                <w:szCs w:val="20"/>
              </w:rPr>
              <w:t>Percentage</w:t>
            </w:r>
          </w:p>
        </w:tc>
      </w:tr>
      <w:tr w:rsidR="00986075" w:rsidRPr="006A1CA2" w14:paraId="6587DFBA" w14:textId="77777777" w:rsidTr="00C726A7">
        <w:tc>
          <w:tcPr>
            <w:tcW w:w="6609" w:type="dxa"/>
            <w:shd w:val="clear" w:color="auto" w:fill="auto"/>
          </w:tcPr>
          <w:p w14:paraId="2F9A6004" w14:textId="77777777" w:rsidR="00986075" w:rsidRPr="006A1CA2" w:rsidRDefault="00986075" w:rsidP="00C726A7">
            <w:pPr>
              <w:pStyle w:val="Default"/>
              <w:jc w:val="both"/>
              <w:rPr>
                <w:b/>
                <w:sz w:val="20"/>
                <w:szCs w:val="20"/>
              </w:rPr>
            </w:pPr>
            <w:r>
              <w:rPr>
                <w:b/>
                <w:sz w:val="20"/>
                <w:szCs w:val="20"/>
              </w:rPr>
              <w:t>Qualification</w:t>
            </w:r>
          </w:p>
        </w:tc>
        <w:tc>
          <w:tcPr>
            <w:tcW w:w="1149" w:type="dxa"/>
            <w:shd w:val="clear" w:color="auto" w:fill="auto"/>
          </w:tcPr>
          <w:p w14:paraId="506251F1" w14:textId="77777777" w:rsidR="00986075" w:rsidRPr="006A1CA2" w:rsidRDefault="00986075" w:rsidP="00C726A7">
            <w:pPr>
              <w:pStyle w:val="Default"/>
              <w:jc w:val="center"/>
              <w:rPr>
                <w:b/>
                <w:sz w:val="20"/>
                <w:szCs w:val="20"/>
              </w:rPr>
            </w:pPr>
          </w:p>
        </w:tc>
        <w:tc>
          <w:tcPr>
            <w:tcW w:w="1150" w:type="dxa"/>
          </w:tcPr>
          <w:p w14:paraId="66EE783E" w14:textId="00EF2BF9" w:rsidR="00986075" w:rsidRPr="006A1CA2" w:rsidRDefault="00477D76" w:rsidP="00C726A7">
            <w:pPr>
              <w:pStyle w:val="Default"/>
              <w:jc w:val="center"/>
              <w:rPr>
                <w:b/>
                <w:sz w:val="20"/>
                <w:szCs w:val="20"/>
              </w:rPr>
            </w:pPr>
            <w:r>
              <w:rPr>
                <w:b/>
                <w:sz w:val="20"/>
                <w:szCs w:val="20"/>
              </w:rPr>
              <w:t>10</w:t>
            </w:r>
            <w:r w:rsidR="00986075">
              <w:rPr>
                <w:b/>
                <w:sz w:val="20"/>
                <w:szCs w:val="20"/>
              </w:rPr>
              <w:t>%</w:t>
            </w:r>
          </w:p>
        </w:tc>
      </w:tr>
      <w:tr w:rsidR="00986075" w:rsidRPr="006A1CA2" w14:paraId="2B1AFEF2" w14:textId="77777777" w:rsidTr="00C726A7">
        <w:trPr>
          <w:trHeight w:val="728"/>
        </w:trPr>
        <w:tc>
          <w:tcPr>
            <w:tcW w:w="6609" w:type="dxa"/>
            <w:shd w:val="clear" w:color="auto" w:fill="auto"/>
          </w:tcPr>
          <w:p w14:paraId="74C3017F" w14:textId="6F22F22D" w:rsidR="00986075" w:rsidRDefault="00477D76" w:rsidP="00477D76">
            <w:pPr>
              <w:pStyle w:val="NoSpacing"/>
              <w:numPr>
                <w:ilvl w:val="0"/>
                <w:numId w:val="25"/>
              </w:numPr>
              <w:rPr>
                <w:rFonts w:asciiTheme="minorHAnsi" w:hAnsiTheme="minorHAnsi"/>
                <w:sz w:val="22"/>
                <w:szCs w:val="22"/>
                <w:lang w:val="en-GB"/>
              </w:rPr>
            </w:pPr>
            <w:r w:rsidRPr="00E576A4">
              <w:rPr>
                <w:rFonts w:asciiTheme="minorHAnsi" w:hAnsiTheme="minorHAnsi"/>
                <w:sz w:val="22"/>
                <w:szCs w:val="22"/>
                <w:lang w:val="en-GB"/>
              </w:rPr>
              <w:t xml:space="preserve">Master’s Degree in </w:t>
            </w:r>
            <w:r>
              <w:rPr>
                <w:rFonts w:asciiTheme="minorHAnsi" w:hAnsiTheme="minorHAnsi"/>
                <w:sz w:val="22"/>
                <w:szCs w:val="22"/>
                <w:lang w:val="en-GB"/>
              </w:rPr>
              <w:t>environmental economics</w:t>
            </w:r>
            <w:r w:rsidRPr="00E576A4">
              <w:rPr>
                <w:rFonts w:asciiTheme="minorHAnsi" w:hAnsiTheme="minorHAnsi"/>
                <w:sz w:val="22"/>
                <w:szCs w:val="22"/>
                <w:lang w:val="en-GB"/>
              </w:rPr>
              <w:t xml:space="preserve">, </w:t>
            </w:r>
            <w:r>
              <w:rPr>
                <w:rFonts w:asciiTheme="minorHAnsi" w:hAnsiTheme="minorHAnsi"/>
                <w:sz w:val="22"/>
                <w:szCs w:val="22"/>
                <w:lang w:val="en-GB"/>
              </w:rPr>
              <w:t xml:space="preserve">natural resource management, or </w:t>
            </w:r>
            <w:r w:rsidRPr="00E576A4">
              <w:rPr>
                <w:rFonts w:asciiTheme="minorHAnsi" w:hAnsiTheme="minorHAnsi"/>
                <w:sz w:val="22"/>
                <w:szCs w:val="22"/>
                <w:lang w:val="en-GB"/>
              </w:rPr>
              <w:t>related social science</w:t>
            </w:r>
            <w:r>
              <w:rPr>
                <w:rFonts w:asciiTheme="minorHAnsi" w:hAnsiTheme="minorHAnsi"/>
                <w:sz w:val="22"/>
                <w:szCs w:val="22"/>
                <w:lang w:val="en-GB"/>
              </w:rPr>
              <w:t>s;</w:t>
            </w:r>
          </w:p>
          <w:p w14:paraId="6FAE5749" w14:textId="4549B241" w:rsidR="00477D76" w:rsidRPr="00477D76" w:rsidRDefault="00477D76" w:rsidP="00477D76">
            <w:pPr>
              <w:pStyle w:val="NoSpacing"/>
              <w:ind w:left="720"/>
              <w:rPr>
                <w:rFonts w:asciiTheme="minorHAnsi" w:hAnsiTheme="minorHAnsi"/>
                <w:sz w:val="22"/>
                <w:szCs w:val="22"/>
                <w:lang w:val="en-GB"/>
              </w:rPr>
            </w:pPr>
          </w:p>
        </w:tc>
        <w:tc>
          <w:tcPr>
            <w:tcW w:w="1149" w:type="dxa"/>
            <w:shd w:val="clear" w:color="auto" w:fill="auto"/>
          </w:tcPr>
          <w:p w14:paraId="7ABC96EB" w14:textId="61F50923" w:rsidR="00986075" w:rsidRDefault="00986075" w:rsidP="00BB638B">
            <w:pPr>
              <w:pStyle w:val="Default"/>
              <w:tabs>
                <w:tab w:val="left" w:pos="405"/>
                <w:tab w:val="center" w:pos="466"/>
              </w:tabs>
              <w:jc w:val="center"/>
              <w:rPr>
                <w:sz w:val="20"/>
                <w:szCs w:val="20"/>
              </w:rPr>
            </w:pPr>
          </w:p>
          <w:p w14:paraId="0E577120" w14:textId="24683A21" w:rsidR="00BB638B" w:rsidRPr="00A8459A" w:rsidRDefault="00477D76" w:rsidP="00BB638B">
            <w:pPr>
              <w:pStyle w:val="Default"/>
              <w:tabs>
                <w:tab w:val="left" w:pos="405"/>
                <w:tab w:val="center" w:pos="466"/>
              </w:tabs>
              <w:jc w:val="center"/>
              <w:rPr>
                <w:sz w:val="20"/>
                <w:szCs w:val="20"/>
              </w:rPr>
            </w:pPr>
            <w:r>
              <w:rPr>
                <w:sz w:val="20"/>
                <w:szCs w:val="20"/>
              </w:rPr>
              <w:t>10</w:t>
            </w:r>
          </w:p>
        </w:tc>
        <w:tc>
          <w:tcPr>
            <w:tcW w:w="1150" w:type="dxa"/>
          </w:tcPr>
          <w:p w14:paraId="4B9B97CA" w14:textId="77777777" w:rsidR="00986075" w:rsidRDefault="00986075" w:rsidP="00C726A7">
            <w:pPr>
              <w:pStyle w:val="Default"/>
              <w:jc w:val="center"/>
              <w:rPr>
                <w:sz w:val="20"/>
                <w:szCs w:val="20"/>
              </w:rPr>
            </w:pPr>
          </w:p>
        </w:tc>
      </w:tr>
      <w:tr w:rsidR="00986075" w:rsidRPr="006A1CA2" w14:paraId="093C867C" w14:textId="77777777" w:rsidTr="00C726A7">
        <w:tc>
          <w:tcPr>
            <w:tcW w:w="6609" w:type="dxa"/>
            <w:shd w:val="clear" w:color="auto" w:fill="auto"/>
          </w:tcPr>
          <w:p w14:paraId="45B3463B" w14:textId="77777777" w:rsidR="00986075" w:rsidRPr="00AC39CB" w:rsidRDefault="00986075" w:rsidP="00C726A7">
            <w:pPr>
              <w:pStyle w:val="Default"/>
              <w:jc w:val="both"/>
              <w:rPr>
                <w:rFonts w:cs="Arial"/>
                <w:b/>
                <w:sz w:val="22"/>
                <w:szCs w:val="22"/>
              </w:rPr>
            </w:pPr>
            <w:r w:rsidRPr="00AC39CB">
              <w:rPr>
                <w:rFonts w:cs="Arial"/>
                <w:b/>
                <w:sz w:val="22"/>
                <w:szCs w:val="22"/>
              </w:rPr>
              <w:t>Experience</w:t>
            </w:r>
          </w:p>
        </w:tc>
        <w:tc>
          <w:tcPr>
            <w:tcW w:w="1149" w:type="dxa"/>
            <w:shd w:val="clear" w:color="auto" w:fill="auto"/>
          </w:tcPr>
          <w:p w14:paraId="099A27BE" w14:textId="77777777" w:rsidR="00986075" w:rsidRDefault="00986075" w:rsidP="00C726A7">
            <w:pPr>
              <w:pStyle w:val="Default"/>
              <w:jc w:val="center"/>
              <w:rPr>
                <w:sz w:val="20"/>
                <w:szCs w:val="20"/>
              </w:rPr>
            </w:pPr>
          </w:p>
        </w:tc>
        <w:tc>
          <w:tcPr>
            <w:tcW w:w="1150" w:type="dxa"/>
          </w:tcPr>
          <w:p w14:paraId="79F3637C" w14:textId="7F82E641" w:rsidR="00986075" w:rsidRPr="00AC39CB" w:rsidRDefault="00986075" w:rsidP="00C726A7">
            <w:pPr>
              <w:pStyle w:val="Default"/>
              <w:jc w:val="center"/>
              <w:rPr>
                <w:b/>
                <w:sz w:val="20"/>
                <w:szCs w:val="20"/>
              </w:rPr>
            </w:pPr>
            <w:r>
              <w:rPr>
                <w:b/>
                <w:sz w:val="20"/>
                <w:szCs w:val="20"/>
              </w:rPr>
              <w:t>5</w:t>
            </w:r>
            <w:r w:rsidR="00BB638B">
              <w:rPr>
                <w:b/>
                <w:sz w:val="20"/>
                <w:szCs w:val="20"/>
              </w:rPr>
              <w:t>0</w:t>
            </w:r>
            <w:r w:rsidRPr="00AC39CB">
              <w:rPr>
                <w:b/>
                <w:sz w:val="20"/>
                <w:szCs w:val="20"/>
              </w:rPr>
              <w:t>%</w:t>
            </w:r>
          </w:p>
        </w:tc>
      </w:tr>
      <w:tr w:rsidR="00986075" w:rsidRPr="006A1CA2" w14:paraId="376E27AF" w14:textId="77777777" w:rsidTr="00C726A7">
        <w:tc>
          <w:tcPr>
            <w:tcW w:w="6609" w:type="dxa"/>
            <w:shd w:val="clear" w:color="auto" w:fill="auto"/>
          </w:tcPr>
          <w:p w14:paraId="71FFEF07" w14:textId="313B70A9" w:rsidR="00986075" w:rsidRPr="00E85D3D" w:rsidRDefault="00E85D3D" w:rsidP="00E85D3D">
            <w:pPr>
              <w:pStyle w:val="Footer"/>
              <w:numPr>
                <w:ilvl w:val="0"/>
                <w:numId w:val="26"/>
              </w:numPr>
              <w:tabs>
                <w:tab w:val="clear" w:pos="4680"/>
                <w:tab w:val="clear" w:pos="9360"/>
                <w:tab w:val="left" w:pos="709"/>
              </w:tabs>
              <w:jc w:val="both"/>
              <w:rPr>
                <w:rFonts w:ascii="Calibri" w:hAnsi="Calibri" w:cs="Calibri"/>
                <w:color w:val="000000"/>
                <w:sz w:val="20"/>
                <w:szCs w:val="20"/>
                <w:lang w:val="en-GB"/>
              </w:rPr>
            </w:pPr>
            <w:r w:rsidRPr="00A15538">
              <w:rPr>
                <w:rFonts w:eastAsia="Times New Roman"/>
                <w:lang w:eastAsia="en-AU"/>
              </w:rPr>
              <w:t xml:space="preserve">Minimum 10 years of </w:t>
            </w:r>
            <w:r w:rsidRPr="003D5EBD">
              <w:rPr>
                <w:rFonts w:eastAsia="Times New Roman" w:cs="Times New Roman"/>
                <w:lang w:val="en-GB"/>
              </w:rPr>
              <w:t>demonstrable experience in the field of biodiversity conservation focused on conservation financing, protected areas management, protected areas financing, and biodiversity mainstreaming in development planning;</w:t>
            </w:r>
            <w:r w:rsidR="00477D76" w:rsidRPr="00E85D3D">
              <w:rPr>
                <w:rFonts w:eastAsia="Times New Roman"/>
                <w:lang w:eastAsia="en-AU"/>
              </w:rPr>
              <w:t xml:space="preserve"> </w:t>
            </w:r>
          </w:p>
        </w:tc>
        <w:tc>
          <w:tcPr>
            <w:tcW w:w="1149" w:type="dxa"/>
            <w:shd w:val="clear" w:color="auto" w:fill="auto"/>
          </w:tcPr>
          <w:p w14:paraId="0281D14A" w14:textId="39854274" w:rsidR="00986075" w:rsidRDefault="00BB638B" w:rsidP="00C726A7">
            <w:pPr>
              <w:pStyle w:val="Default"/>
              <w:jc w:val="center"/>
              <w:rPr>
                <w:sz w:val="20"/>
                <w:szCs w:val="20"/>
              </w:rPr>
            </w:pPr>
            <w:r>
              <w:rPr>
                <w:sz w:val="20"/>
                <w:szCs w:val="20"/>
              </w:rPr>
              <w:t>1</w:t>
            </w:r>
            <w:r w:rsidR="00477D76">
              <w:rPr>
                <w:sz w:val="20"/>
                <w:szCs w:val="20"/>
              </w:rPr>
              <w:t>5</w:t>
            </w:r>
          </w:p>
        </w:tc>
        <w:tc>
          <w:tcPr>
            <w:tcW w:w="1150" w:type="dxa"/>
          </w:tcPr>
          <w:p w14:paraId="4946AD2B" w14:textId="77777777" w:rsidR="00986075" w:rsidRDefault="00986075" w:rsidP="00C726A7">
            <w:pPr>
              <w:pStyle w:val="Default"/>
              <w:jc w:val="center"/>
              <w:rPr>
                <w:sz w:val="20"/>
                <w:szCs w:val="20"/>
              </w:rPr>
            </w:pPr>
          </w:p>
        </w:tc>
      </w:tr>
      <w:tr w:rsidR="00986075" w:rsidRPr="006A1CA2" w14:paraId="1F59B5DE" w14:textId="77777777" w:rsidTr="00C726A7">
        <w:trPr>
          <w:trHeight w:val="494"/>
        </w:trPr>
        <w:tc>
          <w:tcPr>
            <w:tcW w:w="6609" w:type="dxa"/>
            <w:shd w:val="clear" w:color="auto" w:fill="auto"/>
          </w:tcPr>
          <w:p w14:paraId="6673CD9A" w14:textId="2F5F333F" w:rsidR="00986075" w:rsidRPr="00E85D3D" w:rsidRDefault="00E85D3D" w:rsidP="00E85D3D">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 xml:space="preserve">Previous </w:t>
            </w:r>
            <w:r>
              <w:rPr>
                <w:rFonts w:asciiTheme="minorHAnsi" w:hAnsiTheme="minorHAnsi"/>
                <w:sz w:val="22"/>
                <w:szCs w:val="22"/>
                <w:lang w:val="en-GB"/>
              </w:rPr>
              <w:t xml:space="preserve">demonstrable </w:t>
            </w:r>
            <w:r w:rsidRPr="00E576A4">
              <w:rPr>
                <w:rFonts w:asciiTheme="minorHAnsi" w:hAnsiTheme="minorHAnsi"/>
                <w:sz w:val="22"/>
                <w:szCs w:val="22"/>
                <w:lang w:val="en-GB"/>
              </w:rPr>
              <w:t xml:space="preserve">experience of working with </w:t>
            </w:r>
            <w:r>
              <w:rPr>
                <w:rFonts w:asciiTheme="minorHAnsi" w:hAnsiTheme="minorHAnsi"/>
                <w:sz w:val="22"/>
                <w:szCs w:val="22"/>
                <w:lang w:val="en-GB"/>
              </w:rPr>
              <w:t>UN/UNDP</w:t>
            </w:r>
            <w:r w:rsidRPr="00E576A4">
              <w:rPr>
                <w:rFonts w:asciiTheme="minorHAnsi" w:hAnsiTheme="minorHAnsi"/>
                <w:sz w:val="22"/>
                <w:szCs w:val="22"/>
                <w:lang w:val="en-GB"/>
              </w:rPr>
              <w:t xml:space="preserve"> a</w:t>
            </w:r>
            <w:r>
              <w:rPr>
                <w:rFonts w:asciiTheme="minorHAnsi" w:hAnsiTheme="minorHAnsi"/>
                <w:sz w:val="22"/>
                <w:szCs w:val="22"/>
                <w:lang w:val="en-GB"/>
              </w:rPr>
              <w:t xml:space="preserve">nd development partners in the </w:t>
            </w:r>
            <w:r w:rsidRPr="00E576A4">
              <w:rPr>
                <w:rFonts w:asciiTheme="minorHAnsi" w:hAnsiTheme="minorHAnsi"/>
                <w:sz w:val="22"/>
                <w:szCs w:val="22"/>
                <w:lang w:val="en-GB"/>
              </w:rPr>
              <w:t xml:space="preserve">design and </w:t>
            </w:r>
            <w:r>
              <w:rPr>
                <w:rFonts w:asciiTheme="minorHAnsi" w:hAnsiTheme="minorHAnsi"/>
                <w:sz w:val="22"/>
                <w:szCs w:val="22"/>
                <w:lang w:val="en-GB"/>
              </w:rPr>
              <w:t>implementation of recent GEF-funded projects;</w:t>
            </w:r>
          </w:p>
        </w:tc>
        <w:tc>
          <w:tcPr>
            <w:tcW w:w="1149" w:type="dxa"/>
            <w:shd w:val="clear" w:color="auto" w:fill="auto"/>
          </w:tcPr>
          <w:p w14:paraId="03A38A4E" w14:textId="2FA6C841" w:rsidR="00986075" w:rsidRDefault="00C026C1" w:rsidP="00C726A7">
            <w:pPr>
              <w:pStyle w:val="Default"/>
              <w:jc w:val="center"/>
              <w:rPr>
                <w:sz w:val="20"/>
                <w:szCs w:val="20"/>
              </w:rPr>
            </w:pPr>
            <w:r>
              <w:rPr>
                <w:sz w:val="20"/>
                <w:szCs w:val="20"/>
              </w:rPr>
              <w:t>15</w:t>
            </w:r>
          </w:p>
        </w:tc>
        <w:tc>
          <w:tcPr>
            <w:tcW w:w="1150" w:type="dxa"/>
          </w:tcPr>
          <w:p w14:paraId="33FD8164" w14:textId="77777777" w:rsidR="00986075" w:rsidRDefault="00986075" w:rsidP="00C726A7">
            <w:pPr>
              <w:pStyle w:val="Default"/>
              <w:jc w:val="center"/>
              <w:rPr>
                <w:sz w:val="20"/>
                <w:szCs w:val="20"/>
              </w:rPr>
            </w:pPr>
          </w:p>
        </w:tc>
      </w:tr>
      <w:tr w:rsidR="00986075" w:rsidRPr="006A1CA2" w14:paraId="0CE91646" w14:textId="77777777" w:rsidTr="00C726A7">
        <w:trPr>
          <w:trHeight w:val="494"/>
        </w:trPr>
        <w:tc>
          <w:tcPr>
            <w:tcW w:w="6609" w:type="dxa"/>
            <w:shd w:val="clear" w:color="auto" w:fill="auto"/>
          </w:tcPr>
          <w:p w14:paraId="16D45FB4" w14:textId="21958D3D" w:rsidR="00986075" w:rsidRPr="00477D76" w:rsidRDefault="00477D76" w:rsidP="00477D76">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 xml:space="preserve">Ability to </w:t>
            </w:r>
            <w:r w:rsidR="00E85D3D">
              <w:rPr>
                <w:rFonts w:asciiTheme="minorHAnsi" w:hAnsiTheme="minorHAnsi"/>
                <w:sz w:val="22"/>
                <w:szCs w:val="22"/>
                <w:lang w:val="en-GB"/>
              </w:rPr>
              <w:t xml:space="preserve">independently </w:t>
            </w:r>
            <w:r w:rsidRPr="00E576A4">
              <w:rPr>
                <w:rFonts w:asciiTheme="minorHAnsi" w:hAnsiTheme="minorHAnsi"/>
                <w:sz w:val="22"/>
                <w:szCs w:val="22"/>
                <w:lang w:val="en-GB"/>
              </w:rPr>
              <w:t>design and facilitate multi-stakeholder workshops</w:t>
            </w:r>
            <w:r>
              <w:rPr>
                <w:rFonts w:asciiTheme="minorHAnsi" w:hAnsiTheme="minorHAnsi"/>
                <w:sz w:val="22"/>
                <w:szCs w:val="22"/>
                <w:lang w:val="en-GB"/>
              </w:rPr>
              <w:t>;</w:t>
            </w:r>
          </w:p>
        </w:tc>
        <w:tc>
          <w:tcPr>
            <w:tcW w:w="1149" w:type="dxa"/>
            <w:shd w:val="clear" w:color="auto" w:fill="auto"/>
          </w:tcPr>
          <w:p w14:paraId="6C6836C2" w14:textId="47497D02" w:rsidR="00986075" w:rsidRDefault="00C026C1" w:rsidP="00C726A7">
            <w:pPr>
              <w:pStyle w:val="Default"/>
              <w:jc w:val="center"/>
              <w:rPr>
                <w:sz w:val="20"/>
                <w:szCs w:val="20"/>
              </w:rPr>
            </w:pPr>
            <w:r>
              <w:rPr>
                <w:sz w:val="20"/>
                <w:szCs w:val="20"/>
              </w:rPr>
              <w:t>10</w:t>
            </w:r>
          </w:p>
        </w:tc>
        <w:tc>
          <w:tcPr>
            <w:tcW w:w="1150" w:type="dxa"/>
          </w:tcPr>
          <w:p w14:paraId="75099D6B" w14:textId="77777777" w:rsidR="00986075" w:rsidRDefault="00986075" w:rsidP="00C726A7">
            <w:pPr>
              <w:pStyle w:val="Default"/>
              <w:jc w:val="center"/>
              <w:rPr>
                <w:sz w:val="20"/>
                <w:szCs w:val="20"/>
              </w:rPr>
            </w:pPr>
          </w:p>
        </w:tc>
      </w:tr>
      <w:tr w:rsidR="00986075" w:rsidRPr="006A1CA2" w14:paraId="7B3D2213" w14:textId="77777777" w:rsidTr="00C726A7">
        <w:trPr>
          <w:trHeight w:val="494"/>
        </w:trPr>
        <w:tc>
          <w:tcPr>
            <w:tcW w:w="6609" w:type="dxa"/>
            <w:shd w:val="clear" w:color="auto" w:fill="auto"/>
          </w:tcPr>
          <w:p w14:paraId="65082D68" w14:textId="0847D43C" w:rsidR="00986075" w:rsidRPr="00477D76" w:rsidRDefault="00477D76" w:rsidP="00477D76">
            <w:pPr>
              <w:pStyle w:val="NoSpacing"/>
              <w:numPr>
                <w:ilvl w:val="0"/>
                <w:numId w:val="26"/>
              </w:numPr>
              <w:rPr>
                <w:rFonts w:asciiTheme="minorHAnsi" w:hAnsiTheme="minorHAnsi"/>
                <w:sz w:val="22"/>
                <w:szCs w:val="22"/>
                <w:lang w:val="en-GB"/>
              </w:rPr>
            </w:pPr>
            <w:r>
              <w:rPr>
                <w:rFonts w:asciiTheme="minorHAnsi" w:hAnsiTheme="minorHAnsi"/>
                <w:sz w:val="22"/>
                <w:szCs w:val="22"/>
                <w:lang w:val="en-GB"/>
              </w:rPr>
              <w:t>G</w:t>
            </w:r>
            <w:r w:rsidRPr="00E576A4">
              <w:rPr>
                <w:rFonts w:asciiTheme="minorHAnsi" w:hAnsiTheme="minorHAnsi"/>
                <w:sz w:val="22"/>
                <w:szCs w:val="22"/>
                <w:lang w:val="en-GB"/>
              </w:rPr>
              <w:t xml:space="preserve">ood understanding and knowledge of </w:t>
            </w:r>
            <w:r>
              <w:rPr>
                <w:rFonts w:asciiTheme="minorHAnsi" w:hAnsiTheme="minorHAnsi"/>
                <w:sz w:val="22"/>
                <w:szCs w:val="22"/>
                <w:lang w:val="en-GB"/>
              </w:rPr>
              <w:t>environment sector financing</w:t>
            </w:r>
            <w:r w:rsidRPr="00E576A4">
              <w:rPr>
                <w:rFonts w:asciiTheme="minorHAnsi" w:hAnsiTheme="minorHAnsi"/>
                <w:sz w:val="22"/>
                <w:szCs w:val="22"/>
                <w:lang w:val="en-GB"/>
              </w:rPr>
              <w:t xml:space="preserve"> issues in the Pacific region will be an asset</w:t>
            </w:r>
            <w:r>
              <w:rPr>
                <w:rFonts w:asciiTheme="minorHAnsi" w:hAnsiTheme="minorHAnsi"/>
                <w:sz w:val="22"/>
                <w:szCs w:val="22"/>
                <w:lang w:val="en-GB"/>
              </w:rPr>
              <w:t>;</w:t>
            </w:r>
          </w:p>
        </w:tc>
        <w:tc>
          <w:tcPr>
            <w:tcW w:w="1149" w:type="dxa"/>
            <w:shd w:val="clear" w:color="auto" w:fill="auto"/>
          </w:tcPr>
          <w:p w14:paraId="05C2CE8B" w14:textId="522C6117" w:rsidR="00986075" w:rsidRDefault="00BB638B" w:rsidP="00C726A7">
            <w:pPr>
              <w:pStyle w:val="Default"/>
              <w:jc w:val="center"/>
              <w:rPr>
                <w:sz w:val="20"/>
                <w:szCs w:val="20"/>
              </w:rPr>
            </w:pPr>
            <w:r>
              <w:rPr>
                <w:sz w:val="20"/>
                <w:szCs w:val="20"/>
              </w:rPr>
              <w:t>5</w:t>
            </w:r>
          </w:p>
        </w:tc>
        <w:tc>
          <w:tcPr>
            <w:tcW w:w="1150" w:type="dxa"/>
          </w:tcPr>
          <w:p w14:paraId="1D7A6338" w14:textId="77777777" w:rsidR="00986075" w:rsidRDefault="00986075" w:rsidP="00C726A7">
            <w:pPr>
              <w:pStyle w:val="Default"/>
              <w:jc w:val="center"/>
              <w:rPr>
                <w:sz w:val="20"/>
                <w:szCs w:val="20"/>
              </w:rPr>
            </w:pPr>
          </w:p>
        </w:tc>
      </w:tr>
      <w:tr w:rsidR="00477D76" w:rsidRPr="006A1CA2" w14:paraId="39A27561" w14:textId="77777777" w:rsidTr="00C726A7">
        <w:trPr>
          <w:trHeight w:val="494"/>
        </w:trPr>
        <w:tc>
          <w:tcPr>
            <w:tcW w:w="6609" w:type="dxa"/>
            <w:shd w:val="clear" w:color="auto" w:fill="auto"/>
          </w:tcPr>
          <w:p w14:paraId="0F52D2DD" w14:textId="2413C71A" w:rsidR="00477D76" w:rsidRDefault="00477D76" w:rsidP="00477D76">
            <w:pPr>
              <w:pStyle w:val="NoSpacing"/>
              <w:numPr>
                <w:ilvl w:val="0"/>
                <w:numId w:val="26"/>
              </w:numPr>
              <w:rPr>
                <w:rFonts w:asciiTheme="minorHAnsi" w:hAnsiTheme="minorHAnsi"/>
                <w:sz w:val="22"/>
                <w:szCs w:val="22"/>
                <w:lang w:val="en-GB"/>
              </w:rPr>
            </w:pPr>
            <w:r w:rsidRPr="00477D76">
              <w:rPr>
                <w:rFonts w:asciiTheme="minorHAnsi" w:eastAsia="SymbolMT" w:hAnsiTheme="minorHAnsi" w:cs="SymbolMT"/>
                <w:sz w:val="22"/>
                <w:szCs w:val="20"/>
              </w:rPr>
              <w:t>Knowledge of, and adherence to GEF’s principles and guidelines for engagement with indigenous peoples.</w:t>
            </w:r>
          </w:p>
        </w:tc>
        <w:tc>
          <w:tcPr>
            <w:tcW w:w="1149" w:type="dxa"/>
            <w:shd w:val="clear" w:color="auto" w:fill="auto"/>
          </w:tcPr>
          <w:p w14:paraId="77701829" w14:textId="71E0D4B9" w:rsidR="00477D76" w:rsidRDefault="00477D76" w:rsidP="00477D76">
            <w:pPr>
              <w:pStyle w:val="Default"/>
              <w:jc w:val="center"/>
              <w:rPr>
                <w:sz w:val="20"/>
                <w:szCs w:val="20"/>
              </w:rPr>
            </w:pPr>
            <w:r>
              <w:rPr>
                <w:sz w:val="20"/>
                <w:szCs w:val="20"/>
              </w:rPr>
              <w:t>5</w:t>
            </w:r>
          </w:p>
        </w:tc>
        <w:tc>
          <w:tcPr>
            <w:tcW w:w="1150" w:type="dxa"/>
          </w:tcPr>
          <w:p w14:paraId="225BDFB9" w14:textId="77777777" w:rsidR="00477D76" w:rsidRDefault="00477D76" w:rsidP="00477D76">
            <w:pPr>
              <w:pStyle w:val="Default"/>
              <w:jc w:val="center"/>
              <w:rPr>
                <w:sz w:val="20"/>
                <w:szCs w:val="20"/>
              </w:rPr>
            </w:pPr>
          </w:p>
        </w:tc>
      </w:tr>
      <w:tr w:rsidR="00477D76" w:rsidRPr="006A1CA2" w14:paraId="4B831B34" w14:textId="77777777" w:rsidTr="00C726A7">
        <w:tc>
          <w:tcPr>
            <w:tcW w:w="6609" w:type="dxa"/>
            <w:shd w:val="clear" w:color="auto" w:fill="auto"/>
          </w:tcPr>
          <w:p w14:paraId="6B5DE181" w14:textId="77777777" w:rsidR="00477D76" w:rsidRPr="00AC39CB" w:rsidRDefault="00477D76" w:rsidP="00477D76">
            <w:pPr>
              <w:autoSpaceDE w:val="0"/>
              <w:autoSpaceDN w:val="0"/>
              <w:adjustRightInd w:val="0"/>
              <w:rPr>
                <w:rFonts w:ascii="Calibri" w:hAnsi="Calibri" w:cs="Calibri"/>
                <w:b/>
              </w:rPr>
            </w:pPr>
            <w:r w:rsidRPr="00AC39CB">
              <w:rPr>
                <w:rFonts w:ascii="Calibri" w:hAnsi="Calibri"/>
                <w:b/>
              </w:rPr>
              <w:t>Competencies</w:t>
            </w:r>
          </w:p>
        </w:tc>
        <w:tc>
          <w:tcPr>
            <w:tcW w:w="1149" w:type="dxa"/>
            <w:shd w:val="clear" w:color="auto" w:fill="auto"/>
          </w:tcPr>
          <w:p w14:paraId="0BA0FAB1" w14:textId="77777777" w:rsidR="00477D76" w:rsidRPr="00A8459A" w:rsidRDefault="00477D76" w:rsidP="00477D76">
            <w:pPr>
              <w:pStyle w:val="Default"/>
              <w:jc w:val="center"/>
              <w:rPr>
                <w:sz w:val="20"/>
                <w:szCs w:val="20"/>
              </w:rPr>
            </w:pPr>
          </w:p>
        </w:tc>
        <w:tc>
          <w:tcPr>
            <w:tcW w:w="1150" w:type="dxa"/>
          </w:tcPr>
          <w:p w14:paraId="39BE1046" w14:textId="5BE9C49C" w:rsidR="00477D76" w:rsidRPr="00AC39CB" w:rsidRDefault="00477D76" w:rsidP="00477D76">
            <w:pPr>
              <w:pStyle w:val="Default"/>
              <w:jc w:val="center"/>
              <w:rPr>
                <w:b/>
                <w:sz w:val="20"/>
                <w:szCs w:val="20"/>
              </w:rPr>
            </w:pPr>
            <w:r>
              <w:rPr>
                <w:b/>
                <w:sz w:val="20"/>
                <w:szCs w:val="20"/>
              </w:rPr>
              <w:t>10</w:t>
            </w:r>
            <w:r w:rsidRPr="00AC39CB">
              <w:rPr>
                <w:b/>
                <w:sz w:val="20"/>
                <w:szCs w:val="20"/>
              </w:rPr>
              <w:t>%</w:t>
            </w:r>
          </w:p>
        </w:tc>
      </w:tr>
      <w:tr w:rsidR="00477D76" w:rsidRPr="006A1CA2" w14:paraId="69B5377F" w14:textId="77777777" w:rsidTr="00BB638B">
        <w:trPr>
          <w:trHeight w:val="1244"/>
        </w:trPr>
        <w:tc>
          <w:tcPr>
            <w:tcW w:w="6609" w:type="dxa"/>
            <w:shd w:val="clear" w:color="auto" w:fill="auto"/>
          </w:tcPr>
          <w:p w14:paraId="16195346" w14:textId="77777777" w:rsidR="00477D76" w:rsidRPr="00E576A4" w:rsidRDefault="00477D76" w:rsidP="00477D76">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Demonstrates integrity by modelling the UN values and ethical standards</w:t>
            </w:r>
            <w:r>
              <w:rPr>
                <w:rFonts w:asciiTheme="minorHAnsi" w:hAnsiTheme="minorHAnsi"/>
                <w:sz w:val="22"/>
                <w:szCs w:val="22"/>
                <w:lang w:val="en-GB"/>
              </w:rPr>
              <w:t xml:space="preserve">; </w:t>
            </w:r>
          </w:p>
          <w:p w14:paraId="649C6C5C" w14:textId="77777777" w:rsidR="00477D76" w:rsidRPr="00E576A4" w:rsidRDefault="00477D76" w:rsidP="00477D76">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Displays cultural, gender, religion, race, nationality and age sensitivity and adaptability</w:t>
            </w:r>
            <w:r>
              <w:rPr>
                <w:rFonts w:asciiTheme="minorHAnsi" w:hAnsiTheme="minorHAnsi"/>
                <w:sz w:val="22"/>
                <w:szCs w:val="22"/>
                <w:lang w:val="en-GB"/>
              </w:rPr>
              <w:t>; and</w:t>
            </w:r>
          </w:p>
          <w:p w14:paraId="5FF5EDA5" w14:textId="77777777" w:rsidR="00477D76" w:rsidRPr="00E576A4" w:rsidRDefault="00477D76" w:rsidP="00477D76">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Treats all people fairly without fear or favour</w:t>
            </w:r>
            <w:r>
              <w:rPr>
                <w:rFonts w:asciiTheme="minorHAnsi" w:hAnsiTheme="minorHAnsi"/>
                <w:sz w:val="22"/>
                <w:szCs w:val="22"/>
                <w:lang w:val="en-GB"/>
              </w:rPr>
              <w:t>.</w:t>
            </w:r>
          </w:p>
          <w:p w14:paraId="576B9D2F" w14:textId="77777777" w:rsidR="00477D76" w:rsidRPr="00E576A4" w:rsidRDefault="00477D76" w:rsidP="00477D76">
            <w:pPr>
              <w:numPr>
                <w:ilvl w:val="0"/>
                <w:numId w:val="26"/>
              </w:numPr>
              <w:autoSpaceDE w:val="0"/>
              <w:autoSpaceDN w:val="0"/>
              <w:adjustRightInd w:val="0"/>
              <w:spacing w:after="0" w:line="240" w:lineRule="auto"/>
              <w:jc w:val="both"/>
              <w:rPr>
                <w:rFonts w:eastAsia="Calibri"/>
              </w:rPr>
            </w:pPr>
            <w:r w:rsidRPr="00E576A4">
              <w:rPr>
                <w:rFonts w:eastAsia="Calibri"/>
              </w:rPr>
              <w:t>Excellent speaking and writing skills in English are necessary</w:t>
            </w:r>
            <w:r>
              <w:rPr>
                <w:rFonts w:eastAsia="Calibri"/>
              </w:rPr>
              <w:t>;</w:t>
            </w:r>
          </w:p>
          <w:p w14:paraId="5679E8F8" w14:textId="35E080C4" w:rsidR="00477D76" w:rsidRPr="00E576A4" w:rsidRDefault="00477D76" w:rsidP="00477D76">
            <w:pPr>
              <w:numPr>
                <w:ilvl w:val="0"/>
                <w:numId w:val="26"/>
              </w:numPr>
              <w:autoSpaceDE w:val="0"/>
              <w:autoSpaceDN w:val="0"/>
              <w:adjustRightInd w:val="0"/>
              <w:spacing w:after="0" w:line="240" w:lineRule="auto"/>
              <w:jc w:val="both"/>
              <w:rPr>
                <w:rFonts w:eastAsia="Calibri"/>
              </w:rPr>
            </w:pPr>
            <w:r w:rsidRPr="00E576A4">
              <w:rPr>
                <w:rFonts w:eastAsia="Calibri"/>
              </w:rPr>
              <w:t xml:space="preserve">High level planning, organizational and time management skills, including flexibility, attention to detail and the ability to work under pressure to meet challenging </w:t>
            </w:r>
            <w:r w:rsidR="008C4A69" w:rsidRPr="00E576A4">
              <w:rPr>
                <w:rFonts w:eastAsia="Calibri"/>
              </w:rPr>
              <w:t>dead</w:t>
            </w:r>
            <w:r w:rsidR="008C4A69">
              <w:rPr>
                <w:rFonts w:eastAsia="Calibri"/>
              </w:rPr>
              <w:t>l</w:t>
            </w:r>
            <w:r w:rsidR="008C4A69" w:rsidRPr="00E576A4">
              <w:rPr>
                <w:rFonts w:eastAsia="Calibri"/>
              </w:rPr>
              <w:t>ines;</w:t>
            </w:r>
          </w:p>
          <w:p w14:paraId="1DEB4438" w14:textId="15EC7FF2" w:rsidR="00477D76" w:rsidRPr="00E576A4" w:rsidRDefault="00477D76" w:rsidP="00477D76">
            <w:pPr>
              <w:numPr>
                <w:ilvl w:val="0"/>
                <w:numId w:val="26"/>
              </w:numPr>
              <w:autoSpaceDE w:val="0"/>
              <w:autoSpaceDN w:val="0"/>
              <w:adjustRightInd w:val="0"/>
              <w:spacing w:after="0" w:line="240" w:lineRule="auto"/>
              <w:jc w:val="both"/>
              <w:rPr>
                <w:rFonts w:eastAsia="Calibri"/>
              </w:rPr>
            </w:pPr>
            <w:r w:rsidRPr="00E576A4">
              <w:rPr>
                <w:rFonts w:eastAsia="Calibri"/>
              </w:rPr>
              <w:t>Analytical and problem solving skills of a high order, including the ability to formulate recommendations and advice senior management on tackling difficult scenarios;</w:t>
            </w:r>
          </w:p>
          <w:p w14:paraId="65A4CED1" w14:textId="77777777" w:rsidR="00477D76" w:rsidRDefault="00477D76" w:rsidP="00477D76">
            <w:pPr>
              <w:numPr>
                <w:ilvl w:val="0"/>
                <w:numId w:val="26"/>
              </w:numPr>
              <w:autoSpaceDE w:val="0"/>
              <w:autoSpaceDN w:val="0"/>
              <w:adjustRightInd w:val="0"/>
              <w:spacing w:after="0" w:line="240" w:lineRule="auto"/>
              <w:jc w:val="both"/>
              <w:rPr>
                <w:rFonts w:eastAsia="Calibri"/>
              </w:rPr>
            </w:pPr>
            <w:r w:rsidRPr="00E576A4">
              <w:rPr>
                <w:rFonts w:eastAsia="Calibri"/>
              </w:rPr>
              <w:t>Leadership qualities, including the ability to make sound judgment, meet challenges constructively and creatively</w:t>
            </w:r>
            <w:r>
              <w:rPr>
                <w:rFonts w:eastAsia="Calibri"/>
              </w:rPr>
              <w:t>;</w:t>
            </w:r>
          </w:p>
          <w:p w14:paraId="7E9F03C9" w14:textId="77777777" w:rsidR="00477D76" w:rsidRPr="000E401A" w:rsidRDefault="00477D76" w:rsidP="00477D76">
            <w:pPr>
              <w:pStyle w:val="NoSpacing"/>
              <w:numPr>
                <w:ilvl w:val="0"/>
                <w:numId w:val="26"/>
              </w:numPr>
              <w:rPr>
                <w:rFonts w:asciiTheme="minorHAnsi" w:hAnsiTheme="minorHAnsi"/>
                <w:sz w:val="22"/>
                <w:szCs w:val="22"/>
                <w:lang w:val="en-GB"/>
              </w:rPr>
            </w:pPr>
            <w:r w:rsidRPr="00E576A4">
              <w:rPr>
                <w:rFonts w:asciiTheme="minorHAnsi" w:hAnsiTheme="minorHAnsi"/>
                <w:sz w:val="22"/>
                <w:szCs w:val="22"/>
                <w:lang w:val="en-GB"/>
              </w:rPr>
              <w:t xml:space="preserve">Excellent interpersonal skills, including ability to establish strong cooperative relationships with senior government officials, civil society and donors. </w:t>
            </w:r>
          </w:p>
          <w:p w14:paraId="35612A62" w14:textId="77777777" w:rsidR="00477D76" w:rsidRDefault="00477D76" w:rsidP="00477D76">
            <w:pPr>
              <w:numPr>
                <w:ilvl w:val="0"/>
                <w:numId w:val="26"/>
              </w:numPr>
              <w:spacing w:after="0" w:line="240" w:lineRule="auto"/>
              <w:jc w:val="both"/>
            </w:pPr>
            <w:r w:rsidRPr="00E576A4">
              <w:t>Ability to quickly adapt to change, an</w:t>
            </w:r>
            <w:r>
              <w:t>d to remain calm under pressure; and</w:t>
            </w:r>
          </w:p>
          <w:p w14:paraId="4433E7F2" w14:textId="65E205AD" w:rsidR="00477D76" w:rsidRPr="001335F7" w:rsidRDefault="00477D76" w:rsidP="001335F7">
            <w:pPr>
              <w:numPr>
                <w:ilvl w:val="0"/>
                <w:numId w:val="26"/>
              </w:numPr>
              <w:spacing w:after="0" w:line="240" w:lineRule="auto"/>
              <w:jc w:val="both"/>
            </w:pPr>
            <w:r w:rsidRPr="002560C9">
              <w:rPr>
                <w:rFonts w:eastAsia="Calibri"/>
              </w:rPr>
              <w:t>Proven cross-cultural communication</w:t>
            </w:r>
            <w:r>
              <w:rPr>
                <w:rFonts w:eastAsia="Calibri"/>
              </w:rPr>
              <w:t xml:space="preserve"> and the ability</w:t>
            </w:r>
            <w:r w:rsidRPr="002560C9">
              <w:rPr>
                <w:rFonts w:eastAsia="Calibri"/>
              </w:rPr>
              <w:t xml:space="preserve"> to function effectively in an international, multicultural environment.</w:t>
            </w:r>
          </w:p>
        </w:tc>
        <w:tc>
          <w:tcPr>
            <w:tcW w:w="1149" w:type="dxa"/>
            <w:shd w:val="clear" w:color="auto" w:fill="auto"/>
          </w:tcPr>
          <w:p w14:paraId="1656151E" w14:textId="18B512BA" w:rsidR="00477D76" w:rsidRDefault="00477D76" w:rsidP="00477D76">
            <w:pPr>
              <w:pStyle w:val="Default"/>
              <w:jc w:val="center"/>
              <w:rPr>
                <w:sz w:val="20"/>
                <w:szCs w:val="20"/>
              </w:rPr>
            </w:pPr>
            <w:r>
              <w:rPr>
                <w:sz w:val="20"/>
                <w:szCs w:val="20"/>
              </w:rPr>
              <w:t>1</w:t>
            </w:r>
          </w:p>
          <w:p w14:paraId="759C2C54" w14:textId="64E0277E" w:rsidR="00477D76" w:rsidRDefault="00477D76" w:rsidP="00477D76">
            <w:pPr>
              <w:pStyle w:val="Default"/>
              <w:jc w:val="center"/>
              <w:rPr>
                <w:sz w:val="20"/>
                <w:szCs w:val="20"/>
              </w:rPr>
            </w:pPr>
          </w:p>
          <w:p w14:paraId="7F74F071" w14:textId="5CC6385E" w:rsidR="00477D76" w:rsidRDefault="00477D76" w:rsidP="00477D76">
            <w:pPr>
              <w:pStyle w:val="Default"/>
              <w:jc w:val="center"/>
              <w:rPr>
                <w:sz w:val="20"/>
                <w:szCs w:val="20"/>
              </w:rPr>
            </w:pPr>
            <w:r>
              <w:rPr>
                <w:sz w:val="20"/>
                <w:szCs w:val="20"/>
              </w:rPr>
              <w:t>1</w:t>
            </w:r>
          </w:p>
          <w:p w14:paraId="5FF4E0F9" w14:textId="4C056A79" w:rsidR="00477D76" w:rsidRDefault="00477D76" w:rsidP="00477D76">
            <w:pPr>
              <w:pStyle w:val="Default"/>
              <w:rPr>
                <w:sz w:val="20"/>
                <w:szCs w:val="20"/>
              </w:rPr>
            </w:pPr>
          </w:p>
          <w:p w14:paraId="06D28080" w14:textId="22174702" w:rsidR="001335F7" w:rsidRDefault="001335F7" w:rsidP="00477D76">
            <w:pPr>
              <w:pStyle w:val="Default"/>
              <w:rPr>
                <w:sz w:val="20"/>
                <w:szCs w:val="20"/>
              </w:rPr>
            </w:pPr>
          </w:p>
          <w:p w14:paraId="720BE0B4" w14:textId="0C59190C" w:rsidR="001335F7" w:rsidRDefault="001335F7" w:rsidP="001335F7">
            <w:pPr>
              <w:pStyle w:val="Default"/>
              <w:jc w:val="center"/>
              <w:rPr>
                <w:sz w:val="20"/>
                <w:szCs w:val="20"/>
              </w:rPr>
            </w:pPr>
            <w:r>
              <w:rPr>
                <w:sz w:val="20"/>
                <w:szCs w:val="20"/>
              </w:rPr>
              <w:t>1</w:t>
            </w:r>
          </w:p>
          <w:p w14:paraId="5067AAE4" w14:textId="322DB496" w:rsidR="00477D76" w:rsidRDefault="00477D76" w:rsidP="00477D76">
            <w:pPr>
              <w:pStyle w:val="Default"/>
              <w:jc w:val="center"/>
              <w:rPr>
                <w:sz w:val="20"/>
                <w:szCs w:val="20"/>
              </w:rPr>
            </w:pPr>
            <w:r>
              <w:rPr>
                <w:sz w:val="20"/>
                <w:szCs w:val="20"/>
              </w:rPr>
              <w:t>1</w:t>
            </w:r>
          </w:p>
          <w:p w14:paraId="738E9749" w14:textId="77777777" w:rsidR="00477D76" w:rsidRDefault="00477D76" w:rsidP="00477D76">
            <w:pPr>
              <w:pStyle w:val="Default"/>
              <w:jc w:val="center"/>
              <w:rPr>
                <w:sz w:val="20"/>
                <w:szCs w:val="20"/>
              </w:rPr>
            </w:pPr>
            <w:r>
              <w:rPr>
                <w:sz w:val="20"/>
                <w:szCs w:val="20"/>
              </w:rPr>
              <w:t>1</w:t>
            </w:r>
          </w:p>
          <w:p w14:paraId="2255169F" w14:textId="525C0249" w:rsidR="00477D76" w:rsidRDefault="00477D76" w:rsidP="00477D76">
            <w:pPr>
              <w:pStyle w:val="Default"/>
              <w:rPr>
                <w:sz w:val="20"/>
                <w:szCs w:val="20"/>
              </w:rPr>
            </w:pPr>
          </w:p>
          <w:p w14:paraId="443385B2" w14:textId="77777777" w:rsidR="001335F7" w:rsidRDefault="001335F7" w:rsidP="00477D76">
            <w:pPr>
              <w:pStyle w:val="Default"/>
              <w:jc w:val="center"/>
              <w:rPr>
                <w:sz w:val="20"/>
                <w:szCs w:val="20"/>
              </w:rPr>
            </w:pPr>
          </w:p>
          <w:p w14:paraId="573638B3" w14:textId="77777777" w:rsidR="001335F7" w:rsidRDefault="001335F7" w:rsidP="00477D76">
            <w:pPr>
              <w:pStyle w:val="Default"/>
              <w:jc w:val="center"/>
              <w:rPr>
                <w:sz w:val="20"/>
                <w:szCs w:val="20"/>
              </w:rPr>
            </w:pPr>
          </w:p>
          <w:p w14:paraId="19C9A55D" w14:textId="11467654" w:rsidR="00477D76" w:rsidRDefault="00477D76" w:rsidP="00477D76">
            <w:pPr>
              <w:pStyle w:val="Default"/>
              <w:jc w:val="center"/>
              <w:rPr>
                <w:sz w:val="20"/>
                <w:szCs w:val="20"/>
              </w:rPr>
            </w:pPr>
            <w:r>
              <w:rPr>
                <w:sz w:val="20"/>
                <w:szCs w:val="20"/>
              </w:rPr>
              <w:t>1</w:t>
            </w:r>
          </w:p>
          <w:p w14:paraId="05AB5743" w14:textId="77777777" w:rsidR="00477D76" w:rsidRDefault="00477D76" w:rsidP="00477D76">
            <w:pPr>
              <w:pStyle w:val="Default"/>
              <w:jc w:val="center"/>
              <w:rPr>
                <w:sz w:val="20"/>
                <w:szCs w:val="20"/>
              </w:rPr>
            </w:pPr>
          </w:p>
          <w:p w14:paraId="1C4BD762" w14:textId="77777777" w:rsidR="00477D76" w:rsidRDefault="00477D76" w:rsidP="00477D76">
            <w:pPr>
              <w:pStyle w:val="Default"/>
              <w:jc w:val="center"/>
              <w:rPr>
                <w:sz w:val="20"/>
                <w:szCs w:val="20"/>
              </w:rPr>
            </w:pPr>
          </w:p>
          <w:p w14:paraId="3EE685C2" w14:textId="53486B5E" w:rsidR="00477D76" w:rsidRDefault="00477D76" w:rsidP="00477D76">
            <w:pPr>
              <w:pStyle w:val="Default"/>
              <w:jc w:val="center"/>
              <w:rPr>
                <w:sz w:val="20"/>
                <w:szCs w:val="20"/>
              </w:rPr>
            </w:pPr>
            <w:r>
              <w:rPr>
                <w:sz w:val="20"/>
                <w:szCs w:val="20"/>
              </w:rPr>
              <w:t>1</w:t>
            </w:r>
          </w:p>
          <w:p w14:paraId="4ECC31EC" w14:textId="77777777" w:rsidR="00477D76" w:rsidRDefault="00477D76" w:rsidP="00477D76">
            <w:pPr>
              <w:pStyle w:val="Default"/>
              <w:jc w:val="center"/>
              <w:rPr>
                <w:sz w:val="20"/>
                <w:szCs w:val="20"/>
              </w:rPr>
            </w:pPr>
          </w:p>
          <w:p w14:paraId="75FD5DD4" w14:textId="77777777" w:rsidR="00477D76" w:rsidRDefault="00477D76" w:rsidP="00477D76">
            <w:pPr>
              <w:pStyle w:val="Default"/>
              <w:jc w:val="center"/>
              <w:rPr>
                <w:sz w:val="20"/>
                <w:szCs w:val="20"/>
              </w:rPr>
            </w:pPr>
          </w:p>
          <w:p w14:paraId="140C7FDA" w14:textId="5F0C4D46" w:rsidR="00477D76" w:rsidRDefault="00477D76" w:rsidP="00477D76">
            <w:pPr>
              <w:pStyle w:val="Default"/>
              <w:jc w:val="center"/>
              <w:rPr>
                <w:sz w:val="20"/>
                <w:szCs w:val="20"/>
              </w:rPr>
            </w:pPr>
            <w:r>
              <w:rPr>
                <w:sz w:val="20"/>
                <w:szCs w:val="20"/>
              </w:rPr>
              <w:t>1</w:t>
            </w:r>
          </w:p>
          <w:p w14:paraId="56F5653E" w14:textId="57D4B545" w:rsidR="00477D76" w:rsidRDefault="00477D76" w:rsidP="00477D76">
            <w:pPr>
              <w:pStyle w:val="Default"/>
              <w:jc w:val="center"/>
              <w:rPr>
                <w:sz w:val="20"/>
                <w:szCs w:val="20"/>
              </w:rPr>
            </w:pPr>
          </w:p>
          <w:p w14:paraId="3CF594E3" w14:textId="77777777" w:rsidR="001335F7" w:rsidRDefault="001335F7" w:rsidP="00477D76">
            <w:pPr>
              <w:pStyle w:val="Default"/>
              <w:jc w:val="center"/>
              <w:rPr>
                <w:sz w:val="20"/>
                <w:szCs w:val="20"/>
              </w:rPr>
            </w:pPr>
          </w:p>
          <w:p w14:paraId="4C9AF80A" w14:textId="77777777" w:rsidR="001335F7" w:rsidRDefault="001335F7" w:rsidP="00477D76">
            <w:pPr>
              <w:pStyle w:val="Default"/>
              <w:jc w:val="center"/>
              <w:rPr>
                <w:sz w:val="20"/>
                <w:szCs w:val="20"/>
              </w:rPr>
            </w:pPr>
          </w:p>
          <w:p w14:paraId="163AEE50" w14:textId="6214A215" w:rsidR="00477D76" w:rsidRDefault="00477D76" w:rsidP="00477D76">
            <w:pPr>
              <w:pStyle w:val="Default"/>
              <w:jc w:val="center"/>
              <w:rPr>
                <w:sz w:val="20"/>
                <w:szCs w:val="20"/>
              </w:rPr>
            </w:pPr>
            <w:r>
              <w:rPr>
                <w:sz w:val="20"/>
                <w:szCs w:val="20"/>
              </w:rPr>
              <w:t>1</w:t>
            </w:r>
          </w:p>
          <w:p w14:paraId="5C116B4D" w14:textId="0990543B" w:rsidR="00477D76" w:rsidRDefault="00477D76" w:rsidP="00477D76">
            <w:pPr>
              <w:pStyle w:val="Default"/>
              <w:jc w:val="center"/>
              <w:rPr>
                <w:sz w:val="20"/>
                <w:szCs w:val="20"/>
              </w:rPr>
            </w:pPr>
          </w:p>
          <w:p w14:paraId="703C68BD" w14:textId="1C5C9D36" w:rsidR="00477D76" w:rsidRDefault="00477D76" w:rsidP="001335F7">
            <w:pPr>
              <w:pStyle w:val="Default"/>
              <w:jc w:val="center"/>
              <w:rPr>
                <w:sz w:val="20"/>
                <w:szCs w:val="20"/>
              </w:rPr>
            </w:pPr>
            <w:r>
              <w:rPr>
                <w:sz w:val="20"/>
                <w:szCs w:val="20"/>
              </w:rPr>
              <w:t>1</w:t>
            </w:r>
          </w:p>
        </w:tc>
        <w:tc>
          <w:tcPr>
            <w:tcW w:w="1150" w:type="dxa"/>
          </w:tcPr>
          <w:p w14:paraId="588B0E6C" w14:textId="77777777" w:rsidR="00477D76" w:rsidRDefault="00477D76" w:rsidP="00477D76">
            <w:pPr>
              <w:pStyle w:val="Default"/>
              <w:jc w:val="center"/>
              <w:rPr>
                <w:sz w:val="20"/>
                <w:szCs w:val="20"/>
              </w:rPr>
            </w:pPr>
          </w:p>
        </w:tc>
      </w:tr>
      <w:tr w:rsidR="00477D76" w:rsidRPr="006A1CA2" w14:paraId="71659480" w14:textId="77777777" w:rsidTr="00C726A7">
        <w:tc>
          <w:tcPr>
            <w:tcW w:w="6609" w:type="dxa"/>
            <w:shd w:val="clear" w:color="auto" w:fill="auto"/>
          </w:tcPr>
          <w:p w14:paraId="681F0369" w14:textId="77777777" w:rsidR="00477D76" w:rsidRPr="006A1CA2" w:rsidRDefault="00477D76" w:rsidP="00477D76">
            <w:pPr>
              <w:pStyle w:val="Default"/>
              <w:jc w:val="both"/>
              <w:rPr>
                <w:rFonts w:eastAsia="Arial Unicode MS"/>
                <w:sz w:val="20"/>
                <w:szCs w:val="20"/>
              </w:rPr>
            </w:pPr>
            <w:r w:rsidRPr="006A1CA2">
              <w:rPr>
                <w:b/>
                <w:sz w:val="20"/>
                <w:szCs w:val="20"/>
              </w:rPr>
              <w:t>Technical Criteria</w:t>
            </w:r>
          </w:p>
        </w:tc>
        <w:tc>
          <w:tcPr>
            <w:tcW w:w="1149" w:type="dxa"/>
            <w:shd w:val="clear" w:color="auto" w:fill="auto"/>
          </w:tcPr>
          <w:p w14:paraId="08D2D227" w14:textId="77777777" w:rsidR="00477D76" w:rsidRPr="006A1CA2" w:rsidRDefault="00477D76" w:rsidP="00477D76">
            <w:pPr>
              <w:pStyle w:val="Default"/>
              <w:jc w:val="center"/>
              <w:rPr>
                <w:sz w:val="20"/>
                <w:szCs w:val="20"/>
              </w:rPr>
            </w:pPr>
          </w:p>
        </w:tc>
        <w:tc>
          <w:tcPr>
            <w:tcW w:w="1150" w:type="dxa"/>
          </w:tcPr>
          <w:p w14:paraId="1AD4D113" w14:textId="77777777" w:rsidR="00477D76" w:rsidRPr="00935004" w:rsidRDefault="00477D76" w:rsidP="00477D76">
            <w:pPr>
              <w:pStyle w:val="Default"/>
              <w:jc w:val="center"/>
              <w:rPr>
                <w:b/>
                <w:sz w:val="20"/>
                <w:szCs w:val="20"/>
              </w:rPr>
            </w:pPr>
            <w:r w:rsidRPr="00935004">
              <w:rPr>
                <w:b/>
                <w:sz w:val="20"/>
                <w:szCs w:val="20"/>
              </w:rPr>
              <w:t>70%</w:t>
            </w:r>
          </w:p>
        </w:tc>
      </w:tr>
      <w:tr w:rsidR="00477D76" w:rsidRPr="006A1CA2" w14:paraId="5C12F977" w14:textId="77777777" w:rsidTr="00C726A7">
        <w:tc>
          <w:tcPr>
            <w:tcW w:w="6609" w:type="dxa"/>
            <w:shd w:val="clear" w:color="auto" w:fill="auto"/>
          </w:tcPr>
          <w:p w14:paraId="60FEE118" w14:textId="77777777" w:rsidR="00477D76" w:rsidRPr="006A1CA2" w:rsidRDefault="00477D76" w:rsidP="00477D76">
            <w:pPr>
              <w:pStyle w:val="Default"/>
              <w:jc w:val="both"/>
              <w:rPr>
                <w:b/>
                <w:sz w:val="20"/>
                <w:szCs w:val="20"/>
              </w:rPr>
            </w:pPr>
            <w:r w:rsidRPr="00AA26B7">
              <w:rPr>
                <w:sz w:val="20"/>
                <w:szCs w:val="20"/>
              </w:rPr>
              <w:t xml:space="preserve">**If necessary interviews shall also be conducted as part of the technical evaluation to ascertain best value for money.  </w:t>
            </w:r>
          </w:p>
        </w:tc>
        <w:tc>
          <w:tcPr>
            <w:tcW w:w="1149" w:type="dxa"/>
            <w:shd w:val="clear" w:color="auto" w:fill="auto"/>
          </w:tcPr>
          <w:p w14:paraId="2D0E3375" w14:textId="77777777" w:rsidR="00477D76" w:rsidRPr="006A1CA2" w:rsidRDefault="00477D76" w:rsidP="00477D76">
            <w:pPr>
              <w:pStyle w:val="Default"/>
              <w:jc w:val="center"/>
              <w:rPr>
                <w:sz w:val="20"/>
                <w:szCs w:val="20"/>
              </w:rPr>
            </w:pPr>
          </w:p>
        </w:tc>
        <w:tc>
          <w:tcPr>
            <w:tcW w:w="1150" w:type="dxa"/>
          </w:tcPr>
          <w:p w14:paraId="14D8CBE6" w14:textId="77777777" w:rsidR="00477D76" w:rsidRPr="00935004" w:rsidRDefault="00477D76" w:rsidP="00477D76">
            <w:pPr>
              <w:pStyle w:val="Default"/>
              <w:jc w:val="center"/>
              <w:rPr>
                <w:b/>
                <w:sz w:val="20"/>
                <w:szCs w:val="20"/>
              </w:rPr>
            </w:pPr>
          </w:p>
        </w:tc>
      </w:tr>
      <w:tr w:rsidR="00477D76" w:rsidRPr="006A1CA2" w14:paraId="425BE53E" w14:textId="77777777" w:rsidTr="00C726A7">
        <w:tc>
          <w:tcPr>
            <w:tcW w:w="6609" w:type="dxa"/>
            <w:shd w:val="clear" w:color="auto" w:fill="auto"/>
          </w:tcPr>
          <w:p w14:paraId="5EF92BEF" w14:textId="77777777" w:rsidR="00477D76" w:rsidRPr="006A1CA2" w:rsidRDefault="00477D76" w:rsidP="00477D76">
            <w:pPr>
              <w:pStyle w:val="Default"/>
              <w:jc w:val="both"/>
              <w:rPr>
                <w:rFonts w:eastAsia="Arial Unicode MS"/>
                <w:b/>
                <w:sz w:val="20"/>
                <w:szCs w:val="20"/>
              </w:rPr>
            </w:pPr>
            <w:r w:rsidRPr="006A1CA2">
              <w:rPr>
                <w:rFonts w:eastAsia="Arial Unicode MS"/>
                <w:b/>
                <w:sz w:val="20"/>
                <w:szCs w:val="20"/>
              </w:rPr>
              <w:t>Financial Criteria – Lowest Price</w:t>
            </w:r>
          </w:p>
        </w:tc>
        <w:tc>
          <w:tcPr>
            <w:tcW w:w="1149" w:type="dxa"/>
            <w:shd w:val="clear" w:color="auto" w:fill="auto"/>
          </w:tcPr>
          <w:p w14:paraId="18176AA2" w14:textId="77777777" w:rsidR="00477D76" w:rsidRPr="006A1CA2" w:rsidRDefault="00477D76" w:rsidP="00477D76">
            <w:pPr>
              <w:pStyle w:val="Default"/>
              <w:jc w:val="center"/>
              <w:rPr>
                <w:sz w:val="20"/>
                <w:szCs w:val="20"/>
              </w:rPr>
            </w:pPr>
          </w:p>
        </w:tc>
        <w:tc>
          <w:tcPr>
            <w:tcW w:w="1150" w:type="dxa"/>
          </w:tcPr>
          <w:p w14:paraId="55629786" w14:textId="77777777" w:rsidR="00477D76" w:rsidRPr="00935004" w:rsidRDefault="00477D76" w:rsidP="00477D76">
            <w:pPr>
              <w:pStyle w:val="Default"/>
              <w:jc w:val="center"/>
              <w:rPr>
                <w:b/>
                <w:sz w:val="20"/>
                <w:szCs w:val="20"/>
              </w:rPr>
            </w:pPr>
            <w:r w:rsidRPr="00935004">
              <w:rPr>
                <w:b/>
                <w:sz w:val="20"/>
                <w:szCs w:val="20"/>
              </w:rPr>
              <w:t>30%</w:t>
            </w:r>
          </w:p>
        </w:tc>
      </w:tr>
      <w:tr w:rsidR="00477D76" w:rsidRPr="006A1CA2" w14:paraId="3AEF9DCF" w14:textId="77777777" w:rsidTr="00C726A7">
        <w:tc>
          <w:tcPr>
            <w:tcW w:w="6609" w:type="dxa"/>
            <w:shd w:val="clear" w:color="auto" w:fill="auto"/>
          </w:tcPr>
          <w:p w14:paraId="5A765523" w14:textId="77777777" w:rsidR="00477D76" w:rsidRPr="006A1CA2" w:rsidRDefault="00477D76" w:rsidP="00477D76">
            <w:pPr>
              <w:pStyle w:val="Default"/>
              <w:jc w:val="both"/>
              <w:rPr>
                <w:rFonts w:eastAsia="Arial Unicode MS"/>
                <w:b/>
                <w:sz w:val="20"/>
                <w:szCs w:val="20"/>
              </w:rPr>
            </w:pPr>
            <w:r w:rsidRPr="006A1CA2">
              <w:rPr>
                <w:rFonts w:eastAsia="Arial Unicode MS"/>
                <w:b/>
                <w:sz w:val="20"/>
                <w:szCs w:val="20"/>
              </w:rPr>
              <w:t>Total</w:t>
            </w:r>
          </w:p>
        </w:tc>
        <w:tc>
          <w:tcPr>
            <w:tcW w:w="1149" w:type="dxa"/>
            <w:shd w:val="clear" w:color="auto" w:fill="auto"/>
          </w:tcPr>
          <w:p w14:paraId="08AD02D9" w14:textId="77777777" w:rsidR="00477D76" w:rsidRPr="006A1CA2" w:rsidRDefault="00477D76" w:rsidP="00477D76">
            <w:pPr>
              <w:pStyle w:val="Default"/>
              <w:jc w:val="center"/>
              <w:rPr>
                <w:b/>
                <w:sz w:val="20"/>
                <w:szCs w:val="20"/>
              </w:rPr>
            </w:pPr>
          </w:p>
        </w:tc>
        <w:tc>
          <w:tcPr>
            <w:tcW w:w="1150" w:type="dxa"/>
          </w:tcPr>
          <w:p w14:paraId="7052FE38" w14:textId="77777777" w:rsidR="00477D76" w:rsidRPr="006A1CA2" w:rsidRDefault="00477D76" w:rsidP="00477D76">
            <w:pPr>
              <w:pStyle w:val="Default"/>
              <w:jc w:val="center"/>
              <w:rPr>
                <w:b/>
                <w:sz w:val="20"/>
                <w:szCs w:val="20"/>
              </w:rPr>
            </w:pPr>
            <w:r w:rsidRPr="006A1CA2">
              <w:rPr>
                <w:b/>
                <w:sz w:val="20"/>
                <w:szCs w:val="20"/>
              </w:rPr>
              <w:t>100%</w:t>
            </w:r>
          </w:p>
        </w:tc>
      </w:tr>
    </w:tbl>
    <w:p w14:paraId="6A924854" w14:textId="61F75A93" w:rsidR="00986075" w:rsidRDefault="00986075" w:rsidP="002560C9">
      <w:pPr>
        <w:jc w:val="both"/>
        <w:rPr>
          <w:rFonts w:eastAsia="Calibri"/>
        </w:rPr>
      </w:pPr>
    </w:p>
    <w:p w14:paraId="1C526E9B" w14:textId="7C5378E8" w:rsidR="00110838" w:rsidRPr="00657C8C" w:rsidRDefault="00110838" w:rsidP="00657C8C">
      <w:pPr>
        <w:autoSpaceDE w:val="0"/>
        <w:autoSpaceDN w:val="0"/>
        <w:adjustRightInd w:val="0"/>
        <w:spacing w:after="0" w:line="240" w:lineRule="auto"/>
        <w:rPr>
          <w:rFonts w:eastAsia="SymbolMT" w:cs="SymbolMT"/>
          <w:b/>
          <w:color w:val="2F5496" w:themeColor="accent5" w:themeShade="BF"/>
          <w:sz w:val="28"/>
          <w:szCs w:val="20"/>
        </w:rPr>
      </w:pPr>
      <w:r w:rsidRPr="00657C8C">
        <w:rPr>
          <w:rFonts w:eastAsia="SymbolMT" w:cs="SymbolMT"/>
          <w:b/>
          <w:color w:val="2F5496" w:themeColor="accent5" w:themeShade="BF"/>
          <w:sz w:val="28"/>
          <w:szCs w:val="20"/>
        </w:rPr>
        <w:t>Documents to be included when s</w:t>
      </w:r>
      <w:r w:rsidR="00D3651F" w:rsidRPr="00657C8C">
        <w:rPr>
          <w:rFonts w:eastAsia="SymbolMT" w:cs="SymbolMT"/>
          <w:b/>
          <w:color w:val="2F5496" w:themeColor="accent5" w:themeShade="BF"/>
          <w:sz w:val="28"/>
          <w:szCs w:val="20"/>
        </w:rPr>
        <w:t>ubmitting Consultancy Proposals</w:t>
      </w:r>
    </w:p>
    <w:p w14:paraId="2169E30A" w14:textId="77777777" w:rsidR="00110838" w:rsidRPr="004F5721" w:rsidRDefault="00110838" w:rsidP="00110838">
      <w:pPr>
        <w:pStyle w:val="p28"/>
        <w:tabs>
          <w:tab w:val="clear" w:pos="680"/>
          <w:tab w:val="clear" w:pos="1060"/>
        </w:tabs>
        <w:spacing w:line="240" w:lineRule="auto"/>
        <w:ind w:left="540" w:firstLine="0"/>
        <w:jc w:val="both"/>
        <w:rPr>
          <w:rFonts w:ascii="Calibri" w:hAnsi="Calibri"/>
          <w:sz w:val="22"/>
          <w:szCs w:val="22"/>
        </w:rPr>
      </w:pPr>
      <w:r w:rsidRPr="004F5721">
        <w:rPr>
          <w:rFonts w:ascii="Calibri" w:hAnsi="Calibri"/>
          <w:sz w:val="22"/>
          <w:szCs w:val="22"/>
        </w:rPr>
        <w:t>The following documents may be requested;</w:t>
      </w:r>
    </w:p>
    <w:p w14:paraId="7637A8FB" w14:textId="77777777" w:rsidR="00110838" w:rsidRPr="004F5721" w:rsidRDefault="00110838" w:rsidP="00110838">
      <w:pPr>
        <w:pStyle w:val="p28"/>
        <w:tabs>
          <w:tab w:val="clear" w:pos="680"/>
          <w:tab w:val="clear" w:pos="1060"/>
        </w:tabs>
        <w:spacing w:line="240" w:lineRule="auto"/>
        <w:ind w:left="540" w:firstLine="0"/>
        <w:jc w:val="both"/>
        <w:rPr>
          <w:rFonts w:ascii="Calibri" w:hAnsi="Calibri"/>
          <w:sz w:val="22"/>
          <w:szCs w:val="22"/>
        </w:rPr>
      </w:pPr>
    </w:p>
    <w:p w14:paraId="505AA7C8" w14:textId="77777777" w:rsidR="00110838" w:rsidRPr="00E576A4" w:rsidRDefault="00110838" w:rsidP="00110838">
      <w:pPr>
        <w:numPr>
          <w:ilvl w:val="0"/>
          <w:numId w:val="19"/>
        </w:numPr>
        <w:tabs>
          <w:tab w:val="left" w:pos="1080"/>
        </w:tabs>
        <w:autoSpaceDE w:val="0"/>
        <w:autoSpaceDN w:val="0"/>
        <w:adjustRightInd w:val="0"/>
        <w:spacing w:after="0" w:line="240" w:lineRule="auto"/>
        <w:ind w:left="1080"/>
        <w:jc w:val="both"/>
      </w:pPr>
      <w:r w:rsidRPr="00E576A4">
        <w:t xml:space="preserve">Duly accomplished </w:t>
      </w:r>
      <w:r w:rsidRPr="00E576A4">
        <w:rPr>
          <w:b/>
        </w:rPr>
        <w:t xml:space="preserve">Letter of Confirmation of Interest and Availability </w:t>
      </w:r>
      <w:r w:rsidRPr="00E576A4">
        <w:t>using the template provided by UNDP;</w:t>
      </w:r>
    </w:p>
    <w:p w14:paraId="40E39493" w14:textId="22B8DDF9" w:rsidR="00110838" w:rsidRDefault="00110838" w:rsidP="00110838">
      <w:pPr>
        <w:numPr>
          <w:ilvl w:val="0"/>
          <w:numId w:val="19"/>
        </w:numPr>
        <w:tabs>
          <w:tab w:val="left" w:pos="1080"/>
        </w:tabs>
        <w:autoSpaceDE w:val="0"/>
        <w:autoSpaceDN w:val="0"/>
        <w:adjustRightInd w:val="0"/>
        <w:spacing w:after="0" w:line="240" w:lineRule="auto"/>
        <w:ind w:left="1080"/>
        <w:jc w:val="both"/>
      </w:pPr>
      <w:r>
        <w:rPr>
          <w:b/>
        </w:rPr>
        <w:t>Signed</w:t>
      </w:r>
      <w:r w:rsidRPr="00E576A4">
        <w:rPr>
          <w:b/>
        </w:rPr>
        <w:t xml:space="preserve"> P11</w:t>
      </w:r>
      <w:r w:rsidRPr="00E576A4">
        <w:t>, indicating all past experience from similar projects, as well as the contact details (email and telephone number) of the Candidate and at least three (3) professional references;</w:t>
      </w:r>
    </w:p>
    <w:p w14:paraId="2928509B" w14:textId="062F8C1A" w:rsidR="00BE1AD4" w:rsidRPr="0016191A" w:rsidRDefault="00BE1AD4" w:rsidP="00BE1AD4">
      <w:pPr>
        <w:numPr>
          <w:ilvl w:val="0"/>
          <w:numId w:val="19"/>
        </w:numPr>
        <w:tabs>
          <w:tab w:val="left" w:pos="1080"/>
        </w:tabs>
        <w:autoSpaceDE w:val="0"/>
        <w:autoSpaceDN w:val="0"/>
        <w:adjustRightInd w:val="0"/>
        <w:spacing w:after="0" w:line="240" w:lineRule="auto"/>
        <w:ind w:left="1080"/>
        <w:jc w:val="both"/>
      </w:pPr>
      <w:r w:rsidRPr="0016191A">
        <w:rPr>
          <w:b/>
        </w:rPr>
        <w:t>Brief description</w:t>
      </w:r>
      <w:r w:rsidRPr="0016191A">
        <w:t xml:space="preserve"> of why the individual considers him/herself as the most suitable for the assignment, and a methodology, if applicable, on how they will approach and complete the assignment. A methodology is recommended for intellectual services, but may be omitted for support services </w:t>
      </w:r>
      <w:r w:rsidRPr="0016191A">
        <w:rPr>
          <w:i/>
        </w:rPr>
        <w:t>[Note: this is optional for support services</w:t>
      </w:r>
      <w:r w:rsidRPr="0016191A">
        <w:t xml:space="preserve">];  </w:t>
      </w:r>
    </w:p>
    <w:p w14:paraId="05913EEB" w14:textId="6DB71DD5" w:rsidR="00110838" w:rsidRPr="00D3651F" w:rsidRDefault="00110838" w:rsidP="00D3651F">
      <w:pPr>
        <w:pStyle w:val="ListParagraph"/>
        <w:numPr>
          <w:ilvl w:val="0"/>
          <w:numId w:val="19"/>
        </w:numPr>
        <w:ind w:left="1080"/>
        <w:rPr>
          <w:b/>
          <w:sz w:val="20"/>
          <w:szCs w:val="20"/>
        </w:rPr>
      </w:pPr>
      <w:r w:rsidRPr="008A2294">
        <w:rPr>
          <w:b/>
        </w:rPr>
        <w:t>Financial Proposal</w:t>
      </w:r>
      <w:r w:rsidRPr="0016191A">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r w:rsidRPr="008A2294">
        <w:rPr>
          <w:color w:val="FF0000"/>
        </w:rPr>
        <w:t xml:space="preserve">.   </w:t>
      </w:r>
      <w:r w:rsidRPr="008A2294">
        <w:rPr>
          <w:b/>
          <w:sz w:val="20"/>
          <w:szCs w:val="20"/>
        </w:rPr>
        <w:t>The financial proposal must be submitted separately from other documents.</w:t>
      </w:r>
      <w:r w:rsidR="00BE1AD4">
        <w:rPr>
          <w:b/>
          <w:sz w:val="20"/>
          <w:szCs w:val="20"/>
        </w:rPr>
        <w:t xml:space="preserve"> </w:t>
      </w:r>
      <w:r w:rsidR="00BE1AD4" w:rsidRPr="0016191A">
        <w:t>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r w:rsidR="00BE1AD4" w:rsidRPr="00BE1AD4">
        <w:rPr>
          <w:color w:val="FF0000"/>
        </w:rPr>
        <w:t xml:space="preserve">.  </w:t>
      </w:r>
    </w:p>
    <w:p w14:paraId="677461C3" w14:textId="4C0F2B6E" w:rsidR="00D3651F" w:rsidRDefault="00110838" w:rsidP="00C728DF">
      <w:pPr>
        <w:rPr>
          <w:rFonts w:ascii="Calibri" w:hAnsi="Calibri"/>
          <w:b/>
        </w:rPr>
      </w:pPr>
      <w:r w:rsidRPr="0075270B">
        <w:rPr>
          <w:rFonts w:ascii="Calibri" w:hAnsi="Calibri"/>
          <w:b/>
        </w:rPr>
        <w:t>The P11 form and Template for confirming availability and interest is available</w:t>
      </w:r>
      <w:r>
        <w:rPr>
          <w:rFonts w:ascii="Calibri" w:hAnsi="Calibri"/>
          <w:b/>
        </w:rPr>
        <w:t xml:space="preserve"> under the procurement section of</w:t>
      </w:r>
      <w:r w:rsidRPr="0075270B">
        <w:rPr>
          <w:rFonts w:ascii="Calibri" w:hAnsi="Calibri"/>
          <w:b/>
        </w:rPr>
        <w:t xml:space="preserve"> UNDP </w:t>
      </w:r>
      <w:r>
        <w:rPr>
          <w:rFonts w:ascii="Calibri" w:hAnsi="Calibri"/>
          <w:b/>
        </w:rPr>
        <w:t xml:space="preserve">PNG </w:t>
      </w:r>
      <w:r w:rsidRPr="0075270B">
        <w:rPr>
          <w:rFonts w:ascii="Calibri" w:hAnsi="Calibri"/>
          <w:b/>
        </w:rPr>
        <w:t>website (</w:t>
      </w:r>
      <w:hyperlink r:id="rId9" w:history="1">
        <w:r w:rsidRPr="004418CC">
          <w:rPr>
            <w:rStyle w:val="Hyperlink"/>
            <w:rFonts w:ascii="Calibri" w:hAnsi="Calibri"/>
            <w:b/>
          </w:rPr>
          <w:t>www.pg.undp.org</w:t>
        </w:r>
      </w:hyperlink>
      <w:r>
        <w:rPr>
          <w:rFonts w:ascii="Calibri" w:hAnsi="Calibri"/>
          <w:b/>
        </w:rPr>
        <w:t xml:space="preserve"> </w:t>
      </w:r>
      <w:r w:rsidR="00C728DF">
        <w:rPr>
          <w:rFonts w:ascii="Calibri" w:hAnsi="Calibri"/>
          <w:b/>
        </w:rPr>
        <w:t xml:space="preserve">). </w:t>
      </w:r>
    </w:p>
    <w:p w14:paraId="7271D9E6" w14:textId="4F5ABF94" w:rsidR="00110838" w:rsidRPr="00657C8C" w:rsidRDefault="00110838" w:rsidP="00657C8C">
      <w:pPr>
        <w:autoSpaceDE w:val="0"/>
        <w:autoSpaceDN w:val="0"/>
        <w:adjustRightInd w:val="0"/>
        <w:spacing w:after="0" w:line="240" w:lineRule="auto"/>
        <w:rPr>
          <w:rFonts w:eastAsia="SymbolMT" w:cs="SymbolMT"/>
          <w:b/>
          <w:color w:val="2F5496" w:themeColor="accent5" w:themeShade="BF"/>
          <w:sz w:val="28"/>
          <w:szCs w:val="20"/>
        </w:rPr>
      </w:pPr>
      <w:r w:rsidRPr="00657C8C">
        <w:rPr>
          <w:rFonts w:eastAsia="SymbolMT" w:cs="SymbolMT"/>
          <w:b/>
          <w:color w:val="2F5496" w:themeColor="accent5" w:themeShade="BF"/>
          <w:sz w:val="28"/>
          <w:szCs w:val="20"/>
        </w:rPr>
        <w:t>Lump sum contracts</w:t>
      </w:r>
    </w:p>
    <w:p w14:paraId="14C150A8" w14:textId="77777777" w:rsidR="00110838" w:rsidRPr="001163A9" w:rsidRDefault="00110838" w:rsidP="00110838">
      <w:pPr>
        <w:spacing w:line="288" w:lineRule="auto"/>
        <w:rPr>
          <w:rFonts w:ascii="Calibri" w:hAnsi="Calibri"/>
        </w:rPr>
      </w:pPr>
      <w:r w:rsidRPr="0075270B">
        <w:rPr>
          <w:rFonts w:ascii="Calibri" w:hAnsi="Calibri"/>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living expenses, and number of anticipated working days).  </w:t>
      </w:r>
    </w:p>
    <w:p w14:paraId="573FF97F" w14:textId="49CD7C24" w:rsidR="00110838" w:rsidRPr="00657C8C" w:rsidRDefault="00FE1ADA" w:rsidP="00657C8C">
      <w:pPr>
        <w:autoSpaceDE w:val="0"/>
        <w:autoSpaceDN w:val="0"/>
        <w:adjustRightInd w:val="0"/>
        <w:spacing w:after="0" w:line="240" w:lineRule="auto"/>
        <w:rPr>
          <w:rFonts w:eastAsia="SymbolMT" w:cs="SymbolMT"/>
          <w:b/>
          <w:color w:val="2F5496" w:themeColor="accent5" w:themeShade="BF"/>
          <w:sz w:val="28"/>
          <w:szCs w:val="20"/>
        </w:rPr>
      </w:pPr>
      <w:r w:rsidRPr="00657C8C">
        <w:rPr>
          <w:rFonts w:eastAsia="SymbolMT" w:cs="SymbolMT"/>
          <w:b/>
          <w:color w:val="2F5496" w:themeColor="accent5" w:themeShade="BF"/>
          <w:sz w:val="28"/>
          <w:szCs w:val="20"/>
        </w:rPr>
        <w:t>Travel</w:t>
      </w:r>
    </w:p>
    <w:p w14:paraId="3797FFD3" w14:textId="65F68316" w:rsidR="00110838" w:rsidRPr="0075270B" w:rsidRDefault="00110838" w:rsidP="00110838">
      <w:pPr>
        <w:spacing w:line="288" w:lineRule="auto"/>
        <w:rPr>
          <w:rFonts w:ascii="Calibri" w:hAnsi="Calibri"/>
        </w:rPr>
      </w:pPr>
      <w:r w:rsidRPr="0075270B">
        <w:rPr>
          <w:rFonts w:ascii="Calibri" w:hAnsi="Calibri"/>
          <w:u w:val="single"/>
        </w:rPr>
        <w:t>All envisaged travel costs must be included in the financial proposal</w:t>
      </w:r>
      <w:r w:rsidRPr="0075270B">
        <w:rPr>
          <w:rFonts w:ascii="Calibri" w:hAnsi="Calibri"/>
        </w:rPr>
        <w:t>. This includes all travel to join duty station/repatriation travel.  In general, UNDP should not accept travel costs exceeding those of an economy class ticket. Should the IC wish to travel on a higher class he/she should d</w:t>
      </w:r>
      <w:r w:rsidR="007D5C60">
        <w:rPr>
          <w:rFonts w:ascii="Calibri" w:hAnsi="Calibri"/>
        </w:rPr>
        <w:t>o so using their own resources.</w:t>
      </w:r>
    </w:p>
    <w:p w14:paraId="684505C7" w14:textId="24A917E3" w:rsidR="009F50A4" w:rsidRPr="00D3651F" w:rsidRDefault="00110838" w:rsidP="00D3651F">
      <w:pPr>
        <w:jc w:val="both"/>
        <w:rPr>
          <w:rFonts w:eastAsia="Calibri"/>
        </w:rPr>
      </w:pPr>
      <w:r w:rsidRPr="0075270B">
        <w:rPr>
          <w:rFonts w:ascii="Calibri" w:hAnsi="Calibri"/>
        </w:rPr>
        <w:t>In the case of unforeseeable travel, payment of travel costs including tickets, lodging and terminal expenses should be agreed upon, between the respective business unit and Individual Consultant, prior to travel and will be reimburse</w:t>
      </w:r>
      <w:r w:rsidR="008C4A69">
        <w:rPr>
          <w:rFonts w:ascii="Calibri" w:hAnsi="Calibri"/>
        </w:rPr>
        <w:t>d based on provision of supporting documentation.</w:t>
      </w:r>
    </w:p>
    <w:p w14:paraId="6B183393" w14:textId="77777777" w:rsidR="00C349AA" w:rsidRPr="00C349AA" w:rsidRDefault="00C349AA" w:rsidP="00C349AA"/>
    <w:sectPr w:rsidR="00C349AA" w:rsidRPr="00C349AA" w:rsidSect="00436AC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66687" w14:textId="77777777" w:rsidR="00B94DE6" w:rsidRDefault="00B94DE6" w:rsidP="00AF4371">
      <w:pPr>
        <w:spacing w:after="0" w:line="240" w:lineRule="auto"/>
      </w:pPr>
      <w:r>
        <w:separator/>
      </w:r>
    </w:p>
  </w:endnote>
  <w:endnote w:type="continuationSeparator" w:id="0">
    <w:p w14:paraId="23ABB7EE" w14:textId="77777777" w:rsidR="00B94DE6" w:rsidRDefault="00B94DE6" w:rsidP="00AF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386081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889227" w14:textId="06C9A280" w:rsidR="00804E49" w:rsidRPr="006873EB" w:rsidRDefault="00804E49">
            <w:pPr>
              <w:pStyle w:val="Footer"/>
              <w:jc w:val="right"/>
              <w:rPr>
                <w:sz w:val="18"/>
                <w:szCs w:val="18"/>
              </w:rPr>
            </w:pPr>
            <w:r w:rsidRPr="006873EB">
              <w:rPr>
                <w:sz w:val="18"/>
                <w:szCs w:val="18"/>
              </w:rPr>
              <w:t xml:space="preserve">Page </w:t>
            </w:r>
            <w:r w:rsidRPr="006873EB">
              <w:rPr>
                <w:b/>
                <w:bCs/>
                <w:sz w:val="18"/>
                <w:szCs w:val="18"/>
              </w:rPr>
              <w:fldChar w:fldCharType="begin"/>
            </w:r>
            <w:r w:rsidRPr="006873EB">
              <w:rPr>
                <w:b/>
                <w:bCs/>
                <w:sz w:val="18"/>
                <w:szCs w:val="18"/>
              </w:rPr>
              <w:instrText xml:space="preserve"> PAGE </w:instrText>
            </w:r>
            <w:r w:rsidRPr="006873EB">
              <w:rPr>
                <w:b/>
                <w:bCs/>
                <w:sz w:val="18"/>
                <w:szCs w:val="18"/>
              </w:rPr>
              <w:fldChar w:fldCharType="separate"/>
            </w:r>
            <w:r w:rsidR="00C16430">
              <w:rPr>
                <w:b/>
                <w:bCs/>
                <w:noProof/>
                <w:sz w:val="18"/>
                <w:szCs w:val="18"/>
              </w:rPr>
              <w:t>9</w:t>
            </w:r>
            <w:r w:rsidRPr="006873EB">
              <w:rPr>
                <w:b/>
                <w:bCs/>
                <w:sz w:val="18"/>
                <w:szCs w:val="18"/>
              </w:rPr>
              <w:fldChar w:fldCharType="end"/>
            </w:r>
            <w:r w:rsidRPr="006873EB">
              <w:rPr>
                <w:sz w:val="18"/>
                <w:szCs w:val="18"/>
              </w:rPr>
              <w:t xml:space="preserve"> of </w:t>
            </w:r>
            <w:r w:rsidRPr="006873EB">
              <w:rPr>
                <w:b/>
                <w:bCs/>
                <w:sz w:val="18"/>
                <w:szCs w:val="18"/>
              </w:rPr>
              <w:fldChar w:fldCharType="begin"/>
            </w:r>
            <w:r w:rsidRPr="006873EB">
              <w:rPr>
                <w:b/>
                <w:bCs/>
                <w:sz w:val="18"/>
                <w:szCs w:val="18"/>
              </w:rPr>
              <w:instrText xml:space="preserve"> NUMPAGES  </w:instrText>
            </w:r>
            <w:r w:rsidRPr="006873EB">
              <w:rPr>
                <w:b/>
                <w:bCs/>
                <w:sz w:val="18"/>
                <w:szCs w:val="18"/>
              </w:rPr>
              <w:fldChar w:fldCharType="separate"/>
            </w:r>
            <w:r w:rsidR="00C16430">
              <w:rPr>
                <w:b/>
                <w:bCs/>
                <w:noProof/>
                <w:sz w:val="18"/>
                <w:szCs w:val="18"/>
              </w:rPr>
              <w:t>9</w:t>
            </w:r>
            <w:r w:rsidRPr="006873EB">
              <w:rPr>
                <w:b/>
                <w:bCs/>
                <w:sz w:val="18"/>
                <w:szCs w:val="18"/>
              </w:rPr>
              <w:fldChar w:fldCharType="end"/>
            </w:r>
          </w:p>
        </w:sdtContent>
      </w:sdt>
    </w:sdtContent>
  </w:sdt>
  <w:p w14:paraId="4E5BD8DB" w14:textId="77777777" w:rsidR="00804E49" w:rsidRDefault="0080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ADD6" w14:textId="77777777" w:rsidR="00B94DE6" w:rsidRDefault="00B94DE6" w:rsidP="00AF4371">
      <w:pPr>
        <w:spacing w:after="0" w:line="240" w:lineRule="auto"/>
      </w:pPr>
      <w:r>
        <w:separator/>
      </w:r>
    </w:p>
  </w:footnote>
  <w:footnote w:type="continuationSeparator" w:id="0">
    <w:p w14:paraId="44BCBC42" w14:textId="77777777" w:rsidR="00B94DE6" w:rsidRDefault="00B94DE6" w:rsidP="00AF4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DDA8" w14:textId="68492FFF" w:rsidR="006862C7" w:rsidRPr="006862C7" w:rsidRDefault="006862C7" w:rsidP="009D07DE">
    <w:pPr>
      <w:autoSpaceDE w:val="0"/>
      <w:autoSpaceDN w:val="0"/>
      <w:adjustRightInd w:val="0"/>
      <w:spacing w:after="0" w:line="240" w:lineRule="auto"/>
      <w:jc w:val="right"/>
      <w:rPr>
        <w:rFonts w:ascii="Times New Roman" w:hAnsi="Times New Roman" w:cs="Times New Roman"/>
        <w:b/>
        <w:sz w:val="48"/>
      </w:rPr>
    </w:pPr>
  </w:p>
  <w:p w14:paraId="5C2857F6" w14:textId="77777777" w:rsidR="00AF4371" w:rsidRDefault="00AF4371" w:rsidP="00AF437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2018" w14:textId="77E8BCDA" w:rsidR="00436AC1" w:rsidRDefault="00436AC1" w:rsidP="00436AC1">
    <w:pPr>
      <w:pStyle w:val="Header"/>
      <w:jc w:val="right"/>
    </w:pPr>
    <w:r>
      <w:rPr>
        <w:noProof/>
        <w:lang w:val="en-AU" w:eastAsia="en-AU"/>
      </w:rPr>
      <w:drawing>
        <wp:inline distT="0" distB="0" distL="0" distR="0" wp14:anchorId="36A1FF7E" wp14:editId="7FD347D5">
          <wp:extent cx="838200" cy="1450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19" cy="14623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459"/>
    <w:multiLevelType w:val="hybridMultilevel"/>
    <w:tmpl w:val="8FFAD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CD09B6"/>
    <w:multiLevelType w:val="hybridMultilevel"/>
    <w:tmpl w:val="75248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8846571"/>
    <w:multiLevelType w:val="hybridMultilevel"/>
    <w:tmpl w:val="2604C0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2454E7"/>
    <w:multiLevelType w:val="hybridMultilevel"/>
    <w:tmpl w:val="F2727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0E8B290D"/>
    <w:multiLevelType w:val="hybridMultilevel"/>
    <w:tmpl w:val="2FD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440B1"/>
    <w:multiLevelType w:val="hybridMultilevel"/>
    <w:tmpl w:val="00EA671C"/>
    <w:lvl w:ilvl="0" w:tplc="823E06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E6B3A"/>
    <w:multiLevelType w:val="hybridMultilevel"/>
    <w:tmpl w:val="ADD07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5455"/>
    <w:multiLevelType w:val="hybridMultilevel"/>
    <w:tmpl w:val="FB0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560"/>
    <w:multiLevelType w:val="hybridMultilevel"/>
    <w:tmpl w:val="8CF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84961"/>
    <w:multiLevelType w:val="hybridMultilevel"/>
    <w:tmpl w:val="85385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E13B8"/>
    <w:multiLevelType w:val="hybridMultilevel"/>
    <w:tmpl w:val="4EDC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02A17"/>
    <w:multiLevelType w:val="hybridMultilevel"/>
    <w:tmpl w:val="ECFE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B133D"/>
    <w:multiLevelType w:val="hybridMultilevel"/>
    <w:tmpl w:val="918E7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07764"/>
    <w:multiLevelType w:val="hybridMultilevel"/>
    <w:tmpl w:val="EEC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A462D"/>
    <w:multiLevelType w:val="hybridMultilevel"/>
    <w:tmpl w:val="D7A429D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3425401F"/>
    <w:multiLevelType w:val="hybridMultilevel"/>
    <w:tmpl w:val="296EE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9" w15:restartNumberingAfterBreak="0">
    <w:nsid w:val="3F542A22"/>
    <w:multiLevelType w:val="hybridMultilevel"/>
    <w:tmpl w:val="0862D58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15F74"/>
    <w:multiLevelType w:val="hybridMultilevel"/>
    <w:tmpl w:val="807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77C73"/>
    <w:multiLevelType w:val="hybridMultilevel"/>
    <w:tmpl w:val="4AC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74E6C"/>
    <w:multiLevelType w:val="hybridMultilevel"/>
    <w:tmpl w:val="D8141310"/>
    <w:lvl w:ilvl="0" w:tplc="A042773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568E3FFF"/>
    <w:multiLevelType w:val="hybridMultilevel"/>
    <w:tmpl w:val="4E42A030"/>
    <w:lvl w:ilvl="0" w:tplc="4ED486FE">
      <w:start w:val="1"/>
      <w:numFmt w:val="lowerRoman"/>
      <w:lvlText w:val="(%1)"/>
      <w:lvlJc w:val="left"/>
      <w:pPr>
        <w:ind w:left="1260" w:hanging="7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5" w15:restartNumberingAfterBreak="0">
    <w:nsid w:val="5D6955E8"/>
    <w:multiLevelType w:val="hybridMultilevel"/>
    <w:tmpl w:val="F5FC90D6"/>
    <w:lvl w:ilvl="0" w:tplc="A04277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01850"/>
    <w:multiLevelType w:val="hybridMultilevel"/>
    <w:tmpl w:val="B8B8E9A4"/>
    <w:lvl w:ilvl="0" w:tplc="A042773C">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F3A7FBB"/>
    <w:multiLevelType w:val="hybridMultilevel"/>
    <w:tmpl w:val="EDC2CD2C"/>
    <w:lvl w:ilvl="0" w:tplc="526C93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A230F0"/>
    <w:multiLevelType w:val="hybridMultilevel"/>
    <w:tmpl w:val="69AE99B6"/>
    <w:lvl w:ilvl="0" w:tplc="0C09001B">
      <w:start w:val="1"/>
      <w:numFmt w:val="lowerRoman"/>
      <w:lvlText w:val="%1."/>
      <w:lvlJc w:val="right"/>
      <w:pPr>
        <w:ind w:left="1500" w:hanging="360"/>
      </w:p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29" w15:restartNumberingAfterBreak="0">
    <w:nsid w:val="6A145E71"/>
    <w:multiLevelType w:val="hybridMultilevel"/>
    <w:tmpl w:val="7F3810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3E030C"/>
    <w:multiLevelType w:val="hybridMultilevel"/>
    <w:tmpl w:val="2BC0B702"/>
    <w:lvl w:ilvl="0" w:tplc="C82A84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4D13B2A"/>
    <w:multiLevelType w:val="hybridMultilevel"/>
    <w:tmpl w:val="CFA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35CE3"/>
    <w:multiLevelType w:val="hybridMultilevel"/>
    <w:tmpl w:val="67C67E34"/>
    <w:lvl w:ilvl="0" w:tplc="C82A84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610A"/>
    <w:multiLevelType w:val="hybridMultilevel"/>
    <w:tmpl w:val="ED56991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25286"/>
    <w:multiLevelType w:val="hybridMultilevel"/>
    <w:tmpl w:val="580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7254B"/>
    <w:multiLevelType w:val="hybridMultilevel"/>
    <w:tmpl w:val="CBE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5"/>
  </w:num>
  <w:num w:numId="2">
    <w:abstractNumId w:val="1"/>
  </w:num>
  <w:num w:numId="3">
    <w:abstractNumId w:val="36"/>
  </w:num>
  <w:num w:numId="4">
    <w:abstractNumId w:val="9"/>
  </w:num>
  <w:num w:numId="5">
    <w:abstractNumId w:val="6"/>
  </w:num>
  <w:num w:numId="6">
    <w:abstractNumId w:val="13"/>
  </w:num>
  <w:num w:numId="7">
    <w:abstractNumId w:val="17"/>
  </w:num>
  <w:num w:numId="8">
    <w:abstractNumId w:val="19"/>
  </w:num>
  <w:num w:numId="9">
    <w:abstractNumId w:val="28"/>
  </w:num>
  <w:num w:numId="10">
    <w:abstractNumId w:val="29"/>
  </w:num>
  <w:num w:numId="11">
    <w:abstractNumId w:val="27"/>
  </w:num>
  <w:num w:numId="12">
    <w:abstractNumId w:val="7"/>
  </w:num>
  <w:num w:numId="13">
    <w:abstractNumId w:val="22"/>
  </w:num>
  <w:num w:numId="14">
    <w:abstractNumId w:val="32"/>
  </w:num>
  <w:num w:numId="15">
    <w:abstractNumId w:val="23"/>
  </w:num>
  <w:num w:numId="16">
    <w:abstractNumId w:val="24"/>
  </w:num>
  <w:num w:numId="17">
    <w:abstractNumId w:val="5"/>
  </w:num>
  <w:num w:numId="18">
    <w:abstractNumId w:val="2"/>
  </w:num>
  <w:num w:numId="19">
    <w:abstractNumId w:val="37"/>
  </w:num>
  <w:num w:numId="20">
    <w:abstractNumId w:val="18"/>
  </w:num>
  <w:num w:numId="21">
    <w:abstractNumId w:val="31"/>
  </w:num>
  <w:num w:numId="22">
    <w:abstractNumId w:val="12"/>
  </w:num>
  <w:num w:numId="23">
    <w:abstractNumId w:val="16"/>
  </w:num>
  <w:num w:numId="24">
    <w:abstractNumId w:val="0"/>
  </w:num>
  <w:num w:numId="25">
    <w:abstractNumId w:val="8"/>
  </w:num>
  <w:num w:numId="26">
    <w:abstractNumId w:val="10"/>
  </w:num>
  <w:num w:numId="27">
    <w:abstractNumId w:val="26"/>
  </w:num>
  <w:num w:numId="28">
    <w:abstractNumId w:val="25"/>
  </w:num>
  <w:num w:numId="29">
    <w:abstractNumId w:val="34"/>
  </w:num>
  <w:num w:numId="30">
    <w:abstractNumId w:val="30"/>
  </w:num>
  <w:num w:numId="31">
    <w:abstractNumId w:val="33"/>
  </w:num>
  <w:num w:numId="32">
    <w:abstractNumId w:val="20"/>
  </w:num>
  <w:num w:numId="33">
    <w:abstractNumId w:val="3"/>
  </w:num>
  <w:num w:numId="34">
    <w:abstractNumId w:val="14"/>
  </w:num>
  <w:num w:numId="35">
    <w:abstractNumId w:val="21"/>
  </w:num>
  <w:num w:numId="36">
    <w:abstractNumId w:val="4"/>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71"/>
    <w:rsid w:val="0000233F"/>
    <w:rsid w:val="00013B19"/>
    <w:rsid w:val="000173C8"/>
    <w:rsid w:val="000222C2"/>
    <w:rsid w:val="000271EA"/>
    <w:rsid w:val="00030AD4"/>
    <w:rsid w:val="00034118"/>
    <w:rsid w:val="00050C3A"/>
    <w:rsid w:val="00055B77"/>
    <w:rsid w:val="00057C0A"/>
    <w:rsid w:val="0006145D"/>
    <w:rsid w:val="00063A19"/>
    <w:rsid w:val="000672AF"/>
    <w:rsid w:val="00076DE6"/>
    <w:rsid w:val="000877BA"/>
    <w:rsid w:val="000904A5"/>
    <w:rsid w:val="000A1F41"/>
    <w:rsid w:val="000A4AF8"/>
    <w:rsid w:val="000B3004"/>
    <w:rsid w:val="000B6F53"/>
    <w:rsid w:val="000D0C7C"/>
    <w:rsid w:val="000E3ABD"/>
    <w:rsid w:val="000E401A"/>
    <w:rsid w:val="000F5AA9"/>
    <w:rsid w:val="00100FC5"/>
    <w:rsid w:val="001033A4"/>
    <w:rsid w:val="00110838"/>
    <w:rsid w:val="00123855"/>
    <w:rsid w:val="00126CF0"/>
    <w:rsid w:val="00126E75"/>
    <w:rsid w:val="001335F7"/>
    <w:rsid w:val="001431D4"/>
    <w:rsid w:val="00147616"/>
    <w:rsid w:val="00150189"/>
    <w:rsid w:val="00156F59"/>
    <w:rsid w:val="00177CB0"/>
    <w:rsid w:val="00184DB3"/>
    <w:rsid w:val="0018664C"/>
    <w:rsid w:val="001B07E3"/>
    <w:rsid w:val="001B4580"/>
    <w:rsid w:val="001C08EC"/>
    <w:rsid w:val="001D5D28"/>
    <w:rsid w:val="001D6753"/>
    <w:rsid w:val="001E5CE4"/>
    <w:rsid w:val="0020599E"/>
    <w:rsid w:val="00213102"/>
    <w:rsid w:val="002205A4"/>
    <w:rsid w:val="00240167"/>
    <w:rsid w:val="002435D5"/>
    <w:rsid w:val="00245689"/>
    <w:rsid w:val="0025404D"/>
    <w:rsid w:val="002560C9"/>
    <w:rsid w:val="0028086A"/>
    <w:rsid w:val="00282165"/>
    <w:rsid w:val="00285E6E"/>
    <w:rsid w:val="002924DB"/>
    <w:rsid w:val="002E2C31"/>
    <w:rsid w:val="002F6732"/>
    <w:rsid w:val="003005CF"/>
    <w:rsid w:val="00300E5E"/>
    <w:rsid w:val="0030312A"/>
    <w:rsid w:val="00303B06"/>
    <w:rsid w:val="0031499C"/>
    <w:rsid w:val="003151F3"/>
    <w:rsid w:val="00323F74"/>
    <w:rsid w:val="00324E65"/>
    <w:rsid w:val="00336E2D"/>
    <w:rsid w:val="00336E73"/>
    <w:rsid w:val="00341C34"/>
    <w:rsid w:val="00342A48"/>
    <w:rsid w:val="003626A4"/>
    <w:rsid w:val="00363C6C"/>
    <w:rsid w:val="00370105"/>
    <w:rsid w:val="003B0E20"/>
    <w:rsid w:val="003D5EBD"/>
    <w:rsid w:val="003D6CB6"/>
    <w:rsid w:val="003E24C7"/>
    <w:rsid w:val="003E652C"/>
    <w:rsid w:val="003E7B07"/>
    <w:rsid w:val="003F0203"/>
    <w:rsid w:val="00405CE7"/>
    <w:rsid w:val="00417E2E"/>
    <w:rsid w:val="00417F8E"/>
    <w:rsid w:val="004303D6"/>
    <w:rsid w:val="00436744"/>
    <w:rsid w:val="00436AC1"/>
    <w:rsid w:val="004409AD"/>
    <w:rsid w:val="00444109"/>
    <w:rsid w:val="00456CFD"/>
    <w:rsid w:val="004659A8"/>
    <w:rsid w:val="00475D3A"/>
    <w:rsid w:val="00477D76"/>
    <w:rsid w:val="00485563"/>
    <w:rsid w:val="004955E9"/>
    <w:rsid w:val="00496E2B"/>
    <w:rsid w:val="004C791A"/>
    <w:rsid w:val="004E44FB"/>
    <w:rsid w:val="004E5651"/>
    <w:rsid w:val="004F05BF"/>
    <w:rsid w:val="004F0682"/>
    <w:rsid w:val="004F26C1"/>
    <w:rsid w:val="005032B0"/>
    <w:rsid w:val="00506C47"/>
    <w:rsid w:val="00550F2B"/>
    <w:rsid w:val="0055350A"/>
    <w:rsid w:val="00556608"/>
    <w:rsid w:val="005714DB"/>
    <w:rsid w:val="00572D62"/>
    <w:rsid w:val="00577286"/>
    <w:rsid w:val="005A1C1C"/>
    <w:rsid w:val="005A26C6"/>
    <w:rsid w:val="005A2D82"/>
    <w:rsid w:val="005A4B43"/>
    <w:rsid w:val="005D4D88"/>
    <w:rsid w:val="005E2FF2"/>
    <w:rsid w:val="005E7CF9"/>
    <w:rsid w:val="005F7B7F"/>
    <w:rsid w:val="00602AEC"/>
    <w:rsid w:val="00610809"/>
    <w:rsid w:val="0061636B"/>
    <w:rsid w:val="00644B9D"/>
    <w:rsid w:val="00655E29"/>
    <w:rsid w:val="0065629E"/>
    <w:rsid w:val="00657C8C"/>
    <w:rsid w:val="00671EF4"/>
    <w:rsid w:val="0067739F"/>
    <w:rsid w:val="006862C7"/>
    <w:rsid w:val="006873EB"/>
    <w:rsid w:val="006A6E03"/>
    <w:rsid w:val="006B5214"/>
    <w:rsid w:val="006B6693"/>
    <w:rsid w:val="006C15C7"/>
    <w:rsid w:val="006C250F"/>
    <w:rsid w:val="006D654E"/>
    <w:rsid w:val="006E2B44"/>
    <w:rsid w:val="006E7B69"/>
    <w:rsid w:val="006F7B2F"/>
    <w:rsid w:val="00705E52"/>
    <w:rsid w:val="00716BFB"/>
    <w:rsid w:val="00717710"/>
    <w:rsid w:val="00752D5A"/>
    <w:rsid w:val="00757E5F"/>
    <w:rsid w:val="007660BA"/>
    <w:rsid w:val="00791BD7"/>
    <w:rsid w:val="00796F96"/>
    <w:rsid w:val="007A7619"/>
    <w:rsid w:val="007B11F5"/>
    <w:rsid w:val="007C14B5"/>
    <w:rsid w:val="007C3988"/>
    <w:rsid w:val="007C4C41"/>
    <w:rsid w:val="007C6F7C"/>
    <w:rsid w:val="007D5C60"/>
    <w:rsid w:val="007D69E4"/>
    <w:rsid w:val="007E32A5"/>
    <w:rsid w:val="00804E49"/>
    <w:rsid w:val="008079FD"/>
    <w:rsid w:val="00815C49"/>
    <w:rsid w:val="0082093D"/>
    <w:rsid w:val="00850393"/>
    <w:rsid w:val="00857420"/>
    <w:rsid w:val="00860B45"/>
    <w:rsid w:val="008634F7"/>
    <w:rsid w:val="00871933"/>
    <w:rsid w:val="00877CB9"/>
    <w:rsid w:val="0089346D"/>
    <w:rsid w:val="0089656A"/>
    <w:rsid w:val="008A4B66"/>
    <w:rsid w:val="008B2C4E"/>
    <w:rsid w:val="008C4A69"/>
    <w:rsid w:val="008C6852"/>
    <w:rsid w:val="008D4A52"/>
    <w:rsid w:val="008F00F1"/>
    <w:rsid w:val="0090049F"/>
    <w:rsid w:val="0091347F"/>
    <w:rsid w:val="00923485"/>
    <w:rsid w:val="00923C08"/>
    <w:rsid w:val="009244AC"/>
    <w:rsid w:val="00926431"/>
    <w:rsid w:val="009335E0"/>
    <w:rsid w:val="00933E9D"/>
    <w:rsid w:val="00934E67"/>
    <w:rsid w:val="00935004"/>
    <w:rsid w:val="0094537A"/>
    <w:rsid w:val="009473A9"/>
    <w:rsid w:val="009506A3"/>
    <w:rsid w:val="009640FD"/>
    <w:rsid w:val="0096631D"/>
    <w:rsid w:val="00986075"/>
    <w:rsid w:val="009878C9"/>
    <w:rsid w:val="00995A29"/>
    <w:rsid w:val="009A4CE3"/>
    <w:rsid w:val="009A7BDB"/>
    <w:rsid w:val="009D07DE"/>
    <w:rsid w:val="009D5004"/>
    <w:rsid w:val="009F50A4"/>
    <w:rsid w:val="00A0193D"/>
    <w:rsid w:val="00A049F6"/>
    <w:rsid w:val="00A0728E"/>
    <w:rsid w:val="00A14678"/>
    <w:rsid w:val="00A15538"/>
    <w:rsid w:val="00A2137F"/>
    <w:rsid w:val="00A25D60"/>
    <w:rsid w:val="00A31C30"/>
    <w:rsid w:val="00A41477"/>
    <w:rsid w:val="00A418FF"/>
    <w:rsid w:val="00A558BA"/>
    <w:rsid w:val="00A64C29"/>
    <w:rsid w:val="00A6599D"/>
    <w:rsid w:val="00AA3562"/>
    <w:rsid w:val="00AC7196"/>
    <w:rsid w:val="00AE081A"/>
    <w:rsid w:val="00AE3271"/>
    <w:rsid w:val="00AF4371"/>
    <w:rsid w:val="00B05507"/>
    <w:rsid w:val="00B0654F"/>
    <w:rsid w:val="00B1497C"/>
    <w:rsid w:val="00B562DF"/>
    <w:rsid w:val="00B70CC8"/>
    <w:rsid w:val="00B712D7"/>
    <w:rsid w:val="00B94DE6"/>
    <w:rsid w:val="00BA3276"/>
    <w:rsid w:val="00BA4332"/>
    <w:rsid w:val="00BB1200"/>
    <w:rsid w:val="00BB638B"/>
    <w:rsid w:val="00BC5742"/>
    <w:rsid w:val="00BD49DD"/>
    <w:rsid w:val="00BD795A"/>
    <w:rsid w:val="00BE1AD4"/>
    <w:rsid w:val="00BE3E3F"/>
    <w:rsid w:val="00BF49D5"/>
    <w:rsid w:val="00BF7128"/>
    <w:rsid w:val="00C026C1"/>
    <w:rsid w:val="00C03D70"/>
    <w:rsid w:val="00C15766"/>
    <w:rsid w:val="00C16430"/>
    <w:rsid w:val="00C25ECB"/>
    <w:rsid w:val="00C30C2B"/>
    <w:rsid w:val="00C349AA"/>
    <w:rsid w:val="00C40D67"/>
    <w:rsid w:val="00C41C8D"/>
    <w:rsid w:val="00C44884"/>
    <w:rsid w:val="00C46A5D"/>
    <w:rsid w:val="00C477F5"/>
    <w:rsid w:val="00C62108"/>
    <w:rsid w:val="00C70C2A"/>
    <w:rsid w:val="00C728DF"/>
    <w:rsid w:val="00C76741"/>
    <w:rsid w:val="00C90552"/>
    <w:rsid w:val="00C93081"/>
    <w:rsid w:val="00CB0F9F"/>
    <w:rsid w:val="00CB1980"/>
    <w:rsid w:val="00CB308D"/>
    <w:rsid w:val="00CC3A0B"/>
    <w:rsid w:val="00D02BFD"/>
    <w:rsid w:val="00D03619"/>
    <w:rsid w:val="00D21C52"/>
    <w:rsid w:val="00D34ABB"/>
    <w:rsid w:val="00D3651F"/>
    <w:rsid w:val="00D45C19"/>
    <w:rsid w:val="00D62AC3"/>
    <w:rsid w:val="00D813CA"/>
    <w:rsid w:val="00D84F2A"/>
    <w:rsid w:val="00D85377"/>
    <w:rsid w:val="00D91456"/>
    <w:rsid w:val="00D954F5"/>
    <w:rsid w:val="00DB5E78"/>
    <w:rsid w:val="00DB66E0"/>
    <w:rsid w:val="00DC7F70"/>
    <w:rsid w:val="00DD0F82"/>
    <w:rsid w:val="00DD2C69"/>
    <w:rsid w:val="00DE514A"/>
    <w:rsid w:val="00DF19BA"/>
    <w:rsid w:val="00DF60DD"/>
    <w:rsid w:val="00E1032C"/>
    <w:rsid w:val="00E15D59"/>
    <w:rsid w:val="00E1710F"/>
    <w:rsid w:val="00E300CD"/>
    <w:rsid w:val="00E37808"/>
    <w:rsid w:val="00E54319"/>
    <w:rsid w:val="00E85039"/>
    <w:rsid w:val="00E85D3D"/>
    <w:rsid w:val="00E8757B"/>
    <w:rsid w:val="00E92F6A"/>
    <w:rsid w:val="00E95777"/>
    <w:rsid w:val="00E96D90"/>
    <w:rsid w:val="00EA3C94"/>
    <w:rsid w:val="00EA76CA"/>
    <w:rsid w:val="00EC381C"/>
    <w:rsid w:val="00EC587D"/>
    <w:rsid w:val="00EC6C1B"/>
    <w:rsid w:val="00ED649B"/>
    <w:rsid w:val="00EF2676"/>
    <w:rsid w:val="00EF62D1"/>
    <w:rsid w:val="00F0483F"/>
    <w:rsid w:val="00F2269F"/>
    <w:rsid w:val="00F23A76"/>
    <w:rsid w:val="00F27D4B"/>
    <w:rsid w:val="00F33D75"/>
    <w:rsid w:val="00F34B51"/>
    <w:rsid w:val="00F50926"/>
    <w:rsid w:val="00F532BA"/>
    <w:rsid w:val="00F611D7"/>
    <w:rsid w:val="00F614AD"/>
    <w:rsid w:val="00F7731F"/>
    <w:rsid w:val="00F93CB3"/>
    <w:rsid w:val="00FA0205"/>
    <w:rsid w:val="00FA63DC"/>
    <w:rsid w:val="00FA6F37"/>
    <w:rsid w:val="00FB1FCF"/>
    <w:rsid w:val="00FB6D1F"/>
    <w:rsid w:val="00FC06A3"/>
    <w:rsid w:val="00FD3FEE"/>
    <w:rsid w:val="00FE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A878"/>
  <w15:docId w15:val="{B488942F-F994-4F23-9204-ACA06C04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71"/>
  </w:style>
  <w:style w:type="paragraph" w:styleId="Footer">
    <w:name w:val="footer"/>
    <w:basedOn w:val="Normal"/>
    <w:link w:val="FooterChar"/>
    <w:uiPriority w:val="99"/>
    <w:unhideWhenUsed/>
    <w:rsid w:val="00AF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71"/>
  </w:style>
  <w:style w:type="table" w:styleId="TableGrid">
    <w:name w:val="Table Grid"/>
    <w:basedOn w:val="TableNormal"/>
    <w:rsid w:val="00B7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35D5"/>
    <w:pPr>
      <w:ind w:left="720"/>
      <w:contextualSpacing/>
    </w:pPr>
  </w:style>
  <w:style w:type="paragraph" w:styleId="BalloonText">
    <w:name w:val="Balloon Text"/>
    <w:basedOn w:val="Normal"/>
    <w:link w:val="BalloonTextChar"/>
    <w:uiPriority w:val="99"/>
    <w:semiHidden/>
    <w:unhideWhenUsed/>
    <w:rsid w:val="008F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F1"/>
    <w:rPr>
      <w:rFonts w:ascii="Tahoma" w:hAnsi="Tahoma" w:cs="Tahoma"/>
      <w:sz w:val="16"/>
      <w:szCs w:val="16"/>
    </w:rPr>
  </w:style>
  <w:style w:type="paragraph" w:styleId="NoSpacing">
    <w:name w:val="No Spacing"/>
    <w:uiPriority w:val="1"/>
    <w:qFormat/>
    <w:rsid w:val="002560C9"/>
    <w:pPr>
      <w:spacing w:after="0" w:line="240" w:lineRule="auto"/>
    </w:pPr>
    <w:rPr>
      <w:rFonts w:ascii="Arial" w:eastAsia="Times New Roman" w:hAnsi="Arial" w:cs="Times New Roman"/>
      <w:sz w:val="20"/>
      <w:szCs w:val="24"/>
    </w:rPr>
  </w:style>
  <w:style w:type="character" w:styleId="FootnoteReference">
    <w:name w:val="footnote reference"/>
    <w:aliases w:val="16 Point,Superscript 6 Point,ftref,Superscript 6 Point + 11 pt,fr,Footnote Reference Number,BVI fnr,Footnote Ref in FtNote,SUPERS,Footnote Reference Superscript,Ref,de nota al pie,number, BVI fnr,note bp,BVI fnr Car Car,BVI fnr Car"/>
    <w:basedOn w:val="DefaultParagraphFont"/>
    <w:qFormat/>
    <w:rsid w:val="009F50A4"/>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
    <w:basedOn w:val="Normal"/>
    <w:link w:val="FootnoteTextChar"/>
    <w:rsid w:val="009F50A4"/>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9F50A4"/>
    <w:rPr>
      <w:rFonts w:ascii="CG Times" w:eastAsia="Times New Roman" w:hAnsi="CG Times" w:cs="Times New Roman"/>
      <w:sz w:val="24"/>
      <w:szCs w:val="20"/>
    </w:rPr>
  </w:style>
  <w:style w:type="paragraph" w:customStyle="1" w:styleId="p28">
    <w:name w:val="p28"/>
    <w:basedOn w:val="Normal"/>
    <w:rsid w:val="009F50A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A6599D"/>
    <w:rPr>
      <w:sz w:val="16"/>
      <w:szCs w:val="16"/>
    </w:rPr>
  </w:style>
  <w:style w:type="paragraph" w:styleId="CommentText">
    <w:name w:val="annotation text"/>
    <w:basedOn w:val="Normal"/>
    <w:link w:val="CommentTextChar"/>
    <w:uiPriority w:val="99"/>
    <w:semiHidden/>
    <w:unhideWhenUsed/>
    <w:rsid w:val="00A6599D"/>
    <w:pPr>
      <w:spacing w:line="240" w:lineRule="auto"/>
    </w:pPr>
    <w:rPr>
      <w:sz w:val="20"/>
      <w:szCs w:val="20"/>
    </w:rPr>
  </w:style>
  <w:style w:type="character" w:customStyle="1" w:styleId="CommentTextChar">
    <w:name w:val="Comment Text Char"/>
    <w:basedOn w:val="DefaultParagraphFont"/>
    <w:link w:val="CommentText"/>
    <w:uiPriority w:val="99"/>
    <w:semiHidden/>
    <w:rsid w:val="00A6599D"/>
    <w:rPr>
      <w:sz w:val="20"/>
      <w:szCs w:val="20"/>
    </w:rPr>
  </w:style>
  <w:style w:type="paragraph" w:styleId="CommentSubject">
    <w:name w:val="annotation subject"/>
    <w:basedOn w:val="CommentText"/>
    <w:next w:val="CommentText"/>
    <w:link w:val="CommentSubjectChar"/>
    <w:uiPriority w:val="99"/>
    <w:semiHidden/>
    <w:unhideWhenUsed/>
    <w:rsid w:val="00A6599D"/>
    <w:rPr>
      <w:b/>
      <w:bCs/>
    </w:rPr>
  </w:style>
  <w:style w:type="character" w:customStyle="1" w:styleId="CommentSubjectChar">
    <w:name w:val="Comment Subject Char"/>
    <w:basedOn w:val="CommentTextChar"/>
    <w:link w:val="CommentSubject"/>
    <w:uiPriority w:val="99"/>
    <w:semiHidden/>
    <w:rsid w:val="00A6599D"/>
    <w:rPr>
      <w:b/>
      <w:bCs/>
      <w:sz w:val="20"/>
      <w:szCs w:val="20"/>
    </w:rPr>
  </w:style>
  <w:style w:type="paragraph" w:customStyle="1" w:styleId="Default">
    <w:name w:val="Default"/>
    <w:rsid w:val="00986075"/>
    <w:pPr>
      <w:autoSpaceDE w:val="0"/>
      <w:autoSpaceDN w:val="0"/>
      <w:adjustRightInd w:val="0"/>
      <w:spacing w:after="0" w:line="240" w:lineRule="auto"/>
    </w:pPr>
    <w:rPr>
      <w:rFonts w:ascii="Calibri" w:eastAsia="Calibri" w:hAnsi="Calibri" w:cs="Calibri"/>
      <w:color w:val="000000"/>
      <w:sz w:val="24"/>
      <w:szCs w:val="24"/>
      <w:lang w:val="en-AU"/>
    </w:rPr>
  </w:style>
  <w:style w:type="character" w:styleId="Hyperlink">
    <w:name w:val="Hyperlink"/>
    <w:uiPriority w:val="99"/>
    <w:rsid w:val="00110838"/>
    <w:rPr>
      <w:color w:val="0000FF"/>
      <w:u w:val="single"/>
    </w:rPr>
  </w:style>
  <w:style w:type="character" w:customStyle="1" w:styleId="ListParagraphChar">
    <w:name w:val="List Paragraph Char"/>
    <w:link w:val="ListParagraph"/>
    <w:uiPriority w:val="34"/>
    <w:locked/>
    <w:rsid w:val="0011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project/sustainable-financing-papua-new-guinea%E2%80%99s-protected-area-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nd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49DD-BBAC-4190-B766-239BDC83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Zoric</dc:creator>
  <cp:lastModifiedBy>Melinda Waipo</cp:lastModifiedBy>
  <cp:revision>6</cp:revision>
  <dcterms:created xsi:type="dcterms:W3CDTF">2017-02-09T07:21:00Z</dcterms:created>
  <dcterms:modified xsi:type="dcterms:W3CDTF">2017-03-09T01:13:00Z</dcterms:modified>
</cp:coreProperties>
</file>