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24E41" w14:textId="7BBF064A" w:rsidR="004A3E89" w:rsidRDefault="003D64D8" w:rsidP="004A3E89">
      <w:pPr>
        <w:spacing w:line="276" w:lineRule="auto"/>
        <w:jc w:val="center"/>
        <w:rPr>
          <w:color w:val="FF0000"/>
        </w:rPr>
      </w:pPr>
      <w:r w:rsidRPr="003D64D8">
        <w:rPr>
          <w:color w:val="FF0000"/>
        </w:rPr>
        <w:t>Долгосрочные контракты будут заключаться по усмотрению ПРООН учитывая следующие факторы</w:t>
      </w:r>
      <w:r w:rsidRPr="00C90FD0">
        <w:rPr>
          <w:color w:val="FF0000"/>
        </w:rPr>
        <w:t xml:space="preserve">: </w:t>
      </w:r>
      <w:r w:rsidRPr="003D64D8">
        <w:rPr>
          <w:color w:val="FF0000"/>
        </w:rPr>
        <w:t>надежность</w:t>
      </w:r>
      <w:r w:rsidR="00FA732B" w:rsidRPr="00FA732B">
        <w:rPr>
          <w:color w:val="FF0000"/>
        </w:rPr>
        <w:t xml:space="preserve"> </w:t>
      </w:r>
      <w:r>
        <w:rPr>
          <w:color w:val="FF0000"/>
        </w:rPr>
        <w:t>поставщика,</w:t>
      </w:r>
      <w:r w:rsidRPr="003D64D8">
        <w:rPr>
          <w:color w:val="FF0000"/>
        </w:rPr>
        <w:t xml:space="preserve"> уровень цен, объем закупки и т.д. </w:t>
      </w:r>
    </w:p>
    <w:p w14:paraId="63190FE0" w14:textId="3F56B008" w:rsidR="00D60BA1" w:rsidRPr="00D60BA1" w:rsidRDefault="00D60BA1" w:rsidP="00D60BA1">
      <w:pPr>
        <w:ind w:right="180"/>
        <w:jc w:val="center"/>
        <w:rPr>
          <w:rFonts w:cs="Arial"/>
          <w:b/>
          <w:sz w:val="32"/>
          <w:szCs w:val="32"/>
        </w:rPr>
      </w:pPr>
      <w:r w:rsidRPr="003D64D8">
        <w:rPr>
          <w:b/>
          <w:sz w:val="24"/>
          <w:szCs w:val="24"/>
        </w:rPr>
        <w:t xml:space="preserve">ПУТ </w:t>
      </w:r>
      <w:r w:rsidRPr="00D60BA1">
        <w:rPr>
          <w:b/>
          <w:sz w:val="24"/>
          <w:szCs w:val="24"/>
        </w:rPr>
        <w:t>51-2017-UNDP-UKR</w:t>
      </w:r>
    </w:p>
    <w:p w14:paraId="3D4583B4" w14:textId="77777777" w:rsidR="004A3E89" w:rsidRPr="003D64D8" w:rsidRDefault="004A3E89" w:rsidP="004A3E89">
      <w:pPr>
        <w:spacing w:line="276" w:lineRule="auto"/>
        <w:jc w:val="center"/>
        <w:rPr>
          <w:b/>
          <w:sz w:val="24"/>
          <w:szCs w:val="24"/>
        </w:rPr>
      </w:pPr>
      <w:r w:rsidRPr="003D64D8">
        <w:rPr>
          <w:b/>
          <w:sz w:val="24"/>
          <w:szCs w:val="24"/>
        </w:rPr>
        <w:t>Закупка лекарственных средств и мелкого лабораторного инструментария для обеспечения проведения лечения бесплодия женщин способами вспомогательных репродуктивных технологий</w:t>
      </w:r>
    </w:p>
    <w:p w14:paraId="6026E789" w14:textId="17D65137" w:rsidR="0029639D" w:rsidRPr="003D64D8" w:rsidRDefault="004A3E89" w:rsidP="004A3E89">
      <w:pPr>
        <w:pStyle w:val="ListParagraph"/>
        <w:spacing w:after="120" w:line="276" w:lineRule="auto"/>
        <w:ind w:left="9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3D64D8">
        <w:rPr>
          <w:b/>
          <w:color w:val="000000" w:themeColor="text1"/>
          <w:sz w:val="24"/>
          <w:szCs w:val="24"/>
        </w:rPr>
        <w:t>и</w:t>
      </w:r>
    </w:p>
    <w:p w14:paraId="691A54FC" w14:textId="77777777" w:rsidR="004A3E89" w:rsidRPr="003D64D8" w:rsidRDefault="004A3E89" w:rsidP="004A3E89">
      <w:pPr>
        <w:spacing w:line="276" w:lineRule="auto"/>
        <w:jc w:val="center"/>
        <w:rPr>
          <w:b/>
          <w:sz w:val="24"/>
          <w:szCs w:val="24"/>
        </w:rPr>
      </w:pPr>
      <w:r w:rsidRPr="003D64D8">
        <w:rPr>
          <w:b/>
          <w:sz w:val="24"/>
          <w:szCs w:val="24"/>
        </w:rPr>
        <w:t>ПУТ 52-2017-UNDP-UKR-ITB-HP</w:t>
      </w:r>
    </w:p>
    <w:p w14:paraId="323B3B03" w14:textId="26FA1A9D" w:rsidR="004A3E89" w:rsidRPr="003D64D8" w:rsidRDefault="004A3E89" w:rsidP="004A3E89">
      <w:pPr>
        <w:spacing w:line="276" w:lineRule="auto"/>
        <w:jc w:val="center"/>
        <w:rPr>
          <w:b/>
          <w:sz w:val="24"/>
          <w:szCs w:val="24"/>
        </w:rPr>
      </w:pPr>
      <w:r w:rsidRPr="003D64D8">
        <w:rPr>
          <w:b/>
          <w:sz w:val="24"/>
          <w:szCs w:val="24"/>
        </w:rPr>
        <w:t>Закупка медикаментов для лечения пациентов с рассеянным склерозом</w:t>
      </w:r>
    </w:p>
    <w:p w14:paraId="646800C7" w14:textId="77777777" w:rsidR="004A3E89" w:rsidRPr="003D64D8" w:rsidRDefault="004A3E89" w:rsidP="004A3E89">
      <w:pPr>
        <w:pStyle w:val="ListParagraph"/>
        <w:spacing w:after="120" w:line="276" w:lineRule="auto"/>
        <w:ind w:left="9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3D64D8">
        <w:rPr>
          <w:b/>
          <w:color w:val="000000" w:themeColor="text1"/>
          <w:sz w:val="24"/>
          <w:szCs w:val="24"/>
        </w:rPr>
        <w:t>и</w:t>
      </w:r>
    </w:p>
    <w:p w14:paraId="04F2C4A3" w14:textId="77777777" w:rsidR="004A3E89" w:rsidRPr="003D64D8" w:rsidRDefault="004A3E89" w:rsidP="004A3E89">
      <w:pPr>
        <w:spacing w:line="276" w:lineRule="auto"/>
        <w:jc w:val="center"/>
        <w:rPr>
          <w:b/>
          <w:sz w:val="24"/>
          <w:szCs w:val="24"/>
        </w:rPr>
      </w:pPr>
      <w:r w:rsidRPr="003D64D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D64D8">
        <w:rPr>
          <w:b/>
          <w:sz w:val="24"/>
          <w:szCs w:val="24"/>
        </w:rPr>
        <w:t>ПУТ 54-2017-UNDP-UKR</w:t>
      </w:r>
    </w:p>
    <w:p w14:paraId="750AD3C7" w14:textId="706E5BBB" w:rsidR="004A3E89" w:rsidRPr="003D64D8" w:rsidRDefault="004A3E89" w:rsidP="004A3E89">
      <w:pPr>
        <w:spacing w:line="276" w:lineRule="auto"/>
        <w:jc w:val="center"/>
        <w:rPr>
          <w:b/>
          <w:sz w:val="24"/>
          <w:szCs w:val="24"/>
        </w:rPr>
      </w:pPr>
      <w:r w:rsidRPr="003D64D8">
        <w:rPr>
          <w:b/>
          <w:sz w:val="24"/>
          <w:szCs w:val="24"/>
        </w:rPr>
        <w:t xml:space="preserve"> Закупка лекарств для детей c нанизмом разного происхождения, церебральным </w:t>
      </w:r>
      <w:proofErr w:type="spellStart"/>
      <w:r w:rsidRPr="003D64D8">
        <w:rPr>
          <w:b/>
          <w:sz w:val="24"/>
          <w:szCs w:val="24"/>
        </w:rPr>
        <w:t>параличем</w:t>
      </w:r>
      <w:proofErr w:type="spellEnd"/>
      <w:r w:rsidRPr="003D64D8">
        <w:rPr>
          <w:b/>
          <w:sz w:val="24"/>
          <w:szCs w:val="24"/>
        </w:rPr>
        <w:t>, муковисцидозом, ювенильным ревматоидным артритом, а также Анти-D иммуноглобулина для профилактики гемолитической болезни новорожденных</w:t>
      </w:r>
    </w:p>
    <w:p w14:paraId="54C20FD1" w14:textId="77777777" w:rsidR="004A3E89" w:rsidRPr="003D64D8" w:rsidRDefault="004A3E89" w:rsidP="004A3E89">
      <w:pPr>
        <w:spacing w:line="276" w:lineRule="auto"/>
        <w:jc w:val="center"/>
        <w:rPr>
          <w:b/>
          <w:sz w:val="24"/>
          <w:szCs w:val="24"/>
        </w:rPr>
      </w:pPr>
    </w:p>
    <w:p w14:paraId="7D786F0B" w14:textId="4D26CBDF" w:rsidR="005E03DE" w:rsidRPr="003D64D8" w:rsidRDefault="005E03DE" w:rsidP="00AA4999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3D64D8">
        <w:rPr>
          <w:rFonts w:cs="Times New Roman"/>
          <w:b/>
          <w:sz w:val="24"/>
          <w:szCs w:val="24"/>
        </w:rPr>
        <w:t>Вопросы и ответы по результатам пред-тендер</w:t>
      </w:r>
      <w:r w:rsidR="00664B21" w:rsidRPr="003D64D8">
        <w:rPr>
          <w:rFonts w:cs="Times New Roman"/>
          <w:b/>
          <w:sz w:val="24"/>
          <w:szCs w:val="24"/>
        </w:rPr>
        <w:t xml:space="preserve">ной конференции, состоявшейся </w:t>
      </w:r>
      <w:r w:rsidR="00664B21" w:rsidRPr="003D64D8">
        <w:rPr>
          <w:rFonts w:cs="Times New Roman"/>
          <w:b/>
          <w:sz w:val="24"/>
          <w:szCs w:val="24"/>
        </w:rPr>
        <w:br/>
      </w:r>
      <w:r w:rsidR="004A3E89" w:rsidRPr="003D64D8">
        <w:rPr>
          <w:rFonts w:cs="Times New Roman"/>
          <w:b/>
          <w:sz w:val="24"/>
          <w:szCs w:val="24"/>
        </w:rPr>
        <w:t>23 августа</w:t>
      </w:r>
      <w:r w:rsidRPr="003D64D8">
        <w:rPr>
          <w:rFonts w:cs="Times New Roman"/>
          <w:b/>
          <w:sz w:val="24"/>
          <w:szCs w:val="24"/>
        </w:rPr>
        <w:t xml:space="preserve"> 2017 года в </w:t>
      </w:r>
      <w:proofErr w:type="spellStart"/>
      <w:r w:rsidRPr="003D64D8">
        <w:rPr>
          <w:rFonts w:cs="Times New Roman"/>
          <w:b/>
          <w:sz w:val="24"/>
          <w:szCs w:val="24"/>
        </w:rPr>
        <w:t>офисe</w:t>
      </w:r>
      <w:proofErr w:type="spellEnd"/>
      <w:r w:rsidRPr="003D64D8">
        <w:rPr>
          <w:rFonts w:cs="Times New Roman"/>
          <w:b/>
          <w:sz w:val="24"/>
          <w:szCs w:val="24"/>
        </w:rPr>
        <w:t xml:space="preserve"> ПРООН в Киеве</w:t>
      </w:r>
    </w:p>
    <w:p w14:paraId="265740EB" w14:textId="77777777" w:rsidR="004A3E89" w:rsidRPr="003D64D8" w:rsidRDefault="004A3E89" w:rsidP="00AA4999">
      <w:pPr>
        <w:pStyle w:val="Default"/>
        <w:spacing w:line="276" w:lineRule="auto"/>
        <w:jc w:val="center"/>
        <w:rPr>
          <w:rFonts w:asciiTheme="minorHAnsi" w:hAnsiTheme="minorHAnsi" w:cstheme="minorBidi"/>
          <w:b/>
          <w:color w:val="000000" w:themeColor="text1"/>
          <w:lang w:val="ru-RU"/>
        </w:rPr>
      </w:pPr>
    </w:p>
    <w:p w14:paraId="5A816BCA" w14:textId="3B6B8197" w:rsidR="001C667F" w:rsidRPr="003D64D8" w:rsidRDefault="001C667F" w:rsidP="00AA4999">
      <w:pPr>
        <w:pStyle w:val="Default"/>
        <w:spacing w:line="276" w:lineRule="auto"/>
        <w:jc w:val="center"/>
        <w:rPr>
          <w:rFonts w:asciiTheme="minorHAnsi" w:hAnsiTheme="minorHAnsi" w:cstheme="minorBidi"/>
          <w:b/>
          <w:color w:val="000000" w:themeColor="text1"/>
          <w:lang w:val="ru-RU"/>
        </w:rPr>
      </w:pPr>
      <w:r w:rsidRPr="003D64D8">
        <w:rPr>
          <w:rFonts w:asciiTheme="minorHAnsi" w:hAnsiTheme="minorHAnsi" w:cstheme="minorBidi"/>
          <w:b/>
          <w:color w:val="000000" w:themeColor="text1"/>
          <w:lang w:val="ru-RU"/>
        </w:rPr>
        <w:t>Уважаемые участники, просим Вас еще раз обратить внимание на следующие моменты</w:t>
      </w:r>
    </w:p>
    <w:p w14:paraId="3211153A" w14:textId="77777777" w:rsidR="001C667F" w:rsidRPr="003D64D8" w:rsidRDefault="001C667F" w:rsidP="00AA4999">
      <w:pPr>
        <w:pStyle w:val="Default"/>
        <w:spacing w:line="276" w:lineRule="auto"/>
        <w:jc w:val="center"/>
        <w:rPr>
          <w:rFonts w:asciiTheme="minorHAnsi" w:hAnsiTheme="minorHAnsi" w:cstheme="minorBidi"/>
          <w:b/>
          <w:color w:val="000000" w:themeColor="text1"/>
          <w:lang w:val="ru-RU"/>
        </w:rPr>
      </w:pPr>
      <w:r w:rsidRPr="003D64D8">
        <w:rPr>
          <w:rFonts w:asciiTheme="minorHAnsi" w:hAnsiTheme="minorHAnsi" w:cstheme="minorBidi"/>
          <w:b/>
          <w:color w:val="000000" w:themeColor="text1"/>
          <w:lang w:val="ru-RU"/>
        </w:rPr>
        <w:t>при подаче заявок:</w:t>
      </w:r>
    </w:p>
    <w:p w14:paraId="54681AAD" w14:textId="77777777" w:rsidR="00CA6863" w:rsidRPr="003D64D8" w:rsidRDefault="00CA6863" w:rsidP="00AA4999">
      <w:pPr>
        <w:pStyle w:val="Default"/>
        <w:spacing w:line="276" w:lineRule="auto"/>
        <w:jc w:val="center"/>
        <w:rPr>
          <w:rFonts w:asciiTheme="minorHAnsi" w:hAnsiTheme="minorHAnsi" w:cstheme="minorBidi"/>
          <w:b/>
          <w:color w:val="000000" w:themeColor="text1"/>
          <w:lang w:val="ru-RU"/>
        </w:rPr>
      </w:pPr>
    </w:p>
    <w:p w14:paraId="729A6BAA" w14:textId="77777777" w:rsidR="00C84E49" w:rsidRPr="003D64D8" w:rsidRDefault="005E03DE" w:rsidP="00C84E49">
      <w:pPr>
        <w:pStyle w:val="ListParagraph"/>
        <w:numPr>
          <w:ilvl w:val="0"/>
          <w:numId w:val="15"/>
        </w:numPr>
        <w:spacing w:line="276" w:lineRule="auto"/>
        <w:ind w:left="180" w:hanging="270"/>
        <w:rPr>
          <w:b/>
          <w:color w:val="000000" w:themeColor="text1"/>
          <w:sz w:val="24"/>
          <w:szCs w:val="24"/>
        </w:rPr>
      </w:pPr>
      <w:r w:rsidRPr="003D64D8">
        <w:rPr>
          <w:b/>
          <w:color w:val="000000" w:themeColor="text1"/>
          <w:sz w:val="24"/>
          <w:szCs w:val="24"/>
        </w:rPr>
        <w:t>Срок подачи заяв</w:t>
      </w:r>
      <w:r w:rsidR="00C84E49" w:rsidRPr="003D64D8">
        <w:rPr>
          <w:b/>
          <w:color w:val="000000" w:themeColor="text1"/>
          <w:sz w:val="24"/>
          <w:szCs w:val="24"/>
        </w:rPr>
        <w:t>о</w:t>
      </w:r>
      <w:r w:rsidRPr="003D64D8">
        <w:rPr>
          <w:b/>
          <w:color w:val="000000" w:themeColor="text1"/>
          <w:sz w:val="24"/>
          <w:szCs w:val="24"/>
        </w:rPr>
        <w:t>к</w:t>
      </w:r>
      <w:r w:rsidR="00B7120E" w:rsidRPr="003D64D8">
        <w:rPr>
          <w:b/>
          <w:color w:val="000000" w:themeColor="text1"/>
          <w:sz w:val="24"/>
          <w:szCs w:val="24"/>
        </w:rPr>
        <w:t xml:space="preserve"> </w:t>
      </w:r>
      <w:r w:rsidR="00602D9C" w:rsidRPr="003D64D8">
        <w:rPr>
          <w:b/>
          <w:color w:val="000000" w:themeColor="text1"/>
          <w:sz w:val="24"/>
          <w:szCs w:val="24"/>
        </w:rPr>
        <w:t>по</w:t>
      </w:r>
      <w:r w:rsidR="00C84E49" w:rsidRPr="003D64D8">
        <w:rPr>
          <w:b/>
          <w:color w:val="000000" w:themeColor="text1"/>
          <w:sz w:val="24"/>
          <w:szCs w:val="24"/>
        </w:rPr>
        <w:t>:</w:t>
      </w:r>
    </w:p>
    <w:p w14:paraId="38D43910" w14:textId="02796905" w:rsidR="005E03DE" w:rsidRPr="003D64D8" w:rsidRDefault="00602D9C" w:rsidP="00C84E49">
      <w:pPr>
        <w:pStyle w:val="ListParagraph"/>
        <w:spacing w:line="276" w:lineRule="auto"/>
        <w:ind w:hanging="360"/>
        <w:rPr>
          <w:b/>
          <w:color w:val="000000" w:themeColor="text1"/>
          <w:sz w:val="24"/>
          <w:szCs w:val="24"/>
        </w:rPr>
      </w:pPr>
      <w:r w:rsidRPr="003D64D8">
        <w:rPr>
          <w:b/>
          <w:sz w:val="24"/>
          <w:szCs w:val="24"/>
        </w:rPr>
        <w:t>ПУТ 51-2017-UNDP-UKR</w:t>
      </w:r>
      <w:r w:rsidRPr="003D64D8">
        <w:rPr>
          <w:b/>
          <w:color w:val="000000" w:themeColor="text1"/>
          <w:sz w:val="24"/>
          <w:szCs w:val="24"/>
        </w:rPr>
        <w:t xml:space="preserve"> </w:t>
      </w:r>
      <w:r w:rsidR="00C84E49" w:rsidRPr="003D64D8">
        <w:rPr>
          <w:b/>
          <w:color w:val="000000" w:themeColor="text1"/>
          <w:sz w:val="24"/>
          <w:szCs w:val="24"/>
        </w:rPr>
        <w:t xml:space="preserve">- </w:t>
      </w:r>
      <w:r w:rsidR="004A3E89" w:rsidRPr="003D64D8">
        <w:rPr>
          <w:b/>
          <w:color w:val="FF0000"/>
          <w:sz w:val="24"/>
          <w:szCs w:val="24"/>
        </w:rPr>
        <w:t>6</w:t>
      </w:r>
      <w:r w:rsidR="005E03DE" w:rsidRPr="003D64D8">
        <w:rPr>
          <w:b/>
          <w:color w:val="FF0000"/>
          <w:sz w:val="24"/>
          <w:szCs w:val="24"/>
        </w:rPr>
        <w:t xml:space="preserve"> </w:t>
      </w:r>
      <w:r w:rsidR="004A3E89" w:rsidRPr="003D64D8">
        <w:rPr>
          <w:b/>
          <w:color w:val="FF0000"/>
          <w:sz w:val="24"/>
          <w:szCs w:val="24"/>
        </w:rPr>
        <w:t>сентября</w:t>
      </w:r>
      <w:r w:rsidR="005E03DE" w:rsidRPr="003D64D8">
        <w:rPr>
          <w:b/>
          <w:color w:val="FF0000"/>
          <w:sz w:val="24"/>
          <w:szCs w:val="24"/>
        </w:rPr>
        <w:t xml:space="preserve"> 2017, 10:00 по Киеву</w:t>
      </w:r>
      <w:r w:rsidR="005E03DE" w:rsidRPr="003D64D8">
        <w:rPr>
          <w:b/>
          <w:color w:val="000000" w:themeColor="text1"/>
          <w:sz w:val="24"/>
          <w:szCs w:val="24"/>
        </w:rPr>
        <w:t>.</w:t>
      </w:r>
    </w:p>
    <w:p w14:paraId="7A55C0CD" w14:textId="67A3657D" w:rsidR="00C84E49" w:rsidRPr="003D64D8" w:rsidRDefault="00C84E49" w:rsidP="00C84E49">
      <w:pPr>
        <w:pStyle w:val="ListParagraph"/>
        <w:spacing w:line="276" w:lineRule="auto"/>
        <w:ind w:hanging="360"/>
        <w:rPr>
          <w:b/>
          <w:color w:val="000000" w:themeColor="text1"/>
          <w:sz w:val="24"/>
          <w:szCs w:val="24"/>
        </w:rPr>
      </w:pPr>
      <w:r w:rsidRPr="003D64D8">
        <w:rPr>
          <w:b/>
          <w:sz w:val="24"/>
          <w:szCs w:val="24"/>
        </w:rPr>
        <w:t xml:space="preserve">ПУТ 52-2017-UNDP-UKR-ITB-HP -  </w:t>
      </w:r>
      <w:r w:rsidRPr="003D64D8">
        <w:rPr>
          <w:b/>
          <w:color w:val="FF0000"/>
          <w:sz w:val="24"/>
          <w:szCs w:val="24"/>
        </w:rPr>
        <w:t>6 сентября 2017, 10:00 по Киеву</w:t>
      </w:r>
      <w:r w:rsidRPr="003D64D8">
        <w:rPr>
          <w:b/>
          <w:color w:val="000000" w:themeColor="text1"/>
          <w:sz w:val="24"/>
          <w:szCs w:val="24"/>
        </w:rPr>
        <w:t>.</w:t>
      </w:r>
    </w:p>
    <w:p w14:paraId="710F5734" w14:textId="77777777" w:rsidR="00C84E49" w:rsidRPr="003D64D8" w:rsidRDefault="00602D9C" w:rsidP="00C84E49">
      <w:pPr>
        <w:pStyle w:val="ListParagraph"/>
        <w:spacing w:line="276" w:lineRule="auto"/>
        <w:ind w:hanging="360"/>
        <w:rPr>
          <w:b/>
          <w:color w:val="000000" w:themeColor="text1"/>
          <w:sz w:val="24"/>
          <w:szCs w:val="24"/>
        </w:rPr>
      </w:pPr>
      <w:r w:rsidRPr="003D64D8">
        <w:rPr>
          <w:b/>
          <w:sz w:val="24"/>
          <w:szCs w:val="24"/>
        </w:rPr>
        <w:t xml:space="preserve">ПУТ 54-2017-UNDP-UKR </w:t>
      </w:r>
      <w:r w:rsidR="00C84E49" w:rsidRPr="003D64D8">
        <w:rPr>
          <w:b/>
          <w:color w:val="000000" w:themeColor="text1"/>
          <w:sz w:val="24"/>
          <w:szCs w:val="24"/>
        </w:rPr>
        <w:t>на</w:t>
      </w:r>
      <w:r w:rsidR="00C84E49" w:rsidRPr="003D64D8">
        <w:rPr>
          <w:b/>
          <w:sz w:val="24"/>
          <w:szCs w:val="24"/>
        </w:rPr>
        <w:t xml:space="preserve"> </w:t>
      </w:r>
      <w:r w:rsidRPr="003D64D8">
        <w:rPr>
          <w:b/>
          <w:sz w:val="24"/>
          <w:szCs w:val="24"/>
        </w:rPr>
        <w:t xml:space="preserve">- </w:t>
      </w:r>
      <w:r w:rsidRPr="003D64D8">
        <w:rPr>
          <w:b/>
          <w:color w:val="FF0000"/>
          <w:sz w:val="24"/>
          <w:szCs w:val="24"/>
        </w:rPr>
        <w:t>8 сентября 2017, 10:00 по Киеву</w:t>
      </w:r>
      <w:r w:rsidRPr="003D64D8">
        <w:rPr>
          <w:b/>
          <w:color w:val="000000" w:themeColor="text1"/>
          <w:sz w:val="24"/>
          <w:szCs w:val="24"/>
        </w:rPr>
        <w:t>.</w:t>
      </w:r>
    </w:p>
    <w:p w14:paraId="05D5124C" w14:textId="77777777" w:rsidR="00EC466B" w:rsidRDefault="005E03DE" w:rsidP="00EC466B">
      <w:pPr>
        <w:pStyle w:val="ListParagraph"/>
        <w:numPr>
          <w:ilvl w:val="0"/>
          <w:numId w:val="15"/>
        </w:numPr>
        <w:spacing w:line="276" w:lineRule="auto"/>
        <w:ind w:left="180" w:hanging="270"/>
        <w:rPr>
          <w:rStyle w:val="Hyperlink"/>
          <w:sz w:val="24"/>
          <w:szCs w:val="24"/>
        </w:rPr>
      </w:pPr>
      <w:r w:rsidRPr="003D64D8">
        <w:rPr>
          <w:b/>
          <w:color w:val="000000" w:themeColor="text1"/>
          <w:sz w:val="24"/>
          <w:szCs w:val="24"/>
        </w:rPr>
        <w:t xml:space="preserve">Подача заявок – электронная, на адрес электронной почты </w:t>
      </w:r>
      <w:hyperlink r:id="rId9" w:history="1">
        <w:r w:rsidR="004A3E89" w:rsidRPr="003D64D8">
          <w:rPr>
            <w:rStyle w:val="Hyperlink"/>
            <w:sz w:val="24"/>
            <w:szCs w:val="24"/>
          </w:rPr>
          <w:t>tenders.ua@undp.org</w:t>
        </w:r>
      </w:hyperlink>
    </w:p>
    <w:p w14:paraId="4829680D" w14:textId="6B8394E0" w:rsidR="004A5EBB" w:rsidRPr="00EC466B" w:rsidRDefault="00EC466B" w:rsidP="008E0FF0">
      <w:pPr>
        <w:pStyle w:val="ListParagraph"/>
        <w:numPr>
          <w:ilvl w:val="0"/>
          <w:numId w:val="15"/>
        </w:numPr>
        <w:spacing w:line="276" w:lineRule="auto"/>
        <w:ind w:left="180" w:hanging="270"/>
        <w:rPr>
          <w:b/>
          <w:sz w:val="24"/>
          <w:szCs w:val="24"/>
        </w:rPr>
      </w:pPr>
      <w:r w:rsidRPr="00EC466B">
        <w:rPr>
          <w:b/>
          <w:color w:val="000000" w:themeColor="text1"/>
          <w:sz w:val="24"/>
          <w:szCs w:val="24"/>
        </w:rPr>
        <w:t xml:space="preserve">Для </w:t>
      </w:r>
      <w:r w:rsidRPr="00EC466B">
        <w:rPr>
          <w:b/>
          <w:sz w:val="24"/>
          <w:szCs w:val="24"/>
        </w:rPr>
        <w:t xml:space="preserve">ПУТ 52-2017-UNDP-UKR-ITB-HP, ПУТ 54-2017-UNDP-UKR </w:t>
      </w:r>
      <w:r>
        <w:rPr>
          <w:b/>
          <w:color w:val="000000" w:themeColor="text1"/>
          <w:sz w:val="24"/>
          <w:szCs w:val="24"/>
        </w:rPr>
        <w:t>в</w:t>
      </w:r>
      <w:r w:rsidR="005E03DE" w:rsidRPr="00EC466B">
        <w:rPr>
          <w:b/>
          <w:color w:val="000000" w:themeColor="text1"/>
          <w:sz w:val="24"/>
          <w:szCs w:val="24"/>
        </w:rPr>
        <w:t>месте с пакетом документов участник обязательно должен предоставить скан-копию гарантии обес</w:t>
      </w:r>
      <w:r w:rsidR="0012737E" w:rsidRPr="00EC466B">
        <w:rPr>
          <w:b/>
          <w:color w:val="000000" w:themeColor="text1"/>
          <w:sz w:val="24"/>
          <w:szCs w:val="24"/>
        </w:rPr>
        <w:t xml:space="preserve">печения тендерного предложения на сумму 10 000 долларов США за заявку на один или множество лотов на общую сумму от 200 000 до </w:t>
      </w:r>
      <w:r w:rsidR="00C84E49" w:rsidRPr="00EC466B">
        <w:rPr>
          <w:b/>
          <w:color w:val="000000" w:themeColor="text1"/>
          <w:sz w:val="24"/>
          <w:szCs w:val="24"/>
        </w:rPr>
        <w:t>3</w:t>
      </w:r>
      <w:r w:rsidR="0012737E" w:rsidRPr="00EC466B">
        <w:rPr>
          <w:b/>
          <w:color w:val="000000" w:themeColor="text1"/>
          <w:sz w:val="24"/>
          <w:szCs w:val="24"/>
        </w:rPr>
        <w:t>99 999,99 долларов США</w:t>
      </w:r>
      <w:r w:rsidR="00C84E49" w:rsidRPr="00EC466B">
        <w:rPr>
          <w:b/>
          <w:color w:val="000000" w:themeColor="text1"/>
          <w:sz w:val="24"/>
          <w:szCs w:val="24"/>
        </w:rPr>
        <w:t xml:space="preserve"> или на сумму 20 000 долларов США за заявку на один или множество лотов на общую сумму от 400 000 до 599 999,99 долларов США</w:t>
      </w:r>
      <w:r w:rsidR="0012737E" w:rsidRPr="00EC466B">
        <w:rPr>
          <w:b/>
          <w:color w:val="000000" w:themeColor="text1"/>
          <w:sz w:val="24"/>
          <w:szCs w:val="24"/>
        </w:rPr>
        <w:t xml:space="preserve"> и</w:t>
      </w:r>
      <w:r w:rsidR="00C84E49" w:rsidRPr="00EC466B">
        <w:rPr>
          <w:b/>
          <w:color w:val="000000" w:themeColor="text1"/>
          <w:sz w:val="24"/>
          <w:szCs w:val="24"/>
        </w:rPr>
        <w:t>ли</w:t>
      </w:r>
      <w:r w:rsidR="0012737E" w:rsidRPr="00EC466B">
        <w:rPr>
          <w:b/>
          <w:color w:val="000000" w:themeColor="text1"/>
          <w:sz w:val="24"/>
          <w:szCs w:val="24"/>
        </w:rPr>
        <w:t xml:space="preserve"> на сумму </w:t>
      </w:r>
      <w:r w:rsidR="00C84E49" w:rsidRPr="00EC466B">
        <w:rPr>
          <w:b/>
          <w:color w:val="000000" w:themeColor="text1"/>
          <w:sz w:val="24"/>
          <w:szCs w:val="24"/>
        </w:rPr>
        <w:t>30</w:t>
      </w:r>
      <w:r w:rsidR="0012737E" w:rsidRPr="00EC466B">
        <w:rPr>
          <w:b/>
          <w:color w:val="000000" w:themeColor="text1"/>
          <w:sz w:val="24"/>
          <w:szCs w:val="24"/>
        </w:rPr>
        <w:t xml:space="preserve"> 000 долларов США за заявку на один или множество лотов на общую сумму свыше </w:t>
      </w:r>
      <w:r w:rsidR="00C84E49" w:rsidRPr="00EC466B">
        <w:rPr>
          <w:b/>
          <w:color w:val="000000" w:themeColor="text1"/>
          <w:sz w:val="24"/>
          <w:szCs w:val="24"/>
        </w:rPr>
        <w:t>6</w:t>
      </w:r>
      <w:r w:rsidR="0012737E" w:rsidRPr="00EC466B">
        <w:rPr>
          <w:b/>
          <w:color w:val="000000" w:themeColor="text1"/>
          <w:sz w:val="24"/>
          <w:szCs w:val="24"/>
        </w:rPr>
        <w:t>00 000,00 долларов США</w:t>
      </w:r>
    </w:p>
    <w:p w14:paraId="5511EF2A" w14:textId="318B16D4" w:rsidR="00C84E49" w:rsidRPr="003D64D8" w:rsidRDefault="00C84E49" w:rsidP="00C84E49">
      <w:pPr>
        <w:pStyle w:val="ListParagraph"/>
        <w:spacing w:line="276" w:lineRule="auto"/>
        <w:ind w:left="180"/>
        <w:rPr>
          <w:b/>
          <w:sz w:val="24"/>
          <w:szCs w:val="24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460"/>
        <w:gridCol w:w="4849"/>
        <w:gridCol w:w="4861"/>
      </w:tblGrid>
      <w:tr w:rsidR="00BF6FDE" w:rsidRPr="003D64D8" w14:paraId="00286469" w14:textId="77777777" w:rsidTr="004F17E6">
        <w:tc>
          <w:tcPr>
            <w:tcW w:w="460" w:type="dxa"/>
          </w:tcPr>
          <w:p w14:paraId="77899B3A" w14:textId="77777777" w:rsidR="00450415" w:rsidRPr="003D64D8" w:rsidRDefault="00450415" w:rsidP="00AA4999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3D64D8">
              <w:rPr>
                <w:b/>
                <w:color w:val="000000" w:themeColor="text1"/>
              </w:rPr>
              <w:t>#</w:t>
            </w:r>
          </w:p>
        </w:tc>
        <w:tc>
          <w:tcPr>
            <w:tcW w:w="4849" w:type="dxa"/>
          </w:tcPr>
          <w:p w14:paraId="7514FE79" w14:textId="77777777" w:rsidR="00450415" w:rsidRPr="003D64D8" w:rsidRDefault="00866686" w:rsidP="00AA4999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4D8">
              <w:rPr>
                <w:b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4861" w:type="dxa"/>
          </w:tcPr>
          <w:p w14:paraId="41735248" w14:textId="77777777" w:rsidR="00450415" w:rsidRPr="003D64D8" w:rsidRDefault="00866686" w:rsidP="00AA4999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4D8">
              <w:rPr>
                <w:b/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A921C4" w:rsidRPr="003D64D8" w14:paraId="5EB3ECD1" w14:textId="77777777" w:rsidTr="004F17E6">
        <w:tc>
          <w:tcPr>
            <w:tcW w:w="460" w:type="dxa"/>
          </w:tcPr>
          <w:p w14:paraId="28A0B1DD" w14:textId="77777777" w:rsidR="00A921C4" w:rsidRPr="003D64D8" w:rsidRDefault="00A921C4" w:rsidP="00AA4999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1</w:t>
            </w:r>
          </w:p>
        </w:tc>
        <w:tc>
          <w:tcPr>
            <w:tcW w:w="4849" w:type="dxa"/>
          </w:tcPr>
          <w:p w14:paraId="37D43B16" w14:textId="7320B445" w:rsidR="00A921C4" w:rsidRPr="003D64D8" w:rsidRDefault="0029108C" w:rsidP="00AA4999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Какая цель банковской гарантии</w:t>
            </w:r>
            <w:r w:rsidR="009A20F2" w:rsidRPr="003D64D8">
              <w:rPr>
                <w:color w:val="000000" w:themeColor="text1"/>
              </w:rPr>
              <w:t xml:space="preserve"> заявки</w:t>
            </w:r>
            <w:r w:rsidR="00D401B2" w:rsidRPr="003D64D8">
              <w:rPr>
                <w:color w:val="000000" w:themeColor="text1"/>
              </w:rPr>
              <w:t>?</w:t>
            </w:r>
          </w:p>
        </w:tc>
        <w:tc>
          <w:tcPr>
            <w:tcW w:w="4861" w:type="dxa"/>
          </w:tcPr>
          <w:p w14:paraId="63EB8E03" w14:textId="04D1E043" w:rsidR="00A921C4" w:rsidRPr="00C90FD0" w:rsidRDefault="00D401B2" w:rsidP="009A20F2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Банковская гарантия является обеспечением того, что после окончания тендера компания-победитель выполнит свои обязательства по заключению контракта, присужденному со </w:t>
            </w:r>
            <w:r w:rsidRPr="003D64D8">
              <w:rPr>
                <w:color w:val="000000" w:themeColor="text1"/>
              </w:rPr>
              <w:lastRenderedPageBreak/>
              <w:t>стороны ПРООН</w:t>
            </w:r>
            <w:r w:rsidR="009A20F2" w:rsidRPr="003D64D8">
              <w:rPr>
                <w:color w:val="000000" w:themeColor="text1"/>
              </w:rPr>
              <w:t xml:space="preserve"> (детали </w:t>
            </w:r>
            <w:r w:rsidR="003D64D8" w:rsidRPr="003D64D8">
              <w:rPr>
                <w:color w:val="000000" w:themeColor="text1"/>
              </w:rPr>
              <w:t>приведены</w:t>
            </w:r>
            <w:r w:rsidR="009A20F2" w:rsidRPr="003D64D8">
              <w:rPr>
                <w:color w:val="000000" w:themeColor="text1"/>
              </w:rPr>
              <w:t xml:space="preserve"> в форме </w:t>
            </w:r>
            <w:r w:rsidR="003D64D8" w:rsidRPr="003D64D8">
              <w:rPr>
                <w:color w:val="000000" w:themeColor="text1"/>
              </w:rPr>
              <w:t>банковской</w:t>
            </w:r>
            <w:r w:rsidR="009A20F2" w:rsidRPr="003D64D8">
              <w:rPr>
                <w:color w:val="000000" w:themeColor="text1"/>
              </w:rPr>
              <w:t xml:space="preserve"> гарантии</w:t>
            </w:r>
            <w:r w:rsidR="00C47E88" w:rsidRPr="00C47E88">
              <w:rPr>
                <w:color w:val="000000" w:themeColor="text1"/>
              </w:rPr>
              <w:t xml:space="preserve"> </w:t>
            </w:r>
            <w:r w:rsidR="00C47E88">
              <w:rPr>
                <w:color w:val="000000" w:themeColor="text1"/>
              </w:rPr>
              <w:t xml:space="preserve">для обеспечения тендерной </w:t>
            </w:r>
            <w:r w:rsidR="009A20F2" w:rsidRPr="003D64D8">
              <w:rPr>
                <w:color w:val="000000" w:themeColor="text1"/>
              </w:rPr>
              <w:t>заявки (Раздел №9)</w:t>
            </w:r>
            <w:r w:rsidRPr="003D64D8">
              <w:rPr>
                <w:color w:val="000000" w:themeColor="text1"/>
              </w:rPr>
              <w:t>.</w:t>
            </w:r>
          </w:p>
        </w:tc>
      </w:tr>
      <w:tr w:rsidR="00CE3748" w:rsidRPr="003D64D8" w14:paraId="0B49C96C" w14:textId="77777777" w:rsidTr="004F17E6">
        <w:tc>
          <w:tcPr>
            <w:tcW w:w="460" w:type="dxa"/>
          </w:tcPr>
          <w:p w14:paraId="250A52FE" w14:textId="5D6CBFB1" w:rsidR="00CE3748" w:rsidRPr="003D64D8" w:rsidRDefault="007E5D9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849" w:type="dxa"/>
          </w:tcPr>
          <w:p w14:paraId="181EA5E1" w14:textId="1C43663E" w:rsidR="00CE3748" w:rsidRPr="003D64D8" w:rsidRDefault="00795359" w:rsidP="00CE3748">
            <w:pPr>
              <w:spacing w:line="276" w:lineRule="auto"/>
              <w:jc w:val="both"/>
            </w:pPr>
            <w:r w:rsidRPr="003D64D8">
              <w:t xml:space="preserve">Что относится к «другие подобные сертификаты» в </w:t>
            </w:r>
            <w:r w:rsidRPr="003D64D8">
              <w:rPr>
                <w:bCs/>
              </w:rPr>
              <w:t>списке документов, необходимых для оценки Заявителем?</w:t>
            </w:r>
          </w:p>
        </w:tc>
        <w:tc>
          <w:tcPr>
            <w:tcW w:w="4861" w:type="dxa"/>
          </w:tcPr>
          <w:p w14:paraId="6ACE66C7" w14:textId="7786AA74" w:rsidR="00CE3748" w:rsidRPr="003D64D8" w:rsidRDefault="00DC313C" w:rsidP="009A20F2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Эти </w:t>
            </w:r>
            <w:r w:rsidR="00817806" w:rsidRPr="003D64D8">
              <w:rPr>
                <w:color w:val="000000" w:themeColor="text1"/>
              </w:rPr>
              <w:t xml:space="preserve">дополнительные </w:t>
            </w:r>
            <w:r w:rsidRPr="003D64D8">
              <w:rPr>
                <w:color w:val="000000" w:themeColor="text1"/>
              </w:rPr>
              <w:t xml:space="preserve">сертификаты такие </w:t>
            </w:r>
            <w:r w:rsidR="00817806" w:rsidRPr="003D64D8">
              <w:rPr>
                <w:color w:val="000000" w:themeColor="text1"/>
              </w:rPr>
              <w:t>как ISO</w:t>
            </w:r>
            <w:r w:rsidRPr="003D64D8">
              <w:rPr>
                <w:color w:val="000000" w:themeColor="text1"/>
              </w:rPr>
              <w:t xml:space="preserve">, </w:t>
            </w:r>
            <w:proofErr w:type="spellStart"/>
            <w:r w:rsidRPr="003D64D8">
              <w:rPr>
                <w:color w:val="000000" w:themeColor="text1"/>
              </w:rPr>
              <w:t>Environmental</w:t>
            </w:r>
            <w:proofErr w:type="spellEnd"/>
            <w:r w:rsidRPr="003D64D8">
              <w:rPr>
                <w:color w:val="000000" w:themeColor="text1"/>
              </w:rPr>
              <w:t xml:space="preserve"> </w:t>
            </w:r>
            <w:proofErr w:type="spellStart"/>
            <w:r w:rsidRPr="00C90FD0">
              <w:rPr>
                <w:color w:val="000000" w:themeColor="text1"/>
              </w:rPr>
              <w:t>compliance</w:t>
            </w:r>
            <w:proofErr w:type="spellEnd"/>
            <w:r w:rsidR="00817806" w:rsidRPr="003D64D8">
              <w:rPr>
                <w:color w:val="000000" w:themeColor="text1"/>
              </w:rPr>
              <w:t xml:space="preserve"> и т.п., они не подлежат оценке в рамках рассмотрения тендерных заявок, а дают </w:t>
            </w:r>
            <w:r w:rsidR="009A20F2" w:rsidRPr="003D64D8">
              <w:rPr>
                <w:color w:val="000000" w:themeColor="text1"/>
              </w:rPr>
              <w:t xml:space="preserve">информацию </w:t>
            </w:r>
            <w:r w:rsidR="00817806" w:rsidRPr="003D64D8">
              <w:rPr>
                <w:color w:val="000000" w:themeColor="text1"/>
              </w:rPr>
              <w:t>о компании.</w:t>
            </w:r>
            <w:r w:rsidRPr="003D64D8">
              <w:rPr>
                <w:color w:val="000000" w:themeColor="text1"/>
              </w:rPr>
              <w:t xml:space="preserve"> </w:t>
            </w:r>
          </w:p>
        </w:tc>
      </w:tr>
      <w:tr w:rsidR="00817806" w:rsidRPr="003D64D8" w14:paraId="60683765" w14:textId="77777777" w:rsidTr="004F17E6">
        <w:tc>
          <w:tcPr>
            <w:tcW w:w="460" w:type="dxa"/>
          </w:tcPr>
          <w:p w14:paraId="7345D92C" w14:textId="76807CAD" w:rsidR="00817806" w:rsidRPr="003D64D8" w:rsidRDefault="007E5D9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3</w:t>
            </w:r>
          </w:p>
        </w:tc>
        <w:tc>
          <w:tcPr>
            <w:tcW w:w="4849" w:type="dxa"/>
          </w:tcPr>
          <w:p w14:paraId="59A95057" w14:textId="1A10F581" w:rsidR="00817806" w:rsidRPr="003D64D8" w:rsidRDefault="00817806" w:rsidP="00CE3748">
            <w:pPr>
              <w:spacing w:line="276" w:lineRule="auto"/>
              <w:jc w:val="both"/>
            </w:pPr>
            <w:r w:rsidRPr="003D64D8">
              <w:t xml:space="preserve">Для продуктов, которые зарегистрированы в Украине, какая цель предоставления </w:t>
            </w:r>
            <w:proofErr w:type="spellStart"/>
            <w:r w:rsidRPr="003D64D8">
              <w:rPr>
                <w:rFonts w:cs="Segoe UI Symbol"/>
              </w:rPr>
              <w:t>СoРР</w:t>
            </w:r>
            <w:proofErr w:type="spellEnd"/>
            <w:r w:rsidRPr="003D64D8">
              <w:rPr>
                <w:rFonts w:cs="Segoe UI Symbol"/>
              </w:rPr>
              <w:t>?</w:t>
            </w:r>
          </w:p>
        </w:tc>
        <w:tc>
          <w:tcPr>
            <w:tcW w:w="4861" w:type="dxa"/>
          </w:tcPr>
          <w:p w14:paraId="4F7BEE0D" w14:textId="1071A6CA" w:rsidR="00817806" w:rsidRPr="003D64D8" w:rsidRDefault="00817806" w:rsidP="009A20F2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Если продукт зарегистрирован только в Украине, то </w:t>
            </w:r>
            <w:proofErr w:type="spellStart"/>
            <w:r w:rsidRPr="003D64D8">
              <w:rPr>
                <w:rFonts w:cs="Segoe UI Symbol"/>
              </w:rPr>
              <w:t>СoРР</w:t>
            </w:r>
            <w:proofErr w:type="spellEnd"/>
            <w:r w:rsidRPr="003D64D8">
              <w:rPr>
                <w:rFonts w:cs="Segoe UI Symbol"/>
              </w:rPr>
              <w:t xml:space="preserve"> на него не будет. Для препаратов, которые утвержденные странами строгих регуляторных орган</w:t>
            </w:r>
            <w:r w:rsidR="009A20F2" w:rsidRPr="003D64D8">
              <w:rPr>
                <w:rFonts w:cs="Segoe UI Symbol"/>
              </w:rPr>
              <w:t>ов</w:t>
            </w:r>
            <w:r w:rsidRPr="003D64D8">
              <w:rPr>
                <w:rFonts w:cs="Segoe UI Symbol"/>
              </w:rPr>
              <w:t xml:space="preserve">, необходимо предоставление </w:t>
            </w:r>
            <w:proofErr w:type="spellStart"/>
            <w:r w:rsidRPr="003D64D8">
              <w:rPr>
                <w:rFonts w:cs="Segoe UI Symbol"/>
              </w:rPr>
              <w:t>СоРР</w:t>
            </w:r>
            <w:proofErr w:type="spellEnd"/>
            <w:r w:rsidRPr="003D64D8">
              <w:rPr>
                <w:rFonts w:cs="Segoe UI Symbol"/>
              </w:rPr>
              <w:t>.</w:t>
            </w:r>
          </w:p>
        </w:tc>
      </w:tr>
      <w:tr w:rsidR="00817806" w:rsidRPr="003D64D8" w14:paraId="6F9CE630" w14:textId="77777777" w:rsidTr="004F17E6">
        <w:tc>
          <w:tcPr>
            <w:tcW w:w="460" w:type="dxa"/>
          </w:tcPr>
          <w:p w14:paraId="45D09DD6" w14:textId="28B48625" w:rsidR="00817806" w:rsidRPr="003D64D8" w:rsidRDefault="007E5D9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4</w:t>
            </w:r>
          </w:p>
        </w:tc>
        <w:tc>
          <w:tcPr>
            <w:tcW w:w="4849" w:type="dxa"/>
          </w:tcPr>
          <w:p w14:paraId="6F43E4B2" w14:textId="71CD5E81" w:rsidR="00817806" w:rsidRPr="003D64D8" w:rsidRDefault="00834276" w:rsidP="00834276">
            <w:pPr>
              <w:jc w:val="both"/>
              <w:rPr>
                <w:rFonts w:cs="Calibri"/>
                <w:b/>
              </w:rPr>
            </w:pPr>
            <w:r w:rsidRPr="003D64D8">
              <w:t>Форма Приложения 3</w:t>
            </w:r>
            <w:r w:rsidRPr="003D64D8">
              <w:rPr>
                <w:rFonts w:cs="Calibri"/>
                <w:b/>
              </w:rPr>
              <w:t xml:space="preserve"> «</w:t>
            </w:r>
            <w:r w:rsidRPr="003D64D8">
              <w:t>Свидетельство о полномочиях действовать от имени производителя в случае если участник тендера не является производителем (Сертификат авторизации)» является строгой Формой для заполнения или это пример?</w:t>
            </w:r>
          </w:p>
        </w:tc>
        <w:tc>
          <w:tcPr>
            <w:tcW w:w="4861" w:type="dxa"/>
          </w:tcPr>
          <w:p w14:paraId="1AA96538" w14:textId="06DF8BFC" w:rsidR="00817806" w:rsidRPr="003D64D8" w:rsidRDefault="00834276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Это пример формы для заполнения.</w:t>
            </w:r>
          </w:p>
        </w:tc>
      </w:tr>
      <w:tr w:rsidR="00817806" w:rsidRPr="003D64D8" w14:paraId="16E86DAE" w14:textId="77777777" w:rsidTr="004F17E6">
        <w:tc>
          <w:tcPr>
            <w:tcW w:w="460" w:type="dxa"/>
          </w:tcPr>
          <w:p w14:paraId="069D3C49" w14:textId="60B1F6DF" w:rsidR="00817806" w:rsidRPr="003D64D8" w:rsidRDefault="007E5D9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5</w:t>
            </w:r>
          </w:p>
        </w:tc>
        <w:tc>
          <w:tcPr>
            <w:tcW w:w="4849" w:type="dxa"/>
          </w:tcPr>
          <w:p w14:paraId="591E6342" w14:textId="287061B5" w:rsidR="00817806" w:rsidRPr="003D64D8" w:rsidRDefault="002A53F2" w:rsidP="00CE3748">
            <w:pPr>
              <w:spacing w:line="276" w:lineRule="auto"/>
              <w:jc w:val="both"/>
            </w:pPr>
            <w:r w:rsidRPr="003D64D8">
              <w:t xml:space="preserve">Необходимо ли заполнять пункты: 3.1 Структура управления, 3.2 Распределение рабочего времени персонала, 3.3 Квалификация основных сотрудников подраздела </w:t>
            </w:r>
            <w:proofErr w:type="gramStart"/>
            <w:r w:rsidRPr="003D64D8">
              <w:t>3.3:Персонал</w:t>
            </w:r>
            <w:proofErr w:type="gramEnd"/>
            <w:r w:rsidRPr="003D64D8">
              <w:t>?</w:t>
            </w:r>
          </w:p>
        </w:tc>
        <w:tc>
          <w:tcPr>
            <w:tcW w:w="4861" w:type="dxa"/>
          </w:tcPr>
          <w:p w14:paraId="7DD2B14A" w14:textId="105882EE" w:rsidR="00817806" w:rsidRPr="003D64D8" w:rsidRDefault="002A53F2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Да, это необходимо заполнить.</w:t>
            </w:r>
          </w:p>
        </w:tc>
      </w:tr>
      <w:tr w:rsidR="00817806" w:rsidRPr="003D64D8" w14:paraId="22EB01FF" w14:textId="77777777" w:rsidTr="004F17E6">
        <w:tc>
          <w:tcPr>
            <w:tcW w:w="460" w:type="dxa"/>
          </w:tcPr>
          <w:p w14:paraId="0A3A3C73" w14:textId="35184C94" w:rsidR="00817806" w:rsidRPr="003D64D8" w:rsidRDefault="007E5D9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6</w:t>
            </w:r>
          </w:p>
        </w:tc>
        <w:tc>
          <w:tcPr>
            <w:tcW w:w="4849" w:type="dxa"/>
          </w:tcPr>
          <w:p w14:paraId="772DAC1D" w14:textId="46DD113E" w:rsidR="00817806" w:rsidRPr="003D64D8" w:rsidRDefault="003928DC" w:rsidP="00CE3748">
            <w:pPr>
              <w:spacing w:line="276" w:lineRule="auto"/>
              <w:jc w:val="both"/>
            </w:pPr>
            <w:r w:rsidRPr="003D64D8">
              <w:t>Необходимо ли предоставлять сертификат Надлежащей производственной практики (</w:t>
            </w:r>
            <w:proofErr w:type="spellStart"/>
            <w:r w:rsidRPr="003D64D8">
              <w:t>англ</w:t>
            </w:r>
            <w:proofErr w:type="spellEnd"/>
            <w:r w:rsidRPr="003D64D8">
              <w:t xml:space="preserve"> – GMP) для всех производственных участков?</w:t>
            </w:r>
          </w:p>
        </w:tc>
        <w:tc>
          <w:tcPr>
            <w:tcW w:w="4861" w:type="dxa"/>
          </w:tcPr>
          <w:p w14:paraId="2E30D869" w14:textId="7356B510" w:rsidR="00817806" w:rsidRPr="003D64D8" w:rsidRDefault="003928DC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Да, необходимо предоставить </w:t>
            </w:r>
            <w:r w:rsidRPr="003D64D8">
              <w:t>GMP</w:t>
            </w:r>
            <w:r w:rsidRPr="003D64D8">
              <w:rPr>
                <w:color w:val="000000" w:themeColor="text1"/>
              </w:rPr>
              <w:t xml:space="preserve"> для всех производственных участков</w:t>
            </w:r>
            <w:r w:rsidR="008409C3" w:rsidRPr="00C90FD0">
              <w:rPr>
                <w:color w:val="000000" w:themeColor="text1"/>
              </w:rPr>
              <w:t>, которое задействован</w:t>
            </w:r>
            <w:r w:rsidR="008409C3" w:rsidRPr="003D64D8">
              <w:rPr>
                <w:color w:val="000000" w:themeColor="text1"/>
              </w:rPr>
              <w:t>ы</w:t>
            </w:r>
            <w:r w:rsidR="008409C3" w:rsidRPr="00C90FD0">
              <w:rPr>
                <w:color w:val="000000" w:themeColor="text1"/>
              </w:rPr>
              <w:t xml:space="preserve"> в производстве товара</w:t>
            </w:r>
            <w:r w:rsidR="009A20F2" w:rsidRPr="00C90FD0">
              <w:rPr>
                <w:color w:val="000000" w:themeColor="text1"/>
              </w:rPr>
              <w:t xml:space="preserve"> (производство, первичная/вторичная упаковка, выпуск серии, контроль качества)</w:t>
            </w:r>
            <w:r w:rsidRPr="003D64D8">
              <w:rPr>
                <w:color w:val="000000" w:themeColor="text1"/>
              </w:rPr>
              <w:t>.</w:t>
            </w:r>
          </w:p>
        </w:tc>
      </w:tr>
      <w:tr w:rsidR="00817806" w:rsidRPr="003D64D8" w14:paraId="6DD48264" w14:textId="77777777" w:rsidTr="004F17E6">
        <w:tc>
          <w:tcPr>
            <w:tcW w:w="460" w:type="dxa"/>
          </w:tcPr>
          <w:p w14:paraId="2CB862EA" w14:textId="79CE559D" w:rsidR="00817806" w:rsidRPr="003D64D8" w:rsidRDefault="007E5D9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7</w:t>
            </w:r>
          </w:p>
        </w:tc>
        <w:tc>
          <w:tcPr>
            <w:tcW w:w="4849" w:type="dxa"/>
          </w:tcPr>
          <w:p w14:paraId="38B7653A" w14:textId="11877700" w:rsidR="00817806" w:rsidRPr="003D64D8" w:rsidRDefault="00D868C4" w:rsidP="00CE3748">
            <w:pPr>
              <w:spacing w:line="276" w:lineRule="auto"/>
              <w:jc w:val="both"/>
            </w:pPr>
            <w:r w:rsidRPr="003D64D8">
              <w:t>Как правильно указать ожидаемую дату поставки, если планируется поставка не всего к-</w:t>
            </w:r>
            <w:proofErr w:type="spellStart"/>
            <w:r w:rsidRPr="003D64D8">
              <w:t>ва</w:t>
            </w:r>
            <w:proofErr w:type="spellEnd"/>
            <w:r w:rsidRPr="003D64D8">
              <w:t xml:space="preserve"> товара одной партией?</w:t>
            </w:r>
          </w:p>
        </w:tc>
        <w:tc>
          <w:tcPr>
            <w:tcW w:w="4861" w:type="dxa"/>
          </w:tcPr>
          <w:p w14:paraId="6EB34114" w14:textId="1CD718EA" w:rsidR="00817806" w:rsidRPr="003D64D8" w:rsidRDefault="00D868C4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Необходимо разделить даты</w:t>
            </w:r>
            <w:r w:rsidR="009A20F2" w:rsidRPr="003D64D8">
              <w:rPr>
                <w:color w:val="000000" w:themeColor="text1"/>
              </w:rPr>
              <w:t xml:space="preserve"> и </w:t>
            </w:r>
            <w:r w:rsidR="003D64D8" w:rsidRPr="00A96CDD">
              <w:rPr>
                <w:color w:val="000000" w:themeColor="text1"/>
              </w:rPr>
              <w:t>пропорци</w:t>
            </w:r>
            <w:r w:rsidR="003D64D8">
              <w:rPr>
                <w:color w:val="000000" w:themeColor="text1"/>
              </w:rPr>
              <w:t>и/</w:t>
            </w:r>
            <w:r w:rsidR="003D64D8" w:rsidRPr="003D64D8">
              <w:rPr>
                <w:color w:val="000000" w:themeColor="text1"/>
              </w:rPr>
              <w:t>количества</w:t>
            </w:r>
            <w:r w:rsidRPr="003D64D8">
              <w:rPr>
                <w:color w:val="000000" w:themeColor="text1"/>
              </w:rPr>
              <w:t xml:space="preserve"> поставки, </w:t>
            </w:r>
            <w:proofErr w:type="gramStart"/>
            <w:r w:rsidR="003D64D8" w:rsidRPr="003D64D8">
              <w:rPr>
                <w:color w:val="000000" w:themeColor="text1"/>
              </w:rPr>
              <w:t>например</w:t>
            </w:r>
            <w:proofErr w:type="gramEnd"/>
            <w:r w:rsidR="007603EB" w:rsidRPr="007603EB">
              <w:rPr>
                <w:color w:val="000000" w:themeColor="text1"/>
              </w:rPr>
              <w:t>:</w:t>
            </w:r>
            <w:r w:rsidRPr="003D64D8">
              <w:rPr>
                <w:color w:val="000000" w:themeColor="text1"/>
              </w:rPr>
              <w:t xml:space="preserve"> 25% - 1 ноября, 75% - 1 декабря.</w:t>
            </w:r>
          </w:p>
        </w:tc>
      </w:tr>
      <w:tr w:rsidR="00817806" w:rsidRPr="003D64D8" w14:paraId="4FCA4A59" w14:textId="77777777" w:rsidTr="004F17E6">
        <w:tc>
          <w:tcPr>
            <w:tcW w:w="460" w:type="dxa"/>
          </w:tcPr>
          <w:p w14:paraId="0C9B2659" w14:textId="464C1C27" w:rsidR="00817806" w:rsidRPr="003D64D8" w:rsidRDefault="007E5D9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8</w:t>
            </w:r>
          </w:p>
        </w:tc>
        <w:tc>
          <w:tcPr>
            <w:tcW w:w="4849" w:type="dxa"/>
          </w:tcPr>
          <w:p w14:paraId="371AED17" w14:textId="5D244E07" w:rsidR="00817806" w:rsidRPr="003D64D8" w:rsidRDefault="00D868C4" w:rsidP="00CE3748">
            <w:pPr>
              <w:spacing w:line="276" w:lineRule="auto"/>
              <w:jc w:val="both"/>
            </w:pPr>
            <w:r w:rsidRPr="003D64D8">
              <w:t>Цена на услови</w:t>
            </w:r>
            <w:r w:rsidR="007603EB">
              <w:t>ях</w:t>
            </w:r>
            <w:r w:rsidRPr="003D64D8">
              <w:t xml:space="preserve"> поставки EXW указана </w:t>
            </w:r>
            <w:r w:rsidR="003E256B" w:rsidRPr="003D64D8">
              <w:t xml:space="preserve">для того, чтоб ПРООН могло потенциально организовать доставку? </w:t>
            </w:r>
          </w:p>
        </w:tc>
        <w:tc>
          <w:tcPr>
            <w:tcW w:w="4861" w:type="dxa"/>
          </w:tcPr>
          <w:p w14:paraId="1F064D25" w14:textId="6CF04B00" w:rsidR="00817806" w:rsidRPr="003D64D8" w:rsidRDefault="003E256B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Да, ПРООН рассматривает возможность организовать доставку на условиях </w:t>
            </w:r>
            <w:r w:rsidRPr="00C90FD0">
              <w:t>EXW</w:t>
            </w:r>
            <w:r w:rsidR="009A20F2" w:rsidRPr="00C90FD0">
              <w:t xml:space="preserve"> в рамках долгосрочных соглашений</w:t>
            </w:r>
            <w:r w:rsidRPr="003D64D8">
              <w:t>.</w:t>
            </w:r>
            <w:r w:rsidR="009A20F2" w:rsidRPr="003D64D8">
              <w:t xml:space="preserve"> Первая поставка будет осуществляться на условиях </w:t>
            </w:r>
            <w:r w:rsidR="009A20F2" w:rsidRPr="00C90FD0">
              <w:t>DAP.</w:t>
            </w:r>
          </w:p>
        </w:tc>
      </w:tr>
      <w:tr w:rsidR="00D868C4" w:rsidRPr="003D64D8" w14:paraId="1435CD56" w14:textId="77777777" w:rsidTr="004F17E6">
        <w:tc>
          <w:tcPr>
            <w:tcW w:w="460" w:type="dxa"/>
          </w:tcPr>
          <w:p w14:paraId="1BD3C1F1" w14:textId="7B5BDF4B" w:rsidR="00D868C4" w:rsidRPr="003D64D8" w:rsidRDefault="007E5D9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9</w:t>
            </w:r>
          </w:p>
        </w:tc>
        <w:tc>
          <w:tcPr>
            <w:tcW w:w="4849" w:type="dxa"/>
          </w:tcPr>
          <w:p w14:paraId="25C403FC" w14:textId="457171E6" w:rsidR="00D868C4" w:rsidRPr="003D64D8" w:rsidRDefault="003E256B" w:rsidP="00CE3748">
            <w:pPr>
              <w:spacing w:line="276" w:lineRule="auto"/>
              <w:jc w:val="both"/>
            </w:pPr>
            <w:r w:rsidRPr="003D64D8">
              <w:t>Как поступить, если нет возможности отдельно указать стоимость доставки и страховки (DAP, Киев)?</w:t>
            </w:r>
          </w:p>
        </w:tc>
        <w:tc>
          <w:tcPr>
            <w:tcW w:w="4861" w:type="dxa"/>
          </w:tcPr>
          <w:p w14:paraId="6BD98E52" w14:textId="75C91342" w:rsidR="00D868C4" w:rsidRPr="003D64D8" w:rsidRDefault="003E256B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9247F">
              <w:t>Укажите стоимость за единицу товара на условиях EXW и обязательно укажите в примечании, что стоимость включает страхование и доставку.</w:t>
            </w:r>
            <w:r w:rsidR="009A20F2" w:rsidRPr="0039247F">
              <w:t xml:space="preserve"> Тем не менее, желательно</w:t>
            </w:r>
            <w:r w:rsidR="00683E6C">
              <w:t xml:space="preserve"> указать</w:t>
            </w:r>
            <w:r w:rsidR="009A20F2" w:rsidRPr="0039247F">
              <w:t xml:space="preserve"> </w:t>
            </w:r>
            <w:r w:rsidR="00683E6C">
              <w:t>стоимость</w:t>
            </w:r>
            <w:r w:rsidR="009A20F2" w:rsidRPr="0039247F">
              <w:t xml:space="preserve"> на</w:t>
            </w:r>
            <w:r w:rsidR="00683E6C">
              <w:t xml:space="preserve"> условиях</w:t>
            </w:r>
            <w:r w:rsidR="009A20F2" w:rsidRPr="0039247F">
              <w:t xml:space="preserve"> EXW и стоимость доставки и страховки (DAP, Киев) </w:t>
            </w:r>
            <w:r w:rsidR="003D64D8" w:rsidRPr="0039247F">
              <w:t>указывать</w:t>
            </w:r>
            <w:r w:rsidR="009A20F2" w:rsidRPr="0039247F">
              <w:t xml:space="preserve"> отдельно</w:t>
            </w:r>
            <w:r w:rsidR="009A20F2" w:rsidRPr="003D64D8">
              <w:t>.</w:t>
            </w:r>
            <w:r w:rsidR="009A20F2" w:rsidRPr="00C90FD0">
              <w:rPr>
                <w:color w:val="FF0000"/>
              </w:rPr>
              <w:t xml:space="preserve"> </w:t>
            </w:r>
          </w:p>
        </w:tc>
      </w:tr>
      <w:tr w:rsidR="00D868C4" w:rsidRPr="003D64D8" w14:paraId="2D33C038" w14:textId="77777777" w:rsidTr="004F17E6">
        <w:tc>
          <w:tcPr>
            <w:tcW w:w="460" w:type="dxa"/>
          </w:tcPr>
          <w:p w14:paraId="305C4455" w14:textId="1DADB748" w:rsidR="00D868C4" w:rsidRPr="003D64D8" w:rsidRDefault="009E68FE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1</w:t>
            </w:r>
            <w:r w:rsidR="007E5D9D" w:rsidRPr="003D64D8">
              <w:rPr>
                <w:color w:val="000000" w:themeColor="text1"/>
              </w:rPr>
              <w:t>0</w:t>
            </w:r>
          </w:p>
        </w:tc>
        <w:tc>
          <w:tcPr>
            <w:tcW w:w="4849" w:type="dxa"/>
          </w:tcPr>
          <w:p w14:paraId="5EB64A1E" w14:textId="0CC687E1" w:rsidR="00D868C4" w:rsidRPr="003D64D8" w:rsidRDefault="00C57CBC" w:rsidP="009A20F2">
            <w:pPr>
              <w:spacing w:line="276" w:lineRule="auto"/>
              <w:jc w:val="both"/>
            </w:pPr>
            <w:r w:rsidRPr="003D64D8">
              <w:rPr>
                <w:rFonts w:cstheme="minorHAnsi"/>
              </w:rPr>
              <w:t xml:space="preserve">Необходимо ли предоставлять </w:t>
            </w:r>
            <w:r w:rsidR="00DB7D73" w:rsidRPr="003D64D8">
              <w:rPr>
                <w:rFonts w:cstheme="minorHAnsi"/>
              </w:rPr>
              <w:t>Банковск</w:t>
            </w:r>
            <w:r w:rsidRPr="003D64D8">
              <w:rPr>
                <w:rFonts w:cstheme="minorHAnsi"/>
              </w:rPr>
              <w:t>ую</w:t>
            </w:r>
            <w:r w:rsidR="00DB7D73" w:rsidRPr="003D64D8">
              <w:rPr>
                <w:rFonts w:cstheme="minorHAnsi"/>
              </w:rPr>
              <w:t xml:space="preserve"> Гаранти</w:t>
            </w:r>
            <w:r w:rsidRPr="003D64D8">
              <w:rPr>
                <w:rFonts w:cstheme="minorHAnsi"/>
              </w:rPr>
              <w:t>ю</w:t>
            </w:r>
            <w:r w:rsidR="00DB7D73" w:rsidRPr="003D64D8">
              <w:rPr>
                <w:rFonts w:cstheme="minorHAnsi"/>
              </w:rPr>
              <w:t xml:space="preserve"> для обеспечения тендерной </w:t>
            </w:r>
            <w:r w:rsidR="003D64D8" w:rsidRPr="003D64D8">
              <w:rPr>
                <w:rFonts w:cstheme="minorHAnsi"/>
              </w:rPr>
              <w:t>з</w:t>
            </w:r>
            <w:r w:rsidR="0039247F">
              <w:rPr>
                <w:rFonts w:cstheme="minorHAnsi"/>
              </w:rPr>
              <w:t>ая</w:t>
            </w:r>
            <w:r w:rsidR="003D64D8" w:rsidRPr="003D64D8">
              <w:rPr>
                <w:rFonts w:cstheme="minorHAnsi"/>
              </w:rPr>
              <w:t>вки</w:t>
            </w:r>
            <w:r w:rsidRPr="003D64D8">
              <w:rPr>
                <w:rFonts w:cstheme="minorHAnsi"/>
              </w:rPr>
              <w:t xml:space="preserve"> и</w:t>
            </w:r>
            <w:r w:rsidR="00DB7D73" w:rsidRPr="003D64D8">
              <w:rPr>
                <w:rFonts w:cstheme="minorHAnsi"/>
              </w:rPr>
              <w:t xml:space="preserve"> </w:t>
            </w:r>
            <w:r w:rsidR="009A20F2" w:rsidRPr="003D64D8">
              <w:rPr>
                <w:rFonts w:cstheme="minorHAnsi"/>
              </w:rPr>
              <w:t>Гарантию исполнения контракта</w:t>
            </w:r>
            <w:r w:rsidR="00F36329" w:rsidRPr="003D64D8">
              <w:rPr>
                <w:rFonts w:cstheme="minorHAnsi"/>
              </w:rPr>
              <w:t xml:space="preserve"> на момент предоставления заявки?</w:t>
            </w:r>
          </w:p>
        </w:tc>
        <w:tc>
          <w:tcPr>
            <w:tcW w:w="4861" w:type="dxa"/>
          </w:tcPr>
          <w:p w14:paraId="1246478E" w14:textId="37578B6B" w:rsidR="00D868C4" w:rsidRPr="003D64D8" w:rsidRDefault="00F36329" w:rsidP="009A20F2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На момент подачи заявки необходимо предоставить </w:t>
            </w:r>
            <w:r w:rsidRPr="003D64D8">
              <w:rPr>
                <w:rFonts w:cstheme="minorHAnsi"/>
              </w:rPr>
              <w:t xml:space="preserve">Банковскую Гарантию для обеспечения тендерной </w:t>
            </w:r>
            <w:r w:rsidR="003D64D8" w:rsidRPr="003D64D8">
              <w:rPr>
                <w:rFonts w:cstheme="minorHAnsi"/>
              </w:rPr>
              <w:t>заявки</w:t>
            </w:r>
            <w:r w:rsidR="009A20F2" w:rsidRPr="003D64D8">
              <w:rPr>
                <w:rFonts w:cstheme="minorHAnsi"/>
              </w:rPr>
              <w:t xml:space="preserve"> (необходимо в рамках тендеров ПУТ 52-2017-UNDP-UKR и 54</w:t>
            </w:r>
            <w:r w:rsidR="009A20F2" w:rsidRPr="00C90FD0">
              <w:rPr>
                <w:rFonts w:cstheme="minorHAnsi"/>
              </w:rPr>
              <w:t>-2017-UNDP-UKR</w:t>
            </w:r>
            <w:r w:rsidR="009A20F2" w:rsidRPr="003D64D8">
              <w:rPr>
                <w:rFonts w:cstheme="minorHAnsi"/>
              </w:rPr>
              <w:t xml:space="preserve"> если стоимость заявки </w:t>
            </w:r>
            <w:r w:rsidR="009A20F2" w:rsidRPr="003D64D8">
              <w:rPr>
                <w:rFonts w:cstheme="minorHAnsi"/>
              </w:rPr>
              <w:lastRenderedPageBreak/>
              <w:t xml:space="preserve">превышает 200 </w:t>
            </w:r>
            <w:r w:rsidR="003D64D8" w:rsidRPr="003D64D8">
              <w:rPr>
                <w:rFonts w:cstheme="minorHAnsi"/>
              </w:rPr>
              <w:t>тыс.</w:t>
            </w:r>
            <w:r w:rsidR="009A20F2" w:rsidRPr="003D64D8">
              <w:rPr>
                <w:rFonts w:cstheme="minorHAnsi"/>
              </w:rPr>
              <w:t xml:space="preserve"> дол.).</w:t>
            </w:r>
            <w:r w:rsidRPr="003D64D8">
              <w:rPr>
                <w:rFonts w:cstheme="minorHAnsi"/>
              </w:rPr>
              <w:t xml:space="preserve"> </w:t>
            </w:r>
            <w:r w:rsidR="009A20F2" w:rsidRPr="003D64D8">
              <w:rPr>
                <w:rFonts w:cstheme="minorHAnsi"/>
              </w:rPr>
              <w:t>Е</w:t>
            </w:r>
            <w:r w:rsidRPr="003D64D8">
              <w:rPr>
                <w:rFonts w:cstheme="minorHAnsi"/>
              </w:rPr>
              <w:t xml:space="preserve">сли компании присужден контракт, то необходимо предоставить </w:t>
            </w:r>
            <w:r w:rsidR="009A20F2" w:rsidRPr="003D64D8">
              <w:rPr>
                <w:rFonts w:cstheme="minorHAnsi"/>
              </w:rPr>
              <w:t xml:space="preserve">Гарантию Исполнения </w:t>
            </w:r>
            <w:r w:rsidR="003D64D8" w:rsidRPr="003D64D8">
              <w:rPr>
                <w:rFonts w:cstheme="minorHAnsi"/>
              </w:rPr>
              <w:t>контракта если</w:t>
            </w:r>
            <w:r w:rsidR="000E08E3" w:rsidRPr="003D64D8">
              <w:rPr>
                <w:rFonts w:cstheme="minorHAnsi"/>
              </w:rPr>
              <w:t xml:space="preserve"> стоимость контракта превышает 300 тыс. Дол</w:t>
            </w:r>
            <w:r w:rsidR="0039247F">
              <w:rPr>
                <w:rFonts w:cstheme="minorHAnsi"/>
              </w:rPr>
              <w:t>,</w:t>
            </w:r>
            <w:r w:rsidR="000E08E3" w:rsidRPr="003D64D8">
              <w:rPr>
                <w:rFonts w:cstheme="minorHAnsi"/>
              </w:rPr>
              <w:t xml:space="preserve"> либо по </w:t>
            </w:r>
            <w:r w:rsidR="003D64D8" w:rsidRPr="003D64D8">
              <w:rPr>
                <w:rFonts w:cstheme="minorHAnsi"/>
              </w:rPr>
              <w:t>усмотрению</w:t>
            </w:r>
            <w:r w:rsidR="000E08E3" w:rsidRPr="003D64D8">
              <w:rPr>
                <w:rFonts w:cstheme="minorHAnsi"/>
              </w:rPr>
              <w:t xml:space="preserve"> ПРООН</w:t>
            </w:r>
            <w:r w:rsidRPr="003D64D8">
              <w:rPr>
                <w:rFonts w:cstheme="minorHAnsi"/>
              </w:rPr>
              <w:t>.</w:t>
            </w:r>
          </w:p>
        </w:tc>
      </w:tr>
      <w:tr w:rsidR="00D868C4" w:rsidRPr="003D64D8" w14:paraId="2147D2FB" w14:textId="77777777" w:rsidTr="004F17E6">
        <w:tc>
          <w:tcPr>
            <w:tcW w:w="460" w:type="dxa"/>
          </w:tcPr>
          <w:p w14:paraId="3561EF93" w14:textId="6E95DEBE" w:rsidR="00D868C4" w:rsidRPr="003D64D8" w:rsidRDefault="00815693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90FD0">
              <w:rPr>
                <w:color w:val="000000" w:themeColor="text1"/>
              </w:rPr>
              <w:lastRenderedPageBreak/>
              <w:t>1</w:t>
            </w:r>
            <w:r w:rsidR="007E5D9D" w:rsidRPr="003D64D8">
              <w:rPr>
                <w:color w:val="000000" w:themeColor="text1"/>
              </w:rPr>
              <w:t>1</w:t>
            </w:r>
          </w:p>
        </w:tc>
        <w:tc>
          <w:tcPr>
            <w:tcW w:w="4849" w:type="dxa"/>
          </w:tcPr>
          <w:p w14:paraId="09309BF8" w14:textId="3FC47B98" w:rsidR="00D868C4" w:rsidRPr="003D64D8" w:rsidRDefault="00F36329" w:rsidP="00CE3748">
            <w:pPr>
              <w:spacing w:line="276" w:lineRule="auto"/>
              <w:jc w:val="both"/>
            </w:pPr>
            <w:r w:rsidRPr="003D64D8">
              <w:t>Можно ли предоставить те же рекомендательные письма, если мы уже принимали участие в тендере в этом году?</w:t>
            </w:r>
          </w:p>
        </w:tc>
        <w:tc>
          <w:tcPr>
            <w:tcW w:w="4861" w:type="dxa"/>
          </w:tcPr>
          <w:p w14:paraId="28DC2A19" w14:textId="4C2571DA" w:rsidR="00D868C4" w:rsidRPr="003D64D8" w:rsidRDefault="00F36329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Да, можно.</w:t>
            </w:r>
          </w:p>
        </w:tc>
      </w:tr>
      <w:tr w:rsidR="00D868C4" w:rsidRPr="003D64D8" w14:paraId="6EE65CEA" w14:textId="77777777" w:rsidTr="004F17E6">
        <w:tc>
          <w:tcPr>
            <w:tcW w:w="460" w:type="dxa"/>
          </w:tcPr>
          <w:p w14:paraId="69F9D041" w14:textId="3BEFE2EB" w:rsidR="00D868C4" w:rsidRPr="003D64D8" w:rsidRDefault="00815693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90FD0">
              <w:rPr>
                <w:color w:val="000000" w:themeColor="text1"/>
              </w:rPr>
              <w:t>1</w:t>
            </w:r>
            <w:r w:rsidR="007E5D9D" w:rsidRPr="003D64D8">
              <w:rPr>
                <w:color w:val="000000" w:themeColor="text1"/>
              </w:rPr>
              <w:t>2</w:t>
            </w:r>
          </w:p>
        </w:tc>
        <w:tc>
          <w:tcPr>
            <w:tcW w:w="4849" w:type="dxa"/>
          </w:tcPr>
          <w:p w14:paraId="2FB73D68" w14:textId="0E034C8E" w:rsidR="00D868C4" w:rsidRPr="003D64D8" w:rsidRDefault="00F36329" w:rsidP="00CE3748">
            <w:pPr>
              <w:spacing w:line="276" w:lineRule="auto"/>
              <w:jc w:val="both"/>
            </w:pPr>
            <w:r w:rsidRPr="003D64D8">
              <w:t>В случае, если ПРООН уже имеет опыт работы с компанией, необходимо ли предоставлять рекомендательные письма?</w:t>
            </w:r>
          </w:p>
        </w:tc>
        <w:tc>
          <w:tcPr>
            <w:tcW w:w="4861" w:type="dxa"/>
          </w:tcPr>
          <w:p w14:paraId="23BB98EC" w14:textId="31B3287E" w:rsidR="00D868C4" w:rsidRPr="003D64D8" w:rsidRDefault="00F36329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Да, необходимо.</w:t>
            </w:r>
          </w:p>
        </w:tc>
      </w:tr>
      <w:tr w:rsidR="00D868C4" w:rsidRPr="003D64D8" w14:paraId="610E79B8" w14:textId="77777777" w:rsidTr="004F17E6">
        <w:tc>
          <w:tcPr>
            <w:tcW w:w="460" w:type="dxa"/>
          </w:tcPr>
          <w:p w14:paraId="16876C47" w14:textId="6494302D" w:rsidR="00D868C4" w:rsidRPr="003D64D8" w:rsidRDefault="00815693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90FD0">
              <w:rPr>
                <w:color w:val="000000" w:themeColor="text1"/>
              </w:rPr>
              <w:t>1</w:t>
            </w:r>
            <w:r w:rsidR="007E5D9D" w:rsidRPr="003D64D8">
              <w:rPr>
                <w:color w:val="000000" w:themeColor="text1"/>
              </w:rPr>
              <w:t>3</w:t>
            </w:r>
          </w:p>
        </w:tc>
        <w:tc>
          <w:tcPr>
            <w:tcW w:w="4849" w:type="dxa"/>
          </w:tcPr>
          <w:p w14:paraId="6451AF97" w14:textId="6C7690E1" w:rsidR="00D868C4" w:rsidRPr="003D64D8" w:rsidRDefault="00F36329" w:rsidP="00CE3748">
            <w:pPr>
              <w:spacing w:line="276" w:lineRule="auto"/>
              <w:jc w:val="both"/>
            </w:pPr>
            <w:r w:rsidRPr="003D64D8">
              <w:t xml:space="preserve">Рекомендательные письма являют собой отзывы получателя, то есть у ПРООН можно запросить отзыв? </w:t>
            </w:r>
          </w:p>
        </w:tc>
        <w:tc>
          <w:tcPr>
            <w:tcW w:w="4861" w:type="dxa"/>
          </w:tcPr>
          <w:p w14:paraId="2CCA1EDB" w14:textId="68B9A590" w:rsidR="00D868C4" w:rsidRPr="003D64D8" w:rsidRDefault="00F36329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Да, укажите, что была поставка в ПРООН и мы приложим к заявке компании</w:t>
            </w:r>
            <w:r w:rsidR="00CC0051" w:rsidRPr="003D64D8">
              <w:rPr>
                <w:color w:val="000000" w:themeColor="text1"/>
              </w:rPr>
              <w:t xml:space="preserve"> оценку поставщика (внутренний документ</w:t>
            </w:r>
            <w:r w:rsidR="00E112FA" w:rsidRPr="003D64D8">
              <w:rPr>
                <w:color w:val="000000" w:themeColor="text1"/>
              </w:rPr>
              <w:t xml:space="preserve"> на поставщика, </w:t>
            </w:r>
            <w:r w:rsidR="00CC0051" w:rsidRPr="003D64D8">
              <w:rPr>
                <w:color w:val="000000" w:themeColor="text1"/>
              </w:rPr>
              <w:t>котор</w:t>
            </w:r>
            <w:r w:rsidR="00E112FA" w:rsidRPr="003D64D8">
              <w:rPr>
                <w:color w:val="000000" w:themeColor="text1"/>
              </w:rPr>
              <w:t>ый закончил выполнения контракта)</w:t>
            </w:r>
            <w:r w:rsidR="00CC0051" w:rsidRPr="003D64D8">
              <w:rPr>
                <w:color w:val="000000" w:themeColor="text1"/>
              </w:rPr>
              <w:t>.</w:t>
            </w:r>
          </w:p>
        </w:tc>
      </w:tr>
      <w:tr w:rsidR="00D868C4" w:rsidRPr="003D64D8" w14:paraId="7AEF345E" w14:textId="77777777" w:rsidTr="004F17E6">
        <w:tc>
          <w:tcPr>
            <w:tcW w:w="460" w:type="dxa"/>
          </w:tcPr>
          <w:p w14:paraId="03607099" w14:textId="0CAB0729" w:rsidR="00D868C4" w:rsidRPr="003D64D8" w:rsidRDefault="00815693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90FD0">
              <w:rPr>
                <w:color w:val="000000" w:themeColor="text1"/>
              </w:rPr>
              <w:t>1</w:t>
            </w:r>
            <w:r w:rsidR="007E5D9D" w:rsidRPr="003D64D8">
              <w:rPr>
                <w:color w:val="000000" w:themeColor="text1"/>
              </w:rPr>
              <w:t>4</w:t>
            </w:r>
          </w:p>
        </w:tc>
        <w:tc>
          <w:tcPr>
            <w:tcW w:w="4849" w:type="dxa"/>
          </w:tcPr>
          <w:p w14:paraId="25CC4E83" w14:textId="3F355776" w:rsidR="00D868C4" w:rsidRPr="003D64D8" w:rsidRDefault="00CC0051" w:rsidP="005F6A0D">
            <w:pPr>
              <w:spacing w:line="276" w:lineRule="auto"/>
              <w:jc w:val="both"/>
            </w:pPr>
            <w:r w:rsidRPr="003D64D8">
              <w:t xml:space="preserve">В случае если </w:t>
            </w:r>
            <w:r w:rsidR="005F6A0D" w:rsidRPr="003D64D8">
              <w:t xml:space="preserve">другой контрагент поставлял </w:t>
            </w:r>
            <w:r w:rsidR="0039247F">
              <w:t>препарат</w:t>
            </w:r>
            <w:r w:rsidR="005F6A0D" w:rsidRPr="003D64D8">
              <w:t xml:space="preserve">, </w:t>
            </w:r>
            <w:r w:rsidRPr="003D64D8">
              <w:t xml:space="preserve">можно предоставить отзыв </w:t>
            </w:r>
            <w:r w:rsidR="0039247F">
              <w:t xml:space="preserve">на этот </w:t>
            </w:r>
            <w:r w:rsidR="0039247F" w:rsidRPr="003D64D8">
              <w:t xml:space="preserve">препарат </w:t>
            </w:r>
            <w:r w:rsidRPr="003D64D8">
              <w:t>со стороны ПРООН</w:t>
            </w:r>
            <w:r w:rsidR="0039247F">
              <w:t>?</w:t>
            </w:r>
          </w:p>
        </w:tc>
        <w:tc>
          <w:tcPr>
            <w:tcW w:w="4861" w:type="dxa"/>
          </w:tcPr>
          <w:p w14:paraId="29ECC285" w14:textId="13BC8F24" w:rsidR="00D868C4" w:rsidRPr="003D64D8" w:rsidRDefault="00CC0051" w:rsidP="005F6A0D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Отзыв предоставляется</w:t>
            </w:r>
            <w:r w:rsidR="00070BC6" w:rsidRPr="003D64D8">
              <w:rPr>
                <w:color w:val="000000" w:themeColor="text1"/>
              </w:rPr>
              <w:t xml:space="preserve"> на препараты</w:t>
            </w:r>
            <w:r w:rsidR="005F6A0D" w:rsidRPr="003D64D8">
              <w:rPr>
                <w:color w:val="000000" w:themeColor="text1"/>
              </w:rPr>
              <w:t xml:space="preserve"> от медицинских учреждений</w:t>
            </w:r>
            <w:r w:rsidRPr="003D64D8">
              <w:rPr>
                <w:color w:val="000000" w:themeColor="text1"/>
              </w:rPr>
              <w:t xml:space="preserve">, если нет утверждения строгих регуляторных органов, </w:t>
            </w:r>
            <w:r w:rsidR="005F6A0D" w:rsidRPr="003D64D8">
              <w:rPr>
                <w:color w:val="000000" w:themeColor="text1"/>
              </w:rPr>
              <w:t>без привязки к контрагенту</w:t>
            </w:r>
            <w:r w:rsidR="000E08E3" w:rsidRPr="003D64D8">
              <w:rPr>
                <w:color w:val="000000" w:themeColor="text1"/>
              </w:rPr>
              <w:t xml:space="preserve">. </w:t>
            </w:r>
          </w:p>
        </w:tc>
      </w:tr>
      <w:tr w:rsidR="00D868C4" w:rsidRPr="003D64D8" w14:paraId="7339713D" w14:textId="77777777" w:rsidTr="004F17E6">
        <w:tc>
          <w:tcPr>
            <w:tcW w:w="460" w:type="dxa"/>
          </w:tcPr>
          <w:p w14:paraId="45B8E200" w14:textId="2D2EFCE8" w:rsidR="00D868C4" w:rsidRPr="003D64D8" w:rsidRDefault="00815693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90FD0">
              <w:rPr>
                <w:color w:val="000000" w:themeColor="text1"/>
              </w:rPr>
              <w:t>1</w:t>
            </w:r>
            <w:r w:rsidR="007E5D9D" w:rsidRPr="003D64D8">
              <w:rPr>
                <w:color w:val="000000" w:themeColor="text1"/>
              </w:rPr>
              <w:t>5</w:t>
            </w:r>
          </w:p>
        </w:tc>
        <w:tc>
          <w:tcPr>
            <w:tcW w:w="4849" w:type="dxa"/>
          </w:tcPr>
          <w:p w14:paraId="60C2EA8C" w14:textId="28DA03BF" w:rsidR="00D868C4" w:rsidRPr="003D64D8" w:rsidRDefault="00070BC6" w:rsidP="00CE3748">
            <w:pPr>
              <w:spacing w:line="276" w:lineRule="auto"/>
              <w:jc w:val="both"/>
            </w:pPr>
            <w:r w:rsidRPr="003D64D8">
              <w:t>Если препарат утвержден под одним названием в Европейских странах, а в Украине он зарегистрирован под другим названием.</w:t>
            </w:r>
          </w:p>
        </w:tc>
        <w:tc>
          <w:tcPr>
            <w:tcW w:w="4861" w:type="dxa"/>
          </w:tcPr>
          <w:p w14:paraId="30ACE0D1" w14:textId="4355A661" w:rsidR="00D868C4" w:rsidRPr="003D64D8" w:rsidRDefault="00070BC6" w:rsidP="005F6A0D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Это допустимо.</w:t>
            </w:r>
          </w:p>
        </w:tc>
      </w:tr>
      <w:tr w:rsidR="00070BC6" w:rsidRPr="003D64D8" w14:paraId="340FA125" w14:textId="77777777" w:rsidTr="004F17E6">
        <w:tc>
          <w:tcPr>
            <w:tcW w:w="460" w:type="dxa"/>
          </w:tcPr>
          <w:p w14:paraId="3E42DD31" w14:textId="3B68716F" w:rsidR="00070BC6" w:rsidRPr="003D64D8" w:rsidRDefault="00815693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90FD0">
              <w:rPr>
                <w:color w:val="000000" w:themeColor="text1"/>
              </w:rPr>
              <w:t>1</w:t>
            </w:r>
            <w:r w:rsidR="007E5D9D" w:rsidRPr="003D64D8">
              <w:rPr>
                <w:color w:val="000000" w:themeColor="text1"/>
              </w:rPr>
              <w:t>6</w:t>
            </w:r>
          </w:p>
        </w:tc>
        <w:tc>
          <w:tcPr>
            <w:tcW w:w="4849" w:type="dxa"/>
          </w:tcPr>
          <w:p w14:paraId="262C81D6" w14:textId="7D9FBEBA" w:rsidR="00070BC6" w:rsidRPr="003D64D8" w:rsidRDefault="005F6A0D" w:rsidP="00CE3748">
            <w:pPr>
              <w:spacing w:line="276" w:lineRule="auto"/>
              <w:jc w:val="both"/>
            </w:pPr>
            <w:r w:rsidRPr="003D64D8">
              <w:t xml:space="preserve">В </w:t>
            </w:r>
            <w:r w:rsidR="003D64D8" w:rsidRPr="003D64D8">
              <w:t>продолжение</w:t>
            </w:r>
            <w:r w:rsidRPr="003D64D8">
              <w:t xml:space="preserve"> вопроса № 15. </w:t>
            </w:r>
            <w:r w:rsidR="00070BC6" w:rsidRPr="003D64D8">
              <w:t>Если это разные производители с разными названиями?</w:t>
            </w:r>
          </w:p>
        </w:tc>
        <w:tc>
          <w:tcPr>
            <w:tcW w:w="4861" w:type="dxa"/>
          </w:tcPr>
          <w:p w14:paraId="147DAAD6" w14:textId="170FC1CD" w:rsidR="00070BC6" w:rsidRPr="003D64D8" w:rsidRDefault="00070BC6" w:rsidP="005F6A0D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Мы будем сравнивать</w:t>
            </w:r>
            <w:r w:rsidR="005F6A0D" w:rsidRPr="003D64D8">
              <w:rPr>
                <w:color w:val="000000" w:themeColor="text1"/>
              </w:rPr>
              <w:t xml:space="preserve"> согласно </w:t>
            </w:r>
            <w:r w:rsidRPr="003D64D8">
              <w:rPr>
                <w:color w:val="000000" w:themeColor="text1"/>
              </w:rPr>
              <w:t>СОРР</w:t>
            </w:r>
            <w:r w:rsidR="005F6A0D" w:rsidRPr="003D64D8">
              <w:rPr>
                <w:color w:val="000000" w:themeColor="text1"/>
              </w:rPr>
              <w:t>, в котором</w:t>
            </w:r>
            <w:r w:rsidRPr="003D64D8">
              <w:rPr>
                <w:color w:val="000000" w:themeColor="text1"/>
              </w:rPr>
              <w:t xml:space="preserve"> указаны производственные площадки.</w:t>
            </w:r>
            <w:r w:rsidR="005F6A0D" w:rsidRPr="003D64D8">
              <w:rPr>
                <w:color w:val="000000" w:themeColor="text1"/>
              </w:rPr>
              <w:t xml:space="preserve"> СОРР должен быть предоставлен на </w:t>
            </w:r>
            <w:r w:rsidR="003D64D8" w:rsidRPr="003D64D8">
              <w:rPr>
                <w:color w:val="000000" w:themeColor="text1"/>
              </w:rPr>
              <w:t>тот препарат,</w:t>
            </w:r>
            <w:r w:rsidR="005F6A0D" w:rsidRPr="003D64D8">
              <w:rPr>
                <w:color w:val="000000" w:themeColor="text1"/>
              </w:rPr>
              <w:t xml:space="preserve"> который будет </w:t>
            </w:r>
            <w:r w:rsidR="003D64D8" w:rsidRPr="003D64D8">
              <w:rPr>
                <w:color w:val="000000" w:themeColor="text1"/>
              </w:rPr>
              <w:t>поставляться</w:t>
            </w:r>
            <w:r w:rsidR="005F6A0D" w:rsidRPr="003D64D8">
              <w:rPr>
                <w:color w:val="000000" w:themeColor="text1"/>
              </w:rPr>
              <w:t xml:space="preserve"> ПРООН.</w:t>
            </w:r>
          </w:p>
        </w:tc>
      </w:tr>
      <w:tr w:rsidR="00070BC6" w:rsidRPr="003D64D8" w14:paraId="71204477" w14:textId="77777777" w:rsidTr="004F17E6">
        <w:tc>
          <w:tcPr>
            <w:tcW w:w="460" w:type="dxa"/>
          </w:tcPr>
          <w:p w14:paraId="18CC5117" w14:textId="633A71F7" w:rsidR="00070BC6" w:rsidRPr="003D64D8" w:rsidRDefault="00815693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90FD0">
              <w:rPr>
                <w:color w:val="000000" w:themeColor="text1"/>
              </w:rPr>
              <w:t>1</w:t>
            </w:r>
            <w:r w:rsidR="007E5D9D" w:rsidRPr="003D64D8">
              <w:rPr>
                <w:color w:val="000000" w:themeColor="text1"/>
              </w:rPr>
              <w:t>7</w:t>
            </w:r>
          </w:p>
        </w:tc>
        <w:tc>
          <w:tcPr>
            <w:tcW w:w="4849" w:type="dxa"/>
          </w:tcPr>
          <w:p w14:paraId="714FB179" w14:textId="1CE020D5" w:rsidR="00070BC6" w:rsidRPr="003D64D8" w:rsidRDefault="00EE1FEF" w:rsidP="00CE3748">
            <w:pPr>
              <w:spacing w:line="276" w:lineRule="auto"/>
              <w:jc w:val="both"/>
            </w:pPr>
            <w:r w:rsidRPr="003D64D8">
              <w:t xml:space="preserve">Вопрос касательно ситуации, </w:t>
            </w:r>
            <w:r w:rsidR="00070BC6" w:rsidRPr="003D64D8">
              <w:t xml:space="preserve">если препарат не утвержден в странах строгих регуляторных органов, не поставлялся в Украину и будет предоставлено письмо, что препарат будет зарегистрирован.  </w:t>
            </w:r>
          </w:p>
        </w:tc>
        <w:tc>
          <w:tcPr>
            <w:tcW w:w="4861" w:type="dxa"/>
          </w:tcPr>
          <w:p w14:paraId="19587229" w14:textId="0AAB7595" w:rsidR="00070BC6" w:rsidRPr="003D64D8" w:rsidRDefault="00EE1FEF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Мы не можем принять товар, если он </w:t>
            </w:r>
            <w:r w:rsidRPr="003D64D8">
              <w:t>не утвержден в странах строгих регуляторных органов и не зарегистрирован в Украине.</w:t>
            </w:r>
          </w:p>
        </w:tc>
      </w:tr>
      <w:tr w:rsidR="00070BC6" w:rsidRPr="003D64D8" w14:paraId="6FE5F93D" w14:textId="77777777" w:rsidTr="004F17E6">
        <w:tc>
          <w:tcPr>
            <w:tcW w:w="460" w:type="dxa"/>
          </w:tcPr>
          <w:p w14:paraId="7DEF848F" w14:textId="4223E047" w:rsidR="00070BC6" w:rsidRPr="003D64D8" w:rsidRDefault="00815693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C90FD0">
              <w:rPr>
                <w:color w:val="000000" w:themeColor="text1"/>
              </w:rPr>
              <w:t>1</w:t>
            </w:r>
            <w:r w:rsidR="007E5D9D" w:rsidRPr="003D64D8">
              <w:rPr>
                <w:color w:val="000000" w:themeColor="text1"/>
              </w:rPr>
              <w:t>8</w:t>
            </w:r>
          </w:p>
        </w:tc>
        <w:tc>
          <w:tcPr>
            <w:tcW w:w="4849" w:type="dxa"/>
          </w:tcPr>
          <w:p w14:paraId="68BD618D" w14:textId="153BBEF2" w:rsidR="00070BC6" w:rsidRPr="003D64D8" w:rsidRDefault="00EE1FEF" w:rsidP="005F6A0D">
            <w:pPr>
              <w:spacing w:line="276" w:lineRule="auto"/>
              <w:jc w:val="both"/>
            </w:pPr>
            <w:r w:rsidRPr="003D64D8">
              <w:t xml:space="preserve">Если </w:t>
            </w:r>
            <w:r w:rsidR="005F6A0D" w:rsidRPr="003D64D8">
              <w:t xml:space="preserve">препарат не </w:t>
            </w:r>
            <w:r w:rsidR="003D64D8" w:rsidRPr="003D64D8">
              <w:t>утверждён</w:t>
            </w:r>
            <w:r w:rsidR="005F6A0D" w:rsidRPr="003D64D8">
              <w:t xml:space="preserve"> в странах строгих регуляторных органов, но </w:t>
            </w:r>
            <w:r w:rsidRPr="003D64D8">
              <w:t>производственная площадка</w:t>
            </w:r>
            <w:r w:rsidR="005F6A0D" w:rsidRPr="003D64D8">
              <w:t>, которая</w:t>
            </w:r>
            <w:r w:rsidRPr="003D64D8">
              <w:t xml:space="preserve"> находится не в </w:t>
            </w:r>
            <w:r w:rsidR="005F6A0D" w:rsidRPr="003D64D8">
              <w:t>странах схемы PIC/s</w:t>
            </w:r>
            <w:r w:rsidRPr="003D64D8">
              <w:t xml:space="preserve">, сертифицирована и имеет сертификат </w:t>
            </w:r>
            <w:r w:rsidRPr="00C90FD0">
              <w:t>GMP</w:t>
            </w:r>
            <w:r w:rsidRPr="003D64D8">
              <w:t xml:space="preserve"> </w:t>
            </w:r>
            <w:r w:rsidR="005F6A0D" w:rsidRPr="003D64D8">
              <w:t xml:space="preserve">выданный </w:t>
            </w:r>
            <w:r w:rsidR="003D64D8" w:rsidRPr="003D64D8">
              <w:t>органами</w:t>
            </w:r>
            <w:r w:rsidR="005F6A0D" w:rsidRPr="003D64D8">
              <w:t xml:space="preserve"> </w:t>
            </w:r>
            <w:r w:rsidR="005F6A0D" w:rsidRPr="00C90FD0">
              <w:t>PIC/s</w:t>
            </w:r>
            <w:r w:rsidRPr="003D64D8">
              <w:t xml:space="preserve">, препарат не зарегистрирован в Украине и будет письмо, что препарат будет зарегистрирован.  </w:t>
            </w:r>
          </w:p>
        </w:tc>
        <w:tc>
          <w:tcPr>
            <w:tcW w:w="4861" w:type="dxa"/>
          </w:tcPr>
          <w:p w14:paraId="445444F3" w14:textId="4D15DD8B" w:rsidR="00070BC6" w:rsidRPr="003D64D8" w:rsidRDefault="005F6A0D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Мы не можем принять товар, если он </w:t>
            </w:r>
            <w:r w:rsidRPr="003D64D8">
              <w:t>не утвержден в странах строгих регуляторных органов и не зарегистрирован в Украине.</w:t>
            </w:r>
          </w:p>
        </w:tc>
      </w:tr>
      <w:tr w:rsidR="00070BC6" w:rsidRPr="003D64D8" w14:paraId="18638DF6" w14:textId="77777777" w:rsidTr="004F17E6">
        <w:tc>
          <w:tcPr>
            <w:tcW w:w="460" w:type="dxa"/>
          </w:tcPr>
          <w:p w14:paraId="0A273B51" w14:textId="3CCB7A58" w:rsidR="00070BC6" w:rsidRPr="003D64D8" w:rsidRDefault="007E5D9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19</w:t>
            </w:r>
          </w:p>
        </w:tc>
        <w:tc>
          <w:tcPr>
            <w:tcW w:w="4849" w:type="dxa"/>
          </w:tcPr>
          <w:p w14:paraId="1E1B5AA9" w14:textId="5B8EED8A" w:rsidR="00070BC6" w:rsidRPr="003D64D8" w:rsidRDefault="00F15C2A" w:rsidP="005F6A0D">
            <w:pPr>
              <w:spacing w:line="276" w:lineRule="auto"/>
              <w:jc w:val="both"/>
            </w:pPr>
            <w:r w:rsidRPr="003D64D8">
              <w:t>Был ли у</w:t>
            </w:r>
            <w:r w:rsidR="00EE1FEF" w:rsidRPr="003D64D8">
              <w:t xml:space="preserve"> ПРООН </w:t>
            </w:r>
            <w:r w:rsidRPr="003D64D8">
              <w:t xml:space="preserve">опыт </w:t>
            </w:r>
            <w:r w:rsidR="00EE1FEF" w:rsidRPr="003D64D8">
              <w:t>по регистрации товаров в Украине после победы в тендере</w:t>
            </w:r>
            <w:r w:rsidRPr="003D64D8">
              <w:t xml:space="preserve"> </w:t>
            </w:r>
            <w:r w:rsidR="001A4887">
              <w:t>(</w:t>
            </w:r>
            <w:r w:rsidRPr="003D64D8">
              <w:t>за последние 2 года</w:t>
            </w:r>
            <w:r w:rsidR="001A4887">
              <w:t>)</w:t>
            </w:r>
            <w:r w:rsidRPr="003D64D8">
              <w:t>, если товары не были зарегистрированы в стране SRA</w:t>
            </w:r>
            <w:r w:rsidR="00CD54A5" w:rsidRPr="003D64D8">
              <w:t xml:space="preserve"> и товар</w:t>
            </w:r>
            <w:r w:rsidR="001A4887">
              <w:t>ы</w:t>
            </w:r>
            <w:r w:rsidR="00CD54A5" w:rsidRPr="003D64D8">
              <w:t xml:space="preserve"> не был </w:t>
            </w:r>
            <w:r w:rsidR="003D64D8" w:rsidRPr="003D64D8">
              <w:t>зарегистрирован</w:t>
            </w:r>
            <w:r w:rsidR="005F6A0D" w:rsidRPr="003D64D8">
              <w:t xml:space="preserve"> </w:t>
            </w:r>
            <w:r w:rsidRPr="003D64D8">
              <w:t>в Украине?</w:t>
            </w:r>
          </w:p>
        </w:tc>
        <w:tc>
          <w:tcPr>
            <w:tcW w:w="4861" w:type="dxa"/>
          </w:tcPr>
          <w:p w14:paraId="1A71BCC5" w14:textId="7CE1AB43" w:rsidR="00070BC6" w:rsidRPr="003D64D8" w:rsidRDefault="00F15C2A" w:rsidP="005F6A0D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Был, но товар </w:t>
            </w:r>
            <w:r w:rsidR="003D64D8" w:rsidRPr="003D64D8">
              <w:rPr>
                <w:color w:val="000000" w:themeColor="text1"/>
              </w:rPr>
              <w:t>переквалифицирован</w:t>
            </w:r>
            <w:r w:rsidRPr="003D64D8">
              <w:rPr>
                <w:color w:val="000000" w:themeColor="text1"/>
              </w:rPr>
              <w:t xml:space="preserve"> </w:t>
            </w:r>
            <w:r w:rsidR="005F6A0D" w:rsidRPr="00C90FD0">
              <w:rPr>
                <w:color w:val="000000" w:themeColor="text1"/>
              </w:rPr>
              <w:t>ВООЗ</w:t>
            </w:r>
            <w:r w:rsidRPr="003D64D8">
              <w:rPr>
                <w:color w:val="000000" w:themeColor="text1"/>
              </w:rPr>
              <w:t>.</w:t>
            </w:r>
            <w:r w:rsidR="005F6A0D" w:rsidRPr="003D64D8">
              <w:rPr>
                <w:color w:val="000000" w:themeColor="text1"/>
              </w:rPr>
              <w:t xml:space="preserve"> </w:t>
            </w:r>
          </w:p>
        </w:tc>
      </w:tr>
      <w:tr w:rsidR="00070BC6" w:rsidRPr="003D64D8" w14:paraId="57BF7696" w14:textId="77777777" w:rsidTr="004F17E6">
        <w:tc>
          <w:tcPr>
            <w:tcW w:w="460" w:type="dxa"/>
          </w:tcPr>
          <w:p w14:paraId="3E49D947" w14:textId="4C9ADC8F" w:rsidR="00070BC6" w:rsidRPr="003D64D8" w:rsidRDefault="00CD54A5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2</w:t>
            </w:r>
            <w:r w:rsidR="007E5D9D" w:rsidRPr="003D64D8">
              <w:rPr>
                <w:color w:val="000000" w:themeColor="text1"/>
              </w:rPr>
              <w:t>0</w:t>
            </w:r>
          </w:p>
        </w:tc>
        <w:tc>
          <w:tcPr>
            <w:tcW w:w="4849" w:type="dxa"/>
          </w:tcPr>
          <w:p w14:paraId="32215A80" w14:textId="612C817F" w:rsidR="00070BC6" w:rsidRPr="003D64D8" w:rsidRDefault="00CD54A5" w:rsidP="00CE3748">
            <w:pPr>
              <w:spacing w:line="276" w:lineRule="auto"/>
              <w:jc w:val="both"/>
            </w:pPr>
            <w:r w:rsidRPr="003D64D8">
              <w:t>Должна ли подаваться Секция 4 тендерной заявки?</w:t>
            </w:r>
          </w:p>
        </w:tc>
        <w:tc>
          <w:tcPr>
            <w:tcW w:w="4861" w:type="dxa"/>
          </w:tcPr>
          <w:p w14:paraId="4499B4F2" w14:textId="0E26A2D0" w:rsidR="00070BC6" w:rsidRPr="003D64D8" w:rsidRDefault="00CD54A5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Да, должна.</w:t>
            </w:r>
          </w:p>
        </w:tc>
      </w:tr>
      <w:tr w:rsidR="00815693" w:rsidRPr="003D64D8" w14:paraId="058B04AF" w14:textId="77777777" w:rsidTr="004F17E6">
        <w:tc>
          <w:tcPr>
            <w:tcW w:w="460" w:type="dxa"/>
          </w:tcPr>
          <w:p w14:paraId="1BACF824" w14:textId="2CA14D3E" w:rsidR="00815693" w:rsidRPr="003D64D8" w:rsidRDefault="00FF02CC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lastRenderedPageBreak/>
              <w:t>2</w:t>
            </w:r>
            <w:r w:rsidR="007E5D9D" w:rsidRPr="003D64D8">
              <w:rPr>
                <w:color w:val="000000" w:themeColor="text1"/>
              </w:rPr>
              <w:t>1</w:t>
            </w:r>
          </w:p>
        </w:tc>
        <w:tc>
          <w:tcPr>
            <w:tcW w:w="4849" w:type="dxa"/>
          </w:tcPr>
          <w:p w14:paraId="55B83473" w14:textId="03ABD11D" w:rsidR="00815693" w:rsidRPr="003D64D8" w:rsidRDefault="00CD54A5" w:rsidP="00CE3748">
            <w:pPr>
              <w:spacing w:line="276" w:lineRule="auto"/>
              <w:jc w:val="both"/>
            </w:pPr>
            <w:r w:rsidRPr="003D64D8">
              <w:t>Вопрос по стоимости, если упаковка подразумевает 2 флакона, а требуется нечетное количество</w:t>
            </w:r>
            <w:r w:rsidR="00FF02CC" w:rsidRPr="003D64D8">
              <w:t xml:space="preserve"> флаконов</w:t>
            </w:r>
            <w:r w:rsidRPr="003D64D8">
              <w:t>, соответственн</w:t>
            </w:r>
            <w:r w:rsidR="00683E6C">
              <w:t xml:space="preserve">о </w:t>
            </w:r>
            <w:r w:rsidRPr="003D64D8">
              <w:t xml:space="preserve">цена будет варьироваться (3 знака после запятой). </w:t>
            </w:r>
          </w:p>
        </w:tc>
        <w:tc>
          <w:tcPr>
            <w:tcW w:w="4861" w:type="dxa"/>
          </w:tcPr>
          <w:p w14:paraId="16C10289" w14:textId="67B87953" w:rsidR="00815693" w:rsidRPr="003D64D8" w:rsidRDefault="00FF02CC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Мы просим подавать заявку и указывать цену за флакон, на моменте подписания контракта мы сможем округлить к-во в меньшую сторону. Просьба писать все знаки после запятой.</w:t>
            </w:r>
          </w:p>
        </w:tc>
      </w:tr>
      <w:tr w:rsidR="00815693" w:rsidRPr="003D64D8" w14:paraId="4D21E2CF" w14:textId="77777777" w:rsidTr="004F17E6">
        <w:tc>
          <w:tcPr>
            <w:tcW w:w="460" w:type="dxa"/>
          </w:tcPr>
          <w:p w14:paraId="14402E26" w14:textId="4F1EC8E8" w:rsidR="00815693" w:rsidRPr="003D64D8" w:rsidRDefault="00FF02CC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2</w:t>
            </w:r>
            <w:r w:rsidR="007E5D9D" w:rsidRPr="003D64D8">
              <w:rPr>
                <w:color w:val="000000" w:themeColor="text1"/>
              </w:rPr>
              <w:t>2</w:t>
            </w:r>
          </w:p>
        </w:tc>
        <w:tc>
          <w:tcPr>
            <w:tcW w:w="4849" w:type="dxa"/>
          </w:tcPr>
          <w:p w14:paraId="7D371B0D" w14:textId="3641DDAF" w:rsidR="00815693" w:rsidRPr="003D64D8" w:rsidRDefault="00FF02CC" w:rsidP="00CE3748">
            <w:pPr>
              <w:spacing w:line="276" w:lineRule="auto"/>
              <w:jc w:val="both"/>
            </w:pPr>
            <w:r w:rsidRPr="003D64D8">
              <w:t>Какая гарантия заключения 3х-летних контрактов?</w:t>
            </w:r>
          </w:p>
        </w:tc>
        <w:tc>
          <w:tcPr>
            <w:tcW w:w="4861" w:type="dxa"/>
          </w:tcPr>
          <w:p w14:paraId="4615CB37" w14:textId="202581C1" w:rsidR="00815693" w:rsidRPr="003D64D8" w:rsidRDefault="00FF02CC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Мы планируем заключени</w:t>
            </w:r>
            <w:r w:rsidR="00683E6C">
              <w:rPr>
                <w:color w:val="000000" w:themeColor="text1"/>
              </w:rPr>
              <w:t>е</w:t>
            </w:r>
            <w:r w:rsidRPr="003D64D8">
              <w:rPr>
                <w:color w:val="000000" w:themeColor="text1"/>
              </w:rPr>
              <w:t xml:space="preserve"> долгосрочного контракта на этот год и с возможностью его продления на последующий год.</w:t>
            </w:r>
          </w:p>
        </w:tc>
      </w:tr>
      <w:tr w:rsidR="00815693" w:rsidRPr="003D64D8" w14:paraId="4E29C92F" w14:textId="77777777" w:rsidTr="004F17E6">
        <w:tc>
          <w:tcPr>
            <w:tcW w:w="460" w:type="dxa"/>
          </w:tcPr>
          <w:p w14:paraId="2806F345" w14:textId="1BEA38DA" w:rsidR="00815693" w:rsidRPr="003D64D8" w:rsidRDefault="00FF02CC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2</w:t>
            </w:r>
            <w:r w:rsidR="007E5D9D" w:rsidRPr="003D64D8">
              <w:rPr>
                <w:color w:val="000000" w:themeColor="text1"/>
              </w:rPr>
              <w:t>3</w:t>
            </w:r>
          </w:p>
        </w:tc>
        <w:tc>
          <w:tcPr>
            <w:tcW w:w="4849" w:type="dxa"/>
          </w:tcPr>
          <w:p w14:paraId="2DAF7044" w14:textId="6F1B4C49" w:rsidR="00815693" w:rsidRPr="003D64D8" w:rsidRDefault="00FF02CC" w:rsidP="00CE3748">
            <w:pPr>
              <w:spacing w:line="276" w:lineRule="auto"/>
              <w:jc w:val="both"/>
            </w:pPr>
            <w:r w:rsidRPr="003D64D8">
              <w:t>Заключение долгосрочных контрактов будет касаться только монопольных позиций?</w:t>
            </w:r>
          </w:p>
        </w:tc>
        <w:tc>
          <w:tcPr>
            <w:tcW w:w="4861" w:type="dxa"/>
          </w:tcPr>
          <w:p w14:paraId="3E729E25" w14:textId="11BFC7DE" w:rsidR="00815693" w:rsidRPr="003D64D8" w:rsidRDefault="00FF02CC" w:rsidP="006F54E9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Нет, не всегда. </w:t>
            </w:r>
            <w:r w:rsidR="005F6A0D" w:rsidRPr="00847742">
              <w:t>Долгосрочные контракты будут заключаться по усмотрению ПРООН</w:t>
            </w:r>
            <w:r w:rsidR="00847742" w:rsidRPr="00847742">
              <w:t>,</w:t>
            </w:r>
            <w:r w:rsidR="005F6A0D" w:rsidRPr="00847742">
              <w:t xml:space="preserve"> учитывая следующие факторы: надежность </w:t>
            </w:r>
            <w:r w:rsidR="003D64D8" w:rsidRPr="00847742">
              <w:t>поставщика, уровень</w:t>
            </w:r>
            <w:r w:rsidR="006F54E9" w:rsidRPr="00847742">
              <w:t xml:space="preserve"> цен, объем закупки и т.д.</w:t>
            </w:r>
            <w:r w:rsidRPr="00847742">
              <w:t xml:space="preserve"> </w:t>
            </w:r>
          </w:p>
        </w:tc>
      </w:tr>
      <w:tr w:rsidR="00FF02CC" w:rsidRPr="003D64D8" w14:paraId="7D609DB7" w14:textId="77777777" w:rsidTr="004F17E6">
        <w:tc>
          <w:tcPr>
            <w:tcW w:w="460" w:type="dxa"/>
          </w:tcPr>
          <w:p w14:paraId="2B4EB8A9" w14:textId="57E192FA" w:rsidR="00FF02CC" w:rsidRPr="003D64D8" w:rsidRDefault="005E468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2</w:t>
            </w:r>
            <w:r w:rsidR="007E5D9D" w:rsidRPr="003D64D8">
              <w:rPr>
                <w:color w:val="000000" w:themeColor="text1"/>
              </w:rPr>
              <w:t>4</w:t>
            </w:r>
          </w:p>
        </w:tc>
        <w:tc>
          <w:tcPr>
            <w:tcW w:w="4849" w:type="dxa"/>
          </w:tcPr>
          <w:p w14:paraId="060F035D" w14:textId="572A1662" w:rsidR="00FF02CC" w:rsidRPr="003D64D8" w:rsidRDefault="005E468D" w:rsidP="00CE3748">
            <w:pPr>
              <w:spacing w:line="276" w:lineRule="auto"/>
              <w:jc w:val="both"/>
            </w:pPr>
            <w:r w:rsidRPr="003D64D8">
              <w:t>Есть</w:t>
            </w:r>
            <w:r w:rsidR="00B7120E" w:rsidRPr="003D64D8">
              <w:t xml:space="preserve"> ли</w:t>
            </w:r>
            <w:r w:rsidRPr="003D64D8">
              <w:t xml:space="preserve"> критерии на какие препараты будут заключены долгосрочные контракты?</w:t>
            </w:r>
          </w:p>
        </w:tc>
        <w:tc>
          <w:tcPr>
            <w:tcW w:w="4861" w:type="dxa"/>
          </w:tcPr>
          <w:p w14:paraId="0900C3B5" w14:textId="60D19F0E" w:rsidR="00FF02CC" w:rsidRPr="003D64D8" w:rsidRDefault="006F54E9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847742">
              <w:t>Долгосрочные контракты будут заключаться по усмотрению ПРООН</w:t>
            </w:r>
            <w:r w:rsidR="00847742" w:rsidRPr="00847742">
              <w:t>,</w:t>
            </w:r>
            <w:r w:rsidRPr="00847742">
              <w:t xml:space="preserve"> учитывая следующие факторы: надежность </w:t>
            </w:r>
            <w:r w:rsidR="003D64D8" w:rsidRPr="00847742">
              <w:t>поставщика, уровень</w:t>
            </w:r>
            <w:r w:rsidRPr="00847742">
              <w:t xml:space="preserve"> цен, объем товара и т.д.</w:t>
            </w:r>
          </w:p>
        </w:tc>
      </w:tr>
      <w:tr w:rsidR="00FF02CC" w:rsidRPr="003D64D8" w14:paraId="68F9D101" w14:textId="77777777" w:rsidTr="004F17E6">
        <w:tc>
          <w:tcPr>
            <w:tcW w:w="460" w:type="dxa"/>
          </w:tcPr>
          <w:p w14:paraId="7E8F60B3" w14:textId="6F9F641C" w:rsidR="00FF02CC" w:rsidRPr="003D64D8" w:rsidRDefault="00B7120E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2</w:t>
            </w:r>
            <w:r w:rsidR="007E5D9D" w:rsidRPr="003D64D8">
              <w:rPr>
                <w:color w:val="000000" w:themeColor="text1"/>
              </w:rPr>
              <w:t>5</w:t>
            </w:r>
          </w:p>
        </w:tc>
        <w:tc>
          <w:tcPr>
            <w:tcW w:w="4849" w:type="dxa"/>
          </w:tcPr>
          <w:p w14:paraId="5D7DB088" w14:textId="4AC0E789" w:rsidR="00FF02CC" w:rsidRPr="003D64D8" w:rsidRDefault="00B7120E" w:rsidP="00CE3748">
            <w:pPr>
              <w:spacing w:line="276" w:lineRule="auto"/>
              <w:jc w:val="both"/>
            </w:pPr>
            <w:r w:rsidRPr="003D64D8">
              <w:t>Какие сроки на принятие решения по заключению долгосрочных контракты?</w:t>
            </w:r>
          </w:p>
        </w:tc>
        <w:tc>
          <w:tcPr>
            <w:tcW w:w="4861" w:type="dxa"/>
          </w:tcPr>
          <w:p w14:paraId="39EA34D6" w14:textId="1E8C9822" w:rsidR="00FF02CC" w:rsidRPr="003D64D8" w:rsidRDefault="00B7120E" w:rsidP="006F54E9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Решение будет принято </w:t>
            </w:r>
            <w:r w:rsidR="006F54E9" w:rsidRPr="003D64D8">
              <w:rPr>
                <w:color w:val="000000" w:themeColor="text1"/>
              </w:rPr>
              <w:t xml:space="preserve">в </w:t>
            </w:r>
            <w:r w:rsidR="003D64D8" w:rsidRPr="003D64D8">
              <w:rPr>
                <w:color w:val="000000" w:themeColor="text1"/>
              </w:rPr>
              <w:t>резуль</w:t>
            </w:r>
            <w:r w:rsidR="003D64D8">
              <w:rPr>
                <w:color w:val="000000" w:themeColor="text1"/>
              </w:rPr>
              <w:t>та</w:t>
            </w:r>
            <w:r w:rsidR="003D64D8" w:rsidRPr="003D64D8">
              <w:rPr>
                <w:color w:val="000000" w:themeColor="text1"/>
              </w:rPr>
              <w:t>те</w:t>
            </w:r>
            <w:r w:rsidRPr="003D64D8">
              <w:rPr>
                <w:color w:val="000000" w:themeColor="text1"/>
              </w:rPr>
              <w:t xml:space="preserve"> оценки тендера. </w:t>
            </w:r>
          </w:p>
        </w:tc>
      </w:tr>
      <w:tr w:rsidR="005E468D" w:rsidRPr="003D64D8" w14:paraId="67EA505C" w14:textId="77777777" w:rsidTr="007E5D9D">
        <w:trPr>
          <w:trHeight w:val="593"/>
        </w:trPr>
        <w:tc>
          <w:tcPr>
            <w:tcW w:w="460" w:type="dxa"/>
          </w:tcPr>
          <w:p w14:paraId="11A7E792" w14:textId="68D178DD" w:rsidR="005E468D" w:rsidRPr="003D64D8" w:rsidRDefault="00B7120E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2</w:t>
            </w:r>
            <w:r w:rsidR="007E5D9D" w:rsidRPr="003D64D8">
              <w:rPr>
                <w:color w:val="000000" w:themeColor="text1"/>
              </w:rPr>
              <w:t>6</w:t>
            </w:r>
          </w:p>
        </w:tc>
        <w:tc>
          <w:tcPr>
            <w:tcW w:w="4849" w:type="dxa"/>
          </w:tcPr>
          <w:p w14:paraId="716B8728" w14:textId="46B4362F" w:rsidR="005E468D" w:rsidRPr="003D64D8" w:rsidRDefault="00B7120E" w:rsidP="00CE3748">
            <w:pPr>
              <w:spacing w:line="276" w:lineRule="auto"/>
              <w:jc w:val="both"/>
            </w:pPr>
            <w:r w:rsidRPr="003D64D8">
              <w:t>Цена будет фиксирована на все 3 года?</w:t>
            </w:r>
          </w:p>
        </w:tc>
        <w:tc>
          <w:tcPr>
            <w:tcW w:w="4861" w:type="dxa"/>
          </w:tcPr>
          <w:p w14:paraId="452CEF6F" w14:textId="451E90A9" w:rsidR="005E468D" w:rsidRPr="003D64D8" w:rsidRDefault="00B7120E" w:rsidP="006F54E9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Да, долгосрочный контракт будет </w:t>
            </w:r>
            <w:r w:rsidR="006F54E9" w:rsidRPr="003D64D8">
              <w:rPr>
                <w:color w:val="000000" w:themeColor="text1"/>
              </w:rPr>
              <w:t>согласовываться между поставщиком</w:t>
            </w:r>
            <w:r w:rsidRPr="003D64D8">
              <w:rPr>
                <w:color w:val="000000" w:themeColor="text1"/>
              </w:rPr>
              <w:t xml:space="preserve"> и ПРООН.</w:t>
            </w:r>
          </w:p>
        </w:tc>
      </w:tr>
      <w:tr w:rsidR="005E468D" w:rsidRPr="003D64D8" w14:paraId="2E91709F" w14:textId="77777777" w:rsidTr="004F17E6">
        <w:tc>
          <w:tcPr>
            <w:tcW w:w="460" w:type="dxa"/>
          </w:tcPr>
          <w:p w14:paraId="10C64BE5" w14:textId="4B5B627D" w:rsidR="005E468D" w:rsidRPr="003D64D8" w:rsidRDefault="00A8549B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2</w:t>
            </w:r>
            <w:r w:rsidR="007E5D9D" w:rsidRPr="003D64D8">
              <w:rPr>
                <w:color w:val="000000" w:themeColor="text1"/>
              </w:rPr>
              <w:t>7</w:t>
            </w:r>
          </w:p>
        </w:tc>
        <w:tc>
          <w:tcPr>
            <w:tcW w:w="4849" w:type="dxa"/>
          </w:tcPr>
          <w:p w14:paraId="225A4565" w14:textId="1A6AB5E9" w:rsidR="005E468D" w:rsidRPr="003D64D8" w:rsidRDefault="00B7120E" w:rsidP="00CE3748">
            <w:pPr>
              <w:spacing w:line="276" w:lineRule="auto"/>
              <w:jc w:val="both"/>
            </w:pPr>
            <w:r w:rsidRPr="003D64D8">
              <w:t xml:space="preserve">Вопрос по срокам поставки (4 месяца после подписания контракта), ПРООН ожидает поставки в 1м квартале следующего года? </w:t>
            </w:r>
          </w:p>
        </w:tc>
        <w:tc>
          <w:tcPr>
            <w:tcW w:w="4861" w:type="dxa"/>
          </w:tcPr>
          <w:p w14:paraId="7C24E5D1" w14:textId="40A08ED8" w:rsidR="005E468D" w:rsidRPr="003D64D8" w:rsidRDefault="006F54E9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В рамках 4 месяцев </w:t>
            </w:r>
            <w:r w:rsidR="003D64D8" w:rsidRPr="003D64D8">
              <w:rPr>
                <w:color w:val="000000" w:themeColor="text1"/>
              </w:rPr>
              <w:t>после подписания</w:t>
            </w:r>
            <w:r w:rsidRPr="003D64D8">
              <w:rPr>
                <w:color w:val="000000" w:themeColor="text1"/>
              </w:rPr>
              <w:t xml:space="preserve"> контрактов.</w:t>
            </w:r>
          </w:p>
        </w:tc>
      </w:tr>
      <w:tr w:rsidR="005E468D" w:rsidRPr="003D64D8" w14:paraId="5852D77F" w14:textId="77777777" w:rsidTr="004F17E6">
        <w:tc>
          <w:tcPr>
            <w:tcW w:w="460" w:type="dxa"/>
          </w:tcPr>
          <w:p w14:paraId="1C9A5A9B" w14:textId="6842BF57" w:rsidR="005E468D" w:rsidRPr="003D64D8" w:rsidRDefault="00A8549B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2</w:t>
            </w:r>
            <w:r w:rsidR="007E5D9D" w:rsidRPr="003D64D8">
              <w:rPr>
                <w:color w:val="000000" w:themeColor="text1"/>
              </w:rPr>
              <w:t>8</w:t>
            </w:r>
          </w:p>
        </w:tc>
        <w:tc>
          <w:tcPr>
            <w:tcW w:w="4849" w:type="dxa"/>
          </w:tcPr>
          <w:p w14:paraId="6892B3CA" w14:textId="6C428B6E" w:rsidR="005E468D" w:rsidRPr="003D64D8" w:rsidRDefault="00A8549B" w:rsidP="00CE3748">
            <w:pPr>
              <w:spacing w:line="276" w:lineRule="auto"/>
              <w:jc w:val="both"/>
            </w:pPr>
            <w:r w:rsidRPr="003D64D8">
              <w:t>Как ПРООН видит поставки в этом и следующем году (какая часть в 2017, а какая в 2018)?</w:t>
            </w:r>
          </w:p>
        </w:tc>
        <w:tc>
          <w:tcPr>
            <w:tcW w:w="4861" w:type="dxa"/>
          </w:tcPr>
          <w:p w14:paraId="5F083129" w14:textId="0D73A667" w:rsidR="005E468D" w:rsidRPr="003D64D8" w:rsidRDefault="00CE15CB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ПРООН ожидает получить максимально возможное количество препаратов </w:t>
            </w:r>
            <w:r w:rsidR="00847742">
              <w:rPr>
                <w:color w:val="000000" w:themeColor="text1"/>
              </w:rPr>
              <w:t xml:space="preserve">в </w:t>
            </w:r>
            <w:r w:rsidRPr="003D64D8">
              <w:rPr>
                <w:color w:val="000000" w:themeColor="text1"/>
              </w:rPr>
              <w:t>2017г.</w:t>
            </w:r>
          </w:p>
        </w:tc>
      </w:tr>
      <w:tr w:rsidR="00B7120E" w:rsidRPr="003D64D8" w14:paraId="5EEFE51E" w14:textId="77777777" w:rsidTr="004F17E6">
        <w:tc>
          <w:tcPr>
            <w:tcW w:w="460" w:type="dxa"/>
          </w:tcPr>
          <w:p w14:paraId="32C3A8BB" w14:textId="76958E7E" w:rsidR="00B7120E" w:rsidRPr="003D64D8" w:rsidRDefault="007E5D9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29</w:t>
            </w:r>
          </w:p>
        </w:tc>
        <w:tc>
          <w:tcPr>
            <w:tcW w:w="4849" w:type="dxa"/>
          </w:tcPr>
          <w:p w14:paraId="172CD09F" w14:textId="609E1CD1" w:rsidR="00B7120E" w:rsidRPr="003D64D8" w:rsidRDefault="004C5378" w:rsidP="00CE3748">
            <w:pPr>
              <w:spacing w:line="276" w:lineRule="auto"/>
              <w:jc w:val="both"/>
            </w:pPr>
            <w:r w:rsidRPr="003D64D8">
              <w:t>Чем определяется срок поставки – 4 месяца?</w:t>
            </w:r>
          </w:p>
        </w:tc>
        <w:tc>
          <w:tcPr>
            <w:tcW w:w="4861" w:type="dxa"/>
          </w:tcPr>
          <w:p w14:paraId="2D4C3091" w14:textId="2D395F58" w:rsidR="00B7120E" w:rsidRPr="003D64D8" w:rsidRDefault="006F54E9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Необходимость</w:t>
            </w:r>
            <w:r w:rsidR="00847742">
              <w:rPr>
                <w:color w:val="000000" w:themeColor="text1"/>
              </w:rPr>
              <w:t>ю</w:t>
            </w:r>
            <w:r w:rsidRPr="003D64D8">
              <w:rPr>
                <w:color w:val="000000" w:themeColor="text1"/>
              </w:rPr>
              <w:t xml:space="preserve"> поставить лекарства в максимально коротки</w:t>
            </w:r>
            <w:r w:rsidR="00847742">
              <w:rPr>
                <w:color w:val="000000" w:themeColor="text1"/>
              </w:rPr>
              <w:t>е</w:t>
            </w:r>
            <w:r w:rsidRPr="003D64D8">
              <w:rPr>
                <w:color w:val="000000" w:themeColor="text1"/>
              </w:rPr>
              <w:t xml:space="preserve"> строки.</w:t>
            </w:r>
            <w:r w:rsidR="004C5378" w:rsidRPr="003D64D8">
              <w:rPr>
                <w:color w:val="000000" w:themeColor="text1"/>
              </w:rPr>
              <w:t xml:space="preserve"> </w:t>
            </w:r>
          </w:p>
        </w:tc>
      </w:tr>
      <w:tr w:rsidR="00B7120E" w:rsidRPr="003D64D8" w14:paraId="405D4174" w14:textId="77777777" w:rsidTr="004F17E6">
        <w:tc>
          <w:tcPr>
            <w:tcW w:w="460" w:type="dxa"/>
          </w:tcPr>
          <w:p w14:paraId="0D589ADC" w14:textId="281387B5" w:rsidR="00B7120E" w:rsidRPr="003D64D8" w:rsidRDefault="004C5378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3</w:t>
            </w:r>
            <w:r w:rsidR="007E5D9D" w:rsidRPr="003D64D8">
              <w:rPr>
                <w:color w:val="000000" w:themeColor="text1"/>
              </w:rPr>
              <w:t>0</w:t>
            </w:r>
          </w:p>
        </w:tc>
        <w:tc>
          <w:tcPr>
            <w:tcW w:w="4849" w:type="dxa"/>
          </w:tcPr>
          <w:p w14:paraId="1B399169" w14:textId="2A289E53" w:rsidR="00B7120E" w:rsidRPr="003D64D8" w:rsidRDefault="004C5378" w:rsidP="00CE3748">
            <w:pPr>
              <w:spacing w:line="276" w:lineRule="auto"/>
              <w:jc w:val="both"/>
            </w:pPr>
            <w:r w:rsidRPr="003D64D8">
              <w:t>По прошлому году лоты закупались не в полном объёме, часть лотов проводилась по отдельной процедуре</w:t>
            </w:r>
            <w:r w:rsidR="006F54E9" w:rsidRPr="003D64D8">
              <w:t xml:space="preserve"> в рамках программы</w:t>
            </w:r>
            <w:r w:rsidRPr="003D64D8">
              <w:t>, в этом году будет так же?</w:t>
            </w:r>
          </w:p>
        </w:tc>
        <w:tc>
          <w:tcPr>
            <w:tcW w:w="4861" w:type="dxa"/>
          </w:tcPr>
          <w:p w14:paraId="0A8C386C" w14:textId="66B36149" w:rsidR="00B7120E" w:rsidRPr="00C90FD0" w:rsidRDefault="006F54E9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FF0000"/>
              </w:rPr>
            </w:pPr>
            <w:r w:rsidRPr="00847742">
              <w:t xml:space="preserve">Все процедуры в рамках одной программы </w:t>
            </w:r>
            <w:r w:rsidR="003D64D8" w:rsidRPr="00847742">
              <w:t>синхронизированы</w:t>
            </w:r>
            <w:r w:rsidRPr="00847742">
              <w:t>. Уменьшение к-</w:t>
            </w:r>
            <w:proofErr w:type="spellStart"/>
            <w:r w:rsidRPr="00847742">
              <w:t>ва</w:t>
            </w:r>
            <w:proofErr w:type="spellEnd"/>
            <w:r w:rsidRPr="00847742">
              <w:t xml:space="preserve"> препаратов будет в случае дефицита бюджета, после согласования с МОЗ.</w:t>
            </w:r>
            <w:r w:rsidR="004C5378" w:rsidRPr="00847742">
              <w:t xml:space="preserve"> </w:t>
            </w:r>
          </w:p>
        </w:tc>
      </w:tr>
      <w:tr w:rsidR="00B7120E" w:rsidRPr="003D64D8" w14:paraId="455C2E7E" w14:textId="77777777" w:rsidTr="004F17E6">
        <w:tc>
          <w:tcPr>
            <w:tcW w:w="460" w:type="dxa"/>
          </w:tcPr>
          <w:p w14:paraId="54A4DE26" w14:textId="31C90733" w:rsidR="00B7120E" w:rsidRPr="003D64D8" w:rsidRDefault="0065652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3</w:t>
            </w:r>
            <w:r w:rsidR="007E5D9D" w:rsidRPr="003D64D8">
              <w:rPr>
                <w:color w:val="000000" w:themeColor="text1"/>
              </w:rPr>
              <w:t>1</w:t>
            </w:r>
          </w:p>
        </w:tc>
        <w:tc>
          <w:tcPr>
            <w:tcW w:w="4849" w:type="dxa"/>
          </w:tcPr>
          <w:p w14:paraId="53EB3DEE" w14:textId="4EE27F1B" w:rsidR="00B7120E" w:rsidRPr="003D64D8" w:rsidRDefault="0065652D" w:rsidP="00CE3748">
            <w:pPr>
              <w:spacing w:line="276" w:lineRule="auto"/>
              <w:jc w:val="both"/>
            </w:pPr>
            <w:r w:rsidRPr="003D64D8">
              <w:t>На поставку в</w:t>
            </w:r>
            <w:r w:rsidR="004C5378" w:rsidRPr="003D64D8">
              <w:t>се</w:t>
            </w:r>
            <w:r w:rsidRPr="003D64D8">
              <w:t>х</w:t>
            </w:r>
            <w:r w:rsidR="004C5378" w:rsidRPr="003D64D8">
              <w:t xml:space="preserve"> безальтернативны</w:t>
            </w:r>
            <w:r w:rsidRPr="003D64D8">
              <w:t>х препаратов буду заключены долгосрочные контракты?</w:t>
            </w:r>
          </w:p>
        </w:tc>
        <w:tc>
          <w:tcPr>
            <w:tcW w:w="4861" w:type="dxa"/>
          </w:tcPr>
          <w:p w14:paraId="02B3C368" w14:textId="0AA82D6D" w:rsidR="00B7120E" w:rsidRPr="003D64D8" w:rsidRDefault="006F54E9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По возможности, да. </w:t>
            </w:r>
            <w:r w:rsidRPr="00847742">
              <w:t xml:space="preserve">Долгосрочные контракты будут заключаться по усмотрению ПРООН учитывая следующие факторы: надежность. </w:t>
            </w:r>
            <w:r w:rsidR="003D64D8" w:rsidRPr="00847742">
              <w:t>поставщика, уровень</w:t>
            </w:r>
            <w:r w:rsidRPr="00847742">
              <w:t xml:space="preserve"> цен, объем товара и т.д.</w:t>
            </w:r>
          </w:p>
        </w:tc>
      </w:tr>
      <w:tr w:rsidR="004C5378" w:rsidRPr="003D64D8" w14:paraId="7B24EFF3" w14:textId="77777777" w:rsidTr="004F17E6">
        <w:tc>
          <w:tcPr>
            <w:tcW w:w="460" w:type="dxa"/>
          </w:tcPr>
          <w:p w14:paraId="505572DC" w14:textId="4D9319D0" w:rsidR="004C5378" w:rsidRPr="003D64D8" w:rsidRDefault="0065652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3</w:t>
            </w:r>
            <w:r w:rsidR="007E5D9D" w:rsidRPr="003D64D8">
              <w:rPr>
                <w:color w:val="000000" w:themeColor="text1"/>
              </w:rPr>
              <w:t>2</w:t>
            </w:r>
          </w:p>
        </w:tc>
        <w:tc>
          <w:tcPr>
            <w:tcW w:w="4849" w:type="dxa"/>
          </w:tcPr>
          <w:p w14:paraId="79244400" w14:textId="0855B812" w:rsidR="004C5378" w:rsidRPr="003D64D8" w:rsidRDefault="0065652D" w:rsidP="00CE3748">
            <w:pPr>
              <w:spacing w:line="276" w:lineRule="auto"/>
              <w:jc w:val="both"/>
            </w:pPr>
            <w:r w:rsidRPr="003D64D8">
              <w:t xml:space="preserve">Поставка всех остальных препаратов будет проводится через тендер? </w:t>
            </w:r>
          </w:p>
        </w:tc>
        <w:tc>
          <w:tcPr>
            <w:tcW w:w="4861" w:type="dxa"/>
          </w:tcPr>
          <w:p w14:paraId="7F51AB48" w14:textId="585E5F08" w:rsidR="004C5378" w:rsidRPr="003D64D8" w:rsidRDefault="006F54E9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847742">
              <w:t xml:space="preserve">Если не будет подписан </w:t>
            </w:r>
            <w:r w:rsidR="003D64D8" w:rsidRPr="00847742">
              <w:t>долгосрочный</w:t>
            </w:r>
            <w:r w:rsidRPr="00847742">
              <w:t xml:space="preserve"> контракт, то закупка в </w:t>
            </w:r>
            <w:r w:rsidR="003D64D8" w:rsidRPr="00847742">
              <w:t>дальнейшем</w:t>
            </w:r>
            <w:r w:rsidRPr="00847742">
              <w:t xml:space="preserve"> будет проходить через тендерную процедуру.</w:t>
            </w:r>
          </w:p>
        </w:tc>
      </w:tr>
      <w:tr w:rsidR="004C5378" w:rsidRPr="003D64D8" w14:paraId="35B79960" w14:textId="77777777" w:rsidTr="004F17E6">
        <w:tc>
          <w:tcPr>
            <w:tcW w:w="460" w:type="dxa"/>
          </w:tcPr>
          <w:p w14:paraId="531634CA" w14:textId="2E6E7CC0" w:rsidR="004C5378" w:rsidRPr="003D64D8" w:rsidRDefault="001231B4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3</w:t>
            </w:r>
            <w:r w:rsidR="007E5D9D" w:rsidRPr="003D64D8">
              <w:rPr>
                <w:color w:val="000000" w:themeColor="text1"/>
              </w:rPr>
              <w:t>3</w:t>
            </w:r>
          </w:p>
        </w:tc>
        <w:tc>
          <w:tcPr>
            <w:tcW w:w="4849" w:type="dxa"/>
          </w:tcPr>
          <w:p w14:paraId="15F3F86F" w14:textId="4A6C5091" w:rsidR="004C5378" w:rsidRPr="003D64D8" w:rsidRDefault="001231B4" w:rsidP="00CE3748">
            <w:pPr>
              <w:spacing w:line="276" w:lineRule="auto"/>
              <w:jc w:val="both"/>
            </w:pPr>
            <w:r w:rsidRPr="003D64D8">
              <w:t xml:space="preserve">Можно ли указать две опции </w:t>
            </w:r>
            <w:r w:rsidR="0065652D" w:rsidRPr="003D64D8">
              <w:t>по стоимости препарата при размещении РО</w:t>
            </w:r>
            <w:r w:rsidR="00847742">
              <w:t xml:space="preserve"> (</w:t>
            </w:r>
            <w:r w:rsidR="0065652D" w:rsidRPr="003D64D8">
              <w:t>согласно тендерного документа</w:t>
            </w:r>
            <w:r w:rsidR="00847742">
              <w:t>)</w:t>
            </w:r>
            <w:r w:rsidR="0065652D" w:rsidRPr="003D64D8">
              <w:t xml:space="preserve"> и при зак</w:t>
            </w:r>
            <w:r w:rsidRPr="003D64D8">
              <w:t>лючении долгосрочного контракта?</w:t>
            </w:r>
          </w:p>
        </w:tc>
        <w:tc>
          <w:tcPr>
            <w:tcW w:w="4861" w:type="dxa"/>
          </w:tcPr>
          <w:p w14:paraId="4B8E8600" w14:textId="4BE7F8A9" w:rsidR="004C5378" w:rsidRPr="003D64D8" w:rsidRDefault="001231B4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Да, предложите 2е опции в технической части (финансовом предложении). </w:t>
            </w:r>
          </w:p>
        </w:tc>
      </w:tr>
      <w:tr w:rsidR="0065652D" w:rsidRPr="003D64D8" w14:paraId="5FBEDC60" w14:textId="77777777" w:rsidTr="004F17E6">
        <w:tc>
          <w:tcPr>
            <w:tcW w:w="460" w:type="dxa"/>
          </w:tcPr>
          <w:p w14:paraId="1497E4DA" w14:textId="30195DAF" w:rsidR="0065652D" w:rsidRPr="003D64D8" w:rsidRDefault="001231B4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3</w:t>
            </w:r>
            <w:r w:rsidR="007E5D9D" w:rsidRPr="003D64D8">
              <w:rPr>
                <w:color w:val="000000" w:themeColor="text1"/>
              </w:rPr>
              <w:t>4</w:t>
            </w:r>
          </w:p>
        </w:tc>
        <w:tc>
          <w:tcPr>
            <w:tcW w:w="4849" w:type="dxa"/>
          </w:tcPr>
          <w:p w14:paraId="223337D8" w14:textId="7B3C840B" w:rsidR="0065652D" w:rsidRPr="003D64D8" w:rsidRDefault="001231B4" w:rsidP="006F54E9">
            <w:pPr>
              <w:spacing w:line="276" w:lineRule="auto"/>
              <w:jc w:val="both"/>
            </w:pPr>
            <w:r w:rsidRPr="003D64D8">
              <w:t>Был</w:t>
            </w:r>
            <w:r w:rsidR="00683E6C">
              <w:t>а</w:t>
            </w:r>
            <w:bookmarkStart w:id="0" w:name="_GoBack"/>
            <w:bookmarkEnd w:id="0"/>
            <w:r w:rsidRPr="003D64D8">
              <w:t xml:space="preserve"> ли исправлена ошибка в количестве препарата </w:t>
            </w:r>
            <w:proofErr w:type="spellStart"/>
            <w:r w:rsidR="003D64D8" w:rsidRPr="00847742">
              <w:t>Адалимумаб</w:t>
            </w:r>
            <w:proofErr w:type="spellEnd"/>
            <w:r w:rsidR="006F54E9" w:rsidRPr="00847742">
              <w:t xml:space="preserve"> в ПУТ </w:t>
            </w:r>
            <w:r w:rsidRPr="00847742">
              <w:t>54-2017-UNDP-UKR?</w:t>
            </w:r>
          </w:p>
        </w:tc>
        <w:tc>
          <w:tcPr>
            <w:tcW w:w="4861" w:type="dxa"/>
          </w:tcPr>
          <w:p w14:paraId="21F2193C" w14:textId="719F0F02" w:rsidR="0065652D" w:rsidRPr="003D64D8" w:rsidRDefault="001231B4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Да.</w:t>
            </w:r>
          </w:p>
        </w:tc>
      </w:tr>
      <w:tr w:rsidR="0065652D" w:rsidRPr="003D64D8" w14:paraId="2BF285B4" w14:textId="77777777" w:rsidTr="004F17E6">
        <w:tc>
          <w:tcPr>
            <w:tcW w:w="460" w:type="dxa"/>
          </w:tcPr>
          <w:p w14:paraId="381936F4" w14:textId="26321A7E" w:rsidR="0065652D" w:rsidRPr="003D64D8" w:rsidRDefault="001231B4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lastRenderedPageBreak/>
              <w:t>3</w:t>
            </w:r>
            <w:r w:rsidR="007E5D9D" w:rsidRPr="003D64D8">
              <w:rPr>
                <w:color w:val="000000" w:themeColor="text1"/>
              </w:rPr>
              <w:t>5</w:t>
            </w:r>
          </w:p>
        </w:tc>
        <w:tc>
          <w:tcPr>
            <w:tcW w:w="4849" w:type="dxa"/>
          </w:tcPr>
          <w:p w14:paraId="3A5DED95" w14:textId="31AEDEA7" w:rsidR="0065652D" w:rsidRPr="003D64D8" w:rsidRDefault="001231B4" w:rsidP="001231B4">
            <w:pPr>
              <w:spacing w:line="276" w:lineRule="auto"/>
              <w:jc w:val="both"/>
            </w:pPr>
            <w:r w:rsidRPr="003D64D8">
              <w:t xml:space="preserve">Если поставка товара будет осуществляется от производителя дистрибьютеру для ПРООН, будет ли применятся ввозной НДС? </w:t>
            </w:r>
          </w:p>
        </w:tc>
        <w:tc>
          <w:tcPr>
            <w:tcW w:w="4861" w:type="dxa"/>
          </w:tcPr>
          <w:p w14:paraId="407036C9" w14:textId="1F7C1EE6" w:rsidR="0065652D" w:rsidRPr="003D64D8" w:rsidRDefault="006F54E9" w:rsidP="006F54E9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Детали </w:t>
            </w:r>
            <w:r w:rsidR="003D64D8" w:rsidRPr="003D64D8">
              <w:rPr>
                <w:color w:val="000000" w:themeColor="text1"/>
              </w:rPr>
              <w:t>описаны</w:t>
            </w:r>
            <w:r w:rsidRPr="003D64D8">
              <w:rPr>
                <w:color w:val="000000" w:themeColor="text1"/>
              </w:rPr>
              <w:t xml:space="preserve"> в Дополнении №1 к тендерному документу (</w:t>
            </w:r>
            <w:proofErr w:type="spellStart"/>
            <w:r w:rsidRPr="003D64D8">
              <w:rPr>
                <w:color w:val="000000" w:themeColor="text1"/>
              </w:rPr>
              <w:t>Annex</w:t>
            </w:r>
            <w:proofErr w:type="spellEnd"/>
            <w:r w:rsidRPr="003D64D8">
              <w:rPr>
                <w:color w:val="000000" w:themeColor="text1"/>
              </w:rPr>
              <w:t xml:space="preserve"> 1) </w:t>
            </w:r>
          </w:p>
        </w:tc>
      </w:tr>
      <w:tr w:rsidR="001231B4" w:rsidRPr="003D64D8" w14:paraId="29EDDF43" w14:textId="77777777" w:rsidTr="004F17E6">
        <w:tc>
          <w:tcPr>
            <w:tcW w:w="460" w:type="dxa"/>
          </w:tcPr>
          <w:p w14:paraId="2100A2CD" w14:textId="07B72299" w:rsidR="001231B4" w:rsidRPr="003D64D8" w:rsidRDefault="00767D82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3</w:t>
            </w:r>
            <w:r w:rsidR="007E5D9D" w:rsidRPr="003D64D8">
              <w:rPr>
                <w:color w:val="000000" w:themeColor="text1"/>
              </w:rPr>
              <w:t>6</w:t>
            </w:r>
          </w:p>
        </w:tc>
        <w:tc>
          <w:tcPr>
            <w:tcW w:w="4849" w:type="dxa"/>
          </w:tcPr>
          <w:p w14:paraId="3072540A" w14:textId="1BBB0E43" w:rsidR="001231B4" w:rsidRPr="003D64D8" w:rsidRDefault="00767D82" w:rsidP="006F54E9">
            <w:pPr>
              <w:spacing w:line="276" w:lineRule="auto"/>
              <w:jc w:val="both"/>
            </w:pPr>
            <w:r w:rsidRPr="003D64D8">
              <w:t xml:space="preserve">Можно ли в рамках одной </w:t>
            </w:r>
            <w:r w:rsidRPr="00847742">
              <w:t xml:space="preserve">ИНН </w:t>
            </w:r>
            <w:r w:rsidR="003D64D8" w:rsidRPr="003D64D8">
              <w:t>подавать 2</w:t>
            </w:r>
            <w:r w:rsidR="006F54E9" w:rsidRPr="003D64D8">
              <w:t xml:space="preserve"> </w:t>
            </w:r>
            <w:r w:rsidRPr="003D64D8">
              <w:t>(дв</w:t>
            </w:r>
            <w:r w:rsidR="006F54E9" w:rsidRPr="003D64D8">
              <w:t>е</w:t>
            </w:r>
            <w:r w:rsidRPr="003D64D8">
              <w:t xml:space="preserve">) </w:t>
            </w:r>
            <w:r w:rsidR="006F54E9" w:rsidRPr="003D64D8">
              <w:t>опции от разных производителей</w:t>
            </w:r>
            <w:r w:rsidRPr="003D64D8">
              <w:t>?</w:t>
            </w:r>
          </w:p>
        </w:tc>
        <w:tc>
          <w:tcPr>
            <w:tcW w:w="4861" w:type="dxa"/>
          </w:tcPr>
          <w:p w14:paraId="2D0EC024" w14:textId="5343A11D" w:rsidR="001231B4" w:rsidRPr="003D64D8" w:rsidRDefault="00767D82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Да.</w:t>
            </w:r>
          </w:p>
        </w:tc>
      </w:tr>
      <w:tr w:rsidR="001231B4" w:rsidRPr="003D64D8" w14:paraId="079E881E" w14:textId="77777777" w:rsidTr="004F17E6">
        <w:tc>
          <w:tcPr>
            <w:tcW w:w="460" w:type="dxa"/>
          </w:tcPr>
          <w:p w14:paraId="259AD5AF" w14:textId="5F745B05" w:rsidR="001231B4" w:rsidRPr="003D64D8" w:rsidRDefault="00FF6F5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3</w:t>
            </w:r>
            <w:r w:rsidR="007E5D9D" w:rsidRPr="003D64D8">
              <w:rPr>
                <w:color w:val="000000" w:themeColor="text1"/>
              </w:rPr>
              <w:t>7</w:t>
            </w:r>
          </w:p>
        </w:tc>
        <w:tc>
          <w:tcPr>
            <w:tcW w:w="4849" w:type="dxa"/>
          </w:tcPr>
          <w:p w14:paraId="40046F95" w14:textId="131A376D" w:rsidR="001231B4" w:rsidRPr="003D64D8" w:rsidRDefault="00767D82" w:rsidP="00CE3748">
            <w:pPr>
              <w:spacing w:line="276" w:lineRule="auto"/>
              <w:jc w:val="both"/>
            </w:pPr>
            <w:r w:rsidRPr="003D64D8">
              <w:t xml:space="preserve">Будут ли приниматься другие дозировки в предложении, отличные от тех, которые запрашивали? </w:t>
            </w:r>
          </w:p>
        </w:tc>
        <w:tc>
          <w:tcPr>
            <w:tcW w:w="4861" w:type="dxa"/>
          </w:tcPr>
          <w:p w14:paraId="05397086" w14:textId="1E9ED6B5" w:rsidR="001231B4" w:rsidRPr="003D64D8" w:rsidRDefault="00767D82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Нет. </w:t>
            </w:r>
          </w:p>
        </w:tc>
      </w:tr>
      <w:tr w:rsidR="00767D82" w:rsidRPr="003D64D8" w14:paraId="7AA5FA5D" w14:textId="77777777" w:rsidTr="004F17E6">
        <w:tc>
          <w:tcPr>
            <w:tcW w:w="460" w:type="dxa"/>
          </w:tcPr>
          <w:p w14:paraId="42F6CA94" w14:textId="343FB0B8" w:rsidR="00767D82" w:rsidRPr="003D64D8" w:rsidRDefault="00FF6F5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3</w:t>
            </w:r>
            <w:r w:rsidR="007E5D9D" w:rsidRPr="003D64D8">
              <w:rPr>
                <w:color w:val="000000" w:themeColor="text1"/>
              </w:rPr>
              <w:t>8</w:t>
            </w:r>
          </w:p>
        </w:tc>
        <w:tc>
          <w:tcPr>
            <w:tcW w:w="4849" w:type="dxa"/>
          </w:tcPr>
          <w:p w14:paraId="10C665A3" w14:textId="2535C121" w:rsidR="00767D82" w:rsidRPr="003D64D8" w:rsidRDefault="00767D82" w:rsidP="00CE3748">
            <w:pPr>
              <w:spacing w:line="276" w:lineRule="auto"/>
              <w:jc w:val="both"/>
            </w:pPr>
            <w:r w:rsidRPr="003D64D8">
              <w:t>Сколько времени необходимо на присуждение контракта после открытия тендерных предложений?</w:t>
            </w:r>
          </w:p>
        </w:tc>
        <w:tc>
          <w:tcPr>
            <w:tcW w:w="4861" w:type="dxa"/>
          </w:tcPr>
          <w:p w14:paraId="2635D7D6" w14:textId="27DB3A9F" w:rsidR="00767D82" w:rsidRPr="003D64D8" w:rsidRDefault="003D64D8" w:rsidP="006F54E9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847742">
              <w:t>Согласно тендерной документации ПРООН имеет право оценивать тендер в течении 120 дней, но мы стараемся провести все процедуры в течении 1-2 месяцев в зависимости от сложности закупки.</w:t>
            </w:r>
          </w:p>
        </w:tc>
      </w:tr>
      <w:tr w:rsidR="00767D82" w:rsidRPr="003D64D8" w14:paraId="4A81DB12" w14:textId="77777777" w:rsidTr="004F17E6">
        <w:tc>
          <w:tcPr>
            <w:tcW w:w="460" w:type="dxa"/>
          </w:tcPr>
          <w:p w14:paraId="5982EA16" w14:textId="0A9C9C96" w:rsidR="00767D82" w:rsidRPr="003D64D8" w:rsidRDefault="007E5D9D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39</w:t>
            </w:r>
          </w:p>
        </w:tc>
        <w:tc>
          <w:tcPr>
            <w:tcW w:w="4849" w:type="dxa"/>
          </w:tcPr>
          <w:p w14:paraId="0E5B2F67" w14:textId="17125B7A" w:rsidR="00767D82" w:rsidRPr="003D64D8" w:rsidRDefault="00FF6F5D" w:rsidP="00CE3748">
            <w:pPr>
              <w:spacing w:line="276" w:lineRule="auto"/>
              <w:jc w:val="both"/>
            </w:pPr>
            <w:r w:rsidRPr="003D64D8">
              <w:t xml:space="preserve">Требуется ли легализация (юридическое заверения) </w:t>
            </w:r>
            <w:r w:rsidR="008E0EF0" w:rsidRPr="003D64D8">
              <w:t xml:space="preserve">регистрационных </w:t>
            </w:r>
            <w:r w:rsidRPr="003D64D8">
              <w:t>документов компании?</w:t>
            </w:r>
          </w:p>
        </w:tc>
        <w:tc>
          <w:tcPr>
            <w:tcW w:w="4861" w:type="dxa"/>
          </w:tcPr>
          <w:p w14:paraId="5B363AFD" w14:textId="03588F9B" w:rsidR="00767D82" w:rsidRPr="003D64D8" w:rsidRDefault="008E0EF0" w:rsidP="00CE374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Не нужно. Компании, которые подаются должны предоставить Форму №5 и финансовое предложение с печатью</w:t>
            </w:r>
            <w:r w:rsidR="003D64D8" w:rsidRPr="003D64D8">
              <w:rPr>
                <w:color w:val="000000" w:themeColor="text1"/>
              </w:rPr>
              <w:t xml:space="preserve"> Заявителя</w:t>
            </w:r>
            <w:r w:rsidRPr="003D64D8">
              <w:rPr>
                <w:color w:val="000000" w:themeColor="text1"/>
              </w:rPr>
              <w:t>.</w:t>
            </w:r>
          </w:p>
        </w:tc>
      </w:tr>
      <w:tr w:rsidR="00767D82" w:rsidRPr="003D64D8" w14:paraId="1FEFCBA6" w14:textId="77777777" w:rsidTr="004F17E6">
        <w:tc>
          <w:tcPr>
            <w:tcW w:w="460" w:type="dxa"/>
          </w:tcPr>
          <w:p w14:paraId="72BE0F3D" w14:textId="09AF9AEA" w:rsidR="00767D82" w:rsidRPr="003D64D8" w:rsidRDefault="008E0EF0" w:rsidP="00CE3748">
            <w:pPr>
              <w:pStyle w:val="ListParagraph"/>
              <w:spacing w:after="120" w:line="276" w:lineRule="auto"/>
              <w:ind w:left="0"/>
              <w:contextualSpacing w:val="0"/>
              <w:jc w:val="center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>4</w:t>
            </w:r>
            <w:r w:rsidR="007E5D9D" w:rsidRPr="003D64D8">
              <w:rPr>
                <w:color w:val="000000" w:themeColor="text1"/>
              </w:rPr>
              <w:t>0</w:t>
            </w:r>
          </w:p>
        </w:tc>
        <w:tc>
          <w:tcPr>
            <w:tcW w:w="4849" w:type="dxa"/>
          </w:tcPr>
          <w:p w14:paraId="005B7EDD" w14:textId="38C48A97" w:rsidR="00767D82" w:rsidRPr="003D64D8" w:rsidRDefault="008E0EF0" w:rsidP="00CE3748">
            <w:pPr>
              <w:spacing w:line="276" w:lineRule="auto"/>
              <w:jc w:val="both"/>
            </w:pPr>
            <w:r w:rsidRPr="003D64D8">
              <w:t>Нужно ли предоставлять письмо, что препарат, который зарегистрирован в странах строгих регуляторных орган</w:t>
            </w:r>
            <w:r w:rsidR="00847742">
              <w:t>ов</w:t>
            </w:r>
            <w:r w:rsidRPr="003D64D8">
              <w:t>, находится на перерегистрации в Украине?</w:t>
            </w:r>
          </w:p>
        </w:tc>
        <w:tc>
          <w:tcPr>
            <w:tcW w:w="4861" w:type="dxa"/>
          </w:tcPr>
          <w:p w14:paraId="511EA6BF" w14:textId="36B6DB1E" w:rsidR="00767D82" w:rsidRPr="003D64D8" w:rsidRDefault="008E0EF0" w:rsidP="003D64D8">
            <w:pPr>
              <w:pStyle w:val="ListParagraph"/>
              <w:spacing w:after="120" w:line="276" w:lineRule="auto"/>
              <w:ind w:left="0"/>
              <w:contextualSpacing w:val="0"/>
              <w:jc w:val="both"/>
              <w:rPr>
                <w:color w:val="000000" w:themeColor="text1"/>
              </w:rPr>
            </w:pPr>
            <w:r w:rsidRPr="003D64D8">
              <w:rPr>
                <w:color w:val="000000" w:themeColor="text1"/>
              </w:rPr>
              <w:t xml:space="preserve">Да, предоставьте </w:t>
            </w:r>
            <w:r w:rsidR="003D64D8" w:rsidRPr="003D64D8">
              <w:rPr>
                <w:color w:val="000000" w:themeColor="text1"/>
              </w:rPr>
              <w:t>письмо</w:t>
            </w:r>
            <w:r w:rsidRPr="003D64D8">
              <w:rPr>
                <w:color w:val="000000" w:themeColor="text1"/>
              </w:rPr>
              <w:t>.</w:t>
            </w:r>
          </w:p>
        </w:tc>
      </w:tr>
    </w:tbl>
    <w:p w14:paraId="13C5B604" w14:textId="77777777" w:rsidR="00450415" w:rsidRPr="00C90FD0" w:rsidRDefault="00450415" w:rsidP="00AA4999">
      <w:pPr>
        <w:spacing w:after="120" w:line="276" w:lineRule="auto"/>
        <w:rPr>
          <w:b/>
          <w:color w:val="000000" w:themeColor="text1"/>
          <w:sz w:val="24"/>
          <w:szCs w:val="24"/>
        </w:rPr>
      </w:pPr>
    </w:p>
    <w:sectPr w:rsidR="00450415" w:rsidRPr="00C90FD0" w:rsidSect="007E5D9D">
      <w:pgSz w:w="11906" w:h="16838"/>
      <w:pgMar w:top="1134" w:right="850" w:bottom="63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AA0"/>
    <w:multiLevelType w:val="hybridMultilevel"/>
    <w:tmpl w:val="00B476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8E4CC8"/>
    <w:multiLevelType w:val="hybridMultilevel"/>
    <w:tmpl w:val="00B476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100790"/>
    <w:multiLevelType w:val="hybridMultilevel"/>
    <w:tmpl w:val="0BD0A27A"/>
    <w:lvl w:ilvl="0" w:tplc="9F68C3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C90"/>
    <w:multiLevelType w:val="hybridMultilevel"/>
    <w:tmpl w:val="00B476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8879FD"/>
    <w:multiLevelType w:val="hybridMultilevel"/>
    <w:tmpl w:val="5A7006D4"/>
    <w:lvl w:ilvl="0" w:tplc="4F8AB3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D90B32"/>
    <w:multiLevelType w:val="hybridMultilevel"/>
    <w:tmpl w:val="3EC22CD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620B"/>
    <w:multiLevelType w:val="hybridMultilevel"/>
    <w:tmpl w:val="723A78DA"/>
    <w:lvl w:ilvl="0" w:tplc="A984A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219E5"/>
    <w:multiLevelType w:val="hybridMultilevel"/>
    <w:tmpl w:val="393621A6"/>
    <w:lvl w:ilvl="0" w:tplc="5C2EDE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02715"/>
    <w:multiLevelType w:val="hybridMultilevel"/>
    <w:tmpl w:val="00B476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800341C"/>
    <w:multiLevelType w:val="hybridMultilevel"/>
    <w:tmpl w:val="EE20EEFC"/>
    <w:lvl w:ilvl="0" w:tplc="80A24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160DB"/>
    <w:multiLevelType w:val="hybridMultilevel"/>
    <w:tmpl w:val="00B476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4E6CFF"/>
    <w:multiLevelType w:val="hybridMultilevel"/>
    <w:tmpl w:val="0136AD1A"/>
    <w:lvl w:ilvl="0" w:tplc="6234D93A">
      <w:start w:val="1"/>
      <w:numFmt w:val="decimal"/>
      <w:lvlText w:val="%1."/>
      <w:lvlJc w:val="left"/>
      <w:pPr>
        <w:ind w:left="1125" w:hanging="76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12536"/>
    <w:multiLevelType w:val="hybridMultilevel"/>
    <w:tmpl w:val="1B90D8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913B87"/>
    <w:multiLevelType w:val="hybridMultilevel"/>
    <w:tmpl w:val="5A7006D4"/>
    <w:lvl w:ilvl="0" w:tplc="4F8AB3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11453BF"/>
    <w:multiLevelType w:val="hybridMultilevel"/>
    <w:tmpl w:val="00B476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61"/>
    <w:rsid w:val="0000400C"/>
    <w:rsid w:val="00006AC7"/>
    <w:rsid w:val="00016B46"/>
    <w:rsid w:val="00025B62"/>
    <w:rsid w:val="00033472"/>
    <w:rsid w:val="000649E6"/>
    <w:rsid w:val="00070BC6"/>
    <w:rsid w:val="0007665E"/>
    <w:rsid w:val="00076C6E"/>
    <w:rsid w:val="00077225"/>
    <w:rsid w:val="000779D6"/>
    <w:rsid w:val="000A687F"/>
    <w:rsid w:val="000D432B"/>
    <w:rsid w:val="000E0340"/>
    <w:rsid w:val="000E06DB"/>
    <w:rsid w:val="000E08E3"/>
    <w:rsid w:val="000F5330"/>
    <w:rsid w:val="000F7FB9"/>
    <w:rsid w:val="001101E0"/>
    <w:rsid w:val="001128CD"/>
    <w:rsid w:val="001231B4"/>
    <w:rsid w:val="0012737E"/>
    <w:rsid w:val="001517B1"/>
    <w:rsid w:val="001760DF"/>
    <w:rsid w:val="0018356C"/>
    <w:rsid w:val="00191D34"/>
    <w:rsid w:val="001A1B61"/>
    <w:rsid w:val="001A4887"/>
    <w:rsid w:val="001A6623"/>
    <w:rsid w:val="001B780C"/>
    <w:rsid w:val="001C2D96"/>
    <w:rsid w:val="001C667F"/>
    <w:rsid w:val="001D1113"/>
    <w:rsid w:val="001D4A65"/>
    <w:rsid w:val="001E6B80"/>
    <w:rsid w:val="001F336B"/>
    <w:rsid w:val="001F469B"/>
    <w:rsid w:val="001F5A91"/>
    <w:rsid w:val="002137D6"/>
    <w:rsid w:val="00215B5A"/>
    <w:rsid w:val="00216065"/>
    <w:rsid w:val="00222D42"/>
    <w:rsid w:val="00224BAC"/>
    <w:rsid w:val="002350B1"/>
    <w:rsid w:val="00253764"/>
    <w:rsid w:val="0025734D"/>
    <w:rsid w:val="00261D99"/>
    <w:rsid w:val="0029108C"/>
    <w:rsid w:val="00291429"/>
    <w:rsid w:val="00294F2F"/>
    <w:rsid w:val="0029639D"/>
    <w:rsid w:val="00297D0A"/>
    <w:rsid w:val="002A53F2"/>
    <w:rsid w:val="002A5776"/>
    <w:rsid w:val="002B7CC0"/>
    <w:rsid w:val="002C1DC9"/>
    <w:rsid w:val="002C5188"/>
    <w:rsid w:val="002C6C24"/>
    <w:rsid w:val="002E0550"/>
    <w:rsid w:val="002F7341"/>
    <w:rsid w:val="00306002"/>
    <w:rsid w:val="00316034"/>
    <w:rsid w:val="003175E8"/>
    <w:rsid w:val="00324A26"/>
    <w:rsid w:val="00347BF2"/>
    <w:rsid w:val="0039247F"/>
    <w:rsid w:val="003928DC"/>
    <w:rsid w:val="003A0F1C"/>
    <w:rsid w:val="003A6653"/>
    <w:rsid w:val="003B50D5"/>
    <w:rsid w:val="003C1C45"/>
    <w:rsid w:val="003C5ADD"/>
    <w:rsid w:val="003D5DAE"/>
    <w:rsid w:val="003D64D8"/>
    <w:rsid w:val="003E256B"/>
    <w:rsid w:val="003E541B"/>
    <w:rsid w:val="003E73BC"/>
    <w:rsid w:val="00400439"/>
    <w:rsid w:val="00407AB8"/>
    <w:rsid w:val="00410D9E"/>
    <w:rsid w:val="00417DDD"/>
    <w:rsid w:val="00422823"/>
    <w:rsid w:val="004241F8"/>
    <w:rsid w:val="0044609C"/>
    <w:rsid w:val="004471C8"/>
    <w:rsid w:val="00450415"/>
    <w:rsid w:val="00455E7E"/>
    <w:rsid w:val="00461017"/>
    <w:rsid w:val="004755EF"/>
    <w:rsid w:val="00481F68"/>
    <w:rsid w:val="00482C9A"/>
    <w:rsid w:val="00491BF1"/>
    <w:rsid w:val="00492417"/>
    <w:rsid w:val="004973DD"/>
    <w:rsid w:val="004A3E89"/>
    <w:rsid w:val="004A5EBB"/>
    <w:rsid w:val="004A63AB"/>
    <w:rsid w:val="004B0F94"/>
    <w:rsid w:val="004B49B3"/>
    <w:rsid w:val="004B5778"/>
    <w:rsid w:val="004B6243"/>
    <w:rsid w:val="004B6475"/>
    <w:rsid w:val="004C5378"/>
    <w:rsid w:val="004C797D"/>
    <w:rsid w:val="004D02A0"/>
    <w:rsid w:val="004D2750"/>
    <w:rsid w:val="004D30D2"/>
    <w:rsid w:val="004E786D"/>
    <w:rsid w:val="004F17E6"/>
    <w:rsid w:val="004F26F9"/>
    <w:rsid w:val="004F73FE"/>
    <w:rsid w:val="00511732"/>
    <w:rsid w:val="0051278B"/>
    <w:rsid w:val="00514E6C"/>
    <w:rsid w:val="0053216A"/>
    <w:rsid w:val="0053690B"/>
    <w:rsid w:val="005372A1"/>
    <w:rsid w:val="005543BC"/>
    <w:rsid w:val="00570A4E"/>
    <w:rsid w:val="005807F1"/>
    <w:rsid w:val="00583ACA"/>
    <w:rsid w:val="005B00DD"/>
    <w:rsid w:val="005B1927"/>
    <w:rsid w:val="005B21A1"/>
    <w:rsid w:val="005B3936"/>
    <w:rsid w:val="005B6561"/>
    <w:rsid w:val="005C0AAB"/>
    <w:rsid w:val="005C6F11"/>
    <w:rsid w:val="005D1658"/>
    <w:rsid w:val="005D7A2E"/>
    <w:rsid w:val="005D7C32"/>
    <w:rsid w:val="005E03DE"/>
    <w:rsid w:val="005E240E"/>
    <w:rsid w:val="005E468D"/>
    <w:rsid w:val="005E5D25"/>
    <w:rsid w:val="005E7939"/>
    <w:rsid w:val="005F6A0D"/>
    <w:rsid w:val="00602D9C"/>
    <w:rsid w:val="00621C37"/>
    <w:rsid w:val="00632232"/>
    <w:rsid w:val="00632C07"/>
    <w:rsid w:val="00633579"/>
    <w:rsid w:val="00633705"/>
    <w:rsid w:val="00645B6F"/>
    <w:rsid w:val="0065652D"/>
    <w:rsid w:val="00663612"/>
    <w:rsid w:val="006642A9"/>
    <w:rsid w:val="00664B21"/>
    <w:rsid w:val="0066529D"/>
    <w:rsid w:val="00683E6C"/>
    <w:rsid w:val="00693102"/>
    <w:rsid w:val="0069403B"/>
    <w:rsid w:val="006C5EC2"/>
    <w:rsid w:val="006E0696"/>
    <w:rsid w:val="006E55DE"/>
    <w:rsid w:val="006F54E9"/>
    <w:rsid w:val="00703DAB"/>
    <w:rsid w:val="00706808"/>
    <w:rsid w:val="00707645"/>
    <w:rsid w:val="00717D0F"/>
    <w:rsid w:val="007243EF"/>
    <w:rsid w:val="0072640D"/>
    <w:rsid w:val="007272F6"/>
    <w:rsid w:val="00743BAD"/>
    <w:rsid w:val="00751F93"/>
    <w:rsid w:val="007603EB"/>
    <w:rsid w:val="00764943"/>
    <w:rsid w:val="00767D82"/>
    <w:rsid w:val="00775A8F"/>
    <w:rsid w:val="00777CB7"/>
    <w:rsid w:val="007843EC"/>
    <w:rsid w:val="00791B66"/>
    <w:rsid w:val="00793B65"/>
    <w:rsid w:val="00795359"/>
    <w:rsid w:val="007A305D"/>
    <w:rsid w:val="007A7115"/>
    <w:rsid w:val="007C7E4F"/>
    <w:rsid w:val="007D4145"/>
    <w:rsid w:val="007D641E"/>
    <w:rsid w:val="007E5D9D"/>
    <w:rsid w:val="007F2CB0"/>
    <w:rsid w:val="007F71CC"/>
    <w:rsid w:val="0080033B"/>
    <w:rsid w:val="00804B18"/>
    <w:rsid w:val="008067A5"/>
    <w:rsid w:val="00814C44"/>
    <w:rsid w:val="00815693"/>
    <w:rsid w:val="00817806"/>
    <w:rsid w:val="008315E6"/>
    <w:rsid w:val="00834276"/>
    <w:rsid w:val="008409C3"/>
    <w:rsid w:val="0084221E"/>
    <w:rsid w:val="0084439D"/>
    <w:rsid w:val="00847742"/>
    <w:rsid w:val="00852AF4"/>
    <w:rsid w:val="00865CF6"/>
    <w:rsid w:val="00866686"/>
    <w:rsid w:val="00866DCF"/>
    <w:rsid w:val="0087234C"/>
    <w:rsid w:val="008A7434"/>
    <w:rsid w:val="008A7BB9"/>
    <w:rsid w:val="008B4196"/>
    <w:rsid w:val="008C2224"/>
    <w:rsid w:val="008C4AE5"/>
    <w:rsid w:val="008D4823"/>
    <w:rsid w:val="008D5109"/>
    <w:rsid w:val="008E03CC"/>
    <w:rsid w:val="008E0EF0"/>
    <w:rsid w:val="008E1EC2"/>
    <w:rsid w:val="008F2617"/>
    <w:rsid w:val="008F5F36"/>
    <w:rsid w:val="008F6A56"/>
    <w:rsid w:val="0091068E"/>
    <w:rsid w:val="0091790B"/>
    <w:rsid w:val="00922869"/>
    <w:rsid w:val="0092524A"/>
    <w:rsid w:val="00932689"/>
    <w:rsid w:val="00942AD5"/>
    <w:rsid w:val="009447A3"/>
    <w:rsid w:val="009477A7"/>
    <w:rsid w:val="009530BA"/>
    <w:rsid w:val="009532C3"/>
    <w:rsid w:val="009556D6"/>
    <w:rsid w:val="0096005B"/>
    <w:rsid w:val="009737FF"/>
    <w:rsid w:val="00980E35"/>
    <w:rsid w:val="009A20F2"/>
    <w:rsid w:val="009A5E6C"/>
    <w:rsid w:val="009B4816"/>
    <w:rsid w:val="009C002B"/>
    <w:rsid w:val="009D2E38"/>
    <w:rsid w:val="009E68FE"/>
    <w:rsid w:val="00A0019C"/>
    <w:rsid w:val="00A00858"/>
    <w:rsid w:val="00A15300"/>
    <w:rsid w:val="00A15ED5"/>
    <w:rsid w:val="00A2151E"/>
    <w:rsid w:val="00A24A2C"/>
    <w:rsid w:val="00A30E49"/>
    <w:rsid w:val="00A440AA"/>
    <w:rsid w:val="00A53956"/>
    <w:rsid w:val="00A53DD3"/>
    <w:rsid w:val="00A55D62"/>
    <w:rsid w:val="00A578AA"/>
    <w:rsid w:val="00A64D23"/>
    <w:rsid w:val="00A673AC"/>
    <w:rsid w:val="00A83CD8"/>
    <w:rsid w:val="00A8549B"/>
    <w:rsid w:val="00A921C4"/>
    <w:rsid w:val="00AA281A"/>
    <w:rsid w:val="00AA4999"/>
    <w:rsid w:val="00AA4F7E"/>
    <w:rsid w:val="00AB4471"/>
    <w:rsid w:val="00AB4B99"/>
    <w:rsid w:val="00AD0383"/>
    <w:rsid w:val="00AE02B6"/>
    <w:rsid w:val="00AE1FA3"/>
    <w:rsid w:val="00AF338A"/>
    <w:rsid w:val="00AF6A87"/>
    <w:rsid w:val="00B16DCD"/>
    <w:rsid w:val="00B348A6"/>
    <w:rsid w:val="00B3769D"/>
    <w:rsid w:val="00B4271C"/>
    <w:rsid w:val="00B43796"/>
    <w:rsid w:val="00B5274D"/>
    <w:rsid w:val="00B5440E"/>
    <w:rsid w:val="00B55B94"/>
    <w:rsid w:val="00B6523F"/>
    <w:rsid w:val="00B65295"/>
    <w:rsid w:val="00B7120E"/>
    <w:rsid w:val="00B770CA"/>
    <w:rsid w:val="00B943AC"/>
    <w:rsid w:val="00BA5065"/>
    <w:rsid w:val="00BB3ADB"/>
    <w:rsid w:val="00BB6160"/>
    <w:rsid w:val="00BB6FB9"/>
    <w:rsid w:val="00BC757F"/>
    <w:rsid w:val="00BD1258"/>
    <w:rsid w:val="00BE6F09"/>
    <w:rsid w:val="00BF6FDE"/>
    <w:rsid w:val="00C20430"/>
    <w:rsid w:val="00C233E6"/>
    <w:rsid w:val="00C307A4"/>
    <w:rsid w:val="00C42E42"/>
    <w:rsid w:val="00C47E88"/>
    <w:rsid w:val="00C57CBC"/>
    <w:rsid w:val="00C66960"/>
    <w:rsid w:val="00C71CA9"/>
    <w:rsid w:val="00C84E49"/>
    <w:rsid w:val="00C8595A"/>
    <w:rsid w:val="00C879FA"/>
    <w:rsid w:val="00C90FD0"/>
    <w:rsid w:val="00C9274C"/>
    <w:rsid w:val="00CA6863"/>
    <w:rsid w:val="00CB078D"/>
    <w:rsid w:val="00CC0051"/>
    <w:rsid w:val="00CD54A5"/>
    <w:rsid w:val="00CE15CB"/>
    <w:rsid w:val="00CE3008"/>
    <w:rsid w:val="00CE3748"/>
    <w:rsid w:val="00CF4588"/>
    <w:rsid w:val="00CF55C0"/>
    <w:rsid w:val="00D01959"/>
    <w:rsid w:val="00D02DD5"/>
    <w:rsid w:val="00D11B77"/>
    <w:rsid w:val="00D2309A"/>
    <w:rsid w:val="00D32C6B"/>
    <w:rsid w:val="00D401B2"/>
    <w:rsid w:val="00D504DF"/>
    <w:rsid w:val="00D60BA1"/>
    <w:rsid w:val="00D762D4"/>
    <w:rsid w:val="00D868C4"/>
    <w:rsid w:val="00D970A7"/>
    <w:rsid w:val="00DA0910"/>
    <w:rsid w:val="00DB7CC2"/>
    <w:rsid w:val="00DB7D73"/>
    <w:rsid w:val="00DC0212"/>
    <w:rsid w:val="00DC1CC2"/>
    <w:rsid w:val="00DC313C"/>
    <w:rsid w:val="00DD2D3E"/>
    <w:rsid w:val="00DF0BB7"/>
    <w:rsid w:val="00E00928"/>
    <w:rsid w:val="00E0266E"/>
    <w:rsid w:val="00E049A7"/>
    <w:rsid w:val="00E06051"/>
    <w:rsid w:val="00E112FA"/>
    <w:rsid w:val="00E15D10"/>
    <w:rsid w:val="00E313D3"/>
    <w:rsid w:val="00E34E0A"/>
    <w:rsid w:val="00E431AF"/>
    <w:rsid w:val="00E46A7F"/>
    <w:rsid w:val="00E609CE"/>
    <w:rsid w:val="00E66C0B"/>
    <w:rsid w:val="00E74A7D"/>
    <w:rsid w:val="00EA0B2C"/>
    <w:rsid w:val="00EA6CB6"/>
    <w:rsid w:val="00EB0065"/>
    <w:rsid w:val="00EB5418"/>
    <w:rsid w:val="00EB59B7"/>
    <w:rsid w:val="00EC466B"/>
    <w:rsid w:val="00ED3CBC"/>
    <w:rsid w:val="00EE1FEF"/>
    <w:rsid w:val="00EE44E5"/>
    <w:rsid w:val="00EF6C7F"/>
    <w:rsid w:val="00EF7DFD"/>
    <w:rsid w:val="00F013E8"/>
    <w:rsid w:val="00F14A2E"/>
    <w:rsid w:val="00F15C2A"/>
    <w:rsid w:val="00F16BAE"/>
    <w:rsid w:val="00F16BB6"/>
    <w:rsid w:val="00F17F92"/>
    <w:rsid w:val="00F36329"/>
    <w:rsid w:val="00F41BE7"/>
    <w:rsid w:val="00F52874"/>
    <w:rsid w:val="00F57565"/>
    <w:rsid w:val="00F60AD6"/>
    <w:rsid w:val="00F67D11"/>
    <w:rsid w:val="00F71835"/>
    <w:rsid w:val="00F87924"/>
    <w:rsid w:val="00F959D5"/>
    <w:rsid w:val="00FA2582"/>
    <w:rsid w:val="00FA732B"/>
    <w:rsid w:val="00FB6234"/>
    <w:rsid w:val="00FD0357"/>
    <w:rsid w:val="00FF02CC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805B"/>
  <w15:chartTrackingRefBased/>
  <w15:docId w15:val="{3CDFC3EF-5B51-4B3C-A6F4-D794F00E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B5274D"/>
    <w:pPr>
      <w:keepNext/>
      <w:keepLines/>
      <w:widowControl w:val="0"/>
      <w:overflowPunct w:val="0"/>
      <w:adjustRightInd w:val="0"/>
      <w:spacing w:before="480" w:after="0" w:line="240" w:lineRule="auto"/>
      <w:outlineLvl w:val="0"/>
    </w:pPr>
    <w:rPr>
      <w:rFonts w:ascii="Gill Sans MT" w:eastAsiaTheme="minorEastAsia" w:hAnsi="Gill Sans MT" w:cs="Arial"/>
      <w:bCs/>
      <w:caps/>
      <w:noProof/>
      <w:color w:val="000080"/>
      <w:spacing w:val="32"/>
      <w:kern w:val="32"/>
      <w:sz w:val="32"/>
      <w:szCs w:val="28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7C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274D"/>
    <w:rPr>
      <w:rFonts w:ascii="Gill Sans MT" w:eastAsiaTheme="minorEastAsia" w:hAnsi="Gill Sans MT" w:cs="Arial"/>
      <w:bCs/>
      <w:caps/>
      <w:noProof/>
      <w:color w:val="000080"/>
      <w:spacing w:val="32"/>
      <w:kern w:val="32"/>
      <w:sz w:val="32"/>
      <w:szCs w:val="28"/>
      <w:lang w:eastAsia="ru-RU" w:bidi="ru-RU"/>
    </w:rPr>
  </w:style>
  <w:style w:type="paragraph" w:styleId="PlainText">
    <w:name w:val="Plain Text"/>
    <w:basedOn w:val="Normal"/>
    <w:link w:val="PlainTextChar"/>
    <w:uiPriority w:val="99"/>
    <w:unhideWhenUsed/>
    <w:rsid w:val="00ED3CBC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3CBC"/>
    <w:rPr>
      <w:rFonts w:ascii="Calibri" w:hAnsi="Calibri" w:cs="Consolas"/>
      <w:szCs w:val="21"/>
      <w:lang w:val="en-US"/>
    </w:rPr>
  </w:style>
  <w:style w:type="character" w:styleId="Hyperlink">
    <w:name w:val="Hyperlink"/>
    <w:basedOn w:val="DefaultParagraphFont"/>
    <w:unhideWhenUsed/>
    <w:rsid w:val="00DF0BB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690B"/>
  </w:style>
  <w:style w:type="paragraph" w:customStyle="1" w:styleId="Default">
    <w:name w:val="Default"/>
    <w:rsid w:val="00866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paragraph" w:styleId="NormalWeb">
    <w:name w:val="Normal (Web)"/>
    <w:basedOn w:val="Normal"/>
    <w:uiPriority w:val="99"/>
    <w:unhideWhenUsed/>
    <w:rsid w:val="001C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BankNormal">
    <w:name w:val="BankNormal"/>
    <w:basedOn w:val="Normal"/>
    <w:rsid w:val="0012737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character" w:styleId="Mention">
    <w:name w:val="Mention"/>
    <w:basedOn w:val="DefaultParagraphFont"/>
    <w:uiPriority w:val="99"/>
    <w:semiHidden/>
    <w:unhideWhenUsed/>
    <w:rsid w:val="004A3E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enders.ua@und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0B4CBA53121E54FA3BBB52F0DB8538A00C2AE593E492DF1418BE2CD964CCC4756" ma:contentTypeVersion="" ma:contentTypeDescription="" ma:contentTypeScope="" ma:versionID="5a90d9b2c0df58119d6ff7acdefb6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8B91-3164-4911-846C-780C2347D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F4B8A-3E18-4315-AA00-3BF0030CA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9A6E0-7746-47F4-A8A0-B31DCDBE58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FD6C92-A733-4A78-8DD3-CFCC7A0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Кислова</dc:creator>
  <cp:keywords/>
  <dc:description/>
  <cp:lastModifiedBy>Iryna Shchokova</cp:lastModifiedBy>
  <cp:revision>2</cp:revision>
  <cp:lastPrinted>2017-01-30T10:45:00Z</cp:lastPrinted>
  <dcterms:created xsi:type="dcterms:W3CDTF">2017-08-26T10:53:00Z</dcterms:created>
  <dcterms:modified xsi:type="dcterms:W3CDTF">2017-08-26T10:53:00Z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0x01010000B4CBA53121E54FA3BBB52F0DB8538A00C2AE593E492DF1418BE2CD964CCC4756</vt:lpwstr>
  </property>
</Properties>
</file>