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EA" w:rsidRPr="004F01ED" w:rsidRDefault="00AA0AEA" w:rsidP="00AA0AEA">
      <w:pPr>
        <w:pStyle w:val="NoSpacing"/>
        <w:jc w:val="center"/>
        <w:rPr>
          <w:rStyle w:val="Strong"/>
          <w:sz w:val="24"/>
        </w:rPr>
      </w:pPr>
      <w:r w:rsidRPr="004F01ED">
        <w:rPr>
          <w:rStyle w:val="Strong"/>
          <w:sz w:val="24"/>
        </w:rPr>
        <w:t>Experts on Gender and Environment, Climate Change and Sustainable Development:</w:t>
      </w:r>
    </w:p>
    <w:p w:rsidR="002B5064" w:rsidRPr="004F01ED" w:rsidRDefault="00AA0AEA" w:rsidP="00AA0AEA">
      <w:pPr>
        <w:pStyle w:val="NoSpacing"/>
        <w:jc w:val="center"/>
        <w:rPr>
          <w:rStyle w:val="Strong"/>
          <w:sz w:val="24"/>
        </w:rPr>
      </w:pPr>
      <w:r w:rsidRPr="004F01ED">
        <w:rPr>
          <w:rStyle w:val="Strong"/>
          <w:sz w:val="24"/>
        </w:rPr>
        <w:t>Establishment of Long-Term Agreements</w:t>
      </w:r>
    </w:p>
    <w:p w:rsidR="00AA0AEA" w:rsidRDefault="00AA0AEA" w:rsidP="00AA0AEA">
      <w:pPr>
        <w:pStyle w:val="NoSpacing"/>
        <w:jc w:val="center"/>
        <w:rPr>
          <w:sz w:val="24"/>
        </w:rPr>
      </w:pPr>
    </w:p>
    <w:p w:rsidR="004F01ED" w:rsidRDefault="004F01ED" w:rsidP="00AA0AEA">
      <w:pPr>
        <w:pStyle w:val="NoSpacing"/>
        <w:jc w:val="center"/>
        <w:rPr>
          <w:sz w:val="24"/>
          <w:u w:val="single"/>
        </w:rPr>
      </w:pPr>
    </w:p>
    <w:p w:rsidR="00AA0AEA" w:rsidRPr="004F01ED" w:rsidRDefault="00AA0AEA" w:rsidP="00AA0AEA">
      <w:pPr>
        <w:pStyle w:val="NoSpacing"/>
        <w:jc w:val="center"/>
        <w:rPr>
          <w:sz w:val="24"/>
          <w:u w:val="single"/>
        </w:rPr>
      </w:pPr>
      <w:r w:rsidRPr="004F01ED">
        <w:rPr>
          <w:sz w:val="24"/>
          <w:u w:val="single"/>
        </w:rPr>
        <w:t>Question and Answer Report</w:t>
      </w:r>
    </w:p>
    <w:p w:rsidR="00AA0AEA" w:rsidRDefault="00AA0AEA" w:rsidP="00AA0AEA">
      <w:pPr>
        <w:pStyle w:val="NoSpacing"/>
        <w:jc w:val="center"/>
        <w:rPr>
          <w:b/>
          <w:sz w:val="24"/>
        </w:rPr>
      </w:pPr>
    </w:p>
    <w:p w:rsidR="00AA0AEA" w:rsidRDefault="00AA0AEA" w:rsidP="00AA0AEA">
      <w:pPr>
        <w:pStyle w:val="Default"/>
      </w:pPr>
    </w:p>
    <w:p w:rsidR="00AA0AEA" w:rsidRDefault="004D22E5" w:rsidP="00AA0AEA">
      <w:pPr>
        <w:pStyle w:val="NoSpacing"/>
      </w:pPr>
      <w:r>
        <w:t xml:space="preserve">The </w:t>
      </w:r>
      <w:r w:rsidR="00AA0AEA">
        <w:t>UNDP Gender Team has</w:t>
      </w:r>
      <w:r>
        <w:t xml:space="preserve"> received</w:t>
      </w:r>
      <w:r w:rsidR="00AA0AEA">
        <w:t xml:space="preserve"> the following question(s) on its advertisement</w:t>
      </w:r>
      <w:r w:rsidR="00AA0AEA" w:rsidRPr="00AA0AEA">
        <w:rPr>
          <w:rStyle w:val="Strong"/>
          <w:b w:val="0"/>
          <w:sz w:val="24"/>
        </w:rPr>
        <w:t xml:space="preserve"> </w:t>
      </w:r>
      <w:r w:rsidR="00AA0AEA">
        <w:rPr>
          <w:rStyle w:val="Strong"/>
          <w:b w:val="0"/>
          <w:sz w:val="24"/>
        </w:rPr>
        <w:t xml:space="preserve">for </w:t>
      </w:r>
      <w:r w:rsidR="00AA0AEA" w:rsidRPr="00AA0AEA">
        <w:rPr>
          <w:rStyle w:val="Strong"/>
          <w:b w:val="0"/>
          <w:sz w:val="24"/>
        </w:rPr>
        <w:t>Long-Term Agreements</w:t>
      </w:r>
      <w:r w:rsidR="00AA0AEA">
        <w:rPr>
          <w:rStyle w:val="Strong"/>
          <w:b w:val="0"/>
          <w:sz w:val="24"/>
        </w:rPr>
        <w:t xml:space="preserve"> with experts on gender and environment, climate change and sustainable development</w:t>
      </w:r>
      <w:r w:rsidR="00AA0AEA">
        <w:t>. All question(s) received to-date are documented below with respective answers.</w:t>
      </w:r>
    </w:p>
    <w:p w:rsidR="00E75B6D" w:rsidRDefault="00E75B6D" w:rsidP="00AA0AE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260"/>
        <w:gridCol w:w="7128"/>
      </w:tblGrid>
      <w:tr w:rsidR="00E75B6D" w:rsidTr="00822969">
        <w:tc>
          <w:tcPr>
            <w:tcW w:w="9576" w:type="dxa"/>
            <w:gridSpan w:val="3"/>
          </w:tcPr>
          <w:p w:rsidR="00E75B6D" w:rsidRPr="00E75B6D" w:rsidRDefault="00E75B6D" w:rsidP="00E75B6D">
            <w:pPr>
              <w:pStyle w:val="NoSpacing"/>
              <w:jc w:val="center"/>
              <w:rPr>
                <w:rFonts w:cs="Arial"/>
                <w:b/>
              </w:rPr>
            </w:pPr>
            <w:r w:rsidRPr="00E75B6D">
              <w:rPr>
                <w:rFonts w:cs="Arial"/>
                <w:b/>
              </w:rPr>
              <w:t>Questions and Answers</w:t>
            </w:r>
          </w:p>
        </w:tc>
      </w:tr>
      <w:tr w:rsidR="00E75B6D" w:rsidTr="002C001E">
        <w:tc>
          <w:tcPr>
            <w:tcW w:w="1188" w:type="dxa"/>
            <w:vMerge w:val="restart"/>
          </w:tcPr>
          <w:p w:rsidR="00E75B6D" w:rsidRDefault="00E75B6D" w:rsidP="00AA0A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60" w:type="dxa"/>
            <w:vAlign w:val="center"/>
          </w:tcPr>
          <w:p w:rsidR="00E75B6D" w:rsidRDefault="00E75B6D" w:rsidP="00E75B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7128" w:type="dxa"/>
            <w:vAlign w:val="center"/>
          </w:tcPr>
          <w:p w:rsidR="002C001E" w:rsidRDefault="002C001E" w:rsidP="002C001E">
            <w:pPr>
              <w:pStyle w:val="NoSpacing"/>
            </w:pPr>
          </w:p>
          <w:p w:rsidR="00E75B6D" w:rsidRDefault="00E75B6D" w:rsidP="002C001E">
            <w:pPr>
              <w:pStyle w:val="NoSpacing"/>
            </w:pPr>
            <w:r>
              <w:t>Is it possib</w:t>
            </w:r>
            <w:r w:rsidRPr="00E75B6D">
              <w:t>l</w:t>
            </w:r>
            <w:r>
              <w:t xml:space="preserve">e for an organization to be </w:t>
            </w:r>
            <w:r w:rsidRPr="00E75B6D">
              <w:t xml:space="preserve">the contact point for </w:t>
            </w:r>
            <w:r>
              <w:t xml:space="preserve">one of the expert positions </w:t>
            </w:r>
            <w:r w:rsidRPr="00E75B6D">
              <w:t>in a manner that could pool together team expertise to respond to request and demands from UNDP</w:t>
            </w:r>
            <w:r>
              <w:t>?</w:t>
            </w:r>
          </w:p>
          <w:p w:rsidR="002C001E" w:rsidRPr="002C001E" w:rsidRDefault="002C001E" w:rsidP="002C001E">
            <w:pPr>
              <w:pStyle w:val="NoSpacing"/>
            </w:pPr>
          </w:p>
        </w:tc>
      </w:tr>
      <w:tr w:rsidR="00E75B6D" w:rsidTr="002C001E">
        <w:tc>
          <w:tcPr>
            <w:tcW w:w="1188" w:type="dxa"/>
            <w:vMerge/>
          </w:tcPr>
          <w:p w:rsidR="00E75B6D" w:rsidRDefault="00E75B6D" w:rsidP="00AA0AE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E75B6D" w:rsidRDefault="00E75B6D" w:rsidP="002C00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7128" w:type="dxa"/>
          </w:tcPr>
          <w:p w:rsidR="002C001E" w:rsidRDefault="002C001E" w:rsidP="002C001E"/>
          <w:p w:rsidR="002C001E" w:rsidRPr="002C001E" w:rsidRDefault="002C001E" w:rsidP="002C001E">
            <w:r w:rsidRPr="002C001E">
              <w:t>Companies can apply for this assig</w:t>
            </w:r>
            <w:r>
              <w:t xml:space="preserve">nment. </w:t>
            </w:r>
            <w:r w:rsidR="006321D6">
              <w:t>However, i</w:t>
            </w:r>
            <w:r>
              <w:t>nterested companies need to have</w:t>
            </w:r>
            <w:r w:rsidRPr="002C001E">
              <w:t xml:space="preserve"> their </w:t>
            </w:r>
            <w:r>
              <w:t xml:space="preserve">individual </w:t>
            </w:r>
            <w:r w:rsidRPr="002C001E">
              <w:t xml:space="preserve">staff apply online for the assignment. Applicants should indicate their affiliation with the respective company(ies). If selected, the companies under which applicant(s) work, can be contracted under a reimbursable loan agreement (RLA). </w:t>
            </w:r>
          </w:p>
          <w:p w:rsidR="00E75B6D" w:rsidRDefault="00E75B6D" w:rsidP="00AA0AEA">
            <w:pPr>
              <w:pStyle w:val="NoSpacing"/>
              <w:rPr>
                <w:rFonts w:ascii="Arial" w:hAnsi="Arial" w:cs="Arial"/>
              </w:rPr>
            </w:pPr>
          </w:p>
        </w:tc>
      </w:tr>
      <w:tr w:rsidR="00FA624D" w:rsidTr="002C001E">
        <w:tc>
          <w:tcPr>
            <w:tcW w:w="1188" w:type="dxa"/>
            <w:vMerge w:val="restart"/>
          </w:tcPr>
          <w:p w:rsidR="00FA624D" w:rsidRDefault="00FA624D" w:rsidP="00AA0A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60" w:type="dxa"/>
            <w:vAlign w:val="center"/>
          </w:tcPr>
          <w:p w:rsidR="00FA624D" w:rsidRDefault="00FA624D" w:rsidP="002578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7128" w:type="dxa"/>
          </w:tcPr>
          <w:p w:rsidR="00FA624D" w:rsidRDefault="00FA624D" w:rsidP="002C001E">
            <w:r>
              <w:t xml:space="preserve">Received the error message of “The reasons why you think you are an outstanding candidate can be no more than 1000 characters”.  </w:t>
            </w:r>
          </w:p>
          <w:p w:rsidR="00FA624D" w:rsidRDefault="00FA624D" w:rsidP="002C001E"/>
        </w:tc>
      </w:tr>
      <w:tr w:rsidR="00FA624D" w:rsidTr="002C001E">
        <w:tc>
          <w:tcPr>
            <w:tcW w:w="1188" w:type="dxa"/>
            <w:vMerge/>
          </w:tcPr>
          <w:p w:rsidR="00FA624D" w:rsidRDefault="00FA624D" w:rsidP="00AA0AE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FA624D" w:rsidRDefault="00FA624D" w:rsidP="002578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7128" w:type="dxa"/>
          </w:tcPr>
          <w:p w:rsidR="00FA624D" w:rsidRDefault="00FA624D" w:rsidP="002C001E">
            <w:r>
              <w:t>Ensure text for this box is less than 1,000 characters.  When calculating this total, ensure calculation is looking at character count and not word count.</w:t>
            </w:r>
          </w:p>
          <w:p w:rsidR="00FA624D" w:rsidRDefault="00FA624D" w:rsidP="002C001E"/>
        </w:tc>
      </w:tr>
      <w:tr w:rsidR="00222C58" w:rsidTr="002C001E">
        <w:tc>
          <w:tcPr>
            <w:tcW w:w="1188" w:type="dxa"/>
            <w:vMerge w:val="restart"/>
          </w:tcPr>
          <w:p w:rsidR="00222C58" w:rsidRDefault="00222C58" w:rsidP="00AA0A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60" w:type="dxa"/>
            <w:vAlign w:val="center"/>
          </w:tcPr>
          <w:p w:rsidR="00222C58" w:rsidRDefault="00222C58" w:rsidP="00EA29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7128" w:type="dxa"/>
          </w:tcPr>
          <w:p w:rsidR="00222C58" w:rsidRDefault="00FA242F" w:rsidP="00FA242F">
            <w:r>
              <w:t xml:space="preserve">When submitting the application online, the system would not allow me to </w:t>
            </w:r>
            <w:r w:rsidRPr="00FA242F">
              <w:t>upload</w:t>
            </w:r>
            <w:r>
              <w:t xml:space="preserve"> both my CV and PH</w:t>
            </w:r>
            <w:r w:rsidRPr="00FA242F">
              <w:t>11</w:t>
            </w:r>
            <w:r>
              <w:t xml:space="preserve"> form</w:t>
            </w:r>
            <w:r w:rsidRPr="00FA242F">
              <w:t>.</w:t>
            </w:r>
            <w:r>
              <w:t xml:space="preserve"> Please advise.</w:t>
            </w:r>
          </w:p>
          <w:p w:rsidR="00B937F2" w:rsidRDefault="00B937F2" w:rsidP="00FA242F"/>
        </w:tc>
      </w:tr>
      <w:tr w:rsidR="00222C58" w:rsidTr="002C001E">
        <w:tc>
          <w:tcPr>
            <w:tcW w:w="1188" w:type="dxa"/>
            <w:vMerge/>
          </w:tcPr>
          <w:p w:rsidR="00222C58" w:rsidRDefault="00222C58" w:rsidP="00AA0AE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222C58" w:rsidRDefault="00222C58" w:rsidP="00EA29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7128" w:type="dxa"/>
          </w:tcPr>
          <w:p w:rsidR="00222C58" w:rsidRDefault="00B937F2" w:rsidP="00B937F2">
            <w:r w:rsidRPr="00B937F2">
              <w:t>A</w:t>
            </w:r>
            <w:r w:rsidRPr="00B937F2">
              <w:t xml:space="preserve">pplicants are </w:t>
            </w:r>
            <w:r>
              <w:t xml:space="preserve">only </w:t>
            </w:r>
            <w:r w:rsidRPr="00B937F2">
              <w:t>allowed to upload one file</w:t>
            </w:r>
            <w:r>
              <w:t xml:space="preserve"> on the application</w:t>
            </w:r>
            <w:r w:rsidRPr="00B937F2">
              <w:t>.  Therefore, the CV and PH11 form would need to be PDF’ed together into one document. Once the first page is completed</w:t>
            </w:r>
            <w:r>
              <w:t>,</w:t>
            </w:r>
            <w:r w:rsidRPr="00B937F2">
              <w:t xml:space="preserve"> the system take</w:t>
            </w:r>
            <w:r>
              <w:t>s</w:t>
            </w:r>
            <w:r w:rsidRPr="00B937F2">
              <w:t xml:space="preserve"> applicants to the second page for uploading this one document.  </w:t>
            </w:r>
            <w:r>
              <w:t xml:space="preserve">It is necessary to </w:t>
            </w:r>
            <w:r w:rsidRPr="00B937F2">
              <w:t xml:space="preserve">upload </w:t>
            </w:r>
            <w:r>
              <w:t>the</w:t>
            </w:r>
            <w:r w:rsidRPr="00B937F2">
              <w:t xml:space="preserve"> CV and PH 11 form as one file. </w:t>
            </w:r>
          </w:p>
          <w:p w:rsidR="00B937F2" w:rsidRDefault="00B937F2" w:rsidP="00B937F2">
            <w:bookmarkStart w:id="0" w:name="_GoBack"/>
            <w:bookmarkEnd w:id="0"/>
          </w:p>
        </w:tc>
      </w:tr>
    </w:tbl>
    <w:p w:rsidR="00E75B6D" w:rsidRDefault="00E75B6D" w:rsidP="00AA0AEA">
      <w:pPr>
        <w:pStyle w:val="NoSpacing"/>
        <w:rPr>
          <w:rFonts w:ascii="Arial" w:hAnsi="Arial" w:cs="Arial"/>
        </w:rPr>
      </w:pPr>
    </w:p>
    <w:p w:rsidR="00AA0AEA" w:rsidRPr="00AA0AEA" w:rsidRDefault="00AA0AEA">
      <w:pPr>
        <w:pStyle w:val="NoSpacing"/>
        <w:rPr>
          <w:bCs/>
          <w:sz w:val="24"/>
        </w:rPr>
      </w:pPr>
    </w:p>
    <w:sectPr w:rsidR="00AA0AEA" w:rsidRPr="00AA0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EA"/>
    <w:rsid w:val="00222C58"/>
    <w:rsid w:val="002B5064"/>
    <w:rsid w:val="002C001E"/>
    <w:rsid w:val="004D22E5"/>
    <w:rsid w:val="004F01ED"/>
    <w:rsid w:val="006321D6"/>
    <w:rsid w:val="00AA0AEA"/>
    <w:rsid w:val="00B722A3"/>
    <w:rsid w:val="00B937F2"/>
    <w:rsid w:val="00E75B6D"/>
    <w:rsid w:val="00FA242F"/>
    <w:rsid w:val="00FA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0AEA"/>
    <w:rPr>
      <w:b/>
      <w:bCs/>
    </w:rPr>
  </w:style>
  <w:style w:type="paragraph" w:styleId="NoSpacing">
    <w:name w:val="No Spacing"/>
    <w:uiPriority w:val="1"/>
    <w:qFormat/>
    <w:rsid w:val="00AA0AEA"/>
    <w:pPr>
      <w:spacing w:after="0" w:line="240" w:lineRule="auto"/>
    </w:pPr>
  </w:style>
  <w:style w:type="paragraph" w:customStyle="1" w:styleId="Default">
    <w:name w:val="Default"/>
    <w:rsid w:val="00AA0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7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01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0AEA"/>
    <w:rPr>
      <w:b/>
      <w:bCs/>
    </w:rPr>
  </w:style>
  <w:style w:type="paragraph" w:styleId="NoSpacing">
    <w:name w:val="No Spacing"/>
    <w:uiPriority w:val="1"/>
    <w:qFormat/>
    <w:rsid w:val="00AA0AEA"/>
    <w:pPr>
      <w:spacing w:after="0" w:line="240" w:lineRule="auto"/>
    </w:pPr>
  </w:style>
  <w:style w:type="paragraph" w:customStyle="1" w:styleId="Default">
    <w:name w:val="Default"/>
    <w:rsid w:val="00AA0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7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01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Eggerts</dc:creator>
  <cp:lastModifiedBy>Elizabeth Eggerts</cp:lastModifiedBy>
  <cp:revision>5</cp:revision>
  <dcterms:created xsi:type="dcterms:W3CDTF">2013-01-23T19:17:00Z</dcterms:created>
  <dcterms:modified xsi:type="dcterms:W3CDTF">2013-01-24T23:29:00Z</dcterms:modified>
</cp:coreProperties>
</file>