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7A" w:rsidRPr="00E933A8" w:rsidRDefault="0071717A" w:rsidP="0071717A">
      <w:pPr>
        <w:jc w:val="right"/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>Annex 2</w:t>
      </w:r>
    </w:p>
    <w:p w:rsidR="0071717A" w:rsidRPr="00E933A8" w:rsidRDefault="0071717A" w:rsidP="0071717A">
      <w:pPr>
        <w:rPr>
          <w:rFonts w:ascii="Calibri" w:hAnsi="Calibri" w:cs="Calibri"/>
          <w:sz w:val="22"/>
          <w:szCs w:val="22"/>
        </w:rPr>
      </w:pPr>
    </w:p>
    <w:p w:rsidR="0071717A" w:rsidRPr="00E933A8" w:rsidRDefault="0071717A" w:rsidP="0071717A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71717A" w:rsidRPr="00E933A8" w:rsidRDefault="0071717A" w:rsidP="0071717A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71717A" w:rsidRDefault="0071717A" w:rsidP="0071717A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</w:t>
      </w:r>
      <w:r w:rsidRPr="00830929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</w:rPr>
        <w:t xml:space="preserve">RFQ </w:t>
      </w:r>
      <w:r w:rsidRPr="00830929">
        <w:rPr>
          <w:rFonts w:ascii="Calibri" w:hAnsi="Calibri" w:cs="Calibri"/>
          <w:b/>
          <w:snapToGrid w:val="0"/>
          <w:sz w:val="22"/>
          <w:szCs w:val="22"/>
        </w:rPr>
        <w:t>0</w:t>
      </w:r>
      <w:r>
        <w:rPr>
          <w:rFonts w:ascii="Calibri" w:hAnsi="Calibri" w:cs="Calibri"/>
          <w:b/>
          <w:snapToGrid w:val="0"/>
          <w:sz w:val="22"/>
          <w:szCs w:val="22"/>
        </w:rPr>
        <w:t>57</w:t>
      </w:r>
      <w:r w:rsidRPr="00830929">
        <w:rPr>
          <w:rFonts w:ascii="Calibri" w:hAnsi="Calibri" w:cs="Calibri"/>
          <w:b/>
          <w:snapToGrid w:val="0"/>
          <w:sz w:val="22"/>
          <w:szCs w:val="22"/>
        </w:rPr>
        <w:t>/1</w:t>
      </w:r>
      <w:r>
        <w:rPr>
          <w:rFonts w:ascii="Calibri" w:hAnsi="Calibri" w:cs="Calibri"/>
          <w:b/>
          <w:snapToGrid w:val="0"/>
          <w:sz w:val="22"/>
          <w:szCs w:val="22"/>
        </w:rPr>
        <w:t>8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:rsidR="0071717A" w:rsidRDefault="0071717A" w:rsidP="0071717A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71717A" w:rsidRDefault="0071717A" w:rsidP="0071717A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:rsidR="0071717A" w:rsidRPr="004F6969" w:rsidRDefault="0071717A" w:rsidP="0071717A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99"/>
        <w:gridCol w:w="2790"/>
        <w:gridCol w:w="1290"/>
        <w:gridCol w:w="1134"/>
        <w:gridCol w:w="1275"/>
      </w:tblGrid>
      <w:tr w:rsidR="0071717A" w:rsidRPr="00E933A8" w:rsidTr="0094527F">
        <w:tc>
          <w:tcPr>
            <w:tcW w:w="738" w:type="dxa"/>
          </w:tcPr>
          <w:p w:rsidR="0071717A" w:rsidRPr="00E933A8" w:rsidRDefault="0071717A" w:rsidP="009452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717A" w:rsidRPr="00E933A8" w:rsidRDefault="0071717A" w:rsidP="0094527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2299" w:type="dxa"/>
          </w:tcPr>
          <w:p w:rsidR="0071717A" w:rsidRPr="00E933A8" w:rsidRDefault="0071717A" w:rsidP="0094527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717A" w:rsidRPr="00397FC9" w:rsidRDefault="0071717A" w:rsidP="0094527F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as per </w:t>
            </w:r>
            <w:r w:rsidRPr="00397FC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Annex 1</w:t>
            </w:r>
          </w:p>
          <w:p w:rsidR="0071717A" w:rsidRPr="00E933A8" w:rsidRDefault="0071717A" w:rsidP="0094527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90" w:type="dxa"/>
          </w:tcPr>
          <w:p w:rsidR="0071717A" w:rsidRPr="00E933A8" w:rsidRDefault="0071717A" w:rsidP="0094527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717A" w:rsidRPr="00E933A8" w:rsidRDefault="0071717A" w:rsidP="0094527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290" w:type="dxa"/>
          </w:tcPr>
          <w:p w:rsidR="0071717A" w:rsidRPr="00E933A8" w:rsidRDefault="0071717A" w:rsidP="0094527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717A" w:rsidRPr="00A016FB" w:rsidRDefault="0071717A" w:rsidP="009452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16FB">
              <w:rPr>
                <w:rFonts w:ascii="Calibri" w:hAnsi="Calibri" w:cs="Calibri"/>
                <w:b/>
                <w:sz w:val="18"/>
                <w:szCs w:val="18"/>
              </w:rPr>
              <w:t>Unit Price /</w:t>
            </w:r>
            <w:r w:rsidRPr="00DB4AF1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currency</w:t>
            </w:r>
            <w:r w:rsidRPr="00A016FB">
              <w:rPr>
                <w:rFonts w:ascii="Calibri" w:hAnsi="Calibri" w:cs="Calibri"/>
                <w:b/>
                <w:sz w:val="18"/>
                <w:szCs w:val="18"/>
              </w:rPr>
              <w:t>/</w:t>
            </w:r>
          </w:p>
        </w:tc>
        <w:tc>
          <w:tcPr>
            <w:tcW w:w="1275" w:type="dxa"/>
          </w:tcPr>
          <w:p w:rsidR="0071717A" w:rsidRPr="00E933A8" w:rsidRDefault="0071717A" w:rsidP="0094527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717A" w:rsidRDefault="0071717A" w:rsidP="0094527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  <w:p w:rsidR="0071717A" w:rsidRPr="00A016FB" w:rsidRDefault="0071717A" w:rsidP="009452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16FB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B4AF1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currency </w:t>
            </w:r>
            <w:r w:rsidRPr="00A016FB">
              <w:rPr>
                <w:rFonts w:ascii="Calibri" w:hAnsi="Calibri" w:cs="Calibri"/>
                <w:b/>
                <w:sz w:val="18"/>
                <w:szCs w:val="18"/>
              </w:rPr>
              <w:t>/</w:t>
            </w:r>
          </w:p>
        </w:tc>
      </w:tr>
      <w:tr w:rsidR="0071717A" w:rsidRPr="00E933A8" w:rsidTr="0094527F">
        <w:trPr>
          <w:trHeight w:val="440"/>
        </w:trPr>
        <w:tc>
          <w:tcPr>
            <w:tcW w:w="738" w:type="dxa"/>
          </w:tcPr>
          <w:p w:rsidR="0071717A" w:rsidRPr="00397FC9" w:rsidRDefault="0071717A" w:rsidP="0094527F">
            <w:r w:rsidRPr="00397FC9">
              <w:t>1</w:t>
            </w:r>
          </w:p>
        </w:tc>
        <w:tc>
          <w:tcPr>
            <w:tcW w:w="2299" w:type="dxa"/>
          </w:tcPr>
          <w:p w:rsidR="0071717A" w:rsidRPr="00397FC9" w:rsidRDefault="0071717A" w:rsidP="0094527F">
            <w:r w:rsidRPr="00397FC9">
              <w:t>Manual crusher/</w:t>
            </w:r>
            <w:proofErr w:type="spellStart"/>
            <w:r w:rsidRPr="00397FC9">
              <w:t>destemmer</w:t>
            </w:r>
            <w:proofErr w:type="spellEnd"/>
          </w:p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>
              <w:t xml:space="preserve">1 </w:t>
            </w:r>
            <w:r w:rsidRPr="00397FC9">
              <w:t xml:space="preserve">in </w:t>
            </w:r>
            <w:proofErr w:type="spellStart"/>
            <w:r w:rsidRPr="00397FC9">
              <w:t>Verin</w:t>
            </w:r>
            <w:proofErr w:type="spellEnd"/>
            <w:r w:rsidRPr="00397FC9">
              <w:t xml:space="preserve"> </w:t>
            </w:r>
            <w:proofErr w:type="spellStart"/>
            <w:r w:rsidRPr="00397FC9">
              <w:t>Karmiraghbyur</w:t>
            </w:r>
            <w:proofErr w:type="spellEnd"/>
            <w:r>
              <w:t>)</w:t>
            </w:r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rPr>
          <w:trHeight w:val="440"/>
        </w:trPr>
        <w:tc>
          <w:tcPr>
            <w:tcW w:w="738" w:type="dxa"/>
          </w:tcPr>
          <w:p w:rsidR="0071717A" w:rsidRPr="00397FC9" w:rsidRDefault="0071717A" w:rsidP="0094527F">
            <w:r w:rsidRPr="00397FC9">
              <w:t>2</w:t>
            </w:r>
          </w:p>
        </w:tc>
        <w:tc>
          <w:tcPr>
            <w:tcW w:w="2299" w:type="dxa"/>
          </w:tcPr>
          <w:p w:rsidR="0071717A" w:rsidRPr="00397FC9" w:rsidRDefault="0071717A" w:rsidP="0094527F">
            <w:r w:rsidRPr="00397FC9">
              <w:t xml:space="preserve">Centrifugal </w:t>
            </w:r>
            <w:proofErr w:type="spellStart"/>
            <w:r w:rsidRPr="00397FC9">
              <w:t>destemmer</w:t>
            </w:r>
            <w:proofErr w:type="spellEnd"/>
            <w:r w:rsidRPr="00397FC9">
              <w:t xml:space="preserve"> with mash pump </w:t>
            </w:r>
          </w:p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>
              <w:t>3 (</w:t>
            </w:r>
            <w:r w:rsidRPr="00397FC9">
              <w:t xml:space="preserve">1 in </w:t>
            </w:r>
            <w:proofErr w:type="spellStart"/>
            <w:r w:rsidRPr="00397FC9">
              <w:t>Achajur</w:t>
            </w:r>
            <w:proofErr w:type="spellEnd"/>
            <w:r w:rsidRPr="00397FC9">
              <w:t xml:space="preserve">, 2 in </w:t>
            </w:r>
            <w:proofErr w:type="spellStart"/>
            <w:r w:rsidRPr="00397FC9">
              <w:t>Mosesgegh</w:t>
            </w:r>
            <w:proofErr w:type="spellEnd"/>
            <w:r>
              <w:t>)</w:t>
            </w:r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  <w:highlight w:val="yellow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rPr>
          <w:trHeight w:val="440"/>
        </w:trPr>
        <w:tc>
          <w:tcPr>
            <w:tcW w:w="738" w:type="dxa"/>
          </w:tcPr>
          <w:p w:rsidR="0071717A" w:rsidRPr="00397FC9" w:rsidRDefault="0071717A" w:rsidP="0094527F">
            <w:r w:rsidRPr="00397FC9">
              <w:t>3</w:t>
            </w:r>
          </w:p>
        </w:tc>
        <w:tc>
          <w:tcPr>
            <w:tcW w:w="2299" w:type="dxa"/>
          </w:tcPr>
          <w:p w:rsidR="0071717A" w:rsidRPr="00397FC9" w:rsidRDefault="0071717A" w:rsidP="0094527F">
            <w:r w:rsidRPr="00397FC9">
              <w:t xml:space="preserve">Centrifugal </w:t>
            </w:r>
            <w:proofErr w:type="spellStart"/>
            <w:r w:rsidRPr="00397FC9">
              <w:t>destemmer</w:t>
            </w:r>
            <w:proofErr w:type="spellEnd"/>
            <w:r w:rsidRPr="00397FC9">
              <w:t xml:space="preserve"> with mash pump </w:t>
            </w:r>
          </w:p>
          <w:p w:rsidR="0071717A" w:rsidRPr="00397FC9" w:rsidRDefault="0071717A" w:rsidP="0094527F"/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>
              <w:t>4 (</w:t>
            </w:r>
            <w:r w:rsidRPr="00397FC9">
              <w:t xml:space="preserve">2 in </w:t>
            </w:r>
            <w:proofErr w:type="spellStart"/>
            <w:r w:rsidRPr="00397FC9">
              <w:t>Aygehovit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Verin</w:t>
            </w:r>
            <w:proofErr w:type="spellEnd"/>
            <w:r w:rsidRPr="00397FC9">
              <w:t xml:space="preserve"> </w:t>
            </w:r>
            <w:proofErr w:type="spellStart"/>
            <w:r w:rsidRPr="00397FC9">
              <w:t>karmiraghbyur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Choratan</w:t>
            </w:r>
            <w:proofErr w:type="spellEnd"/>
            <w:r>
              <w:t>)</w:t>
            </w:r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  <w:highlight w:val="yellow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rPr>
          <w:trHeight w:val="440"/>
        </w:trPr>
        <w:tc>
          <w:tcPr>
            <w:tcW w:w="738" w:type="dxa"/>
          </w:tcPr>
          <w:p w:rsidR="0071717A" w:rsidRPr="00397FC9" w:rsidRDefault="0071717A" w:rsidP="0094527F">
            <w:r w:rsidRPr="00397FC9">
              <w:t>4</w:t>
            </w:r>
          </w:p>
        </w:tc>
        <w:tc>
          <w:tcPr>
            <w:tcW w:w="2299" w:type="dxa"/>
          </w:tcPr>
          <w:p w:rsidR="0071717A" w:rsidRPr="00397FC9" w:rsidRDefault="0071717A" w:rsidP="0094527F">
            <w:r w:rsidRPr="00397FC9">
              <w:t>Rubber tube with spring, 10 m</w:t>
            </w:r>
          </w:p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>
              <w:t>7 (</w:t>
            </w:r>
            <w:r w:rsidRPr="00397FC9">
              <w:t xml:space="preserve">1 in </w:t>
            </w:r>
            <w:proofErr w:type="spellStart"/>
            <w:r w:rsidRPr="00397FC9">
              <w:t>Achajur</w:t>
            </w:r>
            <w:proofErr w:type="spellEnd"/>
            <w:r w:rsidRPr="00397FC9">
              <w:t xml:space="preserve">, 2 in </w:t>
            </w:r>
            <w:proofErr w:type="spellStart"/>
            <w:r w:rsidRPr="00397FC9">
              <w:t>Aygehovit</w:t>
            </w:r>
            <w:proofErr w:type="spellEnd"/>
            <w:r w:rsidRPr="00397FC9">
              <w:t xml:space="preserve">, 2 in </w:t>
            </w:r>
            <w:proofErr w:type="spellStart"/>
            <w:r w:rsidRPr="00397FC9">
              <w:t>Mosesgegh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Verin</w:t>
            </w:r>
            <w:proofErr w:type="spellEnd"/>
            <w:r w:rsidRPr="00397FC9">
              <w:t xml:space="preserve"> </w:t>
            </w:r>
            <w:proofErr w:type="spellStart"/>
            <w:r w:rsidRPr="00397FC9">
              <w:t>Karmiraghbyur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Choratan</w:t>
            </w:r>
            <w:proofErr w:type="spellEnd"/>
            <w:r>
              <w:t>)</w:t>
            </w:r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  <w:highlight w:val="yellow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rPr>
          <w:trHeight w:val="440"/>
        </w:trPr>
        <w:tc>
          <w:tcPr>
            <w:tcW w:w="738" w:type="dxa"/>
          </w:tcPr>
          <w:p w:rsidR="0071717A" w:rsidRPr="00397FC9" w:rsidRDefault="0071717A" w:rsidP="0094527F">
            <w:r w:rsidRPr="00397FC9">
              <w:t>5</w:t>
            </w:r>
          </w:p>
        </w:tc>
        <w:tc>
          <w:tcPr>
            <w:tcW w:w="2299" w:type="dxa"/>
          </w:tcPr>
          <w:p w:rsidR="0071717A" w:rsidRPr="00397FC9" w:rsidRDefault="0071717A" w:rsidP="0094527F">
            <w:r w:rsidRPr="00397FC9">
              <w:t xml:space="preserve">Wood Basket Press </w:t>
            </w:r>
          </w:p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>
              <w:t>6 (</w:t>
            </w:r>
            <w:r w:rsidRPr="00397FC9">
              <w:t xml:space="preserve">2 in </w:t>
            </w:r>
            <w:proofErr w:type="spellStart"/>
            <w:r w:rsidRPr="00397FC9">
              <w:t>Aygehovit</w:t>
            </w:r>
            <w:proofErr w:type="spellEnd"/>
            <w:r w:rsidRPr="00397FC9">
              <w:t xml:space="preserve">, 2 in </w:t>
            </w:r>
            <w:proofErr w:type="spellStart"/>
            <w:r w:rsidRPr="00397FC9">
              <w:t>Mosesgegh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Verin</w:t>
            </w:r>
            <w:proofErr w:type="spellEnd"/>
            <w:r w:rsidRPr="00397FC9">
              <w:t xml:space="preserve"> </w:t>
            </w:r>
            <w:proofErr w:type="spellStart"/>
            <w:r w:rsidRPr="00397FC9">
              <w:t>Karmiraghbyur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Choratan</w:t>
            </w:r>
            <w:proofErr w:type="spellEnd"/>
            <w:r>
              <w:t>)</w:t>
            </w:r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  <w:highlight w:val="yellow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rPr>
          <w:trHeight w:val="440"/>
        </w:trPr>
        <w:tc>
          <w:tcPr>
            <w:tcW w:w="738" w:type="dxa"/>
          </w:tcPr>
          <w:p w:rsidR="0071717A" w:rsidRPr="00397FC9" w:rsidRDefault="0071717A" w:rsidP="0094527F">
            <w:r w:rsidRPr="00397FC9">
              <w:t>6</w:t>
            </w:r>
          </w:p>
        </w:tc>
        <w:tc>
          <w:tcPr>
            <w:tcW w:w="2299" w:type="dxa"/>
          </w:tcPr>
          <w:p w:rsidR="0071717A" w:rsidRPr="00397FC9" w:rsidRDefault="0071717A" w:rsidP="0094527F">
            <w:r w:rsidRPr="00397FC9">
              <w:t>Stainless variable</w:t>
            </w:r>
            <w:r>
              <w:t xml:space="preserve"> volume tank with floating lid (230-250 l.)</w:t>
            </w:r>
          </w:p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 w:rsidRPr="002B48E1">
              <w:t xml:space="preserve">1 in </w:t>
            </w:r>
            <w:proofErr w:type="spellStart"/>
            <w:r w:rsidRPr="002B48E1">
              <w:t>Mosesgegh</w:t>
            </w:r>
            <w:proofErr w:type="spellEnd"/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  <w:highlight w:val="yellow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397FC9" w:rsidRDefault="0071717A" w:rsidP="0094527F">
            <w:r w:rsidRPr="00397FC9">
              <w:t>7</w:t>
            </w:r>
          </w:p>
        </w:tc>
        <w:tc>
          <w:tcPr>
            <w:tcW w:w="2299" w:type="dxa"/>
          </w:tcPr>
          <w:p w:rsidR="0071717A" w:rsidRPr="00397FC9" w:rsidRDefault="0071717A" w:rsidP="0094527F">
            <w:r w:rsidRPr="00397FC9">
              <w:t>Stainless variable volume tank with floating lid</w:t>
            </w:r>
            <w:r>
              <w:t xml:space="preserve"> (530-550 l.)</w:t>
            </w:r>
            <w:r w:rsidRPr="00397FC9">
              <w:t xml:space="preserve"> </w:t>
            </w:r>
          </w:p>
          <w:p w:rsidR="0071717A" w:rsidRPr="00397FC9" w:rsidRDefault="0071717A" w:rsidP="0094527F"/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>
              <w:t>7 (</w:t>
            </w:r>
            <w:r w:rsidRPr="00397FC9">
              <w:t xml:space="preserve">1 in </w:t>
            </w:r>
            <w:proofErr w:type="spellStart"/>
            <w:r w:rsidRPr="00397FC9">
              <w:t>Achajur</w:t>
            </w:r>
            <w:proofErr w:type="spellEnd"/>
            <w:r w:rsidRPr="00397FC9">
              <w:t xml:space="preserve">, 3 in </w:t>
            </w:r>
            <w:proofErr w:type="spellStart"/>
            <w:r w:rsidRPr="00397FC9">
              <w:t>Aygehovit</w:t>
            </w:r>
            <w:proofErr w:type="spellEnd"/>
            <w:r w:rsidRPr="00397FC9">
              <w:t xml:space="preserve">, 2 in </w:t>
            </w:r>
            <w:proofErr w:type="spellStart"/>
            <w:r w:rsidRPr="00397FC9">
              <w:t>Mosesgegh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Verin</w:t>
            </w:r>
            <w:proofErr w:type="spellEnd"/>
            <w:r w:rsidRPr="00397FC9">
              <w:t xml:space="preserve"> </w:t>
            </w:r>
            <w:proofErr w:type="spellStart"/>
            <w:r w:rsidRPr="00397FC9">
              <w:t>Karmiraghbyur</w:t>
            </w:r>
            <w:proofErr w:type="spellEnd"/>
            <w:r>
              <w:t>)</w:t>
            </w:r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397FC9" w:rsidRDefault="0071717A" w:rsidP="0094527F">
            <w:r w:rsidRPr="00397FC9">
              <w:t>8</w:t>
            </w:r>
          </w:p>
        </w:tc>
        <w:tc>
          <w:tcPr>
            <w:tcW w:w="2299" w:type="dxa"/>
          </w:tcPr>
          <w:p w:rsidR="0071717A" w:rsidRPr="00397FC9" w:rsidRDefault="0071717A" w:rsidP="0094527F">
            <w:r w:rsidRPr="00397FC9">
              <w:t xml:space="preserve">Stainless variable volume tank with floating lid </w:t>
            </w:r>
            <w:r>
              <w:t>(1000-1100 l.)</w:t>
            </w:r>
          </w:p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>
              <w:t>4 (</w:t>
            </w:r>
            <w:r w:rsidRPr="00397FC9">
              <w:t xml:space="preserve">1 in </w:t>
            </w:r>
            <w:proofErr w:type="spellStart"/>
            <w:r w:rsidRPr="00397FC9">
              <w:t>Mosesgegh</w:t>
            </w:r>
            <w:proofErr w:type="spellEnd"/>
            <w:r w:rsidRPr="00397FC9">
              <w:t xml:space="preserve">, 2 in </w:t>
            </w:r>
            <w:proofErr w:type="spellStart"/>
            <w:r w:rsidRPr="00397FC9">
              <w:t>Verin</w:t>
            </w:r>
            <w:proofErr w:type="spellEnd"/>
            <w:r w:rsidRPr="00397FC9">
              <w:t xml:space="preserve"> </w:t>
            </w:r>
            <w:proofErr w:type="spellStart"/>
            <w:r w:rsidRPr="00397FC9">
              <w:t>Karmiraghbyur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Choratan</w:t>
            </w:r>
            <w:proofErr w:type="spellEnd"/>
            <w:r>
              <w:t>)</w:t>
            </w:r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397FC9" w:rsidRDefault="0071717A" w:rsidP="0094527F">
            <w:r w:rsidRPr="00397FC9">
              <w:t>9</w:t>
            </w:r>
          </w:p>
        </w:tc>
        <w:tc>
          <w:tcPr>
            <w:tcW w:w="2299" w:type="dxa"/>
          </w:tcPr>
          <w:p w:rsidR="0071717A" w:rsidRPr="00397FC9" w:rsidRDefault="0071717A" w:rsidP="0094527F">
            <w:pPr>
              <w:rPr>
                <w:b/>
              </w:rPr>
            </w:pPr>
            <w:r w:rsidRPr="00397FC9">
              <w:t>Wine plate filter</w:t>
            </w:r>
          </w:p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>
              <w:t>6 (</w:t>
            </w:r>
            <w:r w:rsidRPr="00397FC9">
              <w:t xml:space="preserve">2 in </w:t>
            </w:r>
            <w:proofErr w:type="spellStart"/>
            <w:r w:rsidRPr="00397FC9">
              <w:t>Aygehovit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Mosesgegh</w:t>
            </w:r>
            <w:proofErr w:type="spellEnd"/>
            <w:r w:rsidRPr="00397FC9">
              <w:t xml:space="preserve">, 2 in </w:t>
            </w:r>
            <w:proofErr w:type="spellStart"/>
            <w:r w:rsidRPr="00397FC9">
              <w:t>Verin</w:t>
            </w:r>
            <w:proofErr w:type="spellEnd"/>
            <w:r w:rsidRPr="00397FC9">
              <w:t xml:space="preserve"> </w:t>
            </w:r>
            <w:proofErr w:type="spellStart"/>
            <w:r w:rsidRPr="00397FC9">
              <w:t>Karmiraghbyur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Choratan</w:t>
            </w:r>
            <w:proofErr w:type="spellEnd"/>
            <w:r>
              <w:t>)</w:t>
            </w:r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397FC9" w:rsidRDefault="0071717A" w:rsidP="0094527F">
            <w:r w:rsidRPr="00397FC9">
              <w:t>10</w:t>
            </w:r>
          </w:p>
        </w:tc>
        <w:tc>
          <w:tcPr>
            <w:tcW w:w="2299" w:type="dxa"/>
          </w:tcPr>
          <w:p w:rsidR="0071717A" w:rsidRPr="00397FC9" w:rsidRDefault="0071717A" w:rsidP="0094527F">
            <w:pPr>
              <w:rPr>
                <w:b/>
              </w:rPr>
            </w:pPr>
            <w:r w:rsidRPr="00397FC9">
              <w:t>Cooling Plate</w:t>
            </w:r>
          </w:p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>
              <w:t>3 (</w:t>
            </w:r>
            <w:r w:rsidRPr="00397FC9">
              <w:t xml:space="preserve">1 in </w:t>
            </w:r>
            <w:proofErr w:type="spellStart"/>
            <w:r w:rsidRPr="00397FC9">
              <w:t>Achajur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Aygehovit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Choratan</w:t>
            </w:r>
            <w:proofErr w:type="spellEnd"/>
            <w:r>
              <w:t>)</w:t>
            </w:r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397FC9" w:rsidRDefault="0071717A" w:rsidP="0094527F">
            <w:r w:rsidRPr="00397FC9">
              <w:t>11</w:t>
            </w:r>
          </w:p>
        </w:tc>
        <w:tc>
          <w:tcPr>
            <w:tcW w:w="2299" w:type="dxa"/>
          </w:tcPr>
          <w:p w:rsidR="0071717A" w:rsidRPr="00397FC9" w:rsidRDefault="0071717A" w:rsidP="0094527F">
            <w:pPr>
              <w:rPr>
                <w:b/>
              </w:rPr>
            </w:pPr>
            <w:r w:rsidRPr="00397FC9">
              <w:t>Wine corker, manual</w:t>
            </w:r>
          </w:p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>
              <w:t>7 (</w:t>
            </w:r>
            <w:r w:rsidRPr="00397FC9">
              <w:t xml:space="preserve">1 in </w:t>
            </w:r>
            <w:proofErr w:type="spellStart"/>
            <w:r w:rsidRPr="00397FC9">
              <w:t>Achajur</w:t>
            </w:r>
            <w:proofErr w:type="spellEnd"/>
            <w:r w:rsidRPr="00397FC9">
              <w:t xml:space="preserve">, 2 in </w:t>
            </w:r>
            <w:proofErr w:type="spellStart"/>
            <w:r w:rsidRPr="00397FC9">
              <w:t>Aygehovit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Mosesgegh</w:t>
            </w:r>
            <w:proofErr w:type="spellEnd"/>
            <w:r w:rsidRPr="00397FC9">
              <w:t xml:space="preserve">, 2 in </w:t>
            </w:r>
            <w:proofErr w:type="spellStart"/>
            <w:r w:rsidRPr="00397FC9">
              <w:t>Verin</w:t>
            </w:r>
            <w:proofErr w:type="spellEnd"/>
            <w:r w:rsidRPr="00397FC9">
              <w:t xml:space="preserve"> </w:t>
            </w:r>
            <w:proofErr w:type="spellStart"/>
            <w:r w:rsidRPr="00397FC9">
              <w:t>Karmiraghbyur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Choratan</w:t>
            </w:r>
            <w:proofErr w:type="spellEnd"/>
            <w:r>
              <w:t>)</w:t>
            </w:r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397FC9" w:rsidRDefault="0071717A" w:rsidP="0094527F">
            <w:r w:rsidRPr="00397FC9">
              <w:t>12</w:t>
            </w:r>
          </w:p>
        </w:tc>
        <w:tc>
          <w:tcPr>
            <w:tcW w:w="2299" w:type="dxa"/>
          </w:tcPr>
          <w:p w:rsidR="0071717A" w:rsidRPr="00397FC9" w:rsidRDefault="0071717A" w:rsidP="0094527F">
            <w:pPr>
              <w:rPr>
                <w:b/>
              </w:rPr>
            </w:pPr>
            <w:r w:rsidRPr="00397FC9">
              <w:t>Refractometer ATC 3 Scales</w:t>
            </w:r>
          </w:p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>
              <w:t>3 (</w:t>
            </w:r>
            <w:r w:rsidRPr="00397FC9">
              <w:t xml:space="preserve">2 in </w:t>
            </w:r>
            <w:proofErr w:type="spellStart"/>
            <w:r w:rsidRPr="00397FC9">
              <w:t>Aygehovit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Choratan</w:t>
            </w:r>
            <w:proofErr w:type="spellEnd"/>
            <w:r>
              <w:t>)</w:t>
            </w:r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397FC9" w:rsidRDefault="0071717A" w:rsidP="0094527F">
            <w:r w:rsidRPr="00397FC9">
              <w:t>13</w:t>
            </w:r>
          </w:p>
        </w:tc>
        <w:tc>
          <w:tcPr>
            <w:tcW w:w="2299" w:type="dxa"/>
          </w:tcPr>
          <w:p w:rsidR="0071717A" w:rsidRPr="00397FC9" w:rsidRDefault="0071717A" w:rsidP="0094527F">
            <w:pPr>
              <w:rPr>
                <w:b/>
              </w:rPr>
            </w:pPr>
            <w:r w:rsidRPr="00397FC9">
              <w:t xml:space="preserve">Heat shrink gun </w:t>
            </w:r>
          </w:p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>
              <w:t>5 (</w:t>
            </w:r>
            <w:r w:rsidRPr="00397FC9">
              <w:t xml:space="preserve">2 in </w:t>
            </w:r>
            <w:proofErr w:type="spellStart"/>
            <w:r w:rsidRPr="00397FC9">
              <w:t>Aygehovit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Mosesgegh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Verin</w:t>
            </w:r>
            <w:proofErr w:type="spellEnd"/>
            <w:r w:rsidRPr="00397FC9">
              <w:t xml:space="preserve"> </w:t>
            </w:r>
            <w:proofErr w:type="spellStart"/>
            <w:r w:rsidRPr="00397FC9">
              <w:t>Karmiraghbyur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Choratan</w:t>
            </w:r>
            <w:proofErr w:type="spellEnd"/>
            <w:r>
              <w:t>)</w:t>
            </w:r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397FC9" w:rsidRDefault="0071717A" w:rsidP="0094527F">
            <w:r w:rsidRPr="00397FC9">
              <w:t>14</w:t>
            </w:r>
          </w:p>
        </w:tc>
        <w:tc>
          <w:tcPr>
            <w:tcW w:w="2299" w:type="dxa"/>
          </w:tcPr>
          <w:p w:rsidR="0071717A" w:rsidRPr="00397FC9" w:rsidRDefault="0071717A" w:rsidP="0094527F">
            <w:pPr>
              <w:rPr>
                <w:b/>
              </w:rPr>
            </w:pPr>
            <w:r w:rsidRPr="00397FC9">
              <w:t>Funnel</w:t>
            </w:r>
          </w:p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>
              <w:t>3 (</w:t>
            </w:r>
            <w:r w:rsidRPr="00397FC9">
              <w:t xml:space="preserve">1 in </w:t>
            </w:r>
            <w:proofErr w:type="spellStart"/>
            <w:r w:rsidRPr="00397FC9">
              <w:t>Aygehovit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Mosesgegh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Choratan</w:t>
            </w:r>
            <w:proofErr w:type="spellEnd"/>
            <w:r>
              <w:t>)</w:t>
            </w:r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397FC9" w:rsidRDefault="0071717A" w:rsidP="0094527F">
            <w:r w:rsidRPr="00397FC9">
              <w:lastRenderedPageBreak/>
              <w:t>15</w:t>
            </w:r>
          </w:p>
        </w:tc>
        <w:tc>
          <w:tcPr>
            <w:tcW w:w="2299" w:type="dxa"/>
          </w:tcPr>
          <w:p w:rsidR="0071717A" w:rsidRPr="00397FC9" w:rsidRDefault="0071717A" w:rsidP="0094527F">
            <w:pPr>
              <w:rPr>
                <w:b/>
              </w:rPr>
            </w:pPr>
            <w:r w:rsidRPr="00397FC9">
              <w:t>Bottling machine</w:t>
            </w:r>
          </w:p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 w:rsidRPr="00397FC9">
              <w:t xml:space="preserve">1 in </w:t>
            </w:r>
            <w:proofErr w:type="spellStart"/>
            <w:r w:rsidRPr="00397FC9">
              <w:t>Mosesgegh</w:t>
            </w:r>
            <w:proofErr w:type="spellEnd"/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397FC9" w:rsidRDefault="0071717A" w:rsidP="0094527F">
            <w:r w:rsidRPr="00397FC9">
              <w:t>16</w:t>
            </w:r>
          </w:p>
        </w:tc>
        <w:tc>
          <w:tcPr>
            <w:tcW w:w="2299" w:type="dxa"/>
          </w:tcPr>
          <w:p w:rsidR="0071717A" w:rsidRPr="00397FC9" w:rsidRDefault="0071717A" w:rsidP="0094527F">
            <w:r w:rsidRPr="00397FC9">
              <w:t>Measuring jug</w:t>
            </w:r>
          </w:p>
          <w:p w:rsidR="0071717A" w:rsidRPr="00397FC9" w:rsidRDefault="0071717A" w:rsidP="0094527F"/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 w:rsidRPr="00397FC9">
              <w:t xml:space="preserve">1 in </w:t>
            </w:r>
            <w:proofErr w:type="spellStart"/>
            <w:r w:rsidRPr="00397FC9">
              <w:t>Aygedzor</w:t>
            </w:r>
            <w:proofErr w:type="spellEnd"/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397FC9" w:rsidRDefault="0071717A" w:rsidP="0094527F">
            <w:r w:rsidRPr="00397FC9">
              <w:t>17</w:t>
            </w:r>
          </w:p>
        </w:tc>
        <w:tc>
          <w:tcPr>
            <w:tcW w:w="2299" w:type="dxa"/>
          </w:tcPr>
          <w:p w:rsidR="0071717A" w:rsidRPr="00397FC9" w:rsidRDefault="0071717A" w:rsidP="0094527F">
            <w:r w:rsidRPr="00397FC9">
              <w:rPr>
                <w:color w:val="000000"/>
              </w:rPr>
              <w:t>Self-filled pump</w:t>
            </w:r>
          </w:p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>
              <w:t>3 (</w:t>
            </w:r>
            <w:r w:rsidRPr="00397FC9">
              <w:t xml:space="preserve">1 in </w:t>
            </w:r>
            <w:proofErr w:type="spellStart"/>
            <w:r w:rsidRPr="00397FC9">
              <w:t>Achajur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Aygehovit</w:t>
            </w:r>
            <w:proofErr w:type="spellEnd"/>
            <w:r w:rsidRPr="00397FC9">
              <w:t xml:space="preserve">, 1 in </w:t>
            </w:r>
            <w:proofErr w:type="spellStart"/>
            <w:r w:rsidRPr="00397FC9">
              <w:t>Choratan</w:t>
            </w:r>
            <w:proofErr w:type="spellEnd"/>
            <w:r>
              <w:t>)</w:t>
            </w:r>
          </w:p>
        </w:tc>
        <w:tc>
          <w:tcPr>
            <w:tcW w:w="1290" w:type="dxa"/>
          </w:tcPr>
          <w:p w:rsidR="0071717A" w:rsidRPr="00397FC9" w:rsidRDefault="0071717A" w:rsidP="0094527F">
            <w:pPr>
              <w:rPr>
                <w:rFonts w:ascii="Calibri" w:hAnsi="Calibri" w:cs="Calibri"/>
              </w:rPr>
            </w:pPr>
            <w:r w:rsidRPr="00397FC9">
              <w:rPr>
                <w:rFonts w:ascii="Calibri" w:hAnsi="Calibri" w:cs="Calibri"/>
              </w:rPr>
              <w:t>45 days after PO issue</w:t>
            </w: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397FC9" w:rsidRDefault="0071717A" w:rsidP="0094527F">
            <w:r w:rsidRPr="00397FC9">
              <w:t>18</w:t>
            </w:r>
          </w:p>
        </w:tc>
        <w:tc>
          <w:tcPr>
            <w:tcW w:w="2299" w:type="dxa"/>
          </w:tcPr>
          <w:p w:rsidR="0071717A" w:rsidRPr="00397FC9" w:rsidRDefault="0071717A" w:rsidP="0094527F">
            <w:r w:rsidRPr="00397FC9">
              <w:rPr>
                <w:color w:val="000000"/>
              </w:rPr>
              <w:t>Sampling device</w:t>
            </w:r>
          </w:p>
        </w:tc>
        <w:tc>
          <w:tcPr>
            <w:tcW w:w="2790" w:type="dxa"/>
          </w:tcPr>
          <w:p w:rsidR="0071717A" w:rsidRPr="00397FC9" w:rsidRDefault="0071717A" w:rsidP="0094527F">
            <w:pPr>
              <w:jc w:val="center"/>
            </w:pPr>
            <w:r w:rsidRPr="00397FC9">
              <w:t xml:space="preserve">1 in </w:t>
            </w:r>
            <w:proofErr w:type="spellStart"/>
            <w:r w:rsidRPr="00397FC9">
              <w:t>Aygehovit</w:t>
            </w:r>
            <w:proofErr w:type="spellEnd"/>
          </w:p>
        </w:tc>
        <w:tc>
          <w:tcPr>
            <w:tcW w:w="1290" w:type="dxa"/>
          </w:tcPr>
          <w:p w:rsidR="0071717A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E933A8" w:rsidRDefault="0071717A" w:rsidP="009452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4"/>
          </w:tcPr>
          <w:p w:rsidR="0071717A" w:rsidRPr="00E933A8" w:rsidRDefault="0071717A" w:rsidP="009452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:rsidR="0071717A" w:rsidRPr="00F336F5" w:rsidRDefault="0071717A" w:rsidP="0094527F">
            <w:pPr>
              <w:rPr>
                <w:rFonts w:ascii="Calibri" w:hAnsi="Calibri" w:cs="Calibri"/>
              </w:rPr>
            </w:pPr>
            <w:r w:rsidRPr="00F336F5">
              <w:rPr>
                <w:rFonts w:ascii="Calibri" w:hAnsi="Calibri" w:cs="Calibri"/>
              </w:rPr>
              <w:t xml:space="preserve">  </w:t>
            </w:r>
            <w:proofErr w:type="gramStart"/>
            <w:r w:rsidRPr="00F336F5">
              <w:rPr>
                <w:rFonts w:ascii="Calibri" w:hAnsi="Calibri" w:cs="Calibri"/>
              </w:rPr>
              <w:t>Add :</w:t>
            </w:r>
            <w:proofErr w:type="gramEnd"/>
            <w:r w:rsidRPr="00F336F5">
              <w:rPr>
                <w:rFonts w:ascii="Calibri" w:hAnsi="Calibri" w:cs="Calibri"/>
              </w:rPr>
              <w:t xml:space="preserve"> Cost of Transportation </w:t>
            </w:r>
            <w:r>
              <w:rPr>
                <w:rFonts w:ascii="Calibri" w:hAnsi="Calibri" w:cs="Calibri"/>
              </w:rPr>
              <w:t>to 6 destinations</w:t>
            </w: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gridSpan w:val="4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gridSpan w:val="4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717A" w:rsidRPr="00E933A8" w:rsidTr="0094527F">
        <w:tc>
          <w:tcPr>
            <w:tcW w:w="738" w:type="dxa"/>
          </w:tcPr>
          <w:p w:rsidR="0071717A" w:rsidRPr="00E933A8" w:rsidRDefault="0071717A" w:rsidP="009452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4"/>
          </w:tcPr>
          <w:p w:rsidR="0071717A" w:rsidRPr="00E933A8" w:rsidRDefault="0071717A" w:rsidP="009452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</w:t>
            </w: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71717A" w:rsidRPr="00E933A8" w:rsidTr="0094527F">
        <w:trPr>
          <w:trHeight w:val="438"/>
        </w:trPr>
        <w:tc>
          <w:tcPr>
            <w:tcW w:w="738" w:type="dxa"/>
          </w:tcPr>
          <w:p w:rsidR="0071717A" w:rsidRPr="00E933A8" w:rsidRDefault="0071717A" w:rsidP="009452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4"/>
          </w:tcPr>
          <w:p w:rsidR="0071717A" w:rsidRPr="00E933A8" w:rsidRDefault="0071717A" w:rsidP="009452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 All-Inclusive Price Quotation</w:t>
            </w:r>
          </w:p>
        </w:tc>
        <w:tc>
          <w:tcPr>
            <w:tcW w:w="1275" w:type="dxa"/>
          </w:tcPr>
          <w:p w:rsidR="0071717A" w:rsidRPr="00E933A8" w:rsidRDefault="0071717A" w:rsidP="009452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1717A" w:rsidRDefault="0071717A" w:rsidP="0071717A">
      <w:pPr>
        <w:rPr>
          <w:rFonts w:ascii="Calibri" w:hAnsi="Calibri" w:cs="Calibri"/>
          <w:sz w:val="22"/>
          <w:szCs w:val="22"/>
        </w:rPr>
      </w:pPr>
    </w:p>
    <w:p w:rsidR="0071717A" w:rsidRPr="00E933A8" w:rsidRDefault="0071717A" w:rsidP="0071717A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Additional Requirements</w:t>
      </w:r>
    </w:p>
    <w:tbl>
      <w:tblPr>
        <w:tblW w:w="8678" w:type="dxa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1349"/>
        <w:gridCol w:w="1452"/>
        <w:gridCol w:w="1736"/>
      </w:tblGrid>
      <w:tr w:rsidR="0071717A" w:rsidTr="0094527F">
        <w:trPr>
          <w:trHeight w:hRule="exact" w:val="497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717A" w:rsidRPr="002F4483" w:rsidRDefault="0071717A" w:rsidP="0094527F">
            <w:pPr>
              <w:spacing w:before="1" w:line="240" w:lineRule="exact"/>
              <w:rPr>
                <w:sz w:val="24"/>
                <w:szCs w:val="24"/>
              </w:rPr>
            </w:pPr>
          </w:p>
          <w:p w:rsidR="0071717A" w:rsidRPr="002F4483" w:rsidRDefault="0071717A" w:rsidP="0094527F">
            <w:pPr>
              <w:ind w:left="100" w:right="406"/>
              <w:rPr>
                <w:rFonts w:ascii="Calibri" w:eastAsia="Calibri" w:hAnsi="Calibri" w:cs="Calibri"/>
              </w:rPr>
            </w:pPr>
            <w:r w:rsidRPr="002F4483">
              <w:rPr>
                <w:rFonts w:ascii="Calibri" w:eastAsia="Calibri" w:hAnsi="Calibri" w:cs="Calibri"/>
                <w:b/>
                <w:bCs/>
              </w:rPr>
              <w:t>Other information related to this RFQ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717A" w:rsidRPr="002F4483" w:rsidRDefault="0071717A" w:rsidP="0094527F">
            <w:pPr>
              <w:spacing w:before="1" w:line="240" w:lineRule="exact"/>
              <w:rPr>
                <w:sz w:val="24"/>
                <w:szCs w:val="24"/>
              </w:rPr>
            </w:pPr>
          </w:p>
          <w:p w:rsidR="0071717A" w:rsidRDefault="0071717A" w:rsidP="0094527F">
            <w:pPr>
              <w:ind w:left="2048" w:right="2038"/>
              <w:jc w:val="center"/>
              <w:rPr>
                <w:rFonts w:ascii="Calibri" w:eastAsia="Calibri" w:hAnsi="Calibri" w:cs="Calibri"/>
              </w:rPr>
            </w:pPr>
            <w:r w:rsidRPr="00BE1A49">
              <w:rPr>
                <w:rFonts w:ascii="Calibri" w:eastAsia="Calibri" w:hAnsi="Calibri" w:cs="Calibri"/>
                <w:b/>
                <w:bCs/>
                <w:spacing w:val="1"/>
              </w:rPr>
              <w:t>Your answers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3"/>
                <w:w w:val="99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ы</w:t>
            </w:r>
            <w:proofErr w:type="spellEnd"/>
          </w:p>
        </w:tc>
      </w:tr>
      <w:tr w:rsidR="0071717A" w:rsidRPr="002F4483" w:rsidTr="0094527F">
        <w:trPr>
          <w:trHeight w:hRule="exact" w:val="1231"/>
        </w:trPr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Default="0071717A" w:rsidP="0094527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717A" w:rsidRPr="00397FC9" w:rsidRDefault="0071717A" w:rsidP="0094527F">
            <w:pPr>
              <w:ind w:left="137" w:right="125" w:firstLine="3"/>
              <w:jc w:val="center"/>
              <w:rPr>
                <w:rFonts w:ascii="Calibri" w:eastAsia="Calibri" w:hAnsi="Calibri" w:cs="Calibri"/>
              </w:rPr>
            </w:pPr>
            <w:r w:rsidRPr="00397FC9">
              <w:rPr>
                <w:rFonts w:ascii="Calibri" w:eastAsia="Calibri" w:hAnsi="Calibri" w:cs="Calibri"/>
                <w:b/>
                <w:bCs/>
                <w:i/>
                <w:position w:val="1"/>
              </w:rPr>
              <w:t>Yes, we accept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717A" w:rsidRPr="002F4483" w:rsidRDefault="0071717A" w:rsidP="0094527F">
            <w:pPr>
              <w:ind w:left="189" w:right="175" w:firstLine="3"/>
              <w:jc w:val="center"/>
              <w:rPr>
                <w:rFonts w:ascii="Calibri" w:eastAsia="Calibri" w:hAnsi="Calibri" w:cs="Calibri"/>
              </w:rPr>
            </w:pPr>
            <w:r w:rsidRPr="002F448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No, we cannot accept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717A" w:rsidRPr="002F4483" w:rsidRDefault="0071717A" w:rsidP="0094527F">
            <w:pPr>
              <w:spacing w:before="1" w:line="239" w:lineRule="auto"/>
              <w:ind w:left="293" w:right="274"/>
              <w:jc w:val="center"/>
              <w:rPr>
                <w:rFonts w:ascii="Calibri" w:eastAsia="Calibri" w:hAnsi="Calibri" w:cs="Calibri"/>
              </w:rPr>
            </w:pPr>
            <w:r w:rsidRPr="002F448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 xml:space="preserve">If you cannot accept, please suggest your conditions </w:t>
            </w:r>
          </w:p>
        </w:tc>
      </w:tr>
      <w:tr w:rsidR="0071717A" w:rsidRPr="008F6A6D" w:rsidTr="0094527F">
        <w:trPr>
          <w:trHeight w:hRule="exact" w:val="33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DF02AE" w:rsidRDefault="0071717A" w:rsidP="0094527F">
            <w:pPr>
              <w:spacing w:line="242" w:lineRule="exact"/>
              <w:ind w:left="100" w:right="282"/>
              <w:rPr>
                <w:rFonts w:asciiTheme="minorHAnsi" w:eastAsia="Calibri" w:hAnsiTheme="minorHAnsi" w:cstheme="minorHAnsi"/>
              </w:rPr>
            </w:pPr>
            <w:r w:rsidRPr="00DF02AE">
              <w:rPr>
                <w:rFonts w:asciiTheme="minorHAnsi" w:eastAsia="Calibri" w:hAnsiTheme="minorHAnsi" w:cstheme="minorHAnsi"/>
                <w:position w:val="1"/>
              </w:rPr>
              <w:t>Delivery and installation duration: 45 days.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D91790" w:rsidRDefault="0071717A" w:rsidP="0094527F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D91790" w:rsidRDefault="0071717A" w:rsidP="0094527F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D91790" w:rsidRDefault="0071717A" w:rsidP="0094527F"/>
        </w:tc>
      </w:tr>
      <w:tr w:rsidR="0071717A" w:rsidTr="0094527F">
        <w:trPr>
          <w:trHeight w:hRule="exact" w:val="79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DF02AE" w:rsidRDefault="0071717A" w:rsidP="0094527F">
            <w:pPr>
              <w:ind w:left="100" w:right="282"/>
              <w:rPr>
                <w:rFonts w:asciiTheme="minorHAnsi" w:eastAsia="Calibri" w:hAnsiTheme="minorHAnsi" w:cstheme="minorHAnsi"/>
              </w:rPr>
            </w:pPr>
            <w:r w:rsidRPr="00DF02AE">
              <w:rPr>
                <w:rFonts w:asciiTheme="minorHAnsi" w:hAnsiTheme="minorHAnsi" w:cstheme="minorHAnsi"/>
                <w:color w:val="000000"/>
              </w:rPr>
              <w:t>At least 3 years of proven experience in purchase and installation of the wine production equipment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2F4483" w:rsidRDefault="0071717A" w:rsidP="0094527F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Default="0071717A" w:rsidP="0094527F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Default="0071717A" w:rsidP="0094527F"/>
        </w:tc>
      </w:tr>
      <w:tr w:rsidR="0071717A" w:rsidRPr="005D3CF8" w:rsidTr="0094527F">
        <w:trPr>
          <w:trHeight w:hRule="exact" w:val="49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DF02AE" w:rsidRDefault="0071717A" w:rsidP="0094527F">
            <w:pPr>
              <w:spacing w:line="242" w:lineRule="exact"/>
              <w:ind w:left="100" w:right="282"/>
              <w:rPr>
                <w:rFonts w:asciiTheme="minorHAnsi" w:eastAsia="Calibri" w:hAnsiTheme="minorHAnsi" w:cstheme="minorHAnsi"/>
              </w:rPr>
            </w:pPr>
            <w:r w:rsidRPr="00DF02AE">
              <w:rPr>
                <w:rFonts w:asciiTheme="minorHAnsi" w:hAnsiTheme="minorHAnsi" w:cstheme="minorHAnsi"/>
                <w:color w:val="000000"/>
              </w:rPr>
              <w:t>List of similar supply conducted within last three years;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2F4483" w:rsidRDefault="0071717A" w:rsidP="0094527F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5D3CF8" w:rsidRDefault="0071717A" w:rsidP="0094527F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5D3CF8" w:rsidRDefault="0071717A" w:rsidP="0094527F"/>
        </w:tc>
      </w:tr>
      <w:tr w:rsidR="0071717A" w:rsidTr="0094527F">
        <w:trPr>
          <w:trHeight w:hRule="exact" w:val="48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DF02AE" w:rsidRDefault="0071717A" w:rsidP="0094527F">
            <w:pPr>
              <w:spacing w:line="242" w:lineRule="exact"/>
              <w:ind w:left="100" w:right="282"/>
              <w:rPr>
                <w:rFonts w:asciiTheme="minorHAnsi" w:eastAsia="Calibri" w:hAnsiTheme="minorHAnsi" w:cstheme="minorHAnsi"/>
              </w:rPr>
            </w:pPr>
            <w:r w:rsidRPr="00DF02AE">
              <w:rPr>
                <w:rFonts w:asciiTheme="minorHAnsi" w:hAnsiTheme="minorHAnsi" w:cstheme="minorHAnsi"/>
                <w:lang w:val="en"/>
              </w:rPr>
              <w:t xml:space="preserve">Full acceptability of UNDP General </w:t>
            </w:r>
            <w:r w:rsidRPr="00DF02AE">
              <w:rPr>
                <w:rFonts w:asciiTheme="minorHAnsi" w:hAnsiTheme="minorHAnsi" w:cstheme="minorHAnsi"/>
              </w:rPr>
              <w:t xml:space="preserve">provisions and </w:t>
            </w:r>
            <w:r w:rsidRPr="00DF02AE">
              <w:rPr>
                <w:rFonts w:asciiTheme="minorHAnsi" w:hAnsiTheme="minorHAnsi" w:cstheme="minorHAnsi"/>
                <w:lang w:val="en"/>
              </w:rPr>
              <w:t xml:space="preserve">conditions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2F4483" w:rsidRDefault="0071717A" w:rsidP="0094527F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Default="0071717A" w:rsidP="0094527F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Default="0071717A" w:rsidP="0094527F"/>
        </w:tc>
      </w:tr>
      <w:tr w:rsidR="0071717A" w:rsidTr="0094527F">
        <w:trPr>
          <w:trHeight w:hRule="exact" w:val="48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DF02AE" w:rsidRDefault="0071717A" w:rsidP="0094527F">
            <w:pPr>
              <w:spacing w:line="242" w:lineRule="exact"/>
              <w:ind w:left="100" w:right="282"/>
              <w:rPr>
                <w:rFonts w:asciiTheme="minorHAnsi" w:hAnsiTheme="minorHAnsi" w:cstheme="minorHAnsi"/>
                <w:lang w:val="en"/>
              </w:rPr>
            </w:pPr>
            <w:r w:rsidRPr="00DF02AE">
              <w:rPr>
                <w:rFonts w:asciiTheme="minorHAnsi" w:hAnsiTheme="minorHAnsi" w:cstheme="minorHAnsi"/>
                <w:iCs/>
              </w:rPr>
              <w:t>Manufacturer’s Authorization of the Company as a Sales Agent (if Supplier is not the manufacturer);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2F4483" w:rsidRDefault="0071717A" w:rsidP="0094527F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Default="0071717A" w:rsidP="0094527F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Default="0071717A" w:rsidP="0094527F"/>
        </w:tc>
      </w:tr>
      <w:tr w:rsidR="0071717A" w:rsidTr="0094527F">
        <w:trPr>
          <w:trHeight w:hRule="exact" w:val="539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DF02AE" w:rsidRDefault="0071717A" w:rsidP="0094527F">
            <w:pPr>
              <w:spacing w:line="242" w:lineRule="exact"/>
              <w:ind w:left="100" w:right="282"/>
              <w:rPr>
                <w:rFonts w:asciiTheme="minorHAnsi" w:hAnsiTheme="minorHAnsi" w:cstheme="minorHAnsi"/>
                <w:lang w:val="en"/>
              </w:rPr>
            </w:pPr>
            <w:r w:rsidRPr="00DF02AE">
              <w:rPr>
                <w:rFonts w:asciiTheme="minorHAnsi" w:hAnsiTheme="minorHAnsi" w:cstheme="minorHAnsi"/>
              </w:rPr>
              <w:t>Reference from the taxation authorities about tax liabilities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2F4483" w:rsidRDefault="0071717A" w:rsidP="0094527F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Default="0071717A" w:rsidP="0094527F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Default="0071717A" w:rsidP="0094527F"/>
        </w:tc>
      </w:tr>
      <w:tr w:rsidR="0071717A" w:rsidRPr="006C0392" w:rsidTr="0081773A">
        <w:trPr>
          <w:trHeight w:hRule="exact" w:val="529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DF02AE" w:rsidRDefault="0081773A" w:rsidP="0094527F">
            <w:pPr>
              <w:spacing w:line="242" w:lineRule="exact"/>
              <w:ind w:left="100" w:right="282"/>
              <w:rPr>
                <w:rFonts w:asciiTheme="minorHAnsi" w:hAnsiTheme="minorHAnsi" w:cstheme="minorHAnsi"/>
                <w:lang w:val="en"/>
              </w:rPr>
            </w:pPr>
            <w:r w:rsidRPr="0014412F">
              <w:rPr>
                <w:rFonts w:asciiTheme="minorHAnsi" w:hAnsiTheme="minorHAnsi" w:cstheme="minorHAnsi"/>
              </w:rPr>
              <w:t>Acceptable warranty period and availability of local after-sales services.</w:t>
            </w:r>
            <w:bookmarkStart w:id="0" w:name="_GoBack"/>
            <w:bookmarkEnd w:id="0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6C0392" w:rsidRDefault="0071717A" w:rsidP="0094527F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6C0392" w:rsidRDefault="0071717A" w:rsidP="0094527F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6C0392" w:rsidRDefault="0071717A" w:rsidP="0094527F"/>
        </w:tc>
      </w:tr>
      <w:tr w:rsidR="0071717A" w:rsidRPr="006C0392" w:rsidTr="0094527F">
        <w:trPr>
          <w:trHeight w:hRule="exact" w:val="539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DF02AE" w:rsidRDefault="0071717A" w:rsidP="0094527F">
            <w:pPr>
              <w:spacing w:line="242" w:lineRule="exact"/>
              <w:ind w:left="100" w:right="282"/>
              <w:rPr>
                <w:rFonts w:asciiTheme="minorHAnsi" w:hAnsiTheme="minorHAnsi" w:cstheme="minorHAnsi"/>
                <w:iCs/>
              </w:rPr>
            </w:pPr>
            <w:r w:rsidRPr="00DF02AE">
              <w:rPr>
                <w:rFonts w:asciiTheme="minorHAnsi" w:hAnsiTheme="minorHAnsi" w:cstheme="minorHAnsi"/>
                <w:iCs/>
              </w:rPr>
              <w:t xml:space="preserve">Quality Certificates (ISO, etc.) - </w:t>
            </w:r>
            <w:r w:rsidRPr="00DF02AE">
              <w:rPr>
                <w:rFonts w:asciiTheme="minorHAnsi" w:hAnsiTheme="minorHAnsi" w:cstheme="minorHAnsi"/>
              </w:rPr>
              <w:t>compliance / quality certificates for the greenhouse structure and cover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6C0392" w:rsidRDefault="0071717A" w:rsidP="0094527F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6C0392" w:rsidRDefault="0071717A" w:rsidP="0094527F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6C0392" w:rsidRDefault="0071717A" w:rsidP="0094527F"/>
        </w:tc>
      </w:tr>
      <w:tr w:rsidR="0071717A" w:rsidRPr="006C0392" w:rsidTr="0094527F">
        <w:trPr>
          <w:trHeight w:hRule="exact" w:val="539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DF02AE" w:rsidRDefault="0071717A" w:rsidP="0094527F">
            <w:pPr>
              <w:spacing w:line="242" w:lineRule="exact"/>
              <w:ind w:left="100" w:right="282"/>
              <w:rPr>
                <w:rFonts w:asciiTheme="minorHAnsi" w:hAnsiTheme="minorHAnsi" w:cstheme="minorHAnsi"/>
                <w:iCs/>
              </w:rPr>
            </w:pPr>
            <w:r w:rsidRPr="00DF02AE">
              <w:rPr>
                <w:rFonts w:asciiTheme="minorHAnsi" w:hAnsiTheme="minorHAnsi" w:cstheme="minorHAnsi"/>
              </w:rPr>
              <w:t>Written Self-Declaration of not being included in the UN Security Council 1267/1989 list, UN Procurement Division List or other UN Ineligibility List;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6C0392" w:rsidRDefault="0071717A" w:rsidP="0094527F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6C0392" w:rsidRDefault="0071717A" w:rsidP="0094527F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A" w:rsidRPr="006C0392" w:rsidRDefault="0071717A" w:rsidP="0094527F"/>
        </w:tc>
      </w:tr>
    </w:tbl>
    <w:p w:rsidR="0071717A" w:rsidRDefault="0071717A" w:rsidP="0071717A">
      <w:pPr>
        <w:jc w:val="both"/>
        <w:rPr>
          <w:rFonts w:asciiTheme="minorHAnsi" w:hAnsiTheme="minorHAnsi" w:cs="Calibri"/>
          <w:sz w:val="22"/>
          <w:szCs w:val="22"/>
        </w:rPr>
      </w:pPr>
    </w:p>
    <w:p w:rsidR="0071717A" w:rsidRPr="00E933A8" w:rsidRDefault="0071717A" w:rsidP="0071717A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71717A" w:rsidRPr="00E933A8" w:rsidRDefault="0071717A" w:rsidP="0071717A">
      <w:pPr>
        <w:rPr>
          <w:rFonts w:ascii="Calibri" w:hAnsi="Calibri" w:cs="Calibri"/>
          <w:sz w:val="22"/>
          <w:szCs w:val="22"/>
        </w:rPr>
      </w:pPr>
    </w:p>
    <w:p w:rsidR="0071717A" w:rsidRPr="00E933A8" w:rsidRDefault="0071717A" w:rsidP="0071717A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71717A" w:rsidRPr="00E933A8" w:rsidRDefault="0071717A" w:rsidP="0071717A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71717A" w:rsidRPr="00E933A8" w:rsidRDefault="0071717A" w:rsidP="0071717A">
      <w:pPr>
        <w:ind w:left="3960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:rsidR="00FB6979" w:rsidRPr="0071717A" w:rsidRDefault="00FB6979" w:rsidP="0071717A">
      <w:pPr>
        <w:spacing w:after="200" w:line="276" w:lineRule="auto"/>
        <w:rPr>
          <w:rFonts w:ascii="Calibri" w:hAnsi="Calibri"/>
          <w:b/>
          <w:iCs/>
          <w:sz w:val="28"/>
          <w:szCs w:val="24"/>
        </w:rPr>
      </w:pPr>
    </w:p>
    <w:sectPr w:rsidR="00FB6979" w:rsidRPr="0071717A" w:rsidSect="003725F6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90" w:rsidRDefault="00C73890" w:rsidP="003725F6">
      <w:r>
        <w:separator/>
      </w:r>
    </w:p>
  </w:endnote>
  <w:endnote w:type="continuationSeparator" w:id="0">
    <w:p w:rsidR="00C73890" w:rsidRDefault="00C73890" w:rsidP="0037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90" w:rsidRDefault="00C73890" w:rsidP="003725F6">
      <w:r>
        <w:separator/>
      </w:r>
    </w:p>
  </w:footnote>
  <w:footnote w:type="continuationSeparator" w:id="0">
    <w:p w:rsidR="00C73890" w:rsidRDefault="00C73890" w:rsidP="003725F6">
      <w:r>
        <w:continuationSeparator/>
      </w:r>
    </w:p>
  </w:footnote>
  <w:footnote w:id="1">
    <w:p w:rsidR="0071717A" w:rsidRPr="00BA0E6E" w:rsidRDefault="0071717A" w:rsidP="007171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71717A" w:rsidRPr="007E6019" w:rsidRDefault="0071717A" w:rsidP="0071717A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71717A" w:rsidRPr="0088197A" w:rsidRDefault="0071717A" w:rsidP="0071717A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F6"/>
    <w:rsid w:val="003725F6"/>
    <w:rsid w:val="004F6218"/>
    <w:rsid w:val="0071717A"/>
    <w:rsid w:val="0081773A"/>
    <w:rsid w:val="00C73890"/>
    <w:rsid w:val="00D1392E"/>
    <w:rsid w:val="00F152E4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5F8A2-F09D-4B10-ABC8-C3D3E3C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72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5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5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Saghatelyan</dc:creator>
  <cp:keywords/>
  <dc:description/>
  <cp:lastModifiedBy>Suren Saghatelyan</cp:lastModifiedBy>
  <cp:revision>3</cp:revision>
  <dcterms:created xsi:type="dcterms:W3CDTF">2018-08-09T12:37:00Z</dcterms:created>
  <dcterms:modified xsi:type="dcterms:W3CDTF">2018-08-09T12:57:00Z</dcterms:modified>
</cp:coreProperties>
</file>