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6D" w:rsidRPr="00E933A8" w:rsidRDefault="00CA6E6D" w:rsidP="00CA6E6D">
      <w:pPr>
        <w:jc w:val="right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:rsidR="00CA6E6D" w:rsidRDefault="00CA6E6D" w:rsidP="00CA6E6D">
      <w:pPr>
        <w:rPr>
          <w:rFonts w:ascii="Calibri" w:hAnsi="Calibri" w:cs="Calibri"/>
          <w:sz w:val="22"/>
          <w:szCs w:val="22"/>
        </w:rPr>
      </w:pPr>
    </w:p>
    <w:p w:rsidR="00CA6E6D" w:rsidRPr="00E933A8" w:rsidRDefault="00CA6E6D" w:rsidP="00CA6E6D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E933A8">
        <w:rPr>
          <w:rStyle w:val="FootnoteReference"/>
          <w:rFonts w:cs="Calibri"/>
          <w:b/>
          <w:sz w:val="28"/>
          <w:szCs w:val="28"/>
        </w:rPr>
        <w:footnoteReference w:id="1"/>
      </w:r>
    </w:p>
    <w:p w:rsidR="00CA6E6D" w:rsidRPr="00E933A8" w:rsidRDefault="00CA6E6D" w:rsidP="00CA6E6D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CA6E6D" w:rsidRPr="00E933A8" w:rsidRDefault="00CA6E6D" w:rsidP="00CA6E6D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CA6E6D" w:rsidRDefault="00CA6E6D" w:rsidP="00CA6E6D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Pr="00830929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</w:rPr>
        <w:t>RFQ 089</w:t>
      </w:r>
      <w:r w:rsidRPr="00830929">
        <w:rPr>
          <w:rFonts w:ascii="Calibri" w:hAnsi="Calibri" w:cs="Calibri"/>
          <w:b/>
          <w:snapToGrid w:val="0"/>
          <w:sz w:val="22"/>
          <w:szCs w:val="22"/>
        </w:rPr>
        <w:t>/1</w:t>
      </w:r>
      <w:r>
        <w:rPr>
          <w:rFonts w:ascii="Calibri" w:hAnsi="Calibri" w:cs="Calibri"/>
          <w:b/>
          <w:snapToGrid w:val="0"/>
          <w:sz w:val="22"/>
          <w:szCs w:val="22"/>
        </w:rPr>
        <w:t>8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:rsidR="00CA6E6D" w:rsidRDefault="00CA6E6D" w:rsidP="00CA6E6D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:rsidR="00CA6E6D" w:rsidRDefault="00CA6E6D" w:rsidP="00CA6E6D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1134"/>
        <w:gridCol w:w="1134"/>
        <w:gridCol w:w="1314"/>
      </w:tblGrid>
      <w:tr w:rsidR="00CA6E6D" w:rsidRPr="00E933A8" w:rsidTr="00822D8E">
        <w:trPr>
          <w:trHeight w:val="902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A6E6D" w:rsidRPr="00E933A8" w:rsidRDefault="00CA6E6D" w:rsidP="00822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820" w:type="dxa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134" w:type="dxa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34" w:type="dxa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 w:rsidRPr="009C04A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currency</w:t>
            </w:r>
          </w:p>
        </w:tc>
        <w:tc>
          <w:tcPr>
            <w:tcW w:w="1314" w:type="dxa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9C04A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currency</w:t>
            </w:r>
          </w:p>
        </w:tc>
      </w:tr>
      <w:tr w:rsidR="00CA6E6D" w:rsidRPr="00E933A8" w:rsidTr="00822D8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A6E6D" w:rsidRDefault="00CA6E6D" w:rsidP="00822D8E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  <w:lang w:eastAsia="ru-RU"/>
              </w:rPr>
            </w:pPr>
            <w:r>
              <w:rPr>
                <w:b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20" w:type="dxa"/>
          </w:tcPr>
          <w:p w:rsidR="00CA6E6D" w:rsidRPr="005141DD" w:rsidRDefault="00CA6E6D" w:rsidP="00CA6E6D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60"/>
              <w:rPr>
                <w:rFonts w:ascii="Calibri" w:hAnsi="Calibri" w:cs="Calibri"/>
                <w:szCs w:val="22"/>
              </w:rPr>
            </w:pPr>
            <w:r w:rsidRPr="00D6169E">
              <w:rPr>
                <w:rFonts w:ascii="Calibri" w:hAnsi="Calibri" w:cs="Calibri"/>
                <w:b/>
                <w:szCs w:val="22"/>
              </w:rPr>
              <w:t>Supply of laboratory equipment for lighting laboratory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A6E6D" w:rsidRPr="005141DD" w:rsidRDefault="00CA6E6D" w:rsidP="00822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2916CE">
              <w:rPr>
                <w:rFonts w:ascii="Calibri" w:hAnsi="Calibri" w:cs="Calibri"/>
                <w:sz w:val="22"/>
                <w:szCs w:val="22"/>
              </w:rPr>
              <w:t xml:space="preserve"> days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6E6D" w:rsidRPr="00E933A8" w:rsidTr="00822D8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A6E6D" w:rsidRDefault="00CA6E6D" w:rsidP="00822D8E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</w:tcPr>
          <w:p w:rsidR="00CA6E6D" w:rsidRPr="00D6169E" w:rsidRDefault="00CA6E6D" w:rsidP="00822D8E">
            <w:pPr>
              <w:pStyle w:val="ListParagraph"/>
              <w:spacing w:line="276" w:lineRule="auto"/>
              <w:ind w:left="360"/>
              <w:rPr>
                <w:rFonts w:ascii="Calibri" w:hAnsi="Calibri" w:cs="Calibri"/>
                <w:b/>
                <w:szCs w:val="22"/>
              </w:rPr>
            </w:pPr>
            <w:r w:rsidRPr="00E933A8">
              <w:rPr>
                <w:rFonts w:ascii="Calibri" w:hAnsi="Calibri" w:cs="Calibri"/>
                <w:b/>
                <w:szCs w:val="22"/>
              </w:rPr>
              <w:t>Prices of Goods</w:t>
            </w:r>
            <w:r w:rsidRPr="00E933A8">
              <w:rPr>
                <w:rStyle w:val="FootnoteReference"/>
                <w:rFonts w:cs="Calibri"/>
                <w:b/>
                <w:szCs w:val="22"/>
              </w:rPr>
              <w:footnoteReference w:id="3"/>
            </w:r>
          </w:p>
        </w:tc>
        <w:tc>
          <w:tcPr>
            <w:tcW w:w="1134" w:type="dxa"/>
            <w:tcBorders>
              <w:bottom w:val="nil"/>
            </w:tcBorders>
          </w:tcPr>
          <w:p w:rsidR="00CA6E6D" w:rsidRDefault="00CA6E6D" w:rsidP="00822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6E6D" w:rsidDel="00D57369" w:rsidRDefault="00CA6E6D" w:rsidP="00822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6E6D" w:rsidRPr="00E933A8" w:rsidTr="00822D8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A6E6D" w:rsidRDefault="00CA6E6D" w:rsidP="00822D8E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</w:tcPr>
          <w:p w:rsidR="00CA6E6D" w:rsidRPr="00D6169E" w:rsidRDefault="00CA6E6D" w:rsidP="00CA6E6D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60"/>
              <w:rPr>
                <w:rFonts w:ascii="Calibri" w:hAnsi="Calibri" w:cs="Calibri"/>
                <w:b/>
                <w:szCs w:val="22"/>
              </w:rPr>
            </w:pPr>
            <w:r w:rsidRPr="00E933A8">
              <w:rPr>
                <w:rFonts w:ascii="Calibri" w:hAnsi="Calibri" w:cs="Calibri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Cs w:val="22"/>
              </w:rPr>
              <w:t xml:space="preserve"> Cost of Transportation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A6E6D" w:rsidRDefault="00CA6E6D" w:rsidP="00822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A6E6D" w:rsidDel="00D57369" w:rsidRDefault="00CA6E6D" w:rsidP="00822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6E6D" w:rsidRPr="00E933A8" w:rsidTr="00822D8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A6E6D" w:rsidRDefault="00CA6E6D" w:rsidP="00822D8E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</w:tcPr>
          <w:p w:rsidR="00CA6E6D" w:rsidRPr="00D6169E" w:rsidRDefault="00CA6E6D" w:rsidP="00CA6E6D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60"/>
              <w:rPr>
                <w:rFonts w:ascii="Calibri" w:hAnsi="Calibri" w:cs="Calibri"/>
                <w:b/>
                <w:szCs w:val="22"/>
              </w:rPr>
            </w:pPr>
            <w:r w:rsidRPr="00E933A8">
              <w:rPr>
                <w:rFonts w:ascii="Calibri" w:hAnsi="Calibri" w:cs="Calibri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Cs w:val="22"/>
              </w:rPr>
              <w:t xml:space="preserve"> Cost of Insurance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A6E6D" w:rsidRDefault="00CA6E6D" w:rsidP="00822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A6E6D" w:rsidDel="00D57369" w:rsidRDefault="00CA6E6D" w:rsidP="00822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6E6D" w:rsidRPr="00E933A8" w:rsidTr="00822D8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A6E6D" w:rsidRDefault="00CA6E6D" w:rsidP="00822D8E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</w:tcPr>
          <w:p w:rsidR="00CA6E6D" w:rsidRPr="00D6169E" w:rsidRDefault="00CA6E6D" w:rsidP="00CA6E6D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60"/>
              <w:rPr>
                <w:rFonts w:ascii="Calibri" w:hAnsi="Calibri" w:cs="Calibri"/>
                <w:b/>
                <w:szCs w:val="22"/>
              </w:rPr>
            </w:pPr>
            <w:r w:rsidRPr="00E933A8">
              <w:rPr>
                <w:rFonts w:ascii="Calibri" w:hAnsi="Calibri" w:cs="Calibri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Cs w:val="22"/>
              </w:rPr>
              <w:t xml:space="preserve"> Other Charges (pls. specify)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A6E6D" w:rsidRDefault="00CA6E6D" w:rsidP="00822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A6E6D" w:rsidDel="00D57369" w:rsidRDefault="00CA6E6D" w:rsidP="00822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6E6D" w:rsidRPr="00E933A8" w:rsidTr="00822D8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A6E6D" w:rsidRDefault="00CA6E6D" w:rsidP="00822D8E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  <w:lang w:eastAsia="ru-RU"/>
              </w:rPr>
            </w:pPr>
          </w:p>
        </w:tc>
        <w:tc>
          <w:tcPr>
            <w:tcW w:w="9536" w:type="dxa"/>
            <w:gridSpan w:val="5"/>
          </w:tcPr>
          <w:p w:rsidR="00CA6E6D" w:rsidRPr="00E933A8" w:rsidRDefault="00CA6E6D" w:rsidP="00822D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</w:t>
            </w:r>
            <w:r w:rsidRPr="00715F51">
              <w:rPr>
                <w:rFonts w:asciiTheme="minorHAnsi" w:hAnsiTheme="minorHAnsi" w:cstheme="minorHAnsi"/>
                <w:b/>
                <w:sz w:val="22"/>
                <w:szCs w:val="22"/>
              </w:rPr>
              <w:t>Total Prices of Goods</w:t>
            </w:r>
          </w:p>
        </w:tc>
      </w:tr>
      <w:tr w:rsidR="00CA6E6D" w:rsidRPr="00E933A8" w:rsidTr="00822D8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A6E6D" w:rsidRDefault="00CA6E6D" w:rsidP="00822D8E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CA6E6D" w:rsidRPr="00D6169E" w:rsidRDefault="00CA6E6D" w:rsidP="00CA6E6D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60"/>
              <w:rPr>
                <w:rFonts w:ascii="Calibri" w:hAnsi="Calibri" w:cs="Calibri"/>
                <w:b/>
                <w:szCs w:val="22"/>
              </w:rPr>
            </w:pPr>
            <w:r w:rsidRPr="0003050A">
              <w:rPr>
                <w:rFonts w:ascii="Calibri" w:hAnsi="Calibri" w:cs="Calibri"/>
                <w:b/>
                <w:szCs w:val="22"/>
              </w:rPr>
              <w:t>Supervision of installation</w:t>
            </w:r>
            <w:r>
              <w:rPr>
                <w:rFonts w:ascii="Calibri" w:hAnsi="Calibri" w:cs="Calibri"/>
                <w:b/>
                <w:szCs w:val="22"/>
              </w:rPr>
              <w:t xml:space="preserve"> on transportation unit (to be provided by the customer)</w:t>
            </w:r>
            <w:r w:rsidRPr="0003050A">
              <w:rPr>
                <w:rFonts w:ascii="Calibri" w:hAnsi="Calibri" w:cs="Calibri"/>
                <w:b/>
                <w:szCs w:val="22"/>
              </w:rPr>
              <w:t xml:space="preserve"> and commissioning of </w:t>
            </w:r>
            <w:r>
              <w:rPr>
                <w:rFonts w:ascii="Calibri" w:hAnsi="Calibri" w:cs="Calibri"/>
                <w:b/>
                <w:szCs w:val="22"/>
              </w:rPr>
              <w:t xml:space="preserve">the </w:t>
            </w:r>
            <w:r w:rsidRPr="0003050A">
              <w:rPr>
                <w:rFonts w:ascii="Calibri" w:hAnsi="Calibri" w:cs="Calibri"/>
                <w:b/>
                <w:szCs w:val="22"/>
              </w:rPr>
              <w:t>equipment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A6E6D" w:rsidRDefault="00CA6E6D" w:rsidP="00822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A6E6D" w:rsidRDefault="00CA6E6D" w:rsidP="00822D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days</w:t>
            </w:r>
          </w:p>
        </w:tc>
        <w:tc>
          <w:tcPr>
            <w:tcW w:w="113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6E6D" w:rsidRPr="00E933A8" w:rsidTr="00822D8E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A6E6D" w:rsidRDefault="00CA6E6D" w:rsidP="00822D8E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  <w:lang w:eastAsia="ru-RU"/>
              </w:rPr>
            </w:pPr>
          </w:p>
        </w:tc>
        <w:tc>
          <w:tcPr>
            <w:tcW w:w="8222" w:type="dxa"/>
            <w:gridSpan w:val="4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314" w:type="dxa"/>
            <w:vAlign w:val="center"/>
          </w:tcPr>
          <w:p w:rsidR="00CA6E6D" w:rsidRPr="00E933A8" w:rsidRDefault="00CA6E6D" w:rsidP="00822D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A6E6D" w:rsidRDefault="00CA6E6D" w:rsidP="00CA6E6D">
      <w:pPr>
        <w:spacing w:after="60"/>
        <w:ind w:left="7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CA6E6D" w:rsidRPr="0068357D" w:rsidRDefault="00CA6E6D" w:rsidP="00CA6E6D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68357D">
        <w:rPr>
          <w:rFonts w:asciiTheme="minorHAnsi" w:hAnsiTheme="minorHAnsi" w:cs="Arial"/>
          <w:b/>
          <w:sz w:val="22"/>
          <w:szCs w:val="22"/>
        </w:rPr>
        <w:t xml:space="preserve">Additional Requirements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5836"/>
        <w:gridCol w:w="1788"/>
      </w:tblGrid>
      <w:tr w:rsidR="00CA6E6D" w:rsidRPr="0068357D" w:rsidTr="00822D8E">
        <w:tc>
          <w:tcPr>
            <w:tcW w:w="675" w:type="dxa"/>
            <w:shd w:val="clear" w:color="auto" w:fill="E7E6E6" w:themeFill="background2"/>
          </w:tcPr>
          <w:p w:rsidR="00CA6E6D" w:rsidRPr="0068357D" w:rsidRDefault="00CA6E6D" w:rsidP="00822D8E">
            <w:pPr>
              <w:spacing w:after="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57D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5836" w:type="dxa"/>
            <w:shd w:val="clear" w:color="auto" w:fill="E7E6E6" w:themeFill="background2"/>
          </w:tcPr>
          <w:p w:rsidR="00CA6E6D" w:rsidRPr="0068357D" w:rsidRDefault="00CA6E6D" w:rsidP="00822D8E">
            <w:pPr>
              <w:spacing w:after="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57D">
              <w:rPr>
                <w:rFonts w:asciiTheme="minorHAnsi" w:hAnsiTheme="minorHAnsi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788" w:type="dxa"/>
            <w:shd w:val="clear" w:color="auto" w:fill="E7E6E6" w:themeFill="background2"/>
          </w:tcPr>
          <w:p w:rsidR="00CA6E6D" w:rsidRPr="0068357D" w:rsidRDefault="00CA6E6D" w:rsidP="00822D8E">
            <w:pPr>
              <w:spacing w:after="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57D">
              <w:rPr>
                <w:rFonts w:asciiTheme="minorHAnsi" w:hAnsiTheme="minorHAnsi" w:cs="Arial"/>
                <w:b/>
                <w:sz w:val="18"/>
                <w:szCs w:val="18"/>
              </w:rPr>
              <w:t>Availability (Yes/No)</w:t>
            </w:r>
          </w:p>
        </w:tc>
      </w:tr>
      <w:tr w:rsidR="00CA6E6D" w:rsidRPr="00342B74" w:rsidTr="00822D8E">
        <w:tc>
          <w:tcPr>
            <w:tcW w:w="675" w:type="dxa"/>
          </w:tcPr>
          <w:p w:rsidR="00CA6E6D" w:rsidRPr="00342B74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5836" w:type="dxa"/>
          </w:tcPr>
          <w:p w:rsidR="00CA6E6D" w:rsidRPr="00DB67BB" w:rsidRDefault="00CA6E6D" w:rsidP="00822D8E">
            <w:pPr>
              <w:rPr>
                <w:rFonts w:ascii="Calibri" w:hAnsi="Calibri" w:cs="Calibri"/>
                <w:sz w:val="22"/>
                <w:szCs w:val="22"/>
              </w:rPr>
            </w:pPr>
            <w:r w:rsidRPr="006775DE">
              <w:rPr>
                <w:rFonts w:ascii="Calibri" w:hAnsi="Calibri" w:cs="Calibri"/>
                <w:sz w:val="22"/>
                <w:szCs w:val="22"/>
              </w:rPr>
              <w:t xml:space="preserve">Technical responsiveness/Full compliance to requirements </w:t>
            </w:r>
          </w:p>
        </w:tc>
        <w:tc>
          <w:tcPr>
            <w:tcW w:w="1788" w:type="dxa"/>
          </w:tcPr>
          <w:p w:rsidR="00CA6E6D" w:rsidRPr="00342B74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6E6D" w:rsidRPr="00342B74" w:rsidTr="00822D8E">
        <w:tc>
          <w:tcPr>
            <w:tcW w:w="675" w:type="dxa"/>
          </w:tcPr>
          <w:p w:rsidR="00CA6E6D" w:rsidRPr="00342B74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5836" w:type="dxa"/>
          </w:tcPr>
          <w:p w:rsidR="00CA6E6D" w:rsidRPr="006775DE" w:rsidRDefault="00CA6E6D" w:rsidP="00822D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F0EEB">
              <w:rPr>
                <w:rFonts w:asciiTheme="minorHAnsi" w:hAnsiTheme="minorHAnsi" w:cs="Arial"/>
                <w:sz w:val="22"/>
                <w:szCs w:val="22"/>
              </w:rPr>
              <w:t xml:space="preserve">Manufacturer/suppliers must have at least 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7F0EEB">
              <w:rPr>
                <w:rFonts w:asciiTheme="minorHAnsi" w:hAnsiTheme="minorHAnsi" w:cs="Arial"/>
                <w:sz w:val="22"/>
                <w:szCs w:val="22"/>
              </w:rPr>
              <w:t xml:space="preserve"> years of experience in </w:t>
            </w:r>
            <w:r>
              <w:rPr>
                <w:rFonts w:asciiTheme="minorHAnsi" w:hAnsiTheme="minorHAnsi" w:cs="Arial"/>
                <w:sz w:val="22"/>
                <w:szCs w:val="22"/>
              </w:rPr>
              <w:t>manufacturing</w:t>
            </w:r>
            <w:r w:rsidRPr="007F0EEB">
              <w:rPr>
                <w:rFonts w:asciiTheme="minorHAnsi" w:hAnsiTheme="minorHAnsi" w:cs="Arial"/>
                <w:sz w:val="22"/>
                <w:szCs w:val="22"/>
              </w:rPr>
              <w:t xml:space="preserve">/supply of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required goods or similar products</w:t>
            </w:r>
            <w:r w:rsidRPr="00B842F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788" w:type="dxa"/>
          </w:tcPr>
          <w:p w:rsidR="00CA6E6D" w:rsidRPr="00342B74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6E6D" w:rsidRPr="00342B74" w:rsidTr="00822D8E">
        <w:tc>
          <w:tcPr>
            <w:tcW w:w="675" w:type="dxa"/>
          </w:tcPr>
          <w:p w:rsidR="00CA6E6D" w:rsidRPr="00342B74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5836" w:type="dxa"/>
          </w:tcPr>
          <w:p w:rsidR="00CA6E6D" w:rsidRPr="006775DE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Warranty </w:t>
            </w:r>
            <w:r w:rsidRPr="006775DE">
              <w:rPr>
                <w:rFonts w:asciiTheme="minorHAnsi" w:hAnsiTheme="minorHAnsi" w:cs="Arial"/>
                <w:sz w:val="22"/>
                <w:szCs w:val="22"/>
              </w:rPr>
              <w:t xml:space="preserve">on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required equipment as per Annex 1</w:t>
            </w:r>
            <w:r w:rsidRPr="006775DE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</w:tc>
        <w:tc>
          <w:tcPr>
            <w:tcW w:w="1788" w:type="dxa"/>
          </w:tcPr>
          <w:p w:rsidR="00CA6E6D" w:rsidRPr="00342B74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6E6D" w:rsidRPr="00342B74" w:rsidTr="00822D8E">
        <w:tc>
          <w:tcPr>
            <w:tcW w:w="675" w:type="dxa"/>
          </w:tcPr>
          <w:p w:rsidR="00CA6E6D" w:rsidRPr="00342B74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5836" w:type="dxa"/>
          </w:tcPr>
          <w:p w:rsidR="00CA6E6D" w:rsidRPr="006775DE" w:rsidRDefault="00CA6E6D" w:rsidP="00822D8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775DE">
              <w:rPr>
                <w:rFonts w:asciiTheme="minorHAnsi" w:hAnsiTheme="minorHAnsi" w:cs="Calibri"/>
                <w:sz w:val="22"/>
                <w:szCs w:val="22"/>
              </w:rPr>
              <w:t>Full acceptance of the PO/Contract General Terms and Conditions</w:t>
            </w:r>
          </w:p>
        </w:tc>
        <w:tc>
          <w:tcPr>
            <w:tcW w:w="1788" w:type="dxa"/>
          </w:tcPr>
          <w:p w:rsidR="00CA6E6D" w:rsidRPr="00342B74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6E6D" w:rsidRPr="00342B74" w:rsidTr="00822D8E">
        <w:tc>
          <w:tcPr>
            <w:tcW w:w="675" w:type="dxa"/>
          </w:tcPr>
          <w:p w:rsidR="00CA6E6D" w:rsidRPr="00342B74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5836" w:type="dxa"/>
          </w:tcPr>
          <w:p w:rsidR="00CA6E6D" w:rsidRPr="006775DE" w:rsidRDefault="00CA6E6D" w:rsidP="00822D8E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</w:t>
            </w:r>
            <w:r w:rsidRPr="006775D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etailed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technical specifications</w:t>
            </w:r>
          </w:p>
        </w:tc>
        <w:tc>
          <w:tcPr>
            <w:tcW w:w="1788" w:type="dxa"/>
          </w:tcPr>
          <w:p w:rsidR="00CA6E6D" w:rsidRPr="00342B74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6E6D" w:rsidRPr="00342B74" w:rsidTr="00822D8E">
        <w:tc>
          <w:tcPr>
            <w:tcW w:w="675" w:type="dxa"/>
          </w:tcPr>
          <w:p w:rsidR="00CA6E6D" w:rsidRPr="00364BF5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5836" w:type="dxa"/>
          </w:tcPr>
          <w:p w:rsidR="00CA6E6D" w:rsidRPr="0068357D" w:rsidRDefault="00CA6E6D" w:rsidP="00822D8E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8357D">
              <w:rPr>
                <w:rFonts w:asciiTheme="minorHAnsi" w:hAnsiTheme="minorHAnsi" w:cs="Calibri"/>
                <w:sz w:val="22"/>
                <w:szCs w:val="22"/>
                <w:lang w:val="en-US"/>
              </w:rPr>
              <w:t>Written Self-Declaration of not being included in the UN Security Council 1267/1989 list, UN Procurement Division List or other UN Ineligibility List</w:t>
            </w:r>
          </w:p>
        </w:tc>
        <w:tc>
          <w:tcPr>
            <w:tcW w:w="1788" w:type="dxa"/>
          </w:tcPr>
          <w:p w:rsidR="00CA6E6D" w:rsidRPr="00342B74" w:rsidRDefault="00CA6E6D" w:rsidP="00822D8E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A6E6D" w:rsidRPr="00E933A8" w:rsidRDefault="00CA6E6D" w:rsidP="00CA6E6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CA6E6D" w:rsidRPr="00E933A8" w:rsidRDefault="00CA6E6D" w:rsidP="00CA6E6D">
      <w:pPr>
        <w:rPr>
          <w:rFonts w:ascii="Calibri" w:hAnsi="Calibri" w:cs="Calibri"/>
          <w:sz w:val="22"/>
          <w:szCs w:val="22"/>
        </w:rPr>
      </w:pPr>
    </w:p>
    <w:p w:rsidR="00CA6E6D" w:rsidRPr="00E933A8" w:rsidRDefault="00CA6E6D" w:rsidP="00CA6E6D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CA6E6D" w:rsidRPr="00E933A8" w:rsidRDefault="00CA6E6D" w:rsidP="00CA6E6D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CA6E6D" w:rsidRDefault="00CA6E6D" w:rsidP="00CA6E6D">
      <w:pPr>
        <w:ind w:left="3960"/>
        <w:rPr>
          <w:rFonts w:ascii="Calibri" w:hAnsi="Calibri"/>
          <w:b/>
          <w:iCs/>
          <w:sz w:val="28"/>
          <w:szCs w:val="24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sectPr w:rsidR="00CA6E6D" w:rsidSect="00FC3262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B08" w:rsidRDefault="00C41B08" w:rsidP="00FC3262">
      <w:r>
        <w:separator/>
      </w:r>
    </w:p>
  </w:endnote>
  <w:endnote w:type="continuationSeparator" w:id="0">
    <w:p w:rsidR="00C41B08" w:rsidRDefault="00C41B08" w:rsidP="00FC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B08" w:rsidRDefault="00C41B08" w:rsidP="00FC3262">
      <w:r>
        <w:separator/>
      </w:r>
    </w:p>
  </w:footnote>
  <w:footnote w:type="continuationSeparator" w:id="0">
    <w:p w:rsidR="00C41B08" w:rsidRDefault="00C41B08" w:rsidP="00FC3262">
      <w:r>
        <w:continuationSeparator/>
      </w:r>
    </w:p>
  </w:footnote>
  <w:footnote w:id="1">
    <w:p w:rsidR="00CA6E6D" w:rsidRPr="00BA0E6E" w:rsidRDefault="00CA6E6D" w:rsidP="00CA6E6D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CA6E6D" w:rsidRPr="007E6019" w:rsidRDefault="00CA6E6D" w:rsidP="00CA6E6D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CA6E6D" w:rsidRPr="0088197A" w:rsidRDefault="00CA6E6D" w:rsidP="00CA6E6D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B2A20"/>
    <w:multiLevelType w:val="hybridMultilevel"/>
    <w:tmpl w:val="22B848AE"/>
    <w:lvl w:ilvl="0" w:tplc="8E5CE6C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62"/>
    <w:rsid w:val="004F6218"/>
    <w:rsid w:val="00C41B08"/>
    <w:rsid w:val="00CA6E6D"/>
    <w:rsid w:val="00E4316F"/>
    <w:rsid w:val="00FB6979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21A3"/>
  <w15:chartTrackingRefBased/>
  <w15:docId w15:val="{50CCCA2C-1189-4435-9DA4-D68101E8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3262"/>
    <w:pPr>
      <w:ind w:left="720"/>
    </w:pPr>
    <w:rPr>
      <w:rFonts w:eastAsia="Calibri"/>
      <w:lang w:val="es-PA" w:eastAsia="es-PA"/>
    </w:rPr>
  </w:style>
  <w:style w:type="character" w:styleId="FootnoteReference">
    <w:name w:val="footnote reference"/>
    <w:semiHidden/>
    <w:rsid w:val="00FC32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6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6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326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FC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Saghatelyan</dc:creator>
  <cp:keywords/>
  <dc:description/>
  <cp:lastModifiedBy>Suren Saghatelyan</cp:lastModifiedBy>
  <cp:revision>2</cp:revision>
  <dcterms:created xsi:type="dcterms:W3CDTF">2018-10-02T12:14:00Z</dcterms:created>
  <dcterms:modified xsi:type="dcterms:W3CDTF">2018-10-03T07:37:00Z</dcterms:modified>
</cp:coreProperties>
</file>