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9391" w14:textId="77777777" w:rsidR="00A754EA" w:rsidRDefault="00D37D01" w:rsidP="00D37D01">
      <w:pPr>
        <w:pStyle w:val="Default"/>
        <w:jc w:val="right"/>
        <w:rPr>
          <w:rFonts w:ascii="Calibri" w:hAnsi="Calibri" w:cs="Calibri"/>
          <w:b/>
          <w:bCs/>
          <w:sz w:val="28"/>
          <w:szCs w:val="28"/>
        </w:rPr>
      </w:pPr>
      <w:r w:rsidRPr="00814716">
        <w:rPr>
          <w:rFonts w:cstheme="minorHAnsi"/>
          <w:b/>
          <w:noProof/>
          <w:color w:val="000000" w:themeColor="text1"/>
          <w:lang w:eastAsia="ja-JP"/>
        </w:rPr>
        <w:drawing>
          <wp:inline distT="0" distB="0" distL="0" distR="0" wp14:anchorId="33E937DA" wp14:editId="15106969">
            <wp:extent cx="404394" cy="815340"/>
            <wp:effectExtent l="0" t="0" r="0" b="381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6" cstate="print"/>
                    <a:srcRect/>
                    <a:stretch>
                      <a:fillRect/>
                    </a:stretch>
                  </pic:blipFill>
                  <pic:spPr bwMode="auto">
                    <a:xfrm>
                      <a:off x="0" y="0"/>
                      <a:ext cx="416621" cy="839992"/>
                    </a:xfrm>
                    <a:prstGeom prst="rect">
                      <a:avLst/>
                    </a:prstGeom>
                    <a:noFill/>
                    <a:ln w="9525">
                      <a:noFill/>
                      <a:miter lim="800000"/>
                      <a:headEnd/>
                      <a:tailEnd/>
                    </a:ln>
                  </pic:spPr>
                </pic:pic>
              </a:graphicData>
            </a:graphic>
          </wp:inline>
        </w:drawing>
      </w:r>
    </w:p>
    <w:p w14:paraId="3CEEF346" w14:textId="77777777" w:rsidR="0070097E" w:rsidRDefault="0070097E" w:rsidP="0070097E">
      <w:pPr>
        <w:pStyle w:val="Default"/>
        <w:jc w:val="center"/>
        <w:rPr>
          <w:rFonts w:asciiTheme="minorHAnsi" w:eastAsia="Calibri" w:hAnsiTheme="minorHAnsi" w:cs="Calibri"/>
          <w:sz w:val="28"/>
          <w:szCs w:val="20"/>
        </w:rPr>
      </w:pPr>
      <w:r>
        <w:rPr>
          <w:rFonts w:asciiTheme="minorHAnsi" w:hAnsiTheme="minorHAnsi" w:cs="Calibri"/>
          <w:b/>
          <w:bCs/>
          <w:sz w:val="28"/>
          <w:szCs w:val="20"/>
        </w:rPr>
        <w:t>Call for Proposals from NGOs</w:t>
      </w:r>
    </w:p>
    <w:p w14:paraId="35F796DA" w14:textId="77777777" w:rsidR="0070097E" w:rsidRDefault="0070097E" w:rsidP="0070097E">
      <w:pPr>
        <w:pStyle w:val="Default"/>
        <w:rPr>
          <w:rFonts w:asciiTheme="minorHAnsi" w:hAnsiTheme="minorHAnsi" w:cs="Calibri"/>
          <w:sz w:val="20"/>
          <w:szCs w:val="20"/>
        </w:rPr>
      </w:pPr>
    </w:p>
    <w:p w14:paraId="7662FB8A" w14:textId="77777777" w:rsidR="0070097E" w:rsidRDefault="0070097E" w:rsidP="0070097E">
      <w:pPr>
        <w:pStyle w:val="Default"/>
        <w:jc w:val="center"/>
        <w:rPr>
          <w:rFonts w:asciiTheme="minorHAnsi" w:hAnsiTheme="minorHAnsi" w:cs="Calibri"/>
          <w:sz w:val="22"/>
          <w:szCs w:val="22"/>
        </w:rPr>
      </w:pPr>
      <w:r>
        <w:rPr>
          <w:rFonts w:asciiTheme="minorHAnsi" w:hAnsiTheme="minorHAnsi" w:cs="Calibri"/>
          <w:b/>
          <w:bCs/>
          <w:sz w:val="22"/>
          <w:szCs w:val="22"/>
        </w:rPr>
        <w:t>INSTRUCTIONS</w:t>
      </w:r>
    </w:p>
    <w:p w14:paraId="4E58CEE0" w14:textId="77777777" w:rsidR="0070097E" w:rsidRDefault="0070097E" w:rsidP="0070097E">
      <w:pPr>
        <w:pStyle w:val="Default"/>
        <w:rPr>
          <w:rFonts w:asciiTheme="minorHAnsi" w:hAnsiTheme="minorHAnsi" w:cs="Calibri"/>
          <w:sz w:val="22"/>
          <w:szCs w:val="22"/>
        </w:rPr>
      </w:pPr>
      <w:r>
        <w:rPr>
          <w:rFonts w:asciiTheme="minorHAnsi" w:hAnsiTheme="minorHAnsi" w:cs="Calibri"/>
          <w:sz w:val="22"/>
          <w:szCs w:val="22"/>
        </w:rPr>
        <w:t xml:space="preserve"> </w:t>
      </w:r>
    </w:p>
    <w:p w14:paraId="40053706" w14:textId="77777777" w:rsidR="0070097E" w:rsidRDefault="0070097E" w:rsidP="000B2530">
      <w:pPr>
        <w:pStyle w:val="Default"/>
        <w:numPr>
          <w:ilvl w:val="0"/>
          <w:numId w:val="12"/>
        </w:numPr>
        <w:spacing w:before="120" w:after="240" w:line="276" w:lineRule="auto"/>
        <w:contextualSpacing/>
        <w:rPr>
          <w:rFonts w:asciiTheme="minorHAnsi" w:hAnsiTheme="minorHAnsi" w:cs="Calibri"/>
          <w:sz w:val="22"/>
          <w:szCs w:val="22"/>
        </w:rPr>
      </w:pPr>
      <w:r>
        <w:rPr>
          <w:rFonts w:asciiTheme="minorHAnsi" w:hAnsiTheme="minorHAnsi" w:cs="Calibri"/>
          <w:b/>
          <w:bCs/>
          <w:sz w:val="22"/>
          <w:szCs w:val="22"/>
        </w:rPr>
        <w:t>BACKGROUND</w:t>
      </w:r>
    </w:p>
    <w:p w14:paraId="231CBE3E" w14:textId="77777777" w:rsidR="00230059" w:rsidRPr="00094EB0" w:rsidRDefault="00230059" w:rsidP="00230059">
      <w:pPr>
        <w:jc w:val="both"/>
        <w:rPr>
          <w:color w:val="000000" w:themeColor="text1"/>
        </w:rPr>
      </w:pPr>
      <w:r w:rsidRPr="00094EB0">
        <w:rPr>
          <w:color w:val="000000" w:themeColor="text1"/>
        </w:rPr>
        <w:t xml:space="preserve">Myanmar is a regional priority for biodiversity conservation in mainland Southeast Asia. Due to the combination and interaction of geography, topography, and climate, Myanmar has a rich variety of habitats and ecosystems, including 14 terrestrial ecoregions identified by the WWF. The country supports 233 globally threatened species, including 37 critically endangered and 65 endangered species. The country also contains large expanses of species-rich and globally threatened ecosystems such as lowland tropical forests and mangrove ecosystems that are critically threatened elsewhere in the region. </w:t>
      </w:r>
    </w:p>
    <w:p w14:paraId="4504DE19" w14:textId="77777777" w:rsidR="00230059" w:rsidRPr="00094EB0" w:rsidRDefault="00230059" w:rsidP="00230059">
      <w:pPr>
        <w:jc w:val="both"/>
        <w:rPr>
          <w:color w:val="000000" w:themeColor="text1"/>
        </w:rPr>
      </w:pPr>
      <w:r w:rsidRPr="00094EB0">
        <w:rPr>
          <w:color w:val="000000" w:themeColor="text1"/>
        </w:rPr>
        <w:t xml:space="preserve">The National Biodiversity Strategy and Action Plan (NBSAP) of Myanmar was adopted in 2011. The NBSAP identifies equity as the most important thing in using biological resources sustainably in the long run and calls for consideration of the poor and economically disadvantaged groups to secure their access to common resources. The available information on species diversity and endemism indicates that Myanmar supports extraordinary plant and vertebrate diversity, plus levels of endemism comparable to other countries in the Indo-Myanmar (Indo-Burma) Hotspot. However, detailed baseline data are still lacking for many taxonomic groups, and new species for science are still being regularly discovered in the country. In many parts of the country, exploitation of plants is taking place on a commercial scale. Myanmar’s forests support a great diversity of commercially valuable timber species, including teak and various members of the </w:t>
      </w:r>
      <w:proofErr w:type="spellStart"/>
      <w:r w:rsidRPr="00094EB0">
        <w:rPr>
          <w:color w:val="000000" w:themeColor="text1"/>
        </w:rPr>
        <w:t>Dipterocarpaceae</w:t>
      </w:r>
      <w:proofErr w:type="spellEnd"/>
      <w:r w:rsidRPr="00094EB0">
        <w:rPr>
          <w:color w:val="000000" w:themeColor="text1"/>
        </w:rPr>
        <w:t xml:space="preserve"> and Leguminosae, and the impacts of commercial logging on these forests have been documented (Brunner et al., 1998). In Myanmar decisions about natural resource use are typically based only on direct use values, such as timber or hydroelectricity revenues, ignoring indirect use, option use, and existence values. In general, natural resources tend to be severely undervalued. The NBSAP of 2011 calls for financial mechanisms to be developed that will enable the beneficiaries of dispersed ecosystem services provided by Myanmar’s natural ecosystems to contribute to their conservation</w:t>
      </w:r>
    </w:p>
    <w:p w14:paraId="522C2DA5" w14:textId="77777777" w:rsidR="00230059" w:rsidRPr="00BC0991" w:rsidRDefault="00230059" w:rsidP="00230059">
      <w:pPr>
        <w:jc w:val="both"/>
        <w:rPr>
          <w:color w:val="000000" w:themeColor="text1"/>
        </w:rPr>
      </w:pPr>
      <w:r w:rsidRPr="00BC0991">
        <w:rPr>
          <w:color w:val="000000" w:themeColor="text1"/>
        </w:rPr>
        <w:t>The Project aims at strengthening human resources, legal frameworks and institutional capacities to implement the Nagoya Protocol.  Specifically, it aims at assisting countries in the development and strengthening of their national ABS frameworks. The project seeks to achieve this by:</w:t>
      </w:r>
    </w:p>
    <w:p w14:paraId="43AAA260" w14:textId="77777777" w:rsidR="00230059" w:rsidRPr="00BC0991" w:rsidRDefault="00230059" w:rsidP="00230059">
      <w:pPr>
        <w:pStyle w:val="ListParagraph"/>
        <w:numPr>
          <w:ilvl w:val="0"/>
          <w:numId w:val="19"/>
        </w:numPr>
        <w:spacing w:before="120" w:after="120" w:line="276" w:lineRule="auto"/>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Strengthening the legal, policy and institutional capacity to develop national ABS frameworks;</w:t>
      </w:r>
    </w:p>
    <w:p w14:paraId="04241B83" w14:textId="77777777" w:rsidR="00230059" w:rsidRPr="00BC0991" w:rsidRDefault="00230059" w:rsidP="00230059">
      <w:pPr>
        <w:pStyle w:val="ListParagraph"/>
        <w:numPr>
          <w:ilvl w:val="0"/>
          <w:numId w:val="19"/>
        </w:numPr>
        <w:spacing w:before="120" w:after="120" w:line="276" w:lineRule="auto"/>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Building trust between users and providers of genetic resources to facilitate the identification of bio-discovery efforts; and</w:t>
      </w:r>
    </w:p>
    <w:p w14:paraId="784033DF" w14:textId="77777777" w:rsidR="00230059" w:rsidRPr="00BC0991" w:rsidRDefault="00230059" w:rsidP="00230059">
      <w:pPr>
        <w:pStyle w:val="ListParagraph"/>
        <w:numPr>
          <w:ilvl w:val="0"/>
          <w:numId w:val="19"/>
        </w:numPr>
        <w:spacing w:before="120" w:after="120" w:line="276" w:lineRule="auto"/>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 xml:space="preserve">Strengthening the capacities of indigenous and local communities to contribute to the implementation of Nagoya protocol. </w:t>
      </w:r>
    </w:p>
    <w:p w14:paraId="5212F68F" w14:textId="77777777" w:rsidR="00230059" w:rsidRPr="00BC0991" w:rsidRDefault="00230059" w:rsidP="00230059">
      <w:pPr>
        <w:jc w:val="both"/>
        <w:rPr>
          <w:color w:val="000000" w:themeColor="text1"/>
        </w:rPr>
      </w:pPr>
      <w:r w:rsidRPr="00BC0991">
        <w:rPr>
          <w:color w:val="000000" w:themeColor="text1"/>
        </w:rPr>
        <w:t xml:space="preserve">The specific problem that this project will seek to address is the lack of a functioning national legal, policy, and institutional framework that will enable the equitable sharing of benefits from the use of genetic resources and traditional knowledge (TK) between the state (national and state governments), </w:t>
      </w:r>
      <w:r w:rsidRPr="00BC0991">
        <w:rPr>
          <w:color w:val="000000" w:themeColor="text1"/>
        </w:rPr>
        <w:lastRenderedPageBreak/>
        <w:t xml:space="preserve">commercial interests, and the owners and custodians of these resources and TK (such as Indigenous and Local Communities [ILCs]). This issue is compounded by the lack of trust between users and providers of genetic resources that prevents unleashing the potential of genetic resources as a source of innovation, biodiversity conservation, market development, and poverty alleviation. </w:t>
      </w:r>
    </w:p>
    <w:p w14:paraId="09873297" w14:textId="77777777" w:rsidR="0070097E" w:rsidRDefault="00230059" w:rsidP="00230059">
      <w:pPr>
        <w:widowControl w:val="0"/>
        <w:numPr>
          <w:ilvl w:val="0"/>
          <w:numId w:val="19"/>
        </w:numPr>
        <w:tabs>
          <w:tab w:val="left" w:pos="912"/>
        </w:tabs>
        <w:overflowPunct w:val="0"/>
        <w:adjustRightInd w:val="0"/>
        <w:spacing w:before="120" w:after="120" w:line="240" w:lineRule="auto"/>
        <w:jc w:val="both"/>
        <w:rPr>
          <w:rFonts w:asciiTheme="minorHAnsi" w:eastAsia="Times New Roman" w:hAnsiTheme="minorHAnsi" w:cstheme="minorHAnsi"/>
        </w:rPr>
      </w:pPr>
      <w:r w:rsidRPr="00094EB0">
        <w:rPr>
          <w:rFonts w:eastAsia="Corbel"/>
          <w:color w:val="000000" w:themeColor="text1"/>
        </w:rPr>
        <w:t xml:space="preserve">Following an inception workshop organized in August 2017, a draft analysis report on Traditional Knowledge in Myanmar has been prepared and presented to selected stakeholders in February 2018. </w:t>
      </w:r>
      <w:proofErr w:type="gramStart"/>
      <w:r w:rsidRPr="00094EB0">
        <w:rPr>
          <w:rFonts w:eastAsia="Corbel"/>
          <w:color w:val="000000" w:themeColor="text1"/>
        </w:rPr>
        <w:t>In order to</w:t>
      </w:r>
      <w:proofErr w:type="gramEnd"/>
      <w:r w:rsidRPr="00094EB0">
        <w:rPr>
          <w:rFonts w:eastAsia="Corbel"/>
          <w:color w:val="000000" w:themeColor="text1"/>
        </w:rPr>
        <w:t xml:space="preserve"> take the project implementation forward, UNDP Myanmar is looking for a reputable organization/institution/consultancy firm as an implementing partner to support the implementation of the project in Myanmar while working closely with counterparts at the Ministry of Natural Resources, and Environment Conservation and UNDP.</w:t>
      </w:r>
      <w:r w:rsidR="0070097E" w:rsidRPr="00D92AA2">
        <w:rPr>
          <w:rFonts w:asciiTheme="minorHAnsi" w:eastAsia="Times New Roman" w:hAnsiTheme="minorHAnsi" w:cstheme="minorHAnsi"/>
        </w:rPr>
        <w:t xml:space="preserve"> </w:t>
      </w:r>
    </w:p>
    <w:p w14:paraId="22AC8454" w14:textId="77777777" w:rsidR="0070097E" w:rsidRPr="00BC0991" w:rsidRDefault="0070097E" w:rsidP="0070097E">
      <w:pPr>
        <w:pStyle w:val="Default"/>
        <w:jc w:val="both"/>
        <w:rPr>
          <w:rFonts w:ascii="Calibri" w:eastAsia="Calibri" w:hAnsi="Calibri" w:cs="Times New Roman"/>
          <w:color w:val="000000" w:themeColor="text1"/>
          <w:sz w:val="22"/>
          <w:szCs w:val="22"/>
        </w:rPr>
      </w:pPr>
    </w:p>
    <w:p w14:paraId="4F5D4A34" w14:textId="3922841F" w:rsidR="00230059" w:rsidRPr="00BC0991" w:rsidRDefault="00230059" w:rsidP="00BC0991">
      <w:pPr>
        <w:pStyle w:val="ListParagraph"/>
        <w:widowControl w:val="0"/>
        <w:numPr>
          <w:ilvl w:val="0"/>
          <w:numId w:val="12"/>
        </w:numPr>
        <w:overflowPunct w:val="0"/>
        <w:adjustRightInd w:val="0"/>
        <w:spacing w:line="360" w:lineRule="auto"/>
        <w:contextualSpacing/>
        <w:jc w:val="both"/>
        <w:rPr>
          <w:rFonts w:ascii="Calibri" w:eastAsia="Calibri" w:hAnsi="Calibri" w:cs="Times New Roman"/>
          <w:b/>
          <w:color w:val="000000" w:themeColor="text1"/>
          <w:sz w:val="22"/>
          <w:szCs w:val="22"/>
          <w:lang w:val="en-US"/>
        </w:rPr>
      </w:pPr>
      <w:r w:rsidRPr="00BC0991">
        <w:rPr>
          <w:rFonts w:ascii="Calibri" w:eastAsia="Calibri" w:hAnsi="Calibri" w:cs="Times New Roman"/>
          <w:b/>
          <w:color w:val="000000" w:themeColor="text1"/>
          <w:sz w:val="22"/>
          <w:szCs w:val="22"/>
          <w:lang w:val="en-US"/>
        </w:rPr>
        <w:t>Scope of Work</w:t>
      </w:r>
    </w:p>
    <w:p w14:paraId="48F495DD" w14:textId="77777777" w:rsidR="00230059" w:rsidRPr="00094EB0" w:rsidRDefault="00230059" w:rsidP="00230059">
      <w:pPr>
        <w:jc w:val="both"/>
        <w:rPr>
          <w:color w:val="000000" w:themeColor="text1"/>
        </w:rPr>
      </w:pPr>
      <w:r w:rsidRPr="00094EB0">
        <w:rPr>
          <w:color w:val="000000" w:themeColor="text1"/>
        </w:rPr>
        <w:t xml:space="preserve">Under the close supervision of the Governance for Resilience and Sustainability (GRSP) Project Manager in Myanmar and the ABS Regional Project Advisor, the selected </w:t>
      </w:r>
      <w:proofErr w:type="spellStart"/>
      <w:r w:rsidRPr="00094EB0">
        <w:rPr>
          <w:color w:val="000000" w:themeColor="text1"/>
        </w:rPr>
        <w:t>organisation</w:t>
      </w:r>
      <w:proofErr w:type="spellEnd"/>
      <w:r w:rsidRPr="00094EB0">
        <w:rPr>
          <w:color w:val="000000" w:themeColor="text1"/>
        </w:rPr>
        <w:t xml:space="preserve"> will be responsible for substantial technical contributions to the required analysis and consultations with the key stakeholders to ensure that their contributions are considered and resolved with a view to achieving the project objectives. </w:t>
      </w:r>
    </w:p>
    <w:p w14:paraId="555EF29C" w14:textId="77777777" w:rsidR="00230059" w:rsidRPr="00094EB0" w:rsidRDefault="00230059" w:rsidP="00230059">
      <w:pPr>
        <w:jc w:val="both"/>
        <w:rPr>
          <w:color w:val="000000" w:themeColor="text1"/>
        </w:rPr>
      </w:pPr>
      <w:r w:rsidRPr="00094EB0">
        <w:rPr>
          <w:color w:val="000000" w:themeColor="text1"/>
        </w:rPr>
        <w:t xml:space="preserve">The expected outcomes/outputs envisaged under the consultancy have been identified in Annex I.  </w:t>
      </w:r>
    </w:p>
    <w:p w14:paraId="09F57AE8" w14:textId="77777777" w:rsidR="00230059" w:rsidRPr="00094EB0" w:rsidRDefault="00230059" w:rsidP="00230059">
      <w:pPr>
        <w:jc w:val="both"/>
        <w:rPr>
          <w:color w:val="000000" w:themeColor="text1"/>
        </w:rPr>
      </w:pPr>
      <w:proofErr w:type="gramStart"/>
      <w:r w:rsidRPr="00094EB0">
        <w:rPr>
          <w:color w:val="000000" w:themeColor="text1"/>
        </w:rPr>
        <w:t>In order to</w:t>
      </w:r>
      <w:proofErr w:type="gramEnd"/>
      <w:r w:rsidRPr="00094EB0">
        <w:rPr>
          <w:color w:val="000000" w:themeColor="text1"/>
        </w:rPr>
        <w:t xml:space="preserve"> execute the works, the </w:t>
      </w:r>
      <w:proofErr w:type="spellStart"/>
      <w:r w:rsidRPr="00094EB0">
        <w:rPr>
          <w:color w:val="000000" w:themeColor="text1"/>
        </w:rPr>
        <w:t>organisation</w:t>
      </w:r>
      <w:proofErr w:type="spellEnd"/>
      <w:r w:rsidRPr="00094EB0">
        <w:rPr>
          <w:color w:val="000000" w:themeColor="text1"/>
        </w:rPr>
        <w:t xml:space="preserve"> will need to provide the following specialized services in the identified areas of expertise as per below:</w:t>
      </w:r>
    </w:p>
    <w:p w14:paraId="79ED3FF8" w14:textId="77777777" w:rsidR="00BC0991" w:rsidRDefault="00BC0991" w:rsidP="00BC0991">
      <w:pPr>
        <w:widowControl w:val="0"/>
        <w:overflowPunct w:val="0"/>
        <w:adjustRightInd w:val="0"/>
        <w:spacing w:line="360" w:lineRule="auto"/>
        <w:contextualSpacing/>
        <w:jc w:val="both"/>
        <w:rPr>
          <w:color w:val="000000" w:themeColor="text1"/>
        </w:rPr>
      </w:pPr>
    </w:p>
    <w:p w14:paraId="56716236" w14:textId="0BDDAB4C" w:rsidR="00230059" w:rsidRPr="00BC0991" w:rsidRDefault="00230059" w:rsidP="00BC0991">
      <w:pPr>
        <w:widowControl w:val="0"/>
        <w:overflowPunct w:val="0"/>
        <w:adjustRightInd w:val="0"/>
        <w:spacing w:line="360" w:lineRule="auto"/>
        <w:contextualSpacing/>
        <w:jc w:val="both"/>
        <w:rPr>
          <w:color w:val="000000" w:themeColor="text1"/>
        </w:rPr>
      </w:pPr>
      <w:r w:rsidRPr="00BC0991">
        <w:rPr>
          <w:color w:val="000000" w:themeColor="text1"/>
        </w:rPr>
        <w:t>Objective</w:t>
      </w:r>
      <w:r w:rsidR="00BC0991">
        <w:rPr>
          <w:color w:val="000000" w:themeColor="text1"/>
        </w:rPr>
        <w:t xml:space="preserve"> of </w:t>
      </w:r>
      <w:r w:rsidR="00BC0991" w:rsidRPr="00BC0991">
        <w:rPr>
          <w:color w:val="000000" w:themeColor="text1"/>
        </w:rPr>
        <w:t>Biodiscovery and Communication</w:t>
      </w:r>
    </w:p>
    <w:p w14:paraId="56D19B31" w14:textId="77777777" w:rsidR="00230059" w:rsidRPr="00094EB0" w:rsidRDefault="00230059" w:rsidP="00230059">
      <w:pPr>
        <w:jc w:val="both"/>
        <w:rPr>
          <w:color w:val="000000" w:themeColor="text1"/>
        </w:rPr>
      </w:pPr>
      <w:r w:rsidRPr="00094EB0">
        <w:rPr>
          <w:color w:val="000000" w:themeColor="text1"/>
        </w:rPr>
        <w:t xml:space="preserve">The </w:t>
      </w:r>
      <w:proofErr w:type="spellStart"/>
      <w:r w:rsidRPr="00094EB0">
        <w:rPr>
          <w:color w:val="000000" w:themeColor="text1"/>
        </w:rPr>
        <w:t>organisation</w:t>
      </w:r>
      <w:proofErr w:type="spellEnd"/>
      <w:r w:rsidRPr="00094EB0">
        <w:rPr>
          <w:color w:val="000000" w:themeColor="text1"/>
        </w:rPr>
        <w:t xml:space="preserve"> will play a central role for the following activities, with the support from the government implementing partner, Regional Project Advisor and GRSP Project Manager in implementing activities outlined under this project.</w:t>
      </w:r>
    </w:p>
    <w:p w14:paraId="423B7E04" w14:textId="77777777" w:rsidR="00230059" w:rsidRPr="00BC0991" w:rsidRDefault="00230059" w:rsidP="00230059">
      <w:pPr>
        <w:pStyle w:val="ListParagraph"/>
        <w:numPr>
          <w:ilvl w:val="0"/>
          <w:numId w:val="27"/>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Participate and facilitate the coordination meetings with the Project stakeholders (Relevant Government Ministries, Private Sector, NGOs and local communities) to scope existing biodiscovery projects in Myanmar specifically on Myanmar and non-Myanmar genetic resources (GRs) and associated traditional knowledge (ATK), and identify main users and providers of GRs and ATK in Myanmar;</w:t>
      </w:r>
    </w:p>
    <w:p w14:paraId="7F5E49C6" w14:textId="77777777" w:rsidR="00230059" w:rsidRPr="00BC0991" w:rsidRDefault="00230059" w:rsidP="00230059">
      <w:pPr>
        <w:pStyle w:val="ListParagraph"/>
        <w:numPr>
          <w:ilvl w:val="0"/>
          <w:numId w:val="27"/>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Conduct the analysis on the current biodiscovery partnership of GRs and ATK in Myanmar, main users and providers of GRs and ATK, elements for a successful biodiscovery, as well as make specific and appropriate recommendations required to build successful biodiscovery partnership leading towards fair and equitable sharing of benefits.</w:t>
      </w:r>
    </w:p>
    <w:p w14:paraId="5F412777" w14:textId="77777777" w:rsidR="00230059" w:rsidRPr="00BC0991" w:rsidRDefault="00230059" w:rsidP="00230059">
      <w:pPr>
        <w:pStyle w:val="ListParagraph"/>
        <w:numPr>
          <w:ilvl w:val="0"/>
          <w:numId w:val="27"/>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 xml:space="preserve">Participate and assist in facilitating the meetings with Myanmar project stakeholders (Relevant Government Ministries, Private Sector, NGOs and local communities) to raise awareness on the ABS national frameworks, CBD and Nagoya Protocol targeting policymakers, researchers, and ILCs, among others; </w:t>
      </w:r>
    </w:p>
    <w:p w14:paraId="6193E7DB" w14:textId="77777777" w:rsidR="00230059" w:rsidRPr="00BC0991" w:rsidRDefault="00230059" w:rsidP="00230059">
      <w:pPr>
        <w:pStyle w:val="ListParagraph"/>
        <w:numPr>
          <w:ilvl w:val="0"/>
          <w:numId w:val="27"/>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Conduct the analysis on the current communications needs of priority project stakeholders, existing communications channels, as well as make specific and appropriate recommendations required to increase awareness on ABS of priority stakeholders;</w:t>
      </w:r>
    </w:p>
    <w:p w14:paraId="02329E6B" w14:textId="77777777" w:rsidR="00230059" w:rsidRPr="00BC0991" w:rsidRDefault="00230059" w:rsidP="00230059">
      <w:pPr>
        <w:pStyle w:val="ListParagraph"/>
        <w:numPr>
          <w:ilvl w:val="0"/>
          <w:numId w:val="27"/>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lastRenderedPageBreak/>
        <w:t>Conduct consultation and validation workshop on the analyses and recommendations with the participation of relevant stakeholders, including IPLC and women association, including KAP assessment surveys and/or training, as advised by the Project Manager.</w:t>
      </w:r>
    </w:p>
    <w:p w14:paraId="6AF42AE3" w14:textId="77777777" w:rsidR="00230059" w:rsidRPr="00BC0991" w:rsidRDefault="00230059" w:rsidP="00230059">
      <w:pPr>
        <w:pStyle w:val="ListParagraph"/>
        <w:numPr>
          <w:ilvl w:val="0"/>
          <w:numId w:val="27"/>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Produce outputs as detailed below;</w:t>
      </w:r>
    </w:p>
    <w:p w14:paraId="341E3344" w14:textId="77777777" w:rsidR="0070097E" w:rsidRPr="00BC0991" w:rsidRDefault="0070097E" w:rsidP="0070097E">
      <w:pPr>
        <w:pStyle w:val="Default"/>
        <w:rPr>
          <w:rFonts w:ascii="Calibri" w:eastAsia="Calibri" w:hAnsi="Calibri" w:cs="Times New Roman"/>
          <w:color w:val="000000" w:themeColor="text1"/>
          <w:sz w:val="22"/>
          <w:szCs w:val="22"/>
        </w:rPr>
      </w:pPr>
    </w:p>
    <w:p w14:paraId="05A1785F" w14:textId="77777777" w:rsidR="00230059" w:rsidRPr="00BC0991" w:rsidRDefault="00230059" w:rsidP="00230059">
      <w:pPr>
        <w:pStyle w:val="ListParagraph"/>
        <w:numPr>
          <w:ilvl w:val="0"/>
          <w:numId w:val="14"/>
        </w:numPr>
        <w:jc w:val="both"/>
        <w:rPr>
          <w:rFonts w:ascii="Calibri" w:eastAsia="Calibri" w:hAnsi="Calibri" w:cs="Times New Roman"/>
          <w:b/>
          <w:color w:val="000000" w:themeColor="text1"/>
          <w:sz w:val="22"/>
          <w:szCs w:val="22"/>
          <w:lang w:val="en-US"/>
        </w:rPr>
      </w:pPr>
      <w:r w:rsidRPr="00BC0991">
        <w:rPr>
          <w:rFonts w:ascii="Calibri" w:eastAsia="Calibri" w:hAnsi="Calibri" w:cs="Times New Roman"/>
          <w:b/>
          <w:color w:val="000000" w:themeColor="text1"/>
          <w:sz w:val="22"/>
          <w:szCs w:val="22"/>
          <w:lang w:val="en-US"/>
        </w:rPr>
        <w:t>OUTPUTS</w:t>
      </w:r>
    </w:p>
    <w:p w14:paraId="1B6D76C0" w14:textId="77777777" w:rsidR="00230059" w:rsidRPr="00BC0991" w:rsidRDefault="00230059" w:rsidP="00230059">
      <w:pPr>
        <w:pStyle w:val="ListParagraph"/>
        <w:numPr>
          <w:ilvl w:val="0"/>
          <w:numId w:val="28"/>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 xml:space="preserve">A concise methodology to conduct the analyses and comprehensive analysis report, on the current biodiscovery partnership of GRs and ATK in Myanmar, main users and providers of GRs and ATK, elements for a successful biodiscovery, as well as make specific and appropriate recommendations required to build successful </w:t>
      </w:r>
      <w:proofErr w:type="spellStart"/>
      <w:r w:rsidRPr="00BC0991">
        <w:rPr>
          <w:rFonts w:ascii="Calibri" w:eastAsia="Calibri" w:hAnsi="Calibri" w:cs="Times New Roman"/>
          <w:color w:val="000000" w:themeColor="text1"/>
          <w:sz w:val="22"/>
          <w:szCs w:val="22"/>
          <w:lang w:val="en-US"/>
        </w:rPr>
        <w:t>biodisovery</w:t>
      </w:r>
      <w:proofErr w:type="spellEnd"/>
      <w:r w:rsidRPr="00BC0991">
        <w:rPr>
          <w:rFonts w:ascii="Calibri" w:eastAsia="Calibri" w:hAnsi="Calibri" w:cs="Times New Roman"/>
          <w:color w:val="000000" w:themeColor="text1"/>
          <w:sz w:val="22"/>
          <w:szCs w:val="22"/>
          <w:lang w:val="en-US"/>
        </w:rPr>
        <w:t xml:space="preserve"> partnership leading towards fair and equitable sharing of benefits including identification of potential biodiscovery partnership to be supported by the Global ABS Project;</w:t>
      </w:r>
    </w:p>
    <w:p w14:paraId="5171672F" w14:textId="77777777" w:rsidR="00230059" w:rsidRPr="00BC0991" w:rsidRDefault="00230059" w:rsidP="00230059">
      <w:pPr>
        <w:pStyle w:val="ListParagraph"/>
        <w:numPr>
          <w:ilvl w:val="0"/>
          <w:numId w:val="28"/>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Process and procedures handbook for CNAs on ABS applications, list of potential biodiscovery projects, sectoral (agricultural, pharmaceutical, and biotechnology) ethical codes of conduct for research on TK and GRs;</w:t>
      </w:r>
    </w:p>
    <w:p w14:paraId="06906233" w14:textId="77777777" w:rsidR="00230059" w:rsidRPr="00BC0991" w:rsidRDefault="00230059" w:rsidP="00230059">
      <w:pPr>
        <w:pStyle w:val="ListParagraph"/>
        <w:numPr>
          <w:ilvl w:val="0"/>
          <w:numId w:val="28"/>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A concise methodology to conduct the analysis and analysis report on the current communications needs of priority project stakeholders, existing communications channels, as well as make specific and appropriate recommendations required to increase awareness on ABS of priority stakeholders;</w:t>
      </w:r>
    </w:p>
    <w:p w14:paraId="6C13F61F" w14:textId="77777777" w:rsidR="00230059" w:rsidRPr="00BC0991" w:rsidRDefault="00230059" w:rsidP="00230059">
      <w:pPr>
        <w:pStyle w:val="ListParagraph"/>
        <w:numPr>
          <w:ilvl w:val="0"/>
          <w:numId w:val="28"/>
        </w:numPr>
        <w:spacing w:before="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Implement communications strategy and actions including development of success stories, information materials for priority key stakeholders;</w:t>
      </w:r>
    </w:p>
    <w:p w14:paraId="54D5FAEC" w14:textId="77777777" w:rsidR="00230059" w:rsidRPr="00BC0991" w:rsidRDefault="00230059" w:rsidP="00230059">
      <w:pPr>
        <w:pStyle w:val="ListParagraph"/>
        <w:numPr>
          <w:ilvl w:val="0"/>
          <w:numId w:val="28"/>
        </w:numPr>
        <w:spacing w:before="120" w:after="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Identify two communities involved in the management of genetic/natural resources to serve as case studies for the development of biocultural community protocols (BCPs) and draft the BCPs for and together with the identified communities;</w:t>
      </w:r>
    </w:p>
    <w:p w14:paraId="30080CB9" w14:textId="77777777" w:rsidR="00230059" w:rsidRPr="00094EB0" w:rsidRDefault="00230059" w:rsidP="00230059">
      <w:pPr>
        <w:pStyle w:val="CommentText"/>
        <w:numPr>
          <w:ilvl w:val="0"/>
          <w:numId w:val="28"/>
        </w:numPr>
        <w:spacing w:before="120" w:after="120"/>
        <w:ind w:left="567" w:hanging="142"/>
        <w:jc w:val="both"/>
        <w:rPr>
          <w:color w:val="000000" w:themeColor="text1"/>
          <w:sz w:val="22"/>
          <w:szCs w:val="22"/>
        </w:rPr>
      </w:pPr>
      <w:r w:rsidRPr="00094EB0">
        <w:rPr>
          <w:color w:val="000000" w:themeColor="text1"/>
          <w:sz w:val="22"/>
          <w:szCs w:val="22"/>
        </w:rPr>
        <w:t>Knowledge sharing sessions with a range of community stakeholders, such as High Schools, ILCs, Women groups and CBOs;</w:t>
      </w:r>
    </w:p>
    <w:p w14:paraId="3FDCD8A5" w14:textId="77777777" w:rsidR="00230059" w:rsidRPr="00094EB0" w:rsidRDefault="00230059" w:rsidP="00230059">
      <w:pPr>
        <w:pStyle w:val="CommentText"/>
        <w:numPr>
          <w:ilvl w:val="0"/>
          <w:numId w:val="28"/>
        </w:numPr>
        <w:spacing w:before="120" w:after="120"/>
        <w:ind w:left="567" w:hanging="142"/>
        <w:jc w:val="both"/>
        <w:rPr>
          <w:color w:val="000000" w:themeColor="text1"/>
          <w:sz w:val="22"/>
          <w:szCs w:val="22"/>
        </w:rPr>
      </w:pPr>
      <w:r w:rsidRPr="00094EB0">
        <w:rPr>
          <w:color w:val="000000" w:themeColor="text1"/>
          <w:sz w:val="22"/>
          <w:szCs w:val="22"/>
        </w:rPr>
        <w:t>Training and awareness-raising materials on the importance of GRs and traditional knowledge associated with genetic resources (TKAGRs) and related ABS issues (in English, Myanmar and at least 2 ethnic languages relevant to project locations);</w:t>
      </w:r>
    </w:p>
    <w:p w14:paraId="166FF7B4" w14:textId="77777777" w:rsidR="00230059" w:rsidRPr="00094EB0" w:rsidRDefault="00230059" w:rsidP="00230059">
      <w:pPr>
        <w:pStyle w:val="CommentText"/>
        <w:numPr>
          <w:ilvl w:val="0"/>
          <w:numId w:val="28"/>
        </w:numPr>
        <w:spacing w:before="120" w:after="120"/>
        <w:ind w:left="567" w:hanging="142"/>
        <w:jc w:val="both"/>
        <w:rPr>
          <w:color w:val="000000" w:themeColor="text1"/>
          <w:sz w:val="22"/>
          <w:szCs w:val="22"/>
        </w:rPr>
      </w:pPr>
      <w:r w:rsidRPr="00094EB0">
        <w:rPr>
          <w:color w:val="000000" w:themeColor="text1"/>
          <w:sz w:val="22"/>
          <w:szCs w:val="22"/>
        </w:rPr>
        <w:t xml:space="preserve">Reports for the; consultations on the developed national TK guidelines and ABS process and procedural manual (for Competent National Authorities-CNAs); workshops on the biodiscovery initiatives and to promote partnerships; workshop on issues related to the Nagoya Protocol (NP) and ABS; workshop on building the capacity of identified communities for implementing the BCP; training sessions at the local level with the participation of women on issues of ABS framework implementation;    </w:t>
      </w:r>
    </w:p>
    <w:p w14:paraId="607E6BFC" w14:textId="77777777" w:rsidR="00230059" w:rsidRPr="00BC0991" w:rsidRDefault="00230059" w:rsidP="00230059">
      <w:pPr>
        <w:pStyle w:val="ListParagraph"/>
        <w:numPr>
          <w:ilvl w:val="0"/>
          <w:numId w:val="28"/>
        </w:numPr>
        <w:spacing w:before="120" w:after="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Translate and proofread all project reports from English to Myanmar and vice versa;</w:t>
      </w:r>
    </w:p>
    <w:p w14:paraId="6D019A34" w14:textId="77777777" w:rsidR="00230059" w:rsidRPr="00BC0991" w:rsidRDefault="00230059" w:rsidP="00230059">
      <w:pPr>
        <w:pStyle w:val="ListParagraph"/>
        <w:numPr>
          <w:ilvl w:val="0"/>
          <w:numId w:val="28"/>
        </w:numPr>
        <w:spacing w:before="120" w:after="120"/>
        <w:ind w:left="567" w:hanging="142"/>
        <w:jc w:val="both"/>
        <w:rPr>
          <w:rFonts w:ascii="Calibri" w:eastAsia="Calibri" w:hAnsi="Calibri" w:cs="Times New Roman"/>
          <w:color w:val="000000" w:themeColor="text1"/>
          <w:sz w:val="22"/>
          <w:szCs w:val="22"/>
          <w:lang w:val="en-US"/>
        </w:rPr>
      </w:pPr>
      <w:r w:rsidRPr="00BC0991">
        <w:rPr>
          <w:rFonts w:ascii="Calibri" w:eastAsia="Calibri" w:hAnsi="Calibri" w:cs="Times New Roman"/>
          <w:color w:val="000000" w:themeColor="text1"/>
          <w:sz w:val="22"/>
          <w:szCs w:val="22"/>
          <w:lang w:val="en-US"/>
        </w:rPr>
        <w:t>Report on direct support provided in the development of national interim ABS measure, national ABS law, TK Database/Registry, National TK Guidelines, process and procedures manual for ABS application, sectoral ABS contract models, publication of potential biodiscovery projects, national ABS CHM, sectoral guidelines for research and development models, Intellectual Property Rights Manual (documented IPR links to biodiscovery and ABS relevant to Myanmar), sectoral ethical codes of conduct, biocultural community protocols, and implementation of meetings/trainings/seminars/workshops.</w:t>
      </w:r>
    </w:p>
    <w:p w14:paraId="7185C02A" w14:textId="77777777" w:rsidR="0070097E" w:rsidRDefault="0070097E" w:rsidP="0070097E">
      <w:pPr>
        <w:spacing w:after="0" w:line="264" w:lineRule="auto"/>
        <w:jc w:val="both"/>
      </w:pPr>
    </w:p>
    <w:p w14:paraId="3329EE17" w14:textId="77777777" w:rsidR="0070097E" w:rsidRPr="0070097E" w:rsidRDefault="0070097E" w:rsidP="000B2530">
      <w:pPr>
        <w:pStyle w:val="Default"/>
        <w:numPr>
          <w:ilvl w:val="0"/>
          <w:numId w:val="14"/>
        </w:numPr>
        <w:spacing w:before="120" w:after="240" w:line="276" w:lineRule="auto"/>
        <w:contextualSpacing/>
        <w:rPr>
          <w:rFonts w:asciiTheme="minorHAnsi" w:hAnsiTheme="minorHAnsi" w:cs="Calibri"/>
          <w:b/>
          <w:sz w:val="22"/>
          <w:szCs w:val="22"/>
        </w:rPr>
      </w:pPr>
      <w:r w:rsidRPr="0070097E">
        <w:rPr>
          <w:rFonts w:asciiTheme="minorHAnsi" w:hAnsiTheme="minorHAnsi" w:cs="Calibri"/>
          <w:b/>
          <w:bCs/>
          <w:sz w:val="22"/>
          <w:szCs w:val="22"/>
        </w:rPr>
        <w:t>ELIGIBILITY &amp; QUALIFICATION CRITERIA</w:t>
      </w:r>
    </w:p>
    <w:p w14:paraId="6A9FB24F" w14:textId="77777777" w:rsidR="0070097E" w:rsidRDefault="0070097E" w:rsidP="000B2530">
      <w:pPr>
        <w:spacing w:after="120" w:line="264" w:lineRule="auto"/>
        <w:jc w:val="both"/>
        <w:rPr>
          <w:rFonts w:asciiTheme="minorHAnsi" w:hAnsiTheme="minorHAnsi" w:cs="Calibri"/>
        </w:rPr>
      </w:pPr>
      <w:r>
        <w:rPr>
          <w:rFonts w:cs="Calibri"/>
        </w:rPr>
        <w:lastRenderedPageBreak/>
        <w:t xml:space="preserve">The eligibility and qualification of the NGOs for the assignment shall be assessed based upon the information furnished in the Request for Information (RFI) questionnaire and the Capacity Assessment Checklist (CACHE), which are attached to this Call for Proposal (CFP).  </w:t>
      </w:r>
      <w:r w:rsidR="00A90DC4">
        <w:rPr>
          <w:rFonts w:cs="Calibri"/>
        </w:rPr>
        <w:t xml:space="preserve"> </w:t>
      </w:r>
      <w:r w:rsidR="00935682">
        <w:rPr>
          <w:rFonts w:cs="Calibri"/>
        </w:rPr>
        <w:t xml:space="preserve">NGOs/CSOs who already submitted the information requested in the RFI do not have to resubmit it. </w:t>
      </w:r>
    </w:p>
    <w:p w14:paraId="0B886542" w14:textId="77777777" w:rsidR="0070097E" w:rsidRDefault="0070097E" w:rsidP="0070097E">
      <w:pPr>
        <w:pStyle w:val="Default"/>
        <w:rPr>
          <w:rFonts w:asciiTheme="minorHAnsi" w:hAnsiTheme="minorHAnsi" w:cs="Calibri"/>
          <w:sz w:val="22"/>
          <w:szCs w:val="22"/>
        </w:rPr>
      </w:pPr>
    </w:p>
    <w:p w14:paraId="0AA13F51" w14:textId="77777777" w:rsidR="0070097E" w:rsidRDefault="0070097E" w:rsidP="000B2530">
      <w:pPr>
        <w:pStyle w:val="Default"/>
        <w:numPr>
          <w:ilvl w:val="0"/>
          <w:numId w:val="14"/>
        </w:numPr>
        <w:spacing w:before="120" w:after="240" w:line="276" w:lineRule="auto"/>
        <w:contextualSpacing/>
        <w:rPr>
          <w:rFonts w:asciiTheme="minorHAnsi" w:hAnsiTheme="minorHAnsi" w:cs="Calibri"/>
          <w:b/>
          <w:sz w:val="22"/>
          <w:szCs w:val="22"/>
        </w:rPr>
      </w:pPr>
      <w:r>
        <w:rPr>
          <w:rFonts w:asciiTheme="minorHAnsi" w:hAnsiTheme="minorHAnsi" w:cs="Calibri"/>
          <w:b/>
          <w:sz w:val="22"/>
          <w:szCs w:val="22"/>
        </w:rPr>
        <w:t>THE PROPOSAL</w:t>
      </w:r>
    </w:p>
    <w:p w14:paraId="6706AB97" w14:textId="77777777" w:rsidR="0070097E" w:rsidRDefault="0070097E" w:rsidP="000B2530">
      <w:pPr>
        <w:pStyle w:val="NormalWeb"/>
        <w:spacing w:before="0" w:beforeAutospacing="0" w:after="120" w:afterAutospacing="0" w:line="264" w:lineRule="auto"/>
        <w:jc w:val="both"/>
        <w:rPr>
          <w:rFonts w:asciiTheme="minorHAnsi" w:hAnsiTheme="minorHAnsi" w:cs="Calibri"/>
          <w:color w:val="000000"/>
          <w:sz w:val="22"/>
          <w:szCs w:val="22"/>
        </w:rPr>
      </w:pPr>
      <w:r>
        <w:rPr>
          <w:rFonts w:asciiTheme="minorHAnsi" w:hAnsiTheme="minorHAnsi" w:cs="Calibri"/>
          <w:color w:val="000000"/>
          <w:sz w:val="22"/>
          <w:szCs w:val="22"/>
          <w:u w:val="single"/>
        </w:rPr>
        <w:t>Proposed Methodology, Approach, quality assurance plan and Implementation Plan</w:t>
      </w:r>
      <w:r>
        <w:rPr>
          <w:rFonts w:asciiTheme="minorHAnsi" w:hAnsiTheme="minorHAnsi" w:cs="Calibri"/>
          <w:color w:val="000000"/>
          <w:sz w:val="22"/>
          <w:szCs w:val="22"/>
        </w:rPr>
        <w:t xml:space="preserve"> – this section should demonstrate the NGO’s response to the Terms of Reference by identifying the specific components proposed, how the outputs/ delivery shall be addressed, as specified, providing a detailed description of the essential performance characteristics proposed. A template for this proposal is provided as Annex 2. The proposal should also demonstrate how the proposed methodology meets or exceeds the TOR, while ensuring appropriateness of the approach to the local conditions and the rest of the project operating environment. This methodology must be laid out in an implementation timetable and a quality assurance. </w:t>
      </w:r>
    </w:p>
    <w:p w14:paraId="05F19D4B" w14:textId="77777777" w:rsidR="0070097E" w:rsidRDefault="0070097E" w:rsidP="000B2530">
      <w:pPr>
        <w:pStyle w:val="NormalWeb"/>
        <w:spacing w:before="0" w:beforeAutospacing="0" w:after="120" w:afterAutospacing="0" w:line="264" w:lineRule="auto"/>
        <w:jc w:val="both"/>
        <w:rPr>
          <w:rFonts w:asciiTheme="minorHAnsi" w:hAnsiTheme="minorHAnsi" w:cs="Calibri"/>
          <w:color w:val="000000"/>
          <w:sz w:val="22"/>
          <w:szCs w:val="22"/>
        </w:rPr>
      </w:pPr>
      <w:r>
        <w:rPr>
          <w:rFonts w:asciiTheme="minorHAnsi" w:hAnsiTheme="minorHAnsi" w:cs="Calibri"/>
          <w:color w:val="000000"/>
          <w:sz w:val="22"/>
          <w:szCs w:val="22"/>
        </w:rPr>
        <w:t xml:space="preserve">The proposal should also include a section on </w:t>
      </w:r>
      <w:r>
        <w:rPr>
          <w:rFonts w:asciiTheme="minorHAnsi" w:hAnsiTheme="minorHAnsi" w:cs="Calibri"/>
          <w:color w:val="000000"/>
          <w:sz w:val="22"/>
          <w:szCs w:val="22"/>
          <w:u w:val="single"/>
        </w:rPr>
        <w:t>Management Structure and Resources (Key Personnel)</w:t>
      </w:r>
      <w:r>
        <w:rPr>
          <w:rFonts w:asciiTheme="minorHAnsi" w:hAnsiTheme="minorHAnsi" w:cs="Calibri"/>
          <w:color w:val="000000"/>
          <w:sz w:val="22"/>
          <w:szCs w:val="22"/>
        </w:rPr>
        <w:t xml:space="preserve"> and</w:t>
      </w:r>
      <w:r w:rsidR="00FA4B7D">
        <w:rPr>
          <w:rFonts w:asciiTheme="minorHAnsi" w:hAnsiTheme="minorHAnsi" w:cs="Calibri"/>
          <w:color w:val="000000"/>
          <w:sz w:val="22"/>
          <w:szCs w:val="22"/>
        </w:rPr>
        <w:t xml:space="preserve"> </w:t>
      </w:r>
      <w:r>
        <w:rPr>
          <w:rFonts w:asciiTheme="minorHAnsi" w:hAnsiTheme="minorHAnsi" w:cs="Calibri"/>
          <w:color w:val="000000"/>
          <w:sz w:val="22"/>
          <w:szCs w:val="22"/>
        </w:rPr>
        <w:t xml:space="preserve">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212C0D21" w14:textId="77777777" w:rsidR="0070097E" w:rsidRDefault="0070097E" w:rsidP="0070097E">
      <w:pPr>
        <w:pStyle w:val="Default"/>
        <w:rPr>
          <w:rFonts w:asciiTheme="minorHAnsi" w:hAnsiTheme="minorHAnsi" w:cs="Calibri"/>
          <w:sz w:val="22"/>
          <w:szCs w:val="22"/>
        </w:rPr>
      </w:pPr>
    </w:p>
    <w:p w14:paraId="32007E62" w14:textId="77777777" w:rsidR="0070097E" w:rsidRPr="000B2530" w:rsidRDefault="0070097E" w:rsidP="000B2530">
      <w:pPr>
        <w:pStyle w:val="Default"/>
        <w:numPr>
          <w:ilvl w:val="0"/>
          <w:numId w:val="14"/>
        </w:numPr>
        <w:spacing w:before="120" w:after="240" w:line="276" w:lineRule="auto"/>
        <w:rPr>
          <w:rFonts w:asciiTheme="minorHAnsi" w:hAnsiTheme="minorHAnsi" w:cs="Calibri"/>
          <w:b/>
          <w:sz w:val="22"/>
          <w:szCs w:val="22"/>
        </w:rPr>
      </w:pPr>
      <w:r w:rsidRPr="000B2530">
        <w:rPr>
          <w:rFonts w:asciiTheme="minorHAnsi" w:hAnsiTheme="minorHAnsi" w:cs="Calibri"/>
          <w:b/>
          <w:bCs/>
          <w:sz w:val="22"/>
          <w:szCs w:val="22"/>
        </w:rPr>
        <w:t>EVALUATION CRITERIA &amp; METHODOLOGY</w:t>
      </w:r>
    </w:p>
    <w:p w14:paraId="57FD55CF" w14:textId="77777777" w:rsidR="0070097E" w:rsidRDefault="0070097E" w:rsidP="000B2530">
      <w:pPr>
        <w:pStyle w:val="Default"/>
        <w:numPr>
          <w:ilvl w:val="0"/>
          <w:numId w:val="15"/>
        </w:numPr>
        <w:spacing w:after="120" w:line="264" w:lineRule="auto"/>
        <w:rPr>
          <w:rFonts w:asciiTheme="minorHAnsi" w:hAnsiTheme="minorHAnsi" w:cs="Calibri"/>
          <w:b/>
          <w:bCs/>
          <w:sz w:val="22"/>
          <w:szCs w:val="22"/>
        </w:rPr>
      </w:pPr>
      <w:r>
        <w:rPr>
          <w:rFonts w:asciiTheme="minorHAnsi" w:hAnsiTheme="minorHAnsi" w:cs="Calibri"/>
          <w:b/>
          <w:bCs/>
          <w:sz w:val="22"/>
          <w:szCs w:val="22"/>
        </w:rPr>
        <w:t xml:space="preserve">Proposals will be evaluated based on the following criteria: </w:t>
      </w:r>
    </w:p>
    <w:p w14:paraId="2CD1C8BB" w14:textId="77777777" w:rsidR="0070097E" w:rsidRDefault="0070097E" w:rsidP="000B2530">
      <w:pPr>
        <w:pStyle w:val="Default"/>
        <w:spacing w:after="120" w:line="264" w:lineRule="auto"/>
        <w:jc w:val="both"/>
        <w:rPr>
          <w:rFonts w:asciiTheme="minorHAnsi" w:hAnsiTheme="minorHAnsi" w:cs="Calibri"/>
          <w:sz w:val="22"/>
          <w:szCs w:val="22"/>
        </w:rPr>
      </w:pPr>
      <w:r>
        <w:rPr>
          <w:rFonts w:asciiTheme="minorHAnsi" w:hAnsiTheme="minorHAnsi" w:cs="Calibri"/>
          <w:sz w:val="22"/>
          <w:szCs w:val="22"/>
        </w:rPr>
        <w:t>1) A sound technical proposal that includes innovative and replicable inclusion mechanisms to maximize the value transfer to the stakeholders and beneficiaries.</w:t>
      </w:r>
    </w:p>
    <w:p w14:paraId="070E824F" w14:textId="77777777" w:rsidR="0070097E" w:rsidRDefault="0070097E" w:rsidP="000B2530">
      <w:pPr>
        <w:pStyle w:val="Default"/>
        <w:spacing w:after="120" w:line="264" w:lineRule="auto"/>
        <w:jc w:val="both"/>
        <w:rPr>
          <w:rFonts w:asciiTheme="minorHAnsi" w:hAnsiTheme="minorHAnsi" w:cs="Calibri"/>
          <w:sz w:val="22"/>
          <w:szCs w:val="22"/>
        </w:rPr>
      </w:pPr>
      <w:r>
        <w:rPr>
          <w:rFonts w:asciiTheme="minorHAnsi" w:hAnsiTheme="minorHAnsi" w:cs="Calibri"/>
          <w:sz w:val="22"/>
          <w:szCs w:val="22"/>
        </w:rPr>
        <w:t>2)</w:t>
      </w:r>
      <w:r>
        <w:rPr>
          <w:rFonts w:asciiTheme="minorHAnsi" w:hAnsiTheme="minorHAnsi" w:cs="Arial"/>
          <w:sz w:val="22"/>
          <w:szCs w:val="22"/>
        </w:rPr>
        <w:t xml:space="preserve"> </w:t>
      </w:r>
      <w:r>
        <w:rPr>
          <w:rFonts w:asciiTheme="minorHAnsi" w:hAnsiTheme="minorHAnsi" w:cs="Calibri"/>
          <w:sz w:val="22"/>
          <w:szCs w:val="22"/>
        </w:rPr>
        <w:t xml:space="preserve">High impact interventions directly targeting and responding to the needs established in the </w:t>
      </w:r>
      <w:proofErr w:type="spellStart"/>
      <w:r>
        <w:rPr>
          <w:rFonts w:asciiTheme="minorHAnsi" w:hAnsiTheme="minorHAnsi" w:cs="Calibri"/>
          <w:sz w:val="22"/>
          <w:szCs w:val="22"/>
        </w:rPr>
        <w:t>ToR</w:t>
      </w:r>
      <w:proofErr w:type="spellEnd"/>
      <w:r>
        <w:rPr>
          <w:rFonts w:asciiTheme="minorHAnsi" w:hAnsiTheme="minorHAnsi" w:cs="Calibri"/>
          <w:sz w:val="22"/>
          <w:szCs w:val="22"/>
        </w:rPr>
        <w:t>.</w:t>
      </w:r>
    </w:p>
    <w:p w14:paraId="52A9B20B" w14:textId="77777777" w:rsidR="0070097E" w:rsidRDefault="0070097E" w:rsidP="000B2530">
      <w:pPr>
        <w:pStyle w:val="Default"/>
        <w:spacing w:after="120" w:line="264" w:lineRule="auto"/>
        <w:jc w:val="both"/>
        <w:rPr>
          <w:rFonts w:asciiTheme="minorHAnsi" w:hAnsiTheme="minorHAnsi" w:cs="Calibri"/>
          <w:sz w:val="22"/>
          <w:szCs w:val="22"/>
        </w:rPr>
      </w:pPr>
      <w:r>
        <w:rPr>
          <w:rFonts w:asciiTheme="minorHAnsi" w:hAnsiTheme="minorHAnsi" w:cs="Calibri"/>
          <w:sz w:val="22"/>
          <w:szCs w:val="22"/>
        </w:rPr>
        <w:t>3)</w:t>
      </w:r>
      <w:r>
        <w:rPr>
          <w:rFonts w:asciiTheme="minorHAnsi" w:hAnsiTheme="minorHAnsi" w:cs="Arial"/>
          <w:sz w:val="22"/>
          <w:szCs w:val="22"/>
        </w:rPr>
        <w:t xml:space="preserve"> </w:t>
      </w:r>
      <w:r>
        <w:rPr>
          <w:rFonts w:asciiTheme="minorHAnsi" w:hAnsiTheme="minorHAnsi" w:cs="Calibri"/>
          <w:sz w:val="22"/>
          <w:szCs w:val="22"/>
        </w:rPr>
        <w:t>A proposed budget which is clearly commensurate with the organization’s proven administrative and financial management capacity and demonstrates good use of resources and value for money.</w:t>
      </w:r>
    </w:p>
    <w:p w14:paraId="53202351" w14:textId="77777777" w:rsidR="0070097E" w:rsidRDefault="0070097E" w:rsidP="000B2530">
      <w:pPr>
        <w:pStyle w:val="Default"/>
        <w:spacing w:after="120" w:line="264" w:lineRule="auto"/>
        <w:jc w:val="both"/>
        <w:rPr>
          <w:rFonts w:asciiTheme="minorHAnsi" w:hAnsiTheme="minorHAnsi" w:cs="Calibri"/>
          <w:sz w:val="22"/>
          <w:szCs w:val="22"/>
        </w:rPr>
      </w:pPr>
      <w:r>
        <w:rPr>
          <w:rFonts w:asciiTheme="minorHAnsi" w:hAnsiTheme="minorHAnsi" w:cs="Calibri"/>
          <w:sz w:val="22"/>
          <w:szCs w:val="22"/>
        </w:rPr>
        <w:t>4)</w:t>
      </w:r>
      <w:r>
        <w:rPr>
          <w:rFonts w:asciiTheme="minorHAnsi" w:hAnsiTheme="minorHAnsi" w:cs="Arial"/>
          <w:sz w:val="22"/>
          <w:szCs w:val="22"/>
        </w:rPr>
        <w:t xml:space="preserve"> </w:t>
      </w:r>
      <w:r>
        <w:rPr>
          <w:rFonts w:asciiTheme="minorHAnsi" w:hAnsiTheme="minorHAnsi" w:cs="Calibri"/>
          <w:sz w:val="22"/>
          <w:szCs w:val="22"/>
        </w:rPr>
        <w:t>Participatory monitoring and evaluation mechanisms that will contribute to building a sense of ownership among the stakeholders to promote the sustainability of the interventions.</w:t>
      </w:r>
    </w:p>
    <w:p w14:paraId="12F7B3AB" w14:textId="77777777" w:rsidR="0070097E" w:rsidRDefault="0070097E" w:rsidP="0070097E">
      <w:pPr>
        <w:pStyle w:val="Default"/>
        <w:rPr>
          <w:rFonts w:asciiTheme="minorHAnsi" w:hAnsiTheme="minorHAnsi" w:cs="Calibri"/>
          <w:sz w:val="22"/>
          <w:szCs w:val="22"/>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670"/>
        <w:gridCol w:w="1530"/>
        <w:gridCol w:w="1572"/>
      </w:tblGrid>
      <w:tr w:rsidR="00C81740" w:rsidRPr="00C81740" w14:paraId="1B8F1B44" w14:textId="77777777" w:rsidTr="00053246">
        <w:trPr>
          <w:trHeight w:hRule="exact" w:val="216"/>
        </w:trPr>
        <w:tc>
          <w:tcPr>
            <w:tcW w:w="6187" w:type="dxa"/>
            <w:gridSpan w:val="2"/>
            <w:vMerge w:val="restart"/>
            <w:hideMark/>
          </w:tcPr>
          <w:p w14:paraId="43B46769" w14:textId="77777777" w:rsidR="00C81740" w:rsidRPr="00C81740" w:rsidRDefault="00C81740" w:rsidP="00C81740">
            <w:pPr>
              <w:spacing w:after="120"/>
              <w:jc w:val="center"/>
              <w:rPr>
                <w:rFonts w:asciiTheme="minorHAnsi" w:hAnsiTheme="minorHAnsi" w:cstheme="minorBidi"/>
                <w:b/>
              </w:rPr>
            </w:pPr>
            <w:r w:rsidRPr="00C81740">
              <w:rPr>
                <w:rFonts w:asciiTheme="minorHAnsi" w:hAnsiTheme="minorHAnsi" w:cstheme="minorBidi"/>
                <w:b/>
              </w:rPr>
              <w:br w:type="page"/>
              <w:t>Summary of Technical Proposal Evaluation Forms</w:t>
            </w:r>
          </w:p>
        </w:tc>
        <w:tc>
          <w:tcPr>
            <w:tcW w:w="1530" w:type="dxa"/>
            <w:vMerge w:val="restart"/>
            <w:hideMark/>
          </w:tcPr>
          <w:p w14:paraId="7AEFFB23" w14:textId="77777777" w:rsidR="00C81740" w:rsidRPr="00C81740" w:rsidRDefault="00C81740" w:rsidP="00C81740">
            <w:pPr>
              <w:spacing w:after="120"/>
              <w:jc w:val="center"/>
              <w:rPr>
                <w:rFonts w:asciiTheme="minorHAnsi" w:hAnsiTheme="minorHAnsi" w:cstheme="minorBidi"/>
                <w:b/>
              </w:rPr>
            </w:pPr>
            <w:r w:rsidRPr="00C81740">
              <w:rPr>
                <w:rFonts w:asciiTheme="minorHAnsi" w:hAnsiTheme="minorHAnsi" w:cstheme="minorBidi"/>
                <w:b/>
              </w:rPr>
              <w:t>Score Weight</w:t>
            </w:r>
          </w:p>
        </w:tc>
        <w:tc>
          <w:tcPr>
            <w:tcW w:w="1572" w:type="dxa"/>
            <w:vMerge w:val="restart"/>
            <w:hideMark/>
          </w:tcPr>
          <w:p w14:paraId="63825F4E" w14:textId="77777777" w:rsidR="00C81740" w:rsidRPr="00C81740" w:rsidRDefault="00C81740" w:rsidP="00C81740">
            <w:pPr>
              <w:spacing w:after="120"/>
              <w:jc w:val="center"/>
              <w:rPr>
                <w:rFonts w:asciiTheme="minorHAnsi" w:hAnsiTheme="minorHAnsi" w:cstheme="minorBidi"/>
                <w:b/>
              </w:rPr>
            </w:pPr>
            <w:r w:rsidRPr="00C81740">
              <w:rPr>
                <w:rFonts w:asciiTheme="minorHAnsi" w:hAnsiTheme="minorHAnsi" w:cstheme="minorBidi"/>
                <w:b/>
              </w:rPr>
              <w:t>Points Obtainable</w:t>
            </w:r>
          </w:p>
        </w:tc>
      </w:tr>
      <w:tr w:rsidR="00C81740" w:rsidRPr="00C81740" w14:paraId="00A954D0" w14:textId="77777777" w:rsidTr="00C81740">
        <w:trPr>
          <w:cantSplit/>
          <w:trHeight w:val="509"/>
        </w:trPr>
        <w:tc>
          <w:tcPr>
            <w:tcW w:w="6187" w:type="dxa"/>
            <w:gridSpan w:val="2"/>
            <w:vMerge/>
            <w:vAlign w:val="center"/>
            <w:hideMark/>
          </w:tcPr>
          <w:p w14:paraId="5C15B0B4" w14:textId="77777777" w:rsidR="00C81740" w:rsidRPr="00C81740" w:rsidRDefault="00C81740" w:rsidP="00C81740">
            <w:pPr>
              <w:rPr>
                <w:rFonts w:asciiTheme="minorHAnsi" w:hAnsiTheme="minorHAnsi" w:cstheme="minorBidi"/>
              </w:rPr>
            </w:pPr>
          </w:p>
        </w:tc>
        <w:tc>
          <w:tcPr>
            <w:tcW w:w="1530" w:type="dxa"/>
            <w:vMerge/>
            <w:vAlign w:val="center"/>
            <w:hideMark/>
          </w:tcPr>
          <w:p w14:paraId="4728E1A7" w14:textId="77777777" w:rsidR="00C81740" w:rsidRPr="00C81740" w:rsidRDefault="00C81740" w:rsidP="00C81740">
            <w:pPr>
              <w:rPr>
                <w:rFonts w:asciiTheme="minorHAnsi" w:hAnsiTheme="minorHAnsi" w:cstheme="minorBidi"/>
              </w:rPr>
            </w:pPr>
          </w:p>
        </w:tc>
        <w:tc>
          <w:tcPr>
            <w:tcW w:w="1572" w:type="dxa"/>
            <w:vMerge/>
            <w:vAlign w:val="center"/>
            <w:hideMark/>
          </w:tcPr>
          <w:p w14:paraId="06658B9A" w14:textId="77777777" w:rsidR="00C81740" w:rsidRPr="00C81740" w:rsidRDefault="00C81740" w:rsidP="00C81740">
            <w:pPr>
              <w:rPr>
                <w:rFonts w:asciiTheme="minorHAnsi" w:hAnsiTheme="minorHAnsi" w:cstheme="minorBidi"/>
              </w:rPr>
            </w:pPr>
          </w:p>
        </w:tc>
      </w:tr>
      <w:tr w:rsidR="00C81740" w:rsidRPr="00C81740" w14:paraId="2485C215" w14:textId="77777777" w:rsidTr="00C81740">
        <w:tc>
          <w:tcPr>
            <w:tcW w:w="517" w:type="dxa"/>
            <w:hideMark/>
          </w:tcPr>
          <w:p w14:paraId="7B275613" w14:textId="77777777" w:rsidR="00C81740" w:rsidRPr="00C81740" w:rsidRDefault="00C81740" w:rsidP="00C81740">
            <w:pPr>
              <w:rPr>
                <w:rFonts w:asciiTheme="minorHAnsi" w:hAnsiTheme="minorHAnsi" w:cstheme="minorBidi"/>
              </w:rPr>
            </w:pPr>
            <w:r w:rsidRPr="00C81740">
              <w:rPr>
                <w:rFonts w:asciiTheme="minorHAnsi" w:hAnsiTheme="minorHAnsi" w:cstheme="minorBidi"/>
              </w:rPr>
              <w:t>1.</w:t>
            </w:r>
          </w:p>
        </w:tc>
        <w:tc>
          <w:tcPr>
            <w:tcW w:w="5670" w:type="dxa"/>
            <w:hideMark/>
          </w:tcPr>
          <w:p w14:paraId="2F1DFEAE" w14:textId="77777777" w:rsidR="00C81740" w:rsidRPr="00C81740" w:rsidRDefault="00A607FD" w:rsidP="00C81740">
            <w:pPr>
              <w:rPr>
                <w:rFonts w:asciiTheme="minorHAnsi" w:hAnsiTheme="minorHAnsi" w:cstheme="minorBidi"/>
              </w:rPr>
            </w:pPr>
            <w:r w:rsidRPr="00B76CEE">
              <w:rPr>
                <w:rFonts w:ascii="Myriad Pro" w:hAnsi="Myriad Pro" w:cstheme="minorHAnsi"/>
                <w:snapToGrid w:val="0"/>
                <w:sz w:val="20"/>
                <w:szCs w:val="20"/>
              </w:rPr>
              <w:t>Expertise of the Firm / Organization</w:t>
            </w:r>
          </w:p>
        </w:tc>
        <w:tc>
          <w:tcPr>
            <w:tcW w:w="1530" w:type="dxa"/>
          </w:tcPr>
          <w:p w14:paraId="2CC02E42" w14:textId="77777777" w:rsidR="00C81740" w:rsidRPr="00C81740" w:rsidRDefault="00A607FD" w:rsidP="00982FA5">
            <w:pPr>
              <w:jc w:val="center"/>
              <w:rPr>
                <w:rFonts w:asciiTheme="minorHAnsi" w:hAnsiTheme="minorHAnsi" w:cstheme="minorBidi"/>
              </w:rPr>
            </w:pPr>
            <w:r>
              <w:rPr>
                <w:rFonts w:asciiTheme="minorHAnsi" w:hAnsiTheme="minorHAnsi" w:cstheme="minorBidi"/>
              </w:rPr>
              <w:t>2</w:t>
            </w:r>
            <w:r w:rsidR="00230059">
              <w:rPr>
                <w:rFonts w:asciiTheme="minorHAnsi" w:hAnsiTheme="minorHAnsi" w:cstheme="minorBidi"/>
              </w:rPr>
              <w:t>0</w:t>
            </w:r>
            <w:r w:rsidR="00C81740" w:rsidRPr="00C81740">
              <w:rPr>
                <w:rFonts w:asciiTheme="minorHAnsi" w:hAnsiTheme="minorHAnsi" w:cstheme="minorBidi"/>
              </w:rPr>
              <w:t>%</w:t>
            </w:r>
          </w:p>
        </w:tc>
        <w:tc>
          <w:tcPr>
            <w:tcW w:w="1572" w:type="dxa"/>
          </w:tcPr>
          <w:p w14:paraId="63BB53AB" w14:textId="77777777" w:rsidR="00C81740" w:rsidRPr="00C81740" w:rsidRDefault="00A607FD" w:rsidP="00982FA5">
            <w:pPr>
              <w:jc w:val="center"/>
              <w:rPr>
                <w:rFonts w:asciiTheme="minorHAnsi" w:hAnsiTheme="minorHAnsi" w:cstheme="minorBidi"/>
              </w:rPr>
            </w:pPr>
            <w:r>
              <w:rPr>
                <w:rFonts w:asciiTheme="minorHAnsi" w:hAnsiTheme="minorHAnsi" w:cstheme="minorBidi"/>
              </w:rPr>
              <w:t>2</w:t>
            </w:r>
            <w:r w:rsidR="00230059">
              <w:rPr>
                <w:rFonts w:asciiTheme="minorHAnsi" w:hAnsiTheme="minorHAnsi" w:cstheme="minorBidi"/>
              </w:rPr>
              <w:t>0</w:t>
            </w:r>
            <w:r w:rsidR="00C81740" w:rsidRPr="00C81740">
              <w:rPr>
                <w:rFonts w:asciiTheme="minorHAnsi" w:hAnsiTheme="minorHAnsi" w:cstheme="minorBidi"/>
              </w:rPr>
              <w:t>0</w:t>
            </w:r>
          </w:p>
        </w:tc>
      </w:tr>
      <w:tr w:rsidR="00C81740" w:rsidRPr="00C81740" w14:paraId="2D0FE523" w14:textId="77777777" w:rsidTr="00C81740">
        <w:trPr>
          <w:trHeight w:val="579"/>
        </w:trPr>
        <w:tc>
          <w:tcPr>
            <w:tcW w:w="517" w:type="dxa"/>
          </w:tcPr>
          <w:p w14:paraId="3A7355E1" w14:textId="77777777" w:rsidR="00C81740" w:rsidRPr="00C81740" w:rsidRDefault="00C81740" w:rsidP="00C81740">
            <w:pPr>
              <w:rPr>
                <w:rFonts w:asciiTheme="minorHAnsi" w:hAnsiTheme="minorHAnsi" w:cstheme="minorBidi"/>
              </w:rPr>
            </w:pPr>
            <w:r w:rsidRPr="00C81740">
              <w:rPr>
                <w:rFonts w:asciiTheme="minorHAnsi" w:hAnsiTheme="minorHAnsi" w:cstheme="minorBidi"/>
              </w:rPr>
              <w:t>2.</w:t>
            </w:r>
          </w:p>
        </w:tc>
        <w:tc>
          <w:tcPr>
            <w:tcW w:w="5670" w:type="dxa"/>
          </w:tcPr>
          <w:p w14:paraId="75B25FB1" w14:textId="77777777" w:rsidR="00C81740" w:rsidRPr="00C81740" w:rsidRDefault="00C81740" w:rsidP="00C81740">
            <w:pPr>
              <w:rPr>
                <w:rFonts w:asciiTheme="minorHAnsi" w:hAnsiTheme="minorHAnsi" w:cstheme="minorBidi"/>
              </w:rPr>
            </w:pPr>
            <w:r w:rsidRPr="00C81740">
              <w:rPr>
                <w:rFonts w:asciiTheme="minorHAnsi" w:hAnsiTheme="minorHAnsi" w:cstheme="minorBidi"/>
              </w:rPr>
              <w:t>Proposed Methodology, Approach and Implementation Plan</w:t>
            </w:r>
          </w:p>
        </w:tc>
        <w:tc>
          <w:tcPr>
            <w:tcW w:w="1530" w:type="dxa"/>
          </w:tcPr>
          <w:p w14:paraId="570E0A07" w14:textId="77777777" w:rsidR="00C81740" w:rsidRPr="00C81740" w:rsidRDefault="00C81740" w:rsidP="00982FA5">
            <w:pPr>
              <w:jc w:val="center"/>
              <w:rPr>
                <w:rFonts w:asciiTheme="minorHAnsi" w:hAnsiTheme="minorHAnsi" w:cstheme="minorBidi"/>
              </w:rPr>
            </w:pPr>
            <w:r w:rsidRPr="00C81740">
              <w:rPr>
                <w:rFonts w:asciiTheme="minorHAnsi" w:hAnsiTheme="minorHAnsi" w:cstheme="minorBidi"/>
              </w:rPr>
              <w:t>30%</w:t>
            </w:r>
          </w:p>
        </w:tc>
        <w:tc>
          <w:tcPr>
            <w:tcW w:w="1572" w:type="dxa"/>
          </w:tcPr>
          <w:p w14:paraId="50A38AC7" w14:textId="77777777" w:rsidR="00C81740" w:rsidRPr="00C81740" w:rsidRDefault="00C81740" w:rsidP="00982FA5">
            <w:pPr>
              <w:jc w:val="center"/>
              <w:rPr>
                <w:rFonts w:asciiTheme="minorHAnsi" w:hAnsiTheme="minorHAnsi" w:cstheme="minorBidi"/>
              </w:rPr>
            </w:pPr>
            <w:r w:rsidRPr="00C81740">
              <w:rPr>
                <w:rFonts w:asciiTheme="minorHAnsi" w:hAnsiTheme="minorHAnsi" w:cstheme="minorBidi"/>
              </w:rPr>
              <w:t>300</w:t>
            </w:r>
          </w:p>
        </w:tc>
      </w:tr>
      <w:tr w:rsidR="00C81740" w:rsidRPr="00C81740" w14:paraId="401CFEC3" w14:textId="77777777" w:rsidTr="00C81740">
        <w:tc>
          <w:tcPr>
            <w:tcW w:w="517" w:type="dxa"/>
            <w:tcBorders>
              <w:bottom w:val="nil"/>
            </w:tcBorders>
          </w:tcPr>
          <w:p w14:paraId="55D63852" w14:textId="77777777" w:rsidR="00C81740" w:rsidRPr="00C81740" w:rsidRDefault="00C81740" w:rsidP="00C81740">
            <w:pPr>
              <w:rPr>
                <w:rFonts w:asciiTheme="minorHAnsi" w:hAnsiTheme="minorHAnsi" w:cstheme="minorBidi"/>
              </w:rPr>
            </w:pPr>
            <w:r w:rsidRPr="00C81740">
              <w:rPr>
                <w:rFonts w:asciiTheme="minorHAnsi" w:hAnsiTheme="minorHAnsi" w:cstheme="minorBidi"/>
              </w:rPr>
              <w:t>3.</w:t>
            </w:r>
          </w:p>
        </w:tc>
        <w:tc>
          <w:tcPr>
            <w:tcW w:w="5670" w:type="dxa"/>
            <w:tcBorders>
              <w:bottom w:val="nil"/>
            </w:tcBorders>
          </w:tcPr>
          <w:p w14:paraId="163B7C01" w14:textId="77777777" w:rsidR="00C81740" w:rsidRPr="00C81740" w:rsidRDefault="00C81740" w:rsidP="00C81740">
            <w:pPr>
              <w:rPr>
                <w:rFonts w:asciiTheme="minorHAnsi" w:hAnsiTheme="minorHAnsi" w:cstheme="minorBidi"/>
              </w:rPr>
            </w:pPr>
            <w:r w:rsidRPr="00C81740">
              <w:rPr>
                <w:rFonts w:asciiTheme="minorHAnsi" w:hAnsiTheme="minorHAnsi" w:cstheme="minorBidi"/>
              </w:rPr>
              <w:t>Management Structure and Key Personnel</w:t>
            </w:r>
          </w:p>
        </w:tc>
        <w:tc>
          <w:tcPr>
            <w:tcW w:w="1530" w:type="dxa"/>
            <w:tcBorders>
              <w:bottom w:val="nil"/>
            </w:tcBorders>
          </w:tcPr>
          <w:p w14:paraId="03110084" w14:textId="77777777" w:rsidR="00C81740" w:rsidRPr="00C81740" w:rsidRDefault="00300E24" w:rsidP="00982FA5">
            <w:pPr>
              <w:jc w:val="center"/>
              <w:rPr>
                <w:rFonts w:asciiTheme="minorHAnsi" w:hAnsiTheme="minorHAnsi" w:cstheme="minorBidi"/>
              </w:rPr>
            </w:pPr>
            <w:r>
              <w:rPr>
                <w:rFonts w:asciiTheme="minorHAnsi" w:hAnsiTheme="minorHAnsi" w:cstheme="minorBidi"/>
              </w:rPr>
              <w:t>3</w:t>
            </w:r>
            <w:r w:rsidR="00C81740" w:rsidRPr="00C81740">
              <w:rPr>
                <w:rFonts w:asciiTheme="minorHAnsi" w:hAnsiTheme="minorHAnsi" w:cstheme="minorBidi"/>
              </w:rPr>
              <w:t>0%</w:t>
            </w:r>
          </w:p>
        </w:tc>
        <w:tc>
          <w:tcPr>
            <w:tcW w:w="1572" w:type="dxa"/>
            <w:tcBorders>
              <w:bottom w:val="nil"/>
            </w:tcBorders>
          </w:tcPr>
          <w:p w14:paraId="3E4D8CBD" w14:textId="77777777" w:rsidR="00C81740" w:rsidRPr="00C81740" w:rsidRDefault="00300E24" w:rsidP="00982FA5">
            <w:pPr>
              <w:jc w:val="center"/>
              <w:rPr>
                <w:rFonts w:asciiTheme="minorHAnsi" w:hAnsiTheme="minorHAnsi" w:cstheme="minorBidi"/>
              </w:rPr>
            </w:pPr>
            <w:r>
              <w:rPr>
                <w:rFonts w:asciiTheme="minorHAnsi" w:hAnsiTheme="minorHAnsi" w:cstheme="minorBidi"/>
              </w:rPr>
              <w:t>3</w:t>
            </w:r>
            <w:r w:rsidR="00C81740" w:rsidRPr="00C81740">
              <w:rPr>
                <w:rFonts w:asciiTheme="minorHAnsi" w:hAnsiTheme="minorHAnsi" w:cstheme="minorBidi"/>
              </w:rPr>
              <w:t>00</w:t>
            </w:r>
          </w:p>
        </w:tc>
      </w:tr>
      <w:tr w:rsidR="00C81740" w:rsidRPr="00C81740" w14:paraId="0071FFD3" w14:textId="77777777" w:rsidTr="00C81740">
        <w:tc>
          <w:tcPr>
            <w:tcW w:w="517" w:type="dxa"/>
            <w:tcBorders>
              <w:bottom w:val="nil"/>
            </w:tcBorders>
          </w:tcPr>
          <w:p w14:paraId="33664FFD" w14:textId="77777777" w:rsidR="00C81740" w:rsidRPr="00C81740" w:rsidRDefault="00C81740" w:rsidP="00C81740">
            <w:pPr>
              <w:rPr>
                <w:rFonts w:asciiTheme="minorHAnsi" w:hAnsiTheme="minorHAnsi" w:cstheme="minorBidi"/>
              </w:rPr>
            </w:pPr>
            <w:r w:rsidRPr="00C81740">
              <w:rPr>
                <w:rFonts w:asciiTheme="minorHAnsi" w:hAnsiTheme="minorHAnsi" w:cstheme="minorBidi"/>
              </w:rPr>
              <w:t>4.</w:t>
            </w:r>
          </w:p>
        </w:tc>
        <w:tc>
          <w:tcPr>
            <w:tcW w:w="5670" w:type="dxa"/>
            <w:tcBorders>
              <w:bottom w:val="nil"/>
            </w:tcBorders>
          </w:tcPr>
          <w:p w14:paraId="77176BE2" w14:textId="77777777" w:rsidR="00C81740" w:rsidRPr="00C81740" w:rsidRDefault="00C81740" w:rsidP="00C81740">
            <w:pPr>
              <w:rPr>
                <w:rFonts w:asciiTheme="minorHAnsi" w:hAnsiTheme="minorHAnsi" w:cstheme="minorBidi"/>
              </w:rPr>
            </w:pPr>
            <w:r w:rsidRPr="00C81740">
              <w:rPr>
                <w:rFonts w:asciiTheme="minorHAnsi" w:hAnsiTheme="minorHAnsi" w:cstheme="minorBidi"/>
              </w:rPr>
              <w:t>Utilization of Resources and Value for Money</w:t>
            </w:r>
          </w:p>
        </w:tc>
        <w:tc>
          <w:tcPr>
            <w:tcW w:w="1530" w:type="dxa"/>
            <w:tcBorders>
              <w:bottom w:val="nil"/>
            </w:tcBorders>
          </w:tcPr>
          <w:p w14:paraId="5892A82C" w14:textId="77777777" w:rsidR="00C81740" w:rsidRPr="00C81740" w:rsidRDefault="00A607FD" w:rsidP="00982FA5">
            <w:pPr>
              <w:jc w:val="center"/>
              <w:rPr>
                <w:rFonts w:asciiTheme="minorHAnsi" w:hAnsiTheme="minorHAnsi" w:cstheme="minorBidi"/>
              </w:rPr>
            </w:pPr>
            <w:r>
              <w:rPr>
                <w:rFonts w:asciiTheme="minorHAnsi" w:hAnsiTheme="minorHAnsi" w:cstheme="minorBidi"/>
              </w:rPr>
              <w:t>2</w:t>
            </w:r>
            <w:r w:rsidR="00230059">
              <w:rPr>
                <w:rFonts w:asciiTheme="minorHAnsi" w:hAnsiTheme="minorHAnsi" w:cstheme="minorBidi"/>
              </w:rPr>
              <w:t>0</w:t>
            </w:r>
            <w:r w:rsidR="00C81740" w:rsidRPr="00C81740">
              <w:rPr>
                <w:rFonts w:asciiTheme="minorHAnsi" w:hAnsiTheme="minorHAnsi" w:cstheme="minorBidi"/>
              </w:rPr>
              <w:t>%</w:t>
            </w:r>
          </w:p>
        </w:tc>
        <w:tc>
          <w:tcPr>
            <w:tcW w:w="1572" w:type="dxa"/>
            <w:tcBorders>
              <w:bottom w:val="nil"/>
            </w:tcBorders>
          </w:tcPr>
          <w:p w14:paraId="0D4A8F8E" w14:textId="77777777" w:rsidR="00C81740" w:rsidRPr="00C81740" w:rsidRDefault="00A607FD" w:rsidP="00982FA5">
            <w:pPr>
              <w:jc w:val="center"/>
              <w:rPr>
                <w:rFonts w:asciiTheme="minorHAnsi" w:hAnsiTheme="minorHAnsi" w:cstheme="minorBidi"/>
              </w:rPr>
            </w:pPr>
            <w:r>
              <w:rPr>
                <w:rFonts w:asciiTheme="minorHAnsi" w:hAnsiTheme="minorHAnsi" w:cstheme="minorBidi"/>
              </w:rPr>
              <w:t>2</w:t>
            </w:r>
            <w:r w:rsidR="00230059">
              <w:rPr>
                <w:rFonts w:asciiTheme="minorHAnsi" w:hAnsiTheme="minorHAnsi" w:cstheme="minorBidi"/>
              </w:rPr>
              <w:t>0</w:t>
            </w:r>
            <w:r w:rsidR="00300E24" w:rsidRPr="00C81740">
              <w:rPr>
                <w:rFonts w:asciiTheme="minorHAnsi" w:hAnsiTheme="minorHAnsi" w:cstheme="minorBidi"/>
              </w:rPr>
              <w:t>0</w:t>
            </w:r>
          </w:p>
        </w:tc>
      </w:tr>
      <w:tr w:rsidR="00C81740" w:rsidRPr="00C81740" w14:paraId="42C0B866" w14:textId="77777777" w:rsidTr="00C81740">
        <w:trPr>
          <w:cantSplit/>
        </w:trPr>
        <w:tc>
          <w:tcPr>
            <w:tcW w:w="517" w:type="dxa"/>
            <w:shd w:val="pct15" w:color="auto" w:fill="FFFFFF"/>
          </w:tcPr>
          <w:p w14:paraId="306FEED6" w14:textId="77777777" w:rsidR="00C81740" w:rsidRPr="00C81740" w:rsidRDefault="00C81740" w:rsidP="00C81740">
            <w:pPr>
              <w:rPr>
                <w:rFonts w:asciiTheme="minorHAnsi" w:hAnsiTheme="minorHAnsi" w:cstheme="minorBidi"/>
              </w:rPr>
            </w:pPr>
          </w:p>
        </w:tc>
        <w:tc>
          <w:tcPr>
            <w:tcW w:w="7200" w:type="dxa"/>
            <w:gridSpan w:val="2"/>
            <w:shd w:val="pct15" w:color="auto" w:fill="FFFFFF"/>
          </w:tcPr>
          <w:p w14:paraId="512A4F86" w14:textId="77777777" w:rsidR="00C81740" w:rsidRPr="00C81740" w:rsidRDefault="00C81740" w:rsidP="00C81740">
            <w:pPr>
              <w:rPr>
                <w:rFonts w:asciiTheme="minorHAnsi" w:hAnsiTheme="minorHAnsi" w:cstheme="minorBidi"/>
                <w:b/>
              </w:rPr>
            </w:pPr>
            <w:r w:rsidRPr="00C81740">
              <w:rPr>
                <w:rFonts w:asciiTheme="minorHAnsi" w:hAnsiTheme="minorHAnsi" w:cstheme="minorBidi"/>
                <w:b/>
              </w:rPr>
              <w:t>Total</w:t>
            </w:r>
          </w:p>
        </w:tc>
        <w:tc>
          <w:tcPr>
            <w:tcW w:w="1572" w:type="dxa"/>
            <w:shd w:val="pct15" w:color="auto" w:fill="FFFFFF"/>
          </w:tcPr>
          <w:p w14:paraId="5F39AD78" w14:textId="77777777" w:rsidR="00C81740" w:rsidRPr="00C81740" w:rsidRDefault="00C81740" w:rsidP="00982FA5">
            <w:pPr>
              <w:jc w:val="center"/>
              <w:rPr>
                <w:rFonts w:asciiTheme="minorHAnsi" w:hAnsiTheme="minorHAnsi" w:cstheme="minorBidi"/>
                <w:b/>
              </w:rPr>
            </w:pPr>
            <w:r w:rsidRPr="00C81740">
              <w:rPr>
                <w:rFonts w:asciiTheme="minorHAnsi" w:hAnsiTheme="minorHAnsi" w:cstheme="minorBidi"/>
                <w:b/>
              </w:rPr>
              <w:t>1000</w:t>
            </w:r>
          </w:p>
        </w:tc>
      </w:tr>
    </w:tbl>
    <w:p w14:paraId="766EF8CB" w14:textId="77777777" w:rsidR="0070097E" w:rsidRDefault="0070097E" w:rsidP="000B2530">
      <w:pPr>
        <w:spacing w:after="0"/>
        <w:rPr>
          <w:rFonts w:asciiTheme="minorHAnsi" w:hAnsiTheme="minorHAnsi" w:cstheme="minorBidi"/>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586"/>
        <w:gridCol w:w="592"/>
        <w:gridCol w:w="1260"/>
      </w:tblGrid>
      <w:tr w:rsidR="00A607FD" w:rsidRPr="00B76CEE" w14:paraId="61F68C1A" w14:textId="77777777" w:rsidTr="00A607FD">
        <w:trPr>
          <w:cantSplit/>
          <w:trHeight w:val="460"/>
          <w:jc w:val="center"/>
        </w:trPr>
        <w:tc>
          <w:tcPr>
            <w:tcW w:w="7877" w:type="dxa"/>
            <w:gridSpan w:val="3"/>
            <w:vMerge w:val="restart"/>
            <w:tcBorders>
              <w:top w:val="single" w:sz="4" w:space="0" w:color="auto"/>
              <w:left w:val="single" w:sz="4" w:space="0" w:color="auto"/>
              <w:bottom w:val="nil"/>
              <w:right w:val="single" w:sz="4" w:space="0" w:color="auto"/>
            </w:tcBorders>
            <w:hideMark/>
          </w:tcPr>
          <w:p w14:paraId="1A4B787D" w14:textId="77777777" w:rsidR="00A607FD" w:rsidRPr="00B76CEE" w:rsidRDefault="00A607FD" w:rsidP="00DD7854">
            <w:pPr>
              <w:rPr>
                <w:rFonts w:ascii="Myriad Pro" w:hAnsi="Myriad Pro" w:cstheme="minorHAnsi"/>
                <w:snapToGrid w:val="0"/>
                <w:sz w:val="20"/>
                <w:szCs w:val="20"/>
              </w:rPr>
            </w:pPr>
            <w:r w:rsidRPr="00B76CEE">
              <w:rPr>
                <w:rFonts w:ascii="Myriad Pro" w:hAnsi="Myriad Pro" w:cstheme="minorHAnsi"/>
                <w:snapToGrid w:val="0"/>
                <w:sz w:val="20"/>
                <w:szCs w:val="20"/>
              </w:rPr>
              <w:lastRenderedPageBreak/>
              <w:t>Technical Proposal Evaluation</w:t>
            </w:r>
          </w:p>
          <w:p w14:paraId="5C5A06E2" w14:textId="77777777" w:rsidR="00A607FD" w:rsidRPr="00B76CEE" w:rsidRDefault="00A607FD" w:rsidP="00DD7854">
            <w:pPr>
              <w:rPr>
                <w:rFonts w:ascii="Myriad Pro" w:hAnsi="Myriad Pro" w:cstheme="minorHAnsi"/>
                <w:snapToGrid w:val="0"/>
                <w:sz w:val="20"/>
                <w:szCs w:val="20"/>
              </w:rPr>
            </w:pPr>
            <w:r w:rsidRPr="00B76CEE">
              <w:rPr>
                <w:rFonts w:ascii="Myriad Pro" w:hAnsi="Myriad Pro" w:cstheme="minorHAnsi"/>
                <w:snapToGrid w:val="0"/>
                <w:sz w:val="20"/>
                <w:szCs w:val="20"/>
              </w:rPr>
              <w:t>Form 1</w:t>
            </w:r>
          </w:p>
        </w:tc>
        <w:tc>
          <w:tcPr>
            <w:tcW w:w="1260" w:type="dxa"/>
            <w:vMerge w:val="restart"/>
            <w:tcBorders>
              <w:top w:val="single" w:sz="4" w:space="0" w:color="auto"/>
              <w:left w:val="single" w:sz="4" w:space="0" w:color="auto"/>
              <w:bottom w:val="nil"/>
              <w:right w:val="single" w:sz="4" w:space="0" w:color="auto"/>
            </w:tcBorders>
            <w:hideMark/>
          </w:tcPr>
          <w:p w14:paraId="04C70424" w14:textId="77777777" w:rsidR="00A607FD" w:rsidRPr="00B76CEE" w:rsidRDefault="00A607FD" w:rsidP="00DD7854">
            <w:pPr>
              <w:jc w:val="center"/>
              <w:rPr>
                <w:rFonts w:ascii="Myriad Pro" w:hAnsi="Myriad Pro" w:cstheme="minorHAnsi"/>
                <w:snapToGrid w:val="0"/>
                <w:sz w:val="20"/>
                <w:szCs w:val="20"/>
              </w:rPr>
            </w:pPr>
            <w:r w:rsidRPr="00B76CEE">
              <w:rPr>
                <w:rFonts w:ascii="Myriad Pro" w:hAnsi="Myriad Pro" w:cstheme="minorHAnsi"/>
                <w:snapToGrid w:val="0"/>
                <w:sz w:val="20"/>
                <w:szCs w:val="20"/>
              </w:rPr>
              <w:t>Points obtainable</w:t>
            </w:r>
          </w:p>
        </w:tc>
      </w:tr>
      <w:tr w:rsidR="00A607FD" w:rsidRPr="00B76CEE" w14:paraId="4B0D0928" w14:textId="77777777" w:rsidTr="00A607FD">
        <w:trPr>
          <w:cantSplit/>
          <w:trHeight w:val="460"/>
          <w:jc w:val="center"/>
        </w:trPr>
        <w:tc>
          <w:tcPr>
            <w:tcW w:w="7877" w:type="dxa"/>
            <w:gridSpan w:val="3"/>
            <w:vMerge/>
            <w:tcBorders>
              <w:top w:val="single" w:sz="4" w:space="0" w:color="auto"/>
              <w:left w:val="single" w:sz="4" w:space="0" w:color="auto"/>
              <w:bottom w:val="nil"/>
              <w:right w:val="single" w:sz="4" w:space="0" w:color="auto"/>
            </w:tcBorders>
            <w:vAlign w:val="center"/>
            <w:hideMark/>
          </w:tcPr>
          <w:p w14:paraId="4A69B609" w14:textId="77777777" w:rsidR="00A607FD" w:rsidRPr="00B76CEE" w:rsidRDefault="00A607FD" w:rsidP="00DD7854">
            <w:pPr>
              <w:rPr>
                <w:rFonts w:ascii="Myriad Pro" w:hAnsi="Myriad Pro" w:cstheme="minorHAnsi"/>
                <w:snapToGrid w:val="0"/>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14:paraId="54794305" w14:textId="77777777" w:rsidR="00A607FD" w:rsidRPr="00B76CEE" w:rsidRDefault="00A607FD" w:rsidP="00DD7854">
            <w:pPr>
              <w:rPr>
                <w:rFonts w:ascii="Myriad Pro" w:hAnsi="Myriad Pro" w:cstheme="minorHAnsi"/>
                <w:snapToGrid w:val="0"/>
                <w:sz w:val="20"/>
                <w:szCs w:val="20"/>
              </w:rPr>
            </w:pPr>
          </w:p>
        </w:tc>
      </w:tr>
      <w:tr w:rsidR="00A607FD" w:rsidRPr="00B76CEE" w14:paraId="5A63A12F" w14:textId="77777777" w:rsidTr="00A607FD">
        <w:trPr>
          <w:cantSplit/>
          <w:trHeight w:val="575"/>
          <w:jc w:val="center"/>
        </w:trPr>
        <w:tc>
          <w:tcPr>
            <w:tcW w:w="9137" w:type="dxa"/>
            <w:gridSpan w:val="4"/>
            <w:tcBorders>
              <w:top w:val="single" w:sz="4" w:space="0" w:color="auto"/>
              <w:left w:val="single" w:sz="4" w:space="0" w:color="auto"/>
              <w:right w:val="single" w:sz="4" w:space="0" w:color="auto"/>
            </w:tcBorders>
            <w:shd w:val="pct15" w:color="auto" w:fill="FFFFFF"/>
          </w:tcPr>
          <w:p w14:paraId="4E25246A" w14:textId="77777777" w:rsidR="00A607FD" w:rsidRPr="00B76CEE" w:rsidRDefault="00A607FD" w:rsidP="00DD7854">
            <w:pPr>
              <w:jc w:val="center"/>
              <w:rPr>
                <w:rFonts w:ascii="Myriad Pro" w:hAnsi="Myriad Pro" w:cstheme="minorHAnsi"/>
                <w:b/>
                <w:snapToGrid w:val="0"/>
                <w:sz w:val="20"/>
                <w:szCs w:val="20"/>
              </w:rPr>
            </w:pPr>
          </w:p>
          <w:p w14:paraId="01F2CB08" w14:textId="77777777" w:rsidR="00A607FD" w:rsidRPr="00B76CEE" w:rsidRDefault="00A607FD" w:rsidP="00DD7854">
            <w:pPr>
              <w:jc w:val="center"/>
              <w:rPr>
                <w:rFonts w:ascii="Myriad Pro" w:hAnsi="Myriad Pro" w:cstheme="minorHAnsi"/>
                <w:b/>
                <w:snapToGrid w:val="0"/>
                <w:sz w:val="20"/>
                <w:szCs w:val="20"/>
              </w:rPr>
            </w:pPr>
            <w:r w:rsidRPr="00B76CEE">
              <w:rPr>
                <w:rFonts w:ascii="Myriad Pro" w:hAnsi="Myriad Pro" w:cstheme="minorHAnsi"/>
                <w:b/>
                <w:snapToGrid w:val="0"/>
                <w:sz w:val="20"/>
                <w:szCs w:val="20"/>
              </w:rPr>
              <w:t>Expertise of the Firm/Organization</w:t>
            </w:r>
          </w:p>
        </w:tc>
      </w:tr>
      <w:tr w:rsidR="00A607FD" w:rsidRPr="00B76CEE" w14:paraId="5BBAA179" w14:textId="77777777" w:rsidTr="00A607FD">
        <w:trPr>
          <w:jc w:val="center"/>
        </w:trPr>
        <w:tc>
          <w:tcPr>
            <w:tcW w:w="699" w:type="dxa"/>
            <w:tcBorders>
              <w:top w:val="single" w:sz="4" w:space="0" w:color="auto"/>
              <w:left w:val="single" w:sz="4" w:space="0" w:color="auto"/>
              <w:bottom w:val="single" w:sz="4" w:space="0" w:color="auto"/>
              <w:right w:val="single" w:sz="4" w:space="0" w:color="auto"/>
            </w:tcBorders>
            <w:hideMark/>
          </w:tcPr>
          <w:p w14:paraId="3B2B7985" w14:textId="77777777" w:rsidR="00A607FD" w:rsidRPr="00B76CEE" w:rsidRDefault="00A607FD" w:rsidP="00DD7854">
            <w:pPr>
              <w:rPr>
                <w:rFonts w:ascii="Myriad Pro" w:hAnsi="Myriad Pro" w:cstheme="minorHAnsi"/>
                <w:snapToGrid w:val="0"/>
                <w:sz w:val="20"/>
                <w:szCs w:val="20"/>
              </w:rPr>
            </w:pPr>
            <w:r w:rsidRPr="00B76CEE">
              <w:rPr>
                <w:rFonts w:ascii="Myriad Pro" w:hAnsi="Myriad Pro" w:cstheme="minorHAnsi"/>
                <w:snapToGrid w:val="0"/>
                <w:sz w:val="20"/>
                <w:szCs w:val="20"/>
              </w:rPr>
              <w:t>1.1</w:t>
            </w:r>
          </w:p>
        </w:tc>
        <w:tc>
          <w:tcPr>
            <w:tcW w:w="7178" w:type="dxa"/>
            <w:gridSpan w:val="2"/>
            <w:tcBorders>
              <w:top w:val="single" w:sz="4" w:space="0" w:color="auto"/>
              <w:left w:val="single" w:sz="4" w:space="0" w:color="auto"/>
              <w:bottom w:val="single" w:sz="4" w:space="0" w:color="auto"/>
              <w:right w:val="single" w:sz="4" w:space="0" w:color="auto"/>
            </w:tcBorders>
            <w:hideMark/>
          </w:tcPr>
          <w:p w14:paraId="0DE1ADF3" w14:textId="77777777" w:rsidR="00A607FD" w:rsidRPr="00BC0991" w:rsidRDefault="00A607FD" w:rsidP="00DD7854">
            <w:pPr>
              <w:rPr>
                <w:rFonts w:asciiTheme="minorHAnsi" w:eastAsiaTheme="minorEastAsia" w:hAnsiTheme="minorHAnsi" w:cs="Calibri"/>
                <w:color w:val="000000"/>
              </w:rPr>
            </w:pPr>
            <w:r w:rsidRPr="00BC0991">
              <w:rPr>
                <w:rFonts w:asciiTheme="minorHAnsi" w:eastAsiaTheme="minorEastAsia" w:hAnsiTheme="minorHAnsi" w:cs="Calibri"/>
                <w:color w:val="000000"/>
              </w:rPr>
              <w:t>Reputation of Organization and Staff / Credibility / Reliability / Industry Standing</w:t>
            </w:r>
          </w:p>
        </w:tc>
        <w:tc>
          <w:tcPr>
            <w:tcW w:w="1260" w:type="dxa"/>
            <w:tcBorders>
              <w:top w:val="single" w:sz="4" w:space="0" w:color="auto"/>
              <w:left w:val="single" w:sz="4" w:space="0" w:color="auto"/>
              <w:bottom w:val="single" w:sz="4" w:space="0" w:color="auto"/>
              <w:right w:val="single" w:sz="4" w:space="0" w:color="auto"/>
            </w:tcBorders>
          </w:tcPr>
          <w:p w14:paraId="25DAF375" w14:textId="77777777" w:rsidR="00A607FD" w:rsidRPr="00B76CEE" w:rsidRDefault="00A607FD" w:rsidP="00DD7854">
            <w:pPr>
              <w:jc w:val="center"/>
              <w:rPr>
                <w:rFonts w:ascii="Myriad Pro" w:hAnsi="Myriad Pro" w:cstheme="minorHAnsi"/>
                <w:snapToGrid w:val="0"/>
                <w:sz w:val="20"/>
                <w:szCs w:val="20"/>
              </w:rPr>
            </w:pPr>
            <w:r>
              <w:rPr>
                <w:rFonts w:ascii="Myriad Pro" w:hAnsi="Myriad Pro" w:cstheme="minorHAnsi"/>
                <w:snapToGrid w:val="0"/>
                <w:sz w:val="20"/>
                <w:szCs w:val="20"/>
              </w:rPr>
              <w:t>40</w:t>
            </w:r>
          </w:p>
        </w:tc>
      </w:tr>
      <w:tr w:rsidR="00A607FD" w:rsidRPr="00B76CEE" w14:paraId="5E74CBB1" w14:textId="77777777" w:rsidTr="00A607FD">
        <w:trPr>
          <w:trHeight w:val="1781"/>
          <w:jc w:val="center"/>
        </w:trPr>
        <w:tc>
          <w:tcPr>
            <w:tcW w:w="699" w:type="dxa"/>
            <w:tcBorders>
              <w:top w:val="single" w:sz="4" w:space="0" w:color="auto"/>
              <w:left w:val="single" w:sz="4" w:space="0" w:color="auto"/>
              <w:bottom w:val="single" w:sz="4" w:space="0" w:color="auto"/>
              <w:right w:val="single" w:sz="4" w:space="0" w:color="auto"/>
            </w:tcBorders>
            <w:hideMark/>
          </w:tcPr>
          <w:p w14:paraId="21D19439" w14:textId="77777777" w:rsidR="00A607FD" w:rsidRPr="00B76CEE" w:rsidRDefault="00A607FD" w:rsidP="00DD7854">
            <w:pPr>
              <w:rPr>
                <w:rFonts w:ascii="Myriad Pro" w:hAnsi="Myriad Pro" w:cstheme="minorHAnsi"/>
                <w:snapToGrid w:val="0"/>
                <w:sz w:val="20"/>
                <w:szCs w:val="20"/>
              </w:rPr>
            </w:pPr>
            <w:r w:rsidRPr="00B76CEE">
              <w:rPr>
                <w:rFonts w:ascii="Myriad Pro" w:hAnsi="Myriad Pro" w:cstheme="minorHAnsi"/>
                <w:snapToGrid w:val="0"/>
                <w:sz w:val="20"/>
                <w:szCs w:val="20"/>
              </w:rPr>
              <w:t>1.2</w:t>
            </w:r>
          </w:p>
        </w:tc>
        <w:tc>
          <w:tcPr>
            <w:tcW w:w="7178" w:type="dxa"/>
            <w:gridSpan w:val="2"/>
            <w:tcBorders>
              <w:top w:val="single" w:sz="4" w:space="0" w:color="auto"/>
              <w:left w:val="single" w:sz="4" w:space="0" w:color="auto"/>
              <w:bottom w:val="single" w:sz="4" w:space="0" w:color="auto"/>
              <w:right w:val="single" w:sz="4" w:space="0" w:color="auto"/>
            </w:tcBorders>
            <w:hideMark/>
          </w:tcPr>
          <w:p w14:paraId="00300C74" w14:textId="77777777" w:rsidR="00A607FD" w:rsidRPr="00BC0991" w:rsidRDefault="00A607FD" w:rsidP="00DD7854">
            <w:pPr>
              <w:rPr>
                <w:rFonts w:asciiTheme="minorHAnsi" w:eastAsiaTheme="minorEastAsia" w:hAnsiTheme="minorHAnsi" w:cs="Calibri"/>
                <w:color w:val="000000"/>
              </w:rPr>
            </w:pPr>
            <w:r w:rsidRPr="00BC0991">
              <w:rPr>
                <w:rFonts w:asciiTheme="minorHAnsi" w:eastAsiaTheme="minorEastAsia" w:hAnsiTheme="minorHAnsi" w:cs="Calibri"/>
                <w:color w:val="000000"/>
              </w:rPr>
              <w:t xml:space="preserve">General Organizational Capability which is likely to affect implementation </w:t>
            </w:r>
          </w:p>
          <w:p w14:paraId="4E5A6507" w14:textId="77777777" w:rsidR="00A607FD" w:rsidRPr="00BC0991" w:rsidRDefault="00A607FD" w:rsidP="00A607FD">
            <w:pPr>
              <w:pStyle w:val="ListParagraph"/>
              <w:widowControl w:val="0"/>
              <w:numPr>
                <w:ilvl w:val="0"/>
                <w:numId w:val="16"/>
              </w:numPr>
              <w:overflowPunct w:val="0"/>
              <w:adjustRightInd w:val="0"/>
              <w:contextualSpacing/>
              <w:rPr>
                <w:rFonts w:asciiTheme="minorHAnsi" w:eastAsiaTheme="minorEastAsia" w:hAnsiTheme="minorHAnsi" w:cs="Calibri"/>
                <w:color w:val="000000"/>
                <w:sz w:val="22"/>
                <w:szCs w:val="22"/>
                <w:lang w:val="en-US"/>
              </w:rPr>
            </w:pPr>
            <w:r w:rsidRPr="00BC0991">
              <w:rPr>
                <w:rFonts w:asciiTheme="minorHAnsi" w:eastAsiaTheme="minorEastAsia" w:hAnsiTheme="minorHAnsi" w:cs="Calibri"/>
                <w:color w:val="000000"/>
                <w:sz w:val="22"/>
                <w:szCs w:val="22"/>
                <w:lang w:val="en-US"/>
              </w:rPr>
              <w:t xml:space="preserve">Financial stability </w:t>
            </w:r>
          </w:p>
          <w:p w14:paraId="7CE2A1CC" w14:textId="77777777" w:rsidR="00A607FD" w:rsidRPr="00BC0991" w:rsidRDefault="00A607FD" w:rsidP="00A607FD">
            <w:pPr>
              <w:pStyle w:val="ListParagraph"/>
              <w:widowControl w:val="0"/>
              <w:numPr>
                <w:ilvl w:val="0"/>
                <w:numId w:val="16"/>
              </w:numPr>
              <w:overflowPunct w:val="0"/>
              <w:adjustRightInd w:val="0"/>
              <w:contextualSpacing/>
              <w:rPr>
                <w:rFonts w:asciiTheme="minorHAnsi" w:eastAsiaTheme="minorEastAsia" w:hAnsiTheme="minorHAnsi" w:cs="Calibri"/>
                <w:color w:val="000000"/>
                <w:sz w:val="22"/>
                <w:szCs w:val="22"/>
                <w:lang w:val="en-US"/>
              </w:rPr>
            </w:pPr>
            <w:r w:rsidRPr="00BC0991">
              <w:rPr>
                <w:rFonts w:asciiTheme="minorHAnsi" w:eastAsiaTheme="minorEastAsia" w:hAnsiTheme="minorHAnsi" w:cs="Calibri"/>
                <w:color w:val="000000"/>
                <w:sz w:val="22"/>
                <w:szCs w:val="22"/>
                <w:lang w:val="en-US"/>
              </w:rPr>
              <w:t>loose consortium, holding company or one firm</w:t>
            </w:r>
          </w:p>
          <w:p w14:paraId="1D65F8B0" w14:textId="77777777" w:rsidR="00A607FD" w:rsidRPr="00BC0991" w:rsidRDefault="00A607FD" w:rsidP="00A607FD">
            <w:pPr>
              <w:pStyle w:val="ListParagraph"/>
              <w:widowControl w:val="0"/>
              <w:numPr>
                <w:ilvl w:val="0"/>
                <w:numId w:val="16"/>
              </w:numPr>
              <w:overflowPunct w:val="0"/>
              <w:adjustRightInd w:val="0"/>
              <w:contextualSpacing/>
              <w:rPr>
                <w:rFonts w:asciiTheme="minorHAnsi" w:eastAsiaTheme="minorEastAsia" w:hAnsiTheme="minorHAnsi" w:cs="Calibri"/>
                <w:color w:val="000000"/>
                <w:sz w:val="22"/>
                <w:szCs w:val="22"/>
                <w:lang w:val="en-US"/>
              </w:rPr>
            </w:pPr>
            <w:r w:rsidRPr="00BC0991">
              <w:rPr>
                <w:rFonts w:asciiTheme="minorHAnsi" w:eastAsiaTheme="minorEastAsia" w:hAnsiTheme="minorHAnsi" w:cs="Calibri"/>
                <w:color w:val="000000"/>
                <w:sz w:val="22"/>
                <w:szCs w:val="22"/>
                <w:lang w:val="en-US"/>
              </w:rPr>
              <w:t xml:space="preserve">age/size of the organisation </w:t>
            </w:r>
          </w:p>
          <w:p w14:paraId="6C0228DD" w14:textId="77777777" w:rsidR="00A607FD" w:rsidRPr="00BC0991" w:rsidRDefault="00A607FD" w:rsidP="00A607FD">
            <w:pPr>
              <w:pStyle w:val="ListParagraph"/>
              <w:widowControl w:val="0"/>
              <w:numPr>
                <w:ilvl w:val="0"/>
                <w:numId w:val="16"/>
              </w:numPr>
              <w:overflowPunct w:val="0"/>
              <w:adjustRightInd w:val="0"/>
              <w:contextualSpacing/>
              <w:rPr>
                <w:rFonts w:asciiTheme="minorHAnsi" w:eastAsiaTheme="minorEastAsia" w:hAnsiTheme="minorHAnsi" w:cs="Calibri"/>
                <w:color w:val="000000"/>
                <w:sz w:val="22"/>
                <w:szCs w:val="22"/>
                <w:lang w:val="en-US"/>
              </w:rPr>
            </w:pPr>
            <w:r w:rsidRPr="00BC0991">
              <w:rPr>
                <w:rFonts w:asciiTheme="minorHAnsi" w:eastAsiaTheme="minorEastAsia" w:hAnsiTheme="minorHAnsi" w:cs="Calibri"/>
                <w:color w:val="000000"/>
                <w:sz w:val="22"/>
                <w:szCs w:val="22"/>
                <w:lang w:val="en-US"/>
              </w:rPr>
              <w:t xml:space="preserve">strength of project management support </w:t>
            </w:r>
          </w:p>
          <w:p w14:paraId="29E69794" w14:textId="77777777" w:rsidR="00A607FD" w:rsidRPr="00BC0991" w:rsidRDefault="00A607FD" w:rsidP="00A607FD">
            <w:pPr>
              <w:pStyle w:val="ListParagraph"/>
              <w:widowControl w:val="0"/>
              <w:numPr>
                <w:ilvl w:val="0"/>
                <w:numId w:val="16"/>
              </w:numPr>
              <w:overflowPunct w:val="0"/>
              <w:adjustRightInd w:val="0"/>
              <w:contextualSpacing/>
              <w:rPr>
                <w:rFonts w:asciiTheme="minorHAnsi" w:eastAsiaTheme="minorEastAsia" w:hAnsiTheme="minorHAnsi" w:cs="Calibri"/>
                <w:color w:val="000000"/>
                <w:sz w:val="22"/>
                <w:szCs w:val="22"/>
                <w:lang w:val="en-US"/>
              </w:rPr>
            </w:pPr>
            <w:r w:rsidRPr="00BC0991">
              <w:rPr>
                <w:rFonts w:asciiTheme="minorHAnsi" w:eastAsiaTheme="minorEastAsia" w:hAnsiTheme="minorHAnsi" w:cs="Calibri"/>
                <w:color w:val="000000"/>
                <w:sz w:val="22"/>
                <w:szCs w:val="22"/>
                <w:lang w:val="en-US"/>
              </w:rPr>
              <w:t>project financing capacity</w:t>
            </w:r>
          </w:p>
          <w:p w14:paraId="0E51D4D2" w14:textId="77777777" w:rsidR="00A607FD" w:rsidRPr="00BC0991" w:rsidRDefault="00A607FD" w:rsidP="00A607FD">
            <w:pPr>
              <w:pStyle w:val="ListParagraph"/>
              <w:widowControl w:val="0"/>
              <w:numPr>
                <w:ilvl w:val="0"/>
                <w:numId w:val="16"/>
              </w:numPr>
              <w:overflowPunct w:val="0"/>
              <w:adjustRightInd w:val="0"/>
              <w:contextualSpacing/>
              <w:rPr>
                <w:rFonts w:asciiTheme="minorHAnsi" w:eastAsiaTheme="minorEastAsia" w:hAnsiTheme="minorHAnsi" w:cs="Calibri"/>
                <w:color w:val="000000"/>
                <w:sz w:val="22"/>
                <w:szCs w:val="22"/>
                <w:lang w:val="en-US"/>
              </w:rPr>
            </w:pPr>
            <w:r w:rsidRPr="00BC0991">
              <w:rPr>
                <w:rFonts w:asciiTheme="minorHAnsi" w:eastAsiaTheme="minorEastAsia" w:hAnsiTheme="minorHAnsi" w:cs="Calibri"/>
                <w:color w:val="000000"/>
                <w:sz w:val="22"/>
                <w:szCs w:val="22"/>
                <w:lang w:val="en-US"/>
              </w:rPr>
              <w:t>project management controls</w:t>
            </w:r>
          </w:p>
        </w:tc>
        <w:tc>
          <w:tcPr>
            <w:tcW w:w="1260" w:type="dxa"/>
            <w:tcBorders>
              <w:top w:val="single" w:sz="4" w:space="0" w:color="auto"/>
              <w:left w:val="single" w:sz="4" w:space="0" w:color="auto"/>
              <w:bottom w:val="single" w:sz="4" w:space="0" w:color="auto"/>
              <w:right w:val="single" w:sz="4" w:space="0" w:color="auto"/>
            </w:tcBorders>
          </w:tcPr>
          <w:p w14:paraId="745E3DC6" w14:textId="77777777" w:rsidR="00A607FD" w:rsidRPr="00B76CEE" w:rsidRDefault="00A607FD" w:rsidP="00A607FD">
            <w:pPr>
              <w:jc w:val="center"/>
              <w:rPr>
                <w:rFonts w:ascii="Myriad Pro" w:hAnsi="Myriad Pro" w:cstheme="minorHAnsi"/>
                <w:snapToGrid w:val="0"/>
                <w:sz w:val="20"/>
                <w:szCs w:val="20"/>
              </w:rPr>
            </w:pPr>
            <w:r>
              <w:rPr>
                <w:rFonts w:ascii="Myriad Pro" w:hAnsi="Myriad Pro" w:cstheme="minorHAnsi"/>
                <w:snapToGrid w:val="0"/>
                <w:sz w:val="20"/>
                <w:szCs w:val="20"/>
              </w:rPr>
              <w:t>50</w:t>
            </w:r>
          </w:p>
        </w:tc>
      </w:tr>
      <w:tr w:rsidR="00A607FD" w:rsidRPr="00B76CEE" w14:paraId="64D94D2A" w14:textId="77777777" w:rsidTr="00A607FD">
        <w:trPr>
          <w:trHeight w:val="287"/>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71B65" w14:textId="77777777" w:rsidR="00A607FD" w:rsidRPr="00B76CEE" w:rsidRDefault="00A607FD" w:rsidP="00DD7854">
            <w:pPr>
              <w:rPr>
                <w:rFonts w:ascii="Myriad Pro" w:hAnsi="Myriad Pro" w:cstheme="minorHAnsi"/>
                <w:snapToGrid w:val="0"/>
                <w:sz w:val="20"/>
                <w:szCs w:val="20"/>
              </w:rPr>
            </w:pPr>
            <w:r w:rsidRPr="00B76CEE">
              <w:rPr>
                <w:rFonts w:ascii="Myriad Pro" w:hAnsi="Myriad Pro" w:cstheme="minorHAnsi"/>
                <w:snapToGrid w:val="0"/>
                <w:sz w:val="20"/>
                <w:szCs w:val="20"/>
              </w:rPr>
              <w:t>1.4</w:t>
            </w:r>
          </w:p>
        </w:tc>
        <w:tc>
          <w:tcPr>
            <w:tcW w:w="71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A2C038" w14:textId="77777777" w:rsidR="00A607FD" w:rsidRPr="00BC0991" w:rsidRDefault="00A607FD" w:rsidP="00DD7854">
            <w:pPr>
              <w:rPr>
                <w:rFonts w:asciiTheme="minorHAnsi" w:eastAsiaTheme="minorEastAsia" w:hAnsiTheme="minorHAnsi" w:cs="Calibri"/>
                <w:color w:val="000000"/>
              </w:rPr>
            </w:pPr>
            <w:r w:rsidRPr="00BC0991">
              <w:rPr>
                <w:rFonts w:asciiTheme="minorHAnsi" w:eastAsiaTheme="minorEastAsia" w:hAnsiTheme="minorHAnsi" w:cs="Calibri"/>
                <w:color w:val="000000"/>
              </w:rPr>
              <w:t>Quality assurance procedures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E59C" w14:textId="77777777" w:rsidR="00A607FD" w:rsidRPr="00B76CEE" w:rsidRDefault="00A607FD" w:rsidP="00DD7854">
            <w:pPr>
              <w:jc w:val="center"/>
              <w:rPr>
                <w:rFonts w:ascii="Myriad Pro" w:hAnsi="Myriad Pro" w:cstheme="minorHAnsi"/>
                <w:snapToGrid w:val="0"/>
                <w:sz w:val="20"/>
                <w:szCs w:val="20"/>
              </w:rPr>
            </w:pPr>
            <w:r>
              <w:rPr>
                <w:rFonts w:ascii="Myriad Pro" w:hAnsi="Myriad Pro" w:cstheme="minorHAnsi"/>
                <w:snapToGrid w:val="0"/>
                <w:sz w:val="20"/>
                <w:szCs w:val="20"/>
              </w:rPr>
              <w:t>50</w:t>
            </w:r>
          </w:p>
        </w:tc>
      </w:tr>
      <w:tr w:rsidR="00A607FD" w:rsidRPr="00B76CEE" w14:paraId="6D821134" w14:textId="77777777" w:rsidTr="00A607FD">
        <w:trPr>
          <w:trHeight w:val="248"/>
          <w:jc w:val="center"/>
        </w:trPr>
        <w:tc>
          <w:tcPr>
            <w:tcW w:w="699" w:type="dxa"/>
            <w:vMerge w:val="restart"/>
            <w:tcBorders>
              <w:top w:val="single" w:sz="4" w:space="0" w:color="auto"/>
              <w:left w:val="single" w:sz="4" w:space="0" w:color="auto"/>
              <w:right w:val="single" w:sz="4" w:space="0" w:color="auto"/>
            </w:tcBorders>
            <w:shd w:val="clear" w:color="auto" w:fill="FFFFFF" w:themeFill="background1"/>
            <w:hideMark/>
          </w:tcPr>
          <w:p w14:paraId="7F7226A3" w14:textId="77777777" w:rsidR="00A607FD" w:rsidRPr="00B76CEE" w:rsidRDefault="00A607FD" w:rsidP="00DD7854">
            <w:pPr>
              <w:rPr>
                <w:rFonts w:ascii="Myriad Pro" w:hAnsi="Myriad Pro" w:cstheme="minorHAnsi"/>
                <w:snapToGrid w:val="0"/>
                <w:sz w:val="20"/>
                <w:szCs w:val="20"/>
              </w:rPr>
            </w:pPr>
            <w:r w:rsidRPr="00B76CEE">
              <w:rPr>
                <w:rFonts w:ascii="Myriad Pro" w:hAnsi="Myriad Pro" w:cstheme="minorHAnsi"/>
                <w:snapToGrid w:val="0"/>
                <w:sz w:val="20"/>
                <w:szCs w:val="20"/>
              </w:rPr>
              <w:t>1.5</w:t>
            </w:r>
          </w:p>
        </w:tc>
        <w:tc>
          <w:tcPr>
            <w:tcW w:w="71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12802" w14:textId="77777777" w:rsidR="00A607FD" w:rsidRPr="00BC0991" w:rsidRDefault="00A607FD" w:rsidP="00DD7854">
            <w:pPr>
              <w:rPr>
                <w:rFonts w:asciiTheme="minorHAnsi" w:eastAsiaTheme="minorEastAsia" w:hAnsiTheme="minorHAnsi" w:cs="Calibri"/>
                <w:color w:val="000000"/>
              </w:rPr>
            </w:pPr>
            <w:r w:rsidRPr="00BC0991">
              <w:rPr>
                <w:rFonts w:asciiTheme="minorHAnsi" w:eastAsiaTheme="minorEastAsia" w:hAnsiTheme="minorHAnsi" w:cs="Calibri"/>
                <w:color w:val="000000"/>
              </w:rPr>
              <w:t>Relevance of:</w:t>
            </w:r>
          </w:p>
        </w:tc>
        <w:tc>
          <w:tcPr>
            <w:tcW w:w="1260" w:type="dxa"/>
            <w:vMerge w:val="restart"/>
            <w:tcBorders>
              <w:top w:val="single" w:sz="4" w:space="0" w:color="auto"/>
              <w:left w:val="single" w:sz="4" w:space="0" w:color="auto"/>
              <w:right w:val="single" w:sz="4" w:space="0" w:color="auto"/>
            </w:tcBorders>
            <w:shd w:val="clear" w:color="auto" w:fill="FFFFFF" w:themeFill="background1"/>
          </w:tcPr>
          <w:p w14:paraId="33A8CB0A" w14:textId="77777777" w:rsidR="00A607FD" w:rsidRPr="00B76CEE" w:rsidRDefault="00A607FD" w:rsidP="00DD7854">
            <w:pPr>
              <w:jc w:val="center"/>
              <w:rPr>
                <w:rFonts w:ascii="Myriad Pro" w:hAnsi="Myriad Pro" w:cstheme="minorHAnsi"/>
                <w:snapToGrid w:val="0"/>
                <w:sz w:val="20"/>
                <w:szCs w:val="20"/>
              </w:rPr>
            </w:pPr>
            <w:r>
              <w:rPr>
                <w:rFonts w:ascii="Myriad Pro" w:hAnsi="Myriad Pro" w:cstheme="minorHAnsi"/>
                <w:snapToGrid w:val="0"/>
                <w:sz w:val="20"/>
                <w:szCs w:val="20"/>
              </w:rPr>
              <w:t>60</w:t>
            </w:r>
          </w:p>
        </w:tc>
      </w:tr>
      <w:tr w:rsidR="00A607FD" w:rsidRPr="00B76CEE" w14:paraId="38906F4E" w14:textId="77777777" w:rsidTr="00A607FD">
        <w:trPr>
          <w:trHeight w:val="248"/>
          <w:jc w:val="center"/>
        </w:trPr>
        <w:tc>
          <w:tcPr>
            <w:tcW w:w="699" w:type="dxa"/>
            <w:vMerge/>
            <w:tcBorders>
              <w:top w:val="single" w:sz="4" w:space="0" w:color="auto"/>
              <w:left w:val="single" w:sz="4" w:space="0" w:color="auto"/>
              <w:right w:val="single" w:sz="4" w:space="0" w:color="auto"/>
            </w:tcBorders>
            <w:shd w:val="clear" w:color="auto" w:fill="FFFFFF" w:themeFill="background1"/>
          </w:tcPr>
          <w:p w14:paraId="31DAD82D" w14:textId="77777777" w:rsidR="00A607FD" w:rsidRPr="00B76CEE" w:rsidRDefault="00A607FD" w:rsidP="00DD7854">
            <w:pPr>
              <w:rPr>
                <w:rFonts w:ascii="Myriad Pro" w:hAnsi="Myriad Pro" w:cstheme="minorHAnsi"/>
                <w:snapToGrid w:val="0"/>
                <w:sz w:val="20"/>
                <w:szCs w:val="20"/>
              </w:rPr>
            </w:pPr>
          </w:p>
        </w:tc>
        <w:tc>
          <w:tcPr>
            <w:tcW w:w="6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A3F98F" w14:textId="77777777" w:rsidR="00A607FD" w:rsidRPr="00BC0991" w:rsidRDefault="00A607FD" w:rsidP="00A607FD">
            <w:pPr>
              <w:pStyle w:val="ListParagraph"/>
              <w:widowControl w:val="0"/>
              <w:numPr>
                <w:ilvl w:val="0"/>
                <w:numId w:val="17"/>
              </w:numPr>
              <w:overflowPunct w:val="0"/>
              <w:adjustRightInd w:val="0"/>
              <w:contextualSpacing/>
              <w:rPr>
                <w:rFonts w:asciiTheme="minorHAnsi" w:eastAsiaTheme="minorEastAsia" w:hAnsiTheme="minorHAnsi" w:cs="Calibri"/>
                <w:color w:val="000000"/>
                <w:sz w:val="22"/>
                <w:szCs w:val="22"/>
                <w:lang w:val="en-US"/>
              </w:rPr>
            </w:pPr>
            <w:r w:rsidRPr="00BC0991">
              <w:rPr>
                <w:rFonts w:asciiTheme="minorHAnsi" w:eastAsiaTheme="minorEastAsia" w:hAnsiTheme="minorHAnsi" w:cs="Calibri"/>
                <w:color w:val="000000"/>
                <w:sz w:val="22"/>
                <w:szCs w:val="22"/>
                <w:lang w:val="en-US"/>
              </w:rPr>
              <w:t>Experience and expertise of design and delivery of relevant projects in the ASEAN Region on national ABS policy measures and legal framework, biodiscovery, Traditional knowledge on generic resources and information technology</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A9BA2B" w14:textId="77777777" w:rsidR="00A607FD" w:rsidRPr="00B76CEE" w:rsidRDefault="00A607FD" w:rsidP="00DD7854">
            <w:pPr>
              <w:rPr>
                <w:rFonts w:ascii="Myriad Pro" w:hAnsi="Myriad Pro" w:cstheme="minorHAnsi"/>
                <w:snapToGrid w:val="0"/>
                <w:sz w:val="20"/>
                <w:szCs w:val="20"/>
              </w:rPr>
            </w:pPr>
            <w:r>
              <w:rPr>
                <w:rFonts w:ascii="Myriad Pro" w:hAnsi="Myriad Pro" w:cstheme="minorHAnsi"/>
                <w:snapToGrid w:val="0"/>
                <w:sz w:val="20"/>
                <w:szCs w:val="20"/>
              </w:rPr>
              <w:t>30</w:t>
            </w:r>
          </w:p>
        </w:tc>
        <w:tc>
          <w:tcPr>
            <w:tcW w:w="1260" w:type="dxa"/>
            <w:vMerge/>
            <w:tcBorders>
              <w:top w:val="single" w:sz="4" w:space="0" w:color="auto"/>
              <w:left w:val="single" w:sz="4" w:space="0" w:color="auto"/>
              <w:right w:val="single" w:sz="4" w:space="0" w:color="auto"/>
            </w:tcBorders>
            <w:shd w:val="clear" w:color="auto" w:fill="FFFFFF" w:themeFill="background1"/>
          </w:tcPr>
          <w:p w14:paraId="6E57C794" w14:textId="77777777" w:rsidR="00A607FD" w:rsidRPr="00B76CEE" w:rsidRDefault="00A607FD" w:rsidP="00DD7854">
            <w:pPr>
              <w:jc w:val="center"/>
              <w:rPr>
                <w:rFonts w:ascii="Myriad Pro" w:hAnsi="Myriad Pro" w:cstheme="minorHAnsi"/>
                <w:snapToGrid w:val="0"/>
                <w:sz w:val="20"/>
                <w:szCs w:val="20"/>
                <w:highlight w:val="lightGray"/>
              </w:rPr>
            </w:pPr>
          </w:p>
        </w:tc>
      </w:tr>
      <w:tr w:rsidR="00A607FD" w:rsidRPr="00B76CEE" w14:paraId="163EEA47" w14:textId="77777777" w:rsidTr="00A607FD">
        <w:trPr>
          <w:trHeight w:val="368"/>
          <w:jc w:val="center"/>
        </w:trPr>
        <w:tc>
          <w:tcPr>
            <w:tcW w:w="699" w:type="dxa"/>
            <w:vMerge/>
            <w:tcBorders>
              <w:left w:val="single" w:sz="4" w:space="0" w:color="auto"/>
              <w:right w:val="single" w:sz="4" w:space="0" w:color="auto"/>
            </w:tcBorders>
            <w:shd w:val="clear" w:color="auto" w:fill="FFFFFF" w:themeFill="background1"/>
          </w:tcPr>
          <w:p w14:paraId="180AC49A" w14:textId="77777777" w:rsidR="00A607FD" w:rsidRPr="00B76CEE" w:rsidRDefault="00A607FD" w:rsidP="00DD7854">
            <w:pPr>
              <w:rPr>
                <w:rFonts w:ascii="Myriad Pro" w:hAnsi="Myriad Pro" w:cstheme="minorHAnsi"/>
                <w:snapToGrid w:val="0"/>
                <w:sz w:val="20"/>
                <w:szCs w:val="20"/>
              </w:rPr>
            </w:pPr>
          </w:p>
        </w:tc>
        <w:tc>
          <w:tcPr>
            <w:tcW w:w="6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0250370" w14:textId="77777777" w:rsidR="00A607FD" w:rsidRPr="00BC0991" w:rsidRDefault="00A607FD" w:rsidP="00A607FD">
            <w:pPr>
              <w:numPr>
                <w:ilvl w:val="0"/>
                <w:numId w:val="17"/>
              </w:numPr>
              <w:spacing w:after="0" w:line="240" w:lineRule="auto"/>
              <w:rPr>
                <w:rFonts w:asciiTheme="minorHAnsi" w:eastAsiaTheme="minorEastAsia" w:hAnsiTheme="minorHAnsi" w:cs="Calibri"/>
                <w:color w:val="000000"/>
              </w:rPr>
            </w:pPr>
            <w:r w:rsidRPr="00BC0991">
              <w:rPr>
                <w:rFonts w:asciiTheme="minorHAnsi" w:eastAsiaTheme="minorEastAsia" w:hAnsiTheme="minorHAnsi" w:cs="Calibri"/>
                <w:color w:val="000000"/>
              </w:rPr>
              <w:t xml:space="preserve">Experience and expertise of delivering similar projects with the Myanmar government on national ABS policy measures and legal framework, biodiscovery </w:t>
            </w:r>
            <w:proofErr w:type="spellStart"/>
            <w:r w:rsidRPr="00BC0991">
              <w:rPr>
                <w:rFonts w:asciiTheme="minorHAnsi" w:eastAsiaTheme="minorEastAsia" w:hAnsiTheme="minorHAnsi" w:cs="Calibri"/>
                <w:color w:val="000000"/>
              </w:rPr>
              <w:t>etc</w:t>
            </w:r>
            <w:proofErr w:type="spellEnd"/>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01C211" w14:textId="77777777" w:rsidR="00A607FD" w:rsidRPr="00B76CEE" w:rsidRDefault="00A607FD" w:rsidP="00DD7854">
            <w:pPr>
              <w:rPr>
                <w:rFonts w:ascii="Myriad Pro" w:hAnsi="Myriad Pro" w:cstheme="minorHAnsi"/>
                <w:snapToGrid w:val="0"/>
                <w:sz w:val="20"/>
                <w:szCs w:val="20"/>
              </w:rPr>
            </w:pPr>
            <w:r>
              <w:rPr>
                <w:rFonts w:ascii="Myriad Pro" w:hAnsi="Myriad Pro" w:cstheme="minorHAnsi"/>
                <w:snapToGrid w:val="0"/>
                <w:sz w:val="20"/>
                <w:szCs w:val="20"/>
              </w:rPr>
              <w:t>20</w:t>
            </w:r>
          </w:p>
        </w:tc>
        <w:tc>
          <w:tcPr>
            <w:tcW w:w="1260" w:type="dxa"/>
            <w:vMerge/>
            <w:tcBorders>
              <w:left w:val="single" w:sz="4" w:space="0" w:color="auto"/>
              <w:right w:val="single" w:sz="4" w:space="0" w:color="auto"/>
            </w:tcBorders>
            <w:shd w:val="clear" w:color="auto" w:fill="FFFFFF" w:themeFill="background1"/>
          </w:tcPr>
          <w:p w14:paraId="797EF30B" w14:textId="77777777" w:rsidR="00A607FD" w:rsidRPr="00B76CEE" w:rsidRDefault="00A607FD" w:rsidP="00DD7854">
            <w:pPr>
              <w:jc w:val="center"/>
              <w:rPr>
                <w:rFonts w:ascii="Myriad Pro" w:hAnsi="Myriad Pro" w:cstheme="minorHAnsi"/>
                <w:snapToGrid w:val="0"/>
                <w:sz w:val="20"/>
                <w:szCs w:val="20"/>
                <w:highlight w:val="lightGray"/>
              </w:rPr>
            </w:pPr>
          </w:p>
        </w:tc>
      </w:tr>
      <w:tr w:rsidR="00A607FD" w:rsidRPr="00B76CEE" w14:paraId="4FE7AFBD" w14:textId="77777777" w:rsidTr="00A607FD">
        <w:trPr>
          <w:trHeight w:val="244"/>
          <w:jc w:val="center"/>
        </w:trPr>
        <w:tc>
          <w:tcPr>
            <w:tcW w:w="699" w:type="dxa"/>
            <w:vMerge/>
            <w:tcBorders>
              <w:left w:val="single" w:sz="4" w:space="0" w:color="auto"/>
              <w:right w:val="single" w:sz="4" w:space="0" w:color="auto"/>
            </w:tcBorders>
            <w:shd w:val="clear" w:color="auto" w:fill="FFFFFF" w:themeFill="background1"/>
          </w:tcPr>
          <w:p w14:paraId="06AE743F" w14:textId="77777777" w:rsidR="00A607FD" w:rsidRPr="00B76CEE" w:rsidRDefault="00A607FD" w:rsidP="00DD7854">
            <w:pPr>
              <w:rPr>
                <w:rFonts w:ascii="Myriad Pro" w:hAnsi="Myriad Pro" w:cstheme="minorHAnsi"/>
                <w:snapToGrid w:val="0"/>
                <w:sz w:val="20"/>
                <w:szCs w:val="20"/>
              </w:rPr>
            </w:pPr>
          </w:p>
        </w:tc>
        <w:tc>
          <w:tcPr>
            <w:tcW w:w="6586" w:type="dxa"/>
            <w:tcBorders>
              <w:top w:val="single" w:sz="4" w:space="0" w:color="auto"/>
              <w:left w:val="single" w:sz="4" w:space="0" w:color="auto"/>
              <w:bottom w:val="single" w:sz="4" w:space="0" w:color="auto"/>
              <w:right w:val="single" w:sz="4" w:space="0" w:color="auto"/>
            </w:tcBorders>
            <w:shd w:val="clear" w:color="auto" w:fill="FFFFFF" w:themeFill="background1"/>
          </w:tcPr>
          <w:p w14:paraId="6DAE4F2E" w14:textId="77777777" w:rsidR="00A607FD" w:rsidRPr="00BC0991" w:rsidRDefault="00A607FD" w:rsidP="00A607FD">
            <w:pPr>
              <w:pStyle w:val="ListParagraph"/>
              <w:widowControl w:val="0"/>
              <w:numPr>
                <w:ilvl w:val="0"/>
                <w:numId w:val="17"/>
              </w:numPr>
              <w:overflowPunct w:val="0"/>
              <w:adjustRightInd w:val="0"/>
              <w:contextualSpacing/>
              <w:rPr>
                <w:rFonts w:asciiTheme="minorHAnsi" w:eastAsiaTheme="minorEastAsia" w:hAnsiTheme="minorHAnsi" w:cs="Calibri"/>
                <w:color w:val="000000"/>
                <w:sz w:val="22"/>
                <w:szCs w:val="22"/>
                <w:lang w:val="en-US"/>
              </w:rPr>
            </w:pPr>
            <w:r w:rsidRPr="00BC0991">
              <w:rPr>
                <w:rFonts w:asciiTheme="minorHAnsi" w:eastAsiaTheme="minorEastAsia" w:hAnsiTheme="minorHAnsi" w:cs="Calibri"/>
                <w:color w:val="000000"/>
                <w:sz w:val="22"/>
                <w:szCs w:val="22"/>
                <w:lang w:val="en-US"/>
              </w:rPr>
              <w:t>Experience in delivering contracts with UN agencies</w:t>
            </w:r>
          </w:p>
        </w:tc>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7DB0" w14:textId="77777777" w:rsidR="00A607FD" w:rsidRPr="00B76CEE" w:rsidRDefault="00A607FD" w:rsidP="00DD7854">
            <w:pPr>
              <w:rPr>
                <w:rFonts w:ascii="Myriad Pro" w:hAnsi="Myriad Pro" w:cstheme="minorHAnsi"/>
                <w:snapToGrid w:val="0"/>
                <w:sz w:val="20"/>
                <w:szCs w:val="20"/>
              </w:rPr>
            </w:pPr>
            <w:r>
              <w:rPr>
                <w:rFonts w:ascii="Myriad Pro" w:hAnsi="Myriad Pro" w:cstheme="minorHAnsi"/>
                <w:snapToGrid w:val="0"/>
                <w:sz w:val="20"/>
                <w:szCs w:val="20"/>
              </w:rPr>
              <w:t>10</w:t>
            </w:r>
          </w:p>
        </w:tc>
        <w:tc>
          <w:tcPr>
            <w:tcW w:w="1260" w:type="dxa"/>
            <w:vMerge/>
            <w:tcBorders>
              <w:left w:val="single" w:sz="4" w:space="0" w:color="auto"/>
              <w:right w:val="single" w:sz="4" w:space="0" w:color="auto"/>
            </w:tcBorders>
            <w:shd w:val="clear" w:color="auto" w:fill="FFFFFF" w:themeFill="background1"/>
          </w:tcPr>
          <w:p w14:paraId="2082AB05" w14:textId="77777777" w:rsidR="00A607FD" w:rsidRPr="00B76CEE" w:rsidRDefault="00A607FD" w:rsidP="00DD7854">
            <w:pPr>
              <w:jc w:val="center"/>
              <w:rPr>
                <w:rFonts w:ascii="Myriad Pro" w:hAnsi="Myriad Pro" w:cstheme="minorHAnsi"/>
                <w:snapToGrid w:val="0"/>
                <w:sz w:val="20"/>
                <w:szCs w:val="20"/>
                <w:highlight w:val="lightGray"/>
              </w:rPr>
            </w:pPr>
          </w:p>
        </w:tc>
      </w:tr>
      <w:tr w:rsidR="00A607FD" w:rsidRPr="00B76CEE" w14:paraId="77F5CEC0" w14:textId="77777777" w:rsidTr="00A607FD">
        <w:trPr>
          <w:cantSplit/>
          <w:jc w:val="center"/>
        </w:trPr>
        <w:tc>
          <w:tcPr>
            <w:tcW w:w="7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4DC619" w14:textId="77777777" w:rsidR="00A607FD" w:rsidRPr="00B76CEE" w:rsidRDefault="00A607FD" w:rsidP="00DD7854">
            <w:pPr>
              <w:jc w:val="right"/>
              <w:rPr>
                <w:rFonts w:ascii="Myriad Pro" w:hAnsi="Myriad Pro" w:cstheme="minorHAnsi"/>
                <w:b/>
                <w:snapToGrid w:val="0"/>
                <w:sz w:val="20"/>
                <w:szCs w:val="20"/>
                <w:highlight w:val="lightGray"/>
              </w:rPr>
            </w:pPr>
            <w:r w:rsidRPr="00B76CEE">
              <w:rPr>
                <w:rFonts w:ascii="Myriad Pro" w:hAnsi="Myriad Pro" w:cstheme="minorHAnsi"/>
                <w:b/>
                <w:snapToGrid w:val="0"/>
                <w:sz w:val="20"/>
                <w:szCs w:val="20"/>
              </w:rPr>
              <w:t>Total Part 1</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70B557CA" w14:textId="77777777" w:rsidR="00A607FD" w:rsidRPr="00B76CEE" w:rsidRDefault="00A607FD" w:rsidP="00A607FD">
            <w:pPr>
              <w:jc w:val="center"/>
              <w:rPr>
                <w:rFonts w:ascii="Myriad Pro" w:hAnsi="Myriad Pro" w:cstheme="minorHAnsi"/>
                <w:b/>
                <w:snapToGrid w:val="0"/>
                <w:sz w:val="20"/>
                <w:szCs w:val="20"/>
              </w:rPr>
            </w:pPr>
            <w:r>
              <w:rPr>
                <w:rFonts w:ascii="Myriad Pro" w:hAnsi="Myriad Pro" w:cstheme="minorHAnsi"/>
                <w:b/>
                <w:snapToGrid w:val="0"/>
                <w:sz w:val="20"/>
                <w:szCs w:val="20"/>
              </w:rPr>
              <w:t>200</w:t>
            </w:r>
          </w:p>
        </w:tc>
      </w:tr>
    </w:tbl>
    <w:p w14:paraId="2C098B05" w14:textId="77777777" w:rsidR="00A607FD" w:rsidRPr="00B76CEE" w:rsidRDefault="00A607FD" w:rsidP="00A607FD">
      <w:pPr>
        <w:rPr>
          <w:rFonts w:ascii="Myriad Pro" w:hAnsi="Myriad Pro" w:cstheme="minorHAnsi"/>
          <w:snapToGrid w:val="0"/>
          <w:sz w:val="20"/>
          <w:szCs w:val="20"/>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6727"/>
        <w:gridCol w:w="630"/>
        <w:gridCol w:w="1260"/>
      </w:tblGrid>
      <w:tr w:rsidR="00A607FD" w:rsidRPr="00B76CEE" w14:paraId="73B9FBB5" w14:textId="77777777" w:rsidTr="00DD7854">
        <w:trPr>
          <w:cantSplit/>
          <w:trHeight w:val="460"/>
        </w:trPr>
        <w:tc>
          <w:tcPr>
            <w:tcW w:w="8010" w:type="dxa"/>
            <w:gridSpan w:val="3"/>
            <w:vMerge w:val="restart"/>
            <w:tcBorders>
              <w:top w:val="single" w:sz="4" w:space="0" w:color="auto"/>
              <w:left w:val="single" w:sz="4" w:space="0" w:color="auto"/>
              <w:bottom w:val="nil"/>
              <w:right w:val="single" w:sz="4" w:space="0" w:color="auto"/>
            </w:tcBorders>
            <w:hideMark/>
          </w:tcPr>
          <w:p w14:paraId="05270E9E"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Technical Proposal Evaluation</w:t>
            </w:r>
          </w:p>
          <w:p w14:paraId="46688808"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Form 2</w:t>
            </w:r>
          </w:p>
        </w:tc>
        <w:tc>
          <w:tcPr>
            <w:tcW w:w="1260" w:type="dxa"/>
            <w:vMerge w:val="restart"/>
            <w:tcBorders>
              <w:top w:val="single" w:sz="4" w:space="0" w:color="auto"/>
              <w:left w:val="single" w:sz="4" w:space="0" w:color="auto"/>
              <w:bottom w:val="nil"/>
              <w:right w:val="single" w:sz="4" w:space="0" w:color="auto"/>
            </w:tcBorders>
            <w:hideMark/>
          </w:tcPr>
          <w:p w14:paraId="3337836F" w14:textId="77777777" w:rsidR="00A607FD" w:rsidRPr="00B76CEE" w:rsidRDefault="00A607FD" w:rsidP="00DD7854">
            <w:pPr>
              <w:jc w:val="center"/>
              <w:rPr>
                <w:rFonts w:ascii="Myriad Pro" w:hAnsi="Myriad Pro" w:cstheme="minorHAnsi"/>
                <w:snapToGrid w:val="0"/>
                <w:sz w:val="20"/>
                <w:szCs w:val="20"/>
              </w:rPr>
            </w:pPr>
            <w:r w:rsidRPr="00B76CEE">
              <w:rPr>
                <w:rFonts w:ascii="Myriad Pro" w:hAnsi="Myriad Pro" w:cstheme="minorHAnsi"/>
                <w:snapToGrid w:val="0"/>
                <w:sz w:val="20"/>
                <w:szCs w:val="20"/>
              </w:rPr>
              <w:t>Points Obtainable</w:t>
            </w:r>
          </w:p>
        </w:tc>
      </w:tr>
      <w:tr w:rsidR="00A607FD" w:rsidRPr="00B76CEE" w14:paraId="331B3BD4" w14:textId="77777777" w:rsidTr="00DD7854">
        <w:trPr>
          <w:cantSplit/>
          <w:trHeight w:val="460"/>
        </w:trPr>
        <w:tc>
          <w:tcPr>
            <w:tcW w:w="8010" w:type="dxa"/>
            <w:gridSpan w:val="3"/>
            <w:vMerge/>
            <w:tcBorders>
              <w:top w:val="single" w:sz="4" w:space="0" w:color="auto"/>
              <w:left w:val="single" w:sz="4" w:space="0" w:color="auto"/>
              <w:bottom w:val="nil"/>
              <w:right w:val="single" w:sz="4" w:space="0" w:color="auto"/>
            </w:tcBorders>
            <w:vAlign w:val="center"/>
            <w:hideMark/>
          </w:tcPr>
          <w:p w14:paraId="40FA4C69" w14:textId="77777777" w:rsidR="00A607FD" w:rsidRPr="00B76CEE" w:rsidRDefault="00A607FD" w:rsidP="00DD7854">
            <w:pPr>
              <w:jc w:val="both"/>
              <w:rPr>
                <w:rFonts w:ascii="Myriad Pro" w:hAnsi="Myriad Pro" w:cstheme="minorHAnsi"/>
                <w:snapToGrid w:val="0"/>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14:paraId="5D522325" w14:textId="77777777" w:rsidR="00A607FD" w:rsidRPr="00B76CEE" w:rsidRDefault="00A607FD" w:rsidP="00DD7854">
            <w:pPr>
              <w:jc w:val="both"/>
              <w:rPr>
                <w:rFonts w:ascii="Myriad Pro" w:hAnsi="Myriad Pro" w:cstheme="minorHAnsi"/>
                <w:snapToGrid w:val="0"/>
                <w:sz w:val="20"/>
                <w:szCs w:val="20"/>
              </w:rPr>
            </w:pPr>
          </w:p>
        </w:tc>
      </w:tr>
      <w:tr w:rsidR="00A607FD" w:rsidRPr="00B76CEE" w14:paraId="55830D60" w14:textId="77777777" w:rsidTr="00DD7854">
        <w:trPr>
          <w:cantSplit/>
          <w:trHeight w:val="566"/>
        </w:trPr>
        <w:tc>
          <w:tcPr>
            <w:tcW w:w="9270" w:type="dxa"/>
            <w:gridSpan w:val="4"/>
            <w:tcBorders>
              <w:top w:val="single" w:sz="4" w:space="0" w:color="auto"/>
              <w:left w:val="single" w:sz="4" w:space="0" w:color="auto"/>
              <w:right w:val="single" w:sz="4" w:space="0" w:color="auto"/>
            </w:tcBorders>
            <w:shd w:val="pct15" w:color="auto" w:fill="FFFFFF"/>
          </w:tcPr>
          <w:p w14:paraId="36D2F162" w14:textId="77777777" w:rsidR="00A607FD" w:rsidRPr="00B76CEE" w:rsidRDefault="00A607FD" w:rsidP="00DD7854">
            <w:pPr>
              <w:spacing w:before="120"/>
              <w:jc w:val="center"/>
              <w:rPr>
                <w:rFonts w:ascii="Myriad Pro" w:hAnsi="Myriad Pro" w:cstheme="minorHAnsi"/>
                <w:b/>
                <w:snapToGrid w:val="0"/>
                <w:sz w:val="20"/>
                <w:szCs w:val="20"/>
              </w:rPr>
            </w:pPr>
            <w:r w:rsidRPr="00B76CEE">
              <w:rPr>
                <w:rFonts w:ascii="Myriad Pro" w:hAnsi="Myriad Pro" w:cstheme="minorHAnsi"/>
                <w:b/>
                <w:snapToGrid w:val="0"/>
                <w:sz w:val="20"/>
                <w:szCs w:val="20"/>
              </w:rPr>
              <w:t xml:space="preserve">Proposed Methodology and Approach  </w:t>
            </w:r>
          </w:p>
        </w:tc>
      </w:tr>
      <w:tr w:rsidR="00A607FD" w:rsidRPr="00B76CEE" w14:paraId="2AFB4C4E" w14:textId="77777777" w:rsidTr="00DD7854">
        <w:tc>
          <w:tcPr>
            <w:tcW w:w="653" w:type="dxa"/>
            <w:tcBorders>
              <w:top w:val="single" w:sz="4" w:space="0" w:color="auto"/>
              <w:left w:val="single" w:sz="4" w:space="0" w:color="auto"/>
              <w:bottom w:val="single" w:sz="4" w:space="0" w:color="auto"/>
              <w:right w:val="single" w:sz="4" w:space="0" w:color="auto"/>
            </w:tcBorders>
          </w:tcPr>
          <w:p w14:paraId="1FA4EE60"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2.1</w:t>
            </w:r>
          </w:p>
        </w:tc>
        <w:tc>
          <w:tcPr>
            <w:tcW w:w="7357" w:type="dxa"/>
            <w:gridSpan w:val="2"/>
            <w:tcBorders>
              <w:top w:val="single" w:sz="4" w:space="0" w:color="auto"/>
              <w:left w:val="single" w:sz="4" w:space="0" w:color="auto"/>
              <w:bottom w:val="single" w:sz="4" w:space="0" w:color="auto"/>
              <w:right w:val="single" w:sz="4" w:space="0" w:color="auto"/>
            </w:tcBorders>
          </w:tcPr>
          <w:p w14:paraId="15598BD4"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Context</w:t>
            </w:r>
          </w:p>
        </w:tc>
        <w:tc>
          <w:tcPr>
            <w:tcW w:w="1260" w:type="dxa"/>
            <w:tcBorders>
              <w:top w:val="single" w:sz="4" w:space="0" w:color="auto"/>
              <w:left w:val="single" w:sz="4" w:space="0" w:color="auto"/>
              <w:bottom w:val="single" w:sz="4" w:space="0" w:color="auto"/>
              <w:right w:val="single" w:sz="4" w:space="0" w:color="auto"/>
            </w:tcBorders>
          </w:tcPr>
          <w:p w14:paraId="27560B46" w14:textId="77777777" w:rsidR="00A607FD" w:rsidRPr="00B76CEE" w:rsidRDefault="00A607FD" w:rsidP="00DD7854">
            <w:pPr>
              <w:jc w:val="center"/>
              <w:rPr>
                <w:rFonts w:ascii="Myriad Pro" w:hAnsi="Myriad Pro" w:cstheme="minorHAnsi"/>
                <w:snapToGrid w:val="0"/>
                <w:sz w:val="20"/>
                <w:szCs w:val="20"/>
              </w:rPr>
            </w:pPr>
            <w:r w:rsidRPr="00B76CEE">
              <w:rPr>
                <w:rFonts w:ascii="Myriad Pro" w:hAnsi="Myriad Pro" w:cstheme="minorHAnsi"/>
                <w:snapToGrid w:val="0"/>
                <w:sz w:val="20"/>
                <w:szCs w:val="20"/>
              </w:rPr>
              <w:t>70</w:t>
            </w:r>
          </w:p>
        </w:tc>
      </w:tr>
      <w:tr w:rsidR="00A607FD" w:rsidRPr="00B76CEE" w14:paraId="462ABC54" w14:textId="77777777" w:rsidTr="00DD7854">
        <w:tc>
          <w:tcPr>
            <w:tcW w:w="653" w:type="dxa"/>
            <w:tcBorders>
              <w:top w:val="single" w:sz="4" w:space="0" w:color="auto"/>
              <w:left w:val="single" w:sz="4" w:space="0" w:color="auto"/>
              <w:bottom w:val="single" w:sz="4" w:space="0" w:color="auto"/>
              <w:right w:val="single" w:sz="4" w:space="0" w:color="auto"/>
            </w:tcBorders>
            <w:hideMark/>
          </w:tcPr>
          <w:p w14:paraId="05AB17F1" w14:textId="77777777" w:rsidR="00A607FD" w:rsidRPr="00B76CEE" w:rsidRDefault="00A607FD" w:rsidP="00DD7854">
            <w:pPr>
              <w:jc w:val="both"/>
              <w:rPr>
                <w:rFonts w:ascii="Myriad Pro" w:hAnsi="Myriad Pro" w:cstheme="minorHAnsi"/>
                <w:snapToGrid w:val="0"/>
                <w:sz w:val="20"/>
                <w:szCs w:val="20"/>
              </w:rPr>
            </w:pPr>
          </w:p>
        </w:tc>
        <w:tc>
          <w:tcPr>
            <w:tcW w:w="6727" w:type="dxa"/>
            <w:tcBorders>
              <w:top w:val="single" w:sz="4" w:space="0" w:color="auto"/>
              <w:left w:val="single" w:sz="4" w:space="0" w:color="auto"/>
              <w:bottom w:val="single" w:sz="4" w:space="0" w:color="auto"/>
              <w:right w:val="single" w:sz="4" w:space="0" w:color="auto"/>
            </w:tcBorders>
            <w:hideMark/>
          </w:tcPr>
          <w:p w14:paraId="0FC23698"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 xml:space="preserve">To what degree does the Proposer understand the overall task and objectives? </w:t>
            </w:r>
          </w:p>
        </w:tc>
        <w:tc>
          <w:tcPr>
            <w:tcW w:w="630" w:type="dxa"/>
            <w:tcBorders>
              <w:top w:val="single" w:sz="4" w:space="0" w:color="auto"/>
              <w:left w:val="single" w:sz="4" w:space="0" w:color="auto"/>
              <w:bottom w:val="single" w:sz="4" w:space="0" w:color="auto"/>
              <w:right w:val="single" w:sz="4" w:space="0" w:color="auto"/>
            </w:tcBorders>
          </w:tcPr>
          <w:p w14:paraId="28B527FB" w14:textId="77777777" w:rsidR="00A607FD" w:rsidRPr="005312CE" w:rsidRDefault="00A607FD" w:rsidP="00DD7854">
            <w:pPr>
              <w:jc w:val="center"/>
              <w:rPr>
                <w:rFonts w:ascii="Myriad Pro" w:hAnsi="Myriad Pro" w:cstheme="minorHAnsi"/>
                <w:snapToGrid w:val="0"/>
                <w:sz w:val="20"/>
                <w:szCs w:val="20"/>
              </w:rPr>
            </w:pPr>
            <w:r w:rsidRPr="005312CE">
              <w:rPr>
                <w:rFonts w:ascii="Myriad Pro" w:hAnsi="Myriad Pro" w:cstheme="minorHAnsi"/>
                <w:snapToGrid w:val="0"/>
                <w:sz w:val="20"/>
                <w:szCs w:val="20"/>
              </w:rPr>
              <w:t>35</w:t>
            </w:r>
          </w:p>
        </w:tc>
        <w:tc>
          <w:tcPr>
            <w:tcW w:w="1260" w:type="dxa"/>
            <w:tcBorders>
              <w:top w:val="single" w:sz="4" w:space="0" w:color="auto"/>
              <w:left w:val="single" w:sz="4" w:space="0" w:color="auto"/>
              <w:bottom w:val="single" w:sz="4" w:space="0" w:color="auto"/>
              <w:right w:val="single" w:sz="4" w:space="0" w:color="auto"/>
            </w:tcBorders>
            <w:hideMark/>
          </w:tcPr>
          <w:p w14:paraId="48CB9BF4" w14:textId="77777777" w:rsidR="00A607FD" w:rsidRPr="00B76CEE" w:rsidRDefault="00A607FD" w:rsidP="00DD7854">
            <w:pPr>
              <w:jc w:val="center"/>
              <w:rPr>
                <w:rFonts w:ascii="Myriad Pro" w:hAnsi="Myriad Pro" w:cstheme="minorHAnsi"/>
                <w:snapToGrid w:val="0"/>
                <w:sz w:val="20"/>
                <w:szCs w:val="20"/>
              </w:rPr>
            </w:pPr>
          </w:p>
        </w:tc>
      </w:tr>
      <w:tr w:rsidR="00A607FD" w:rsidRPr="00B76CEE" w14:paraId="2D2E5836" w14:textId="77777777" w:rsidTr="00BC0991">
        <w:trPr>
          <w:trHeight w:val="728"/>
        </w:trPr>
        <w:tc>
          <w:tcPr>
            <w:tcW w:w="653" w:type="dxa"/>
            <w:tcBorders>
              <w:top w:val="single" w:sz="4" w:space="0" w:color="auto"/>
              <w:left w:val="single" w:sz="4" w:space="0" w:color="auto"/>
              <w:bottom w:val="single" w:sz="4" w:space="0" w:color="auto"/>
              <w:right w:val="single" w:sz="4" w:space="0" w:color="auto"/>
            </w:tcBorders>
          </w:tcPr>
          <w:p w14:paraId="7087B070" w14:textId="77777777" w:rsidR="00A607FD" w:rsidRPr="00B76CEE" w:rsidRDefault="00A607FD" w:rsidP="00DD7854">
            <w:pPr>
              <w:jc w:val="both"/>
              <w:rPr>
                <w:rFonts w:ascii="Myriad Pro" w:hAnsi="Myriad Pro" w:cstheme="minorHAnsi"/>
                <w:snapToGrid w:val="0"/>
                <w:sz w:val="20"/>
                <w:szCs w:val="20"/>
              </w:rPr>
            </w:pPr>
          </w:p>
        </w:tc>
        <w:tc>
          <w:tcPr>
            <w:tcW w:w="6727" w:type="dxa"/>
            <w:tcBorders>
              <w:top w:val="single" w:sz="4" w:space="0" w:color="auto"/>
              <w:left w:val="single" w:sz="4" w:space="0" w:color="auto"/>
              <w:bottom w:val="single" w:sz="4" w:space="0" w:color="auto"/>
              <w:right w:val="single" w:sz="4" w:space="0" w:color="auto"/>
            </w:tcBorders>
          </w:tcPr>
          <w:p w14:paraId="2088B54C"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 xml:space="preserve">Does the proposal demonstrate an understanding of the project environment and has this been properly used in the preparation of the proposal? </w:t>
            </w:r>
          </w:p>
        </w:tc>
        <w:tc>
          <w:tcPr>
            <w:tcW w:w="630" w:type="dxa"/>
            <w:tcBorders>
              <w:top w:val="single" w:sz="4" w:space="0" w:color="auto"/>
              <w:left w:val="single" w:sz="4" w:space="0" w:color="auto"/>
              <w:bottom w:val="single" w:sz="4" w:space="0" w:color="auto"/>
              <w:right w:val="single" w:sz="4" w:space="0" w:color="auto"/>
            </w:tcBorders>
          </w:tcPr>
          <w:p w14:paraId="379FDAC9" w14:textId="77777777" w:rsidR="00A607FD" w:rsidRPr="005312CE" w:rsidRDefault="00A607FD" w:rsidP="00DD7854">
            <w:pPr>
              <w:jc w:val="center"/>
              <w:rPr>
                <w:rFonts w:ascii="Myriad Pro" w:hAnsi="Myriad Pro" w:cstheme="minorHAnsi"/>
                <w:snapToGrid w:val="0"/>
                <w:sz w:val="20"/>
                <w:szCs w:val="20"/>
              </w:rPr>
            </w:pPr>
            <w:r w:rsidRPr="005312CE">
              <w:rPr>
                <w:rFonts w:ascii="Myriad Pro" w:hAnsi="Myriad Pro" w:cstheme="minorHAnsi"/>
                <w:snapToGrid w:val="0"/>
                <w:sz w:val="20"/>
                <w:szCs w:val="20"/>
              </w:rPr>
              <w:t>35</w:t>
            </w:r>
          </w:p>
        </w:tc>
        <w:tc>
          <w:tcPr>
            <w:tcW w:w="1260" w:type="dxa"/>
            <w:tcBorders>
              <w:top w:val="single" w:sz="4" w:space="0" w:color="auto"/>
              <w:left w:val="single" w:sz="4" w:space="0" w:color="auto"/>
              <w:bottom w:val="single" w:sz="4" w:space="0" w:color="auto"/>
              <w:right w:val="single" w:sz="4" w:space="0" w:color="auto"/>
            </w:tcBorders>
          </w:tcPr>
          <w:p w14:paraId="0A991103" w14:textId="77777777" w:rsidR="00A607FD" w:rsidRPr="00B76CEE" w:rsidRDefault="00A607FD" w:rsidP="00DD7854">
            <w:pPr>
              <w:jc w:val="center"/>
              <w:rPr>
                <w:rFonts w:ascii="Myriad Pro" w:hAnsi="Myriad Pro" w:cstheme="minorHAnsi"/>
                <w:snapToGrid w:val="0"/>
                <w:sz w:val="20"/>
                <w:szCs w:val="20"/>
              </w:rPr>
            </w:pPr>
          </w:p>
        </w:tc>
      </w:tr>
      <w:tr w:rsidR="00A607FD" w:rsidRPr="00B76CEE" w14:paraId="145A07F5" w14:textId="77777777" w:rsidTr="00DD7854">
        <w:tc>
          <w:tcPr>
            <w:tcW w:w="653" w:type="dxa"/>
            <w:tcBorders>
              <w:top w:val="single" w:sz="4" w:space="0" w:color="auto"/>
              <w:left w:val="single" w:sz="4" w:space="0" w:color="auto"/>
              <w:bottom w:val="single" w:sz="4" w:space="0" w:color="auto"/>
              <w:right w:val="single" w:sz="4" w:space="0" w:color="auto"/>
            </w:tcBorders>
          </w:tcPr>
          <w:p w14:paraId="65FAEB54" w14:textId="77777777" w:rsidR="00A607FD" w:rsidRPr="00B76CEE" w:rsidDel="003639E6"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2.2</w:t>
            </w:r>
          </w:p>
        </w:tc>
        <w:tc>
          <w:tcPr>
            <w:tcW w:w="7357" w:type="dxa"/>
            <w:gridSpan w:val="2"/>
            <w:tcBorders>
              <w:top w:val="single" w:sz="4" w:space="0" w:color="auto"/>
              <w:left w:val="single" w:sz="4" w:space="0" w:color="auto"/>
              <w:bottom w:val="single" w:sz="4" w:space="0" w:color="auto"/>
              <w:right w:val="single" w:sz="4" w:space="0" w:color="auto"/>
            </w:tcBorders>
          </w:tcPr>
          <w:p w14:paraId="6622DBF1"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Methodology</w:t>
            </w:r>
          </w:p>
        </w:tc>
        <w:tc>
          <w:tcPr>
            <w:tcW w:w="1260" w:type="dxa"/>
            <w:tcBorders>
              <w:top w:val="single" w:sz="4" w:space="0" w:color="auto"/>
              <w:left w:val="single" w:sz="4" w:space="0" w:color="auto"/>
              <w:bottom w:val="single" w:sz="4" w:space="0" w:color="auto"/>
              <w:right w:val="single" w:sz="4" w:space="0" w:color="auto"/>
            </w:tcBorders>
          </w:tcPr>
          <w:p w14:paraId="625C9200" w14:textId="77777777" w:rsidR="00A607FD" w:rsidRPr="00B76CEE" w:rsidRDefault="00A607FD" w:rsidP="00DD7854">
            <w:pPr>
              <w:jc w:val="center"/>
              <w:rPr>
                <w:rFonts w:ascii="Myriad Pro" w:hAnsi="Myriad Pro" w:cstheme="minorHAnsi"/>
                <w:snapToGrid w:val="0"/>
                <w:sz w:val="20"/>
                <w:szCs w:val="20"/>
              </w:rPr>
            </w:pPr>
            <w:r w:rsidRPr="00B76CEE">
              <w:rPr>
                <w:rFonts w:ascii="Myriad Pro" w:hAnsi="Myriad Pro" w:cstheme="minorHAnsi"/>
                <w:snapToGrid w:val="0"/>
                <w:sz w:val="20"/>
                <w:szCs w:val="20"/>
              </w:rPr>
              <w:t>150</w:t>
            </w:r>
          </w:p>
        </w:tc>
      </w:tr>
      <w:tr w:rsidR="00A607FD" w:rsidRPr="00B76CEE" w14:paraId="7E0A969E" w14:textId="77777777" w:rsidTr="00DD7854">
        <w:tc>
          <w:tcPr>
            <w:tcW w:w="653" w:type="dxa"/>
            <w:tcBorders>
              <w:top w:val="single" w:sz="4" w:space="0" w:color="auto"/>
              <w:left w:val="single" w:sz="4" w:space="0" w:color="auto"/>
              <w:bottom w:val="single" w:sz="4" w:space="0" w:color="auto"/>
              <w:right w:val="single" w:sz="4" w:space="0" w:color="auto"/>
            </w:tcBorders>
          </w:tcPr>
          <w:p w14:paraId="5CF00271" w14:textId="77777777" w:rsidR="00A607FD" w:rsidRPr="00B76CEE" w:rsidRDefault="00A607FD" w:rsidP="00DD7854">
            <w:pPr>
              <w:jc w:val="both"/>
              <w:rPr>
                <w:rFonts w:ascii="Myriad Pro" w:hAnsi="Myriad Pro" w:cstheme="minorHAnsi"/>
                <w:snapToGrid w:val="0"/>
                <w:sz w:val="20"/>
                <w:szCs w:val="20"/>
              </w:rPr>
            </w:pPr>
          </w:p>
        </w:tc>
        <w:tc>
          <w:tcPr>
            <w:tcW w:w="6727" w:type="dxa"/>
            <w:tcBorders>
              <w:top w:val="single" w:sz="4" w:space="0" w:color="auto"/>
              <w:left w:val="single" w:sz="4" w:space="0" w:color="auto"/>
              <w:bottom w:val="single" w:sz="4" w:space="0" w:color="auto"/>
              <w:right w:val="single" w:sz="4" w:space="0" w:color="auto"/>
            </w:tcBorders>
          </w:tcPr>
          <w:p w14:paraId="7E9A8AFB"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To what degree does the Proposer’s approach to delivery of the project meet requirements?</w:t>
            </w:r>
          </w:p>
        </w:tc>
        <w:tc>
          <w:tcPr>
            <w:tcW w:w="630" w:type="dxa"/>
            <w:tcBorders>
              <w:top w:val="single" w:sz="4" w:space="0" w:color="auto"/>
              <w:left w:val="single" w:sz="4" w:space="0" w:color="auto"/>
              <w:bottom w:val="single" w:sz="4" w:space="0" w:color="auto"/>
              <w:right w:val="single" w:sz="4" w:space="0" w:color="auto"/>
            </w:tcBorders>
          </w:tcPr>
          <w:p w14:paraId="09D2A889" w14:textId="77777777" w:rsidR="00A607FD" w:rsidRPr="005312CE" w:rsidRDefault="00A607FD" w:rsidP="00DD7854">
            <w:pPr>
              <w:jc w:val="center"/>
              <w:rPr>
                <w:rFonts w:ascii="Myriad Pro" w:hAnsi="Myriad Pro" w:cstheme="minorHAnsi"/>
                <w:snapToGrid w:val="0"/>
                <w:sz w:val="20"/>
                <w:szCs w:val="20"/>
              </w:rPr>
            </w:pPr>
            <w:r w:rsidRPr="005312CE">
              <w:rPr>
                <w:rFonts w:ascii="Myriad Pro" w:hAnsi="Myriad Pro" w:cstheme="minorHAnsi"/>
                <w:snapToGrid w:val="0"/>
                <w:sz w:val="20"/>
                <w:szCs w:val="20"/>
              </w:rPr>
              <w:t>110</w:t>
            </w:r>
          </w:p>
          <w:p w14:paraId="7198523A" w14:textId="77777777" w:rsidR="00A607FD" w:rsidRPr="005312CE" w:rsidRDefault="00A607FD" w:rsidP="00DD7854">
            <w:pPr>
              <w:jc w:val="center"/>
              <w:rPr>
                <w:rFonts w:ascii="Myriad Pro" w:hAnsi="Myriad Pro" w:cstheme="minorHAns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977FB1" w14:textId="77777777" w:rsidR="00A607FD" w:rsidRPr="00B76CEE" w:rsidDel="007E6E39" w:rsidRDefault="00A607FD" w:rsidP="00DD7854">
            <w:pPr>
              <w:jc w:val="center"/>
              <w:rPr>
                <w:rFonts w:ascii="Myriad Pro" w:hAnsi="Myriad Pro" w:cstheme="minorHAnsi"/>
                <w:snapToGrid w:val="0"/>
                <w:sz w:val="20"/>
                <w:szCs w:val="20"/>
              </w:rPr>
            </w:pPr>
          </w:p>
        </w:tc>
      </w:tr>
      <w:tr w:rsidR="00A607FD" w:rsidRPr="00B76CEE" w14:paraId="0BED5279" w14:textId="77777777" w:rsidTr="00DD7854">
        <w:tc>
          <w:tcPr>
            <w:tcW w:w="653" w:type="dxa"/>
            <w:tcBorders>
              <w:top w:val="single" w:sz="4" w:space="0" w:color="auto"/>
              <w:left w:val="single" w:sz="4" w:space="0" w:color="auto"/>
              <w:bottom w:val="single" w:sz="4" w:space="0" w:color="auto"/>
              <w:right w:val="single" w:sz="4" w:space="0" w:color="auto"/>
            </w:tcBorders>
          </w:tcPr>
          <w:p w14:paraId="77412C32" w14:textId="77777777" w:rsidR="00A607FD" w:rsidRPr="00B76CEE" w:rsidDel="003639E6" w:rsidRDefault="00A607FD" w:rsidP="00DD7854">
            <w:pPr>
              <w:jc w:val="both"/>
              <w:rPr>
                <w:rFonts w:ascii="Myriad Pro" w:hAnsi="Myriad Pro" w:cstheme="minorHAnsi"/>
                <w:snapToGrid w:val="0"/>
                <w:sz w:val="20"/>
                <w:szCs w:val="20"/>
              </w:rPr>
            </w:pPr>
          </w:p>
        </w:tc>
        <w:tc>
          <w:tcPr>
            <w:tcW w:w="6727" w:type="dxa"/>
            <w:tcBorders>
              <w:top w:val="single" w:sz="4" w:space="0" w:color="auto"/>
              <w:left w:val="single" w:sz="4" w:space="0" w:color="auto"/>
              <w:bottom w:val="single" w:sz="4" w:space="0" w:color="auto"/>
              <w:right w:val="single" w:sz="4" w:space="0" w:color="auto"/>
            </w:tcBorders>
          </w:tcPr>
          <w:p w14:paraId="1A4983A9"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To what degree does the Proposer understand different methodologies for delivery of relevant projects?</w:t>
            </w:r>
          </w:p>
        </w:tc>
        <w:tc>
          <w:tcPr>
            <w:tcW w:w="630" w:type="dxa"/>
            <w:tcBorders>
              <w:top w:val="single" w:sz="4" w:space="0" w:color="auto"/>
              <w:left w:val="single" w:sz="4" w:space="0" w:color="auto"/>
              <w:bottom w:val="single" w:sz="4" w:space="0" w:color="auto"/>
              <w:right w:val="single" w:sz="4" w:space="0" w:color="auto"/>
            </w:tcBorders>
          </w:tcPr>
          <w:p w14:paraId="114CA9DD" w14:textId="77777777" w:rsidR="00A607FD" w:rsidRPr="00B76CEE" w:rsidRDefault="00A607FD" w:rsidP="00DD7854">
            <w:pPr>
              <w:jc w:val="center"/>
              <w:rPr>
                <w:rFonts w:ascii="Myriad Pro" w:hAnsi="Myriad Pro" w:cstheme="minorHAnsi"/>
                <w:snapToGrid w:val="0"/>
                <w:sz w:val="20"/>
                <w:szCs w:val="20"/>
              </w:rPr>
            </w:pPr>
            <w:r w:rsidRPr="00B76CEE">
              <w:rPr>
                <w:rFonts w:ascii="Myriad Pro" w:hAnsi="Myriad Pro" w:cstheme="minorHAnsi"/>
                <w:snapToGrid w:val="0"/>
                <w:sz w:val="20"/>
                <w:szCs w:val="20"/>
              </w:rPr>
              <w:t>40</w:t>
            </w:r>
          </w:p>
        </w:tc>
        <w:tc>
          <w:tcPr>
            <w:tcW w:w="1260" w:type="dxa"/>
            <w:tcBorders>
              <w:top w:val="single" w:sz="4" w:space="0" w:color="auto"/>
              <w:left w:val="single" w:sz="4" w:space="0" w:color="auto"/>
              <w:bottom w:val="single" w:sz="4" w:space="0" w:color="auto"/>
              <w:right w:val="single" w:sz="4" w:space="0" w:color="auto"/>
            </w:tcBorders>
          </w:tcPr>
          <w:p w14:paraId="451D30FE" w14:textId="77777777" w:rsidR="00A607FD" w:rsidRPr="00B76CEE" w:rsidDel="003639E6" w:rsidRDefault="00A607FD" w:rsidP="00DD7854">
            <w:pPr>
              <w:jc w:val="center"/>
              <w:rPr>
                <w:rFonts w:ascii="Myriad Pro" w:hAnsi="Myriad Pro" w:cstheme="minorHAnsi"/>
                <w:snapToGrid w:val="0"/>
                <w:sz w:val="20"/>
                <w:szCs w:val="20"/>
              </w:rPr>
            </w:pPr>
          </w:p>
        </w:tc>
      </w:tr>
      <w:tr w:rsidR="00A607FD" w:rsidRPr="00B76CEE" w14:paraId="4266BBBC" w14:textId="77777777" w:rsidTr="00DD7854">
        <w:tc>
          <w:tcPr>
            <w:tcW w:w="653" w:type="dxa"/>
            <w:tcBorders>
              <w:top w:val="single" w:sz="4" w:space="0" w:color="auto"/>
              <w:left w:val="single" w:sz="4" w:space="0" w:color="auto"/>
              <w:bottom w:val="single" w:sz="4" w:space="0" w:color="auto"/>
              <w:right w:val="single" w:sz="4" w:space="0" w:color="auto"/>
            </w:tcBorders>
          </w:tcPr>
          <w:p w14:paraId="2A81A966"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2.3</w:t>
            </w:r>
          </w:p>
        </w:tc>
        <w:tc>
          <w:tcPr>
            <w:tcW w:w="7357" w:type="dxa"/>
            <w:gridSpan w:val="2"/>
            <w:tcBorders>
              <w:top w:val="single" w:sz="4" w:space="0" w:color="auto"/>
              <w:left w:val="single" w:sz="4" w:space="0" w:color="auto"/>
              <w:bottom w:val="single" w:sz="4" w:space="0" w:color="auto"/>
              <w:right w:val="single" w:sz="4" w:space="0" w:color="auto"/>
            </w:tcBorders>
          </w:tcPr>
          <w:p w14:paraId="4B4C85CC"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Planning</w:t>
            </w:r>
          </w:p>
        </w:tc>
        <w:tc>
          <w:tcPr>
            <w:tcW w:w="1260" w:type="dxa"/>
            <w:tcBorders>
              <w:top w:val="single" w:sz="4" w:space="0" w:color="auto"/>
              <w:left w:val="single" w:sz="4" w:space="0" w:color="auto"/>
              <w:bottom w:val="single" w:sz="4" w:space="0" w:color="auto"/>
              <w:right w:val="single" w:sz="4" w:space="0" w:color="auto"/>
            </w:tcBorders>
          </w:tcPr>
          <w:p w14:paraId="51B5B17C" w14:textId="77777777" w:rsidR="00A607FD" w:rsidRPr="00B76CEE" w:rsidRDefault="00A607FD" w:rsidP="00DD7854">
            <w:pPr>
              <w:jc w:val="center"/>
              <w:rPr>
                <w:rFonts w:ascii="Myriad Pro" w:hAnsi="Myriad Pro" w:cstheme="minorHAnsi"/>
                <w:snapToGrid w:val="0"/>
                <w:sz w:val="20"/>
                <w:szCs w:val="20"/>
              </w:rPr>
            </w:pPr>
            <w:r w:rsidRPr="00B76CEE">
              <w:rPr>
                <w:rFonts w:ascii="Myriad Pro" w:hAnsi="Myriad Pro" w:cstheme="minorHAnsi"/>
                <w:snapToGrid w:val="0"/>
                <w:sz w:val="20"/>
                <w:szCs w:val="20"/>
              </w:rPr>
              <w:t>80</w:t>
            </w:r>
          </w:p>
        </w:tc>
      </w:tr>
      <w:tr w:rsidR="00A607FD" w:rsidRPr="00B76CEE" w14:paraId="7D367E3B" w14:textId="77777777" w:rsidTr="00DD7854">
        <w:tc>
          <w:tcPr>
            <w:tcW w:w="653" w:type="dxa"/>
            <w:tcBorders>
              <w:top w:val="single" w:sz="4" w:space="0" w:color="auto"/>
              <w:left w:val="single" w:sz="4" w:space="0" w:color="auto"/>
              <w:bottom w:val="single" w:sz="4" w:space="0" w:color="auto"/>
              <w:right w:val="single" w:sz="4" w:space="0" w:color="auto"/>
            </w:tcBorders>
          </w:tcPr>
          <w:p w14:paraId="7A3D0564" w14:textId="77777777" w:rsidR="00A607FD" w:rsidRPr="00B76CEE" w:rsidRDefault="00A607FD" w:rsidP="00DD7854">
            <w:pPr>
              <w:jc w:val="both"/>
              <w:rPr>
                <w:rFonts w:ascii="Myriad Pro" w:hAnsi="Myriad Pro" w:cstheme="minorHAnsi"/>
                <w:snapToGrid w:val="0"/>
                <w:sz w:val="20"/>
                <w:szCs w:val="20"/>
              </w:rPr>
            </w:pPr>
          </w:p>
        </w:tc>
        <w:tc>
          <w:tcPr>
            <w:tcW w:w="6727" w:type="dxa"/>
            <w:tcBorders>
              <w:top w:val="single" w:sz="4" w:space="0" w:color="auto"/>
              <w:left w:val="single" w:sz="4" w:space="0" w:color="auto"/>
              <w:bottom w:val="single" w:sz="4" w:space="0" w:color="auto"/>
              <w:right w:val="single" w:sz="4" w:space="0" w:color="auto"/>
            </w:tcBorders>
          </w:tcPr>
          <w:p w14:paraId="1204D553"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Is the scope of the task well defined and does it correspond to the TOR?</w:t>
            </w:r>
          </w:p>
        </w:tc>
        <w:tc>
          <w:tcPr>
            <w:tcW w:w="630" w:type="dxa"/>
            <w:tcBorders>
              <w:top w:val="single" w:sz="4" w:space="0" w:color="auto"/>
              <w:left w:val="single" w:sz="4" w:space="0" w:color="auto"/>
              <w:bottom w:val="single" w:sz="4" w:space="0" w:color="auto"/>
              <w:right w:val="single" w:sz="4" w:space="0" w:color="auto"/>
            </w:tcBorders>
          </w:tcPr>
          <w:p w14:paraId="5E789EB4" w14:textId="77777777" w:rsidR="00A607FD" w:rsidRPr="005312CE" w:rsidRDefault="00A607FD" w:rsidP="00DD7854">
            <w:pPr>
              <w:jc w:val="center"/>
              <w:rPr>
                <w:rFonts w:ascii="Myriad Pro" w:hAnsi="Myriad Pro" w:cstheme="minorHAnsi"/>
                <w:snapToGrid w:val="0"/>
                <w:sz w:val="20"/>
                <w:szCs w:val="20"/>
              </w:rPr>
            </w:pPr>
            <w:r w:rsidRPr="005312CE">
              <w:rPr>
                <w:rFonts w:ascii="Myriad Pro" w:hAnsi="Myriad Pro" w:cstheme="minorHAnsi"/>
                <w:snapToGrid w:val="0"/>
                <w:sz w:val="20"/>
                <w:szCs w:val="20"/>
              </w:rPr>
              <w:t>40</w:t>
            </w:r>
          </w:p>
        </w:tc>
        <w:tc>
          <w:tcPr>
            <w:tcW w:w="1260" w:type="dxa"/>
            <w:tcBorders>
              <w:top w:val="single" w:sz="4" w:space="0" w:color="auto"/>
              <w:left w:val="single" w:sz="4" w:space="0" w:color="auto"/>
              <w:bottom w:val="single" w:sz="4" w:space="0" w:color="auto"/>
              <w:right w:val="single" w:sz="4" w:space="0" w:color="auto"/>
            </w:tcBorders>
          </w:tcPr>
          <w:p w14:paraId="546D3927" w14:textId="77777777" w:rsidR="00A607FD" w:rsidRPr="00B76CEE" w:rsidDel="007E6E39" w:rsidRDefault="00A607FD" w:rsidP="00DD7854">
            <w:pPr>
              <w:jc w:val="center"/>
              <w:rPr>
                <w:rFonts w:ascii="Myriad Pro" w:hAnsi="Myriad Pro" w:cstheme="minorHAnsi"/>
                <w:snapToGrid w:val="0"/>
                <w:sz w:val="20"/>
                <w:szCs w:val="20"/>
              </w:rPr>
            </w:pPr>
          </w:p>
        </w:tc>
      </w:tr>
      <w:tr w:rsidR="00A607FD" w:rsidRPr="00B76CEE" w14:paraId="6D8FCEDA" w14:textId="77777777" w:rsidTr="00DD7854">
        <w:tc>
          <w:tcPr>
            <w:tcW w:w="653" w:type="dxa"/>
            <w:tcBorders>
              <w:top w:val="single" w:sz="4" w:space="0" w:color="auto"/>
              <w:left w:val="single" w:sz="4" w:space="0" w:color="auto"/>
              <w:bottom w:val="single" w:sz="4" w:space="0" w:color="auto"/>
              <w:right w:val="single" w:sz="4" w:space="0" w:color="auto"/>
            </w:tcBorders>
          </w:tcPr>
          <w:p w14:paraId="2E95A14F" w14:textId="77777777" w:rsidR="00A607FD" w:rsidRPr="00B76CEE" w:rsidDel="003639E6" w:rsidRDefault="00A607FD" w:rsidP="00DD7854">
            <w:pPr>
              <w:jc w:val="both"/>
              <w:rPr>
                <w:rFonts w:ascii="Myriad Pro" w:hAnsi="Myriad Pro" w:cstheme="minorHAnsi"/>
                <w:snapToGrid w:val="0"/>
                <w:sz w:val="20"/>
                <w:szCs w:val="20"/>
              </w:rPr>
            </w:pPr>
          </w:p>
        </w:tc>
        <w:tc>
          <w:tcPr>
            <w:tcW w:w="6727" w:type="dxa"/>
            <w:tcBorders>
              <w:top w:val="single" w:sz="4" w:space="0" w:color="auto"/>
              <w:left w:val="single" w:sz="4" w:space="0" w:color="auto"/>
              <w:bottom w:val="single" w:sz="4" w:space="0" w:color="auto"/>
              <w:right w:val="single" w:sz="4" w:space="0" w:color="auto"/>
            </w:tcBorders>
          </w:tcPr>
          <w:p w14:paraId="3D5A218D" w14:textId="77777777" w:rsidR="00A607FD" w:rsidRPr="00BC0991" w:rsidDel="003639E6"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Is the sequence of activities and the planning logical, realistic and promise efficient implementation of the project?</w:t>
            </w:r>
          </w:p>
        </w:tc>
        <w:tc>
          <w:tcPr>
            <w:tcW w:w="630" w:type="dxa"/>
            <w:tcBorders>
              <w:top w:val="single" w:sz="4" w:space="0" w:color="auto"/>
              <w:left w:val="single" w:sz="4" w:space="0" w:color="auto"/>
              <w:bottom w:val="single" w:sz="4" w:space="0" w:color="auto"/>
              <w:right w:val="single" w:sz="4" w:space="0" w:color="auto"/>
            </w:tcBorders>
          </w:tcPr>
          <w:p w14:paraId="45C5ED7F" w14:textId="77777777" w:rsidR="00A607FD" w:rsidRPr="005312CE" w:rsidRDefault="00A607FD" w:rsidP="00DD7854">
            <w:pPr>
              <w:jc w:val="center"/>
              <w:rPr>
                <w:rFonts w:ascii="Myriad Pro" w:hAnsi="Myriad Pro" w:cstheme="minorHAnsi"/>
                <w:snapToGrid w:val="0"/>
                <w:sz w:val="20"/>
                <w:szCs w:val="20"/>
              </w:rPr>
            </w:pPr>
            <w:r w:rsidRPr="005312CE">
              <w:rPr>
                <w:rFonts w:ascii="Myriad Pro" w:hAnsi="Myriad Pro" w:cstheme="minorHAnsi"/>
                <w:snapToGrid w:val="0"/>
                <w:sz w:val="20"/>
                <w:szCs w:val="20"/>
              </w:rPr>
              <w:t>40</w:t>
            </w:r>
          </w:p>
        </w:tc>
        <w:tc>
          <w:tcPr>
            <w:tcW w:w="1260" w:type="dxa"/>
            <w:tcBorders>
              <w:top w:val="single" w:sz="4" w:space="0" w:color="auto"/>
              <w:left w:val="single" w:sz="4" w:space="0" w:color="auto"/>
              <w:bottom w:val="single" w:sz="4" w:space="0" w:color="auto"/>
              <w:right w:val="single" w:sz="4" w:space="0" w:color="auto"/>
            </w:tcBorders>
          </w:tcPr>
          <w:p w14:paraId="553501B8" w14:textId="77777777" w:rsidR="00A607FD" w:rsidRPr="00B76CEE" w:rsidDel="003639E6" w:rsidRDefault="00A607FD" w:rsidP="00DD7854">
            <w:pPr>
              <w:jc w:val="center"/>
              <w:rPr>
                <w:rFonts w:ascii="Myriad Pro" w:hAnsi="Myriad Pro" w:cstheme="minorHAnsi"/>
                <w:snapToGrid w:val="0"/>
                <w:sz w:val="20"/>
                <w:szCs w:val="20"/>
              </w:rPr>
            </w:pPr>
          </w:p>
        </w:tc>
      </w:tr>
      <w:tr w:rsidR="00A607FD" w:rsidRPr="00B76CEE" w14:paraId="225E61E2" w14:textId="77777777" w:rsidTr="00DD7854">
        <w:tc>
          <w:tcPr>
            <w:tcW w:w="8010" w:type="dxa"/>
            <w:gridSpan w:val="3"/>
            <w:tcBorders>
              <w:top w:val="single" w:sz="4" w:space="0" w:color="auto"/>
              <w:left w:val="single" w:sz="4" w:space="0" w:color="auto"/>
              <w:bottom w:val="single" w:sz="4" w:space="0" w:color="auto"/>
              <w:right w:val="single" w:sz="4" w:space="0" w:color="auto"/>
            </w:tcBorders>
          </w:tcPr>
          <w:p w14:paraId="40FF6753" w14:textId="77777777" w:rsidR="00A607FD" w:rsidRPr="00B76CEE" w:rsidRDefault="00A607FD" w:rsidP="00DD7854">
            <w:pPr>
              <w:jc w:val="right"/>
              <w:rPr>
                <w:rFonts w:ascii="Myriad Pro" w:hAnsi="Myriad Pro" w:cstheme="minorHAnsi"/>
                <w:b/>
                <w:snapToGrid w:val="0"/>
                <w:sz w:val="20"/>
                <w:szCs w:val="20"/>
              </w:rPr>
            </w:pPr>
            <w:r w:rsidRPr="00B76CEE">
              <w:rPr>
                <w:rFonts w:ascii="Myriad Pro" w:hAnsi="Myriad Pro" w:cstheme="minorHAnsi"/>
                <w:b/>
                <w:snapToGrid w:val="0"/>
                <w:sz w:val="20"/>
                <w:szCs w:val="20"/>
              </w:rPr>
              <w:t>Total Part 2</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212BA4CF" w14:textId="77777777" w:rsidR="00A607FD" w:rsidRPr="00B76CEE" w:rsidRDefault="00A607FD" w:rsidP="00DD7854">
            <w:pPr>
              <w:tabs>
                <w:tab w:val="left" w:pos="276"/>
                <w:tab w:val="center" w:pos="522"/>
              </w:tabs>
              <w:jc w:val="center"/>
              <w:rPr>
                <w:rFonts w:ascii="Myriad Pro" w:hAnsi="Myriad Pro" w:cstheme="minorHAnsi"/>
                <w:b/>
                <w:snapToGrid w:val="0"/>
                <w:sz w:val="20"/>
                <w:szCs w:val="20"/>
              </w:rPr>
            </w:pPr>
            <w:r w:rsidRPr="00B76CEE">
              <w:rPr>
                <w:rFonts w:ascii="Myriad Pro" w:hAnsi="Myriad Pro" w:cstheme="minorHAnsi"/>
                <w:b/>
                <w:snapToGrid w:val="0"/>
                <w:sz w:val="20"/>
                <w:szCs w:val="20"/>
              </w:rPr>
              <w:t>300</w:t>
            </w:r>
          </w:p>
        </w:tc>
      </w:tr>
    </w:tbl>
    <w:p w14:paraId="19DDD5EC" w14:textId="77777777" w:rsidR="00A607FD" w:rsidRPr="00B76CEE" w:rsidRDefault="00A607FD" w:rsidP="00A607FD">
      <w:pPr>
        <w:rPr>
          <w:rFonts w:ascii="Myriad Pro" w:hAnsi="Myriad Pro" w:cstheme="minorHAnsi"/>
          <w:snapToGrid w:val="0"/>
          <w:sz w:val="20"/>
          <w:szCs w:val="20"/>
        </w:rPr>
      </w:pPr>
    </w:p>
    <w:p w14:paraId="6E6488C3" w14:textId="77777777" w:rsidR="00A607FD" w:rsidRPr="00B76CEE" w:rsidRDefault="00A607FD" w:rsidP="00A607FD">
      <w:pPr>
        <w:rPr>
          <w:rFonts w:ascii="Myriad Pro" w:hAnsi="Myriad Pro" w:cstheme="minorHAnsi"/>
          <w:snapToGrid w:val="0"/>
          <w:sz w:val="20"/>
          <w:szCs w:val="20"/>
        </w:rPr>
      </w:pPr>
    </w:p>
    <w:p w14:paraId="21DF8C5D" w14:textId="77777777" w:rsidR="00A607FD" w:rsidRDefault="00A607FD" w:rsidP="00A607FD">
      <w:pPr>
        <w:rPr>
          <w:rFonts w:ascii="Myriad Pro" w:hAnsi="Myriad Pro" w:cstheme="minorHAnsi"/>
          <w:snapToGrid w:val="0"/>
          <w:sz w:val="20"/>
          <w:szCs w:val="20"/>
        </w:rPr>
      </w:pPr>
    </w:p>
    <w:tbl>
      <w:tblPr>
        <w:tblW w:w="92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6277"/>
        <w:gridCol w:w="1103"/>
        <w:gridCol w:w="1260"/>
      </w:tblGrid>
      <w:tr w:rsidR="00A607FD" w:rsidRPr="00B76CEE" w14:paraId="4E76540A" w14:textId="77777777" w:rsidTr="00DD7854">
        <w:trPr>
          <w:cantSplit/>
          <w:trHeight w:val="460"/>
        </w:trPr>
        <w:tc>
          <w:tcPr>
            <w:tcW w:w="8033" w:type="dxa"/>
            <w:gridSpan w:val="3"/>
            <w:vMerge w:val="restart"/>
            <w:tcBorders>
              <w:top w:val="single" w:sz="4" w:space="0" w:color="auto"/>
              <w:left w:val="single" w:sz="4" w:space="0" w:color="auto"/>
              <w:bottom w:val="nil"/>
              <w:right w:val="single" w:sz="4" w:space="0" w:color="auto"/>
            </w:tcBorders>
          </w:tcPr>
          <w:p w14:paraId="18189871"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Technical Proposal Evaluation</w:t>
            </w:r>
          </w:p>
          <w:p w14:paraId="029CD390"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Form 3</w:t>
            </w:r>
          </w:p>
        </w:tc>
        <w:tc>
          <w:tcPr>
            <w:tcW w:w="1260" w:type="dxa"/>
            <w:vMerge w:val="restart"/>
            <w:tcBorders>
              <w:top w:val="single" w:sz="4" w:space="0" w:color="auto"/>
              <w:left w:val="single" w:sz="4" w:space="0" w:color="auto"/>
              <w:bottom w:val="nil"/>
              <w:right w:val="single" w:sz="4" w:space="0" w:color="auto"/>
            </w:tcBorders>
            <w:hideMark/>
          </w:tcPr>
          <w:p w14:paraId="556CEABE"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Points Obtainable</w:t>
            </w:r>
          </w:p>
        </w:tc>
      </w:tr>
      <w:tr w:rsidR="00A607FD" w:rsidRPr="00B76CEE" w14:paraId="391A161F" w14:textId="77777777" w:rsidTr="00DD7854">
        <w:trPr>
          <w:cantSplit/>
          <w:trHeight w:val="460"/>
        </w:trPr>
        <w:tc>
          <w:tcPr>
            <w:tcW w:w="8033" w:type="dxa"/>
            <w:gridSpan w:val="3"/>
            <w:vMerge/>
            <w:tcBorders>
              <w:top w:val="single" w:sz="4" w:space="0" w:color="auto"/>
              <w:left w:val="single" w:sz="4" w:space="0" w:color="auto"/>
              <w:bottom w:val="nil"/>
              <w:right w:val="single" w:sz="4" w:space="0" w:color="auto"/>
            </w:tcBorders>
          </w:tcPr>
          <w:p w14:paraId="2C82EC62" w14:textId="77777777" w:rsidR="00A607FD" w:rsidRPr="00B76CEE" w:rsidRDefault="00A607FD" w:rsidP="00DD7854">
            <w:pPr>
              <w:jc w:val="both"/>
              <w:rPr>
                <w:rFonts w:ascii="Myriad Pro" w:hAnsi="Myriad Pro" w:cstheme="minorHAnsi"/>
                <w:snapToGrid w:val="0"/>
                <w:sz w:val="20"/>
                <w:szCs w:val="20"/>
              </w:rPr>
            </w:pPr>
          </w:p>
        </w:tc>
        <w:tc>
          <w:tcPr>
            <w:tcW w:w="1260" w:type="dxa"/>
            <w:vMerge/>
            <w:tcBorders>
              <w:top w:val="single" w:sz="4" w:space="0" w:color="auto"/>
              <w:left w:val="single" w:sz="4" w:space="0" w:color="auto"/>
              <w:bottom w:val="nil"/>
              <w:right w:val="single" w:sz="4" w:space="0" w:color="auto"/>
            </w:tcBorders>
          </w:tcPr>
          <w:p w14:paraId="35B342E5" w14:textId="77777777" w:rsidR="00A607FD" w:rsidRPr="00B76CEE" w:rsidRDefault="00A607FD" w:rsidP="00DD7854">
            <w:pPr>
              <w:jc w:val="both"/>
              <w:rPr>
                <w:rFonts w:ascii="Myriad Pro" w:hAnsi="Myriad Pro" w:cstheme="minorHAnsi"/>
                <w:snapToGrid w:val="0"/>
                <w:sz w:val="20"/>
                <w:szCs w:val="20"/>
              </w:rPr>
            </w:pPr>
          </w:p>
        </w:tc>
      </w:tr>
      <w:tr w:rsidR="00A607FD" w:rsidRPr="00B76CEE" w14:paraId="35E3DC68" w14:textId="77777777" w:rsidTr="00DD7854">
        <w:trPr>
          <w:cantSplit/>
          <w:trHeight w:val="460"/>
        </w:trPr>
        <w:tc>
          <w:tcPr>
            <w:tcW w:w="8033" w:type="dxa"/>
            <w:gridSpan w:val="3"/>
            <w:vMerge/>
            <w:tcBorders>
              <w:top w:val="single" w:sz="4" w:space="0" w:color="auto"/>
              <w:left w:val="single" w:sz="4" w:space="0" w:color="auto"/>
              <w:bottom w:val="nil"/>
              <w:right w:val="single" w:sz="4" w:space="0" w:color="auto"/>
            </w:tcBorders>
            <w:vAlign w:val="center"/>
            <w:hideMark/>
          </w:tcPr>
          <w:p w14:paraId="38CF6F51" w14:textId="77777777" w:rsidR="00A607FD" w:rsidRPr="00B76CEE" w:rsidRDefault="00A607FD" w:rsidP="00DD7854">
            <w:pPr>
              <w:jc w:val="both"/>
              <w:rPr>
                <w:rFonts w:ascii="Myriad Pro" w:hAnsi="Myriad Pro" w:cstheme="minorHAnsi"/>
                <w:snapToGrid w:val="0"/>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14:paraId="08EE37EB" w14:textId="77777777" w:rsidR="00A607FD" w:rsidRPr="00B76CEE" w:rsidRDefault="00A607FD" w:rsidP="00DD7854">
            <w:pPr>
              <w:jc w:val="both"/>
              <w:rPr>
                <w:rFonts w:ascii="Myriad Pro" w:hAnsi="Myriad Pro" w:cstheme="minorHAnsi"/>
                <w:snapToGrid w:val="0"/>
                <w:sz w:val="20"/>
                <w:szCs w:val="20"/>
              </w:rPr>
            </w:pPr>
          </w:p>
        </w:tc>
      </w:tr>
      <w:tr w:rsidR="00A607FD" w:rsidRPr="00B76CEE" w14:paraId="59B41B07" w14:textId="77777777" w:rsidTr="00DD7854">
        <w:trPr>
          <w:cantSplit/>
          <w:trHeight w:val="512"/>
        </w:trPr>
        <w:tc>
          <w:tcPr>
            <w:tcW w:w="92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B57CE" w14:textId="77777777" w:rsidR="00A607FD" w:rsidRPr="00B76CEE" w:rsidRDefault="00A607FD" w:rsidP="00DD7854">
            <w:pPr>
              <w:spacing w:before="120"/>
              <w:jc w:val="center"/>
              <w:rPr>
                <w:rFonts w:ascii="Myriad Pro" w:hAnsi="Myriad Pro" w:cstheme="minorHAnsi"/>
                <w:b/>
                <w:snapToGrid w:val="0"/>
                <w:sz w:val="20"/>
                <w:szCs w:val="20"/>
              </w:rPr>
            </w:pPr>
            <w:r w:rsidRPr="00B76CEE">
              <w:rPr>
                <w:rFonts w:ascii="Myriad Pro" w:hAnsi="Myriad Pro" w:cstheme="minorHAnsi"/>
                <w:b/>
                <w:snapToGrid w:val="0"/>
                <w:sz w:val="20"/>
                <w:szCs w:val="20"/>
              </w:rPr>
              <w:t>Management Structure and Key Personnel</w:t>
            </w:r>
          </w:p>
        </w:tc>
      </w:tr>
      <w:tr w:rsidR="00A607FD" w:rsidRPr="00B76CEE" w14:paraId="2A81A5B4"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6D7DC74A"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3.1</w:t>
            </w:r>
          </w:p>
        </w:tc>
        <w:tc>
          <w:tcPr>
            <w:tcW w:w="6277" w:type="dxa"/>
            <w:tcBorders>
              <w:top w:val="single" w:sz="4" w:space="0" w:color="auto"/>
              <w:left w:val="single" w:sz="4" w:space="0" w:color="auto"/>
              <w:bottom w:val="single" w:sz="4" w:space="0" w:color="auto"/>
              <w:right w:val="single" w:sz="4" w:space="0" w:color="auto"/>
            </w:tcBorders>
          </w:tcPr>
          <w:p w14:paraId="0D534ED5"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Does the management structure support effective delivery?</w:t>
            </w:r>
          </w:p>
        </w:tc>
        <w:tc>
          <w:tcPr>
            <w:tcW w:w="1103" w:type="dxa"/>
            <w:tcBorders>
              <w:top w:val="single" w:sz="4" w:space="0" w:color="auto"/>
              <w:left w:val="single" w:sz="4" w:space="0" w:color="auto"/>
              <w:bottom w:val="single" w:sz="4" w:space="0" w:color="auto"/>
              <w:right w:val="single" w:sz="4" w:space="0" w:color="auto"/>
            </w:tcBorders>
          </w:tcPr>
          <w:p w14:paraId="5003F90D" w14:textId="77777777" w:rsidR="00A607FD" w:rsidRPr="00BC0991" w:rsidRDefault="00A607FD" w:rsidP="00DD7854">
            <w:pPr>
              <w:jc w:val="both"/>
              <w:rPr>
                <w:rFonts w:asciiTheme="minorHAnsi" w:eastAsiaTheme="minorEastAsia" w:hAnsiTheme="minorHAnsi" w:cs="Calibri"/>
                <w:color w:val="000000"/>
              </w:rPr>
            </w:pPr>
          </w:p>
        </w:tc>
        <w:tc>
          <w:tcPr>
            <w:tcW w:w="1260" w:type="dxa"/>
            <w:tcBorders>
              <w:top w:val="single" w:sz="4" w:space="0" w:color="auto"/>
              <w:left w:val="single" w:sz="4" w:space="0" w:color="auto"/>
              <w:bottom w:val="single" w:sz="4" w:space="0" w:color="auto"/>
              <w:right w:val="single" w:sz="4" w:space="0" w:color="auto"/>
            </w:tcBorders>
          </w:tcPr>
          <w:p w14:paraId="43763FFD"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50</w:t>
            </w:r>
          </w:p>
        </w:tc>
      </w:tr>
      <w:tr w:rsidR="00A607FD" w:rsidRPr="00B76CEE" w14:paraId="0EC0AC11"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4ABEA73B"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t>3.2</w:t>
            </w:r>
          </w:p>
        </w:tc>
        <w:tc>
          <w:tcPr>
            <w:tcW w:w="6277" w:type="dxa"/>
            <w:tcBorders>
              <w:top w:val="single" w:sz="4" w:space="0" w:color="auto"/>
              <w:left w:val="single" w:sz="4" w:space="0" w:color="auto"/>
              <w:bottom w:val="single" w:sz="4" w:space="0" w:color="auto"/>
              <w:right w:val="single" w:sz="4" w:space="0" w:color="auto"/>
            </w:tcBorders>
          </w:tcPr>
          <w:p w14:paraId="0F226F28"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Qualifications of Team Leader (1 person only)</w:t>
            </w:r>
          </w:p>
        </w:tc>
        <w:tc>
          <w:tcPr>
            <w:tcW w:w="1103" w:type="dxa"/>
            <w:tcBorders>
              <w:top w:val="single" w:sz="4" w:space="0" w:color="auto"/>
              <w:left w:val="single" w:sz="4" w:space="0" w:color="auto"/>
              <w:bottom w:val="single" w:sz="4" w:space="0" w:color="auto"/>
              <w:right w:val="single" w:sz="4" w:space="0" w:color="auto"/>
            </w:tcBorders>
          </w:tcPr>
          <w:p w14:paraId="370F1A83"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Sub-Score</w:t>
            </w:r>
          </w:p>
        </w:tc>
        <w:tc>
          <w:tcPr>
            <w:tcW w:w="1260" w:type="dxa"/>
            <w:tcBorders>
              <w:top w:val="single" w:sz="4" w:space="0" w:color="auto"/>
              <w:left w:val="single" w:sz="4" w:space="0" w:color="auto"/>
              <w:bottom w:val="single" w:sz="4" w:space="0" w:color="auto"/>
              <w:right w:val="single" w:sz="4" w:space="0" w:color="auto"/>
            </w:tcBorders>
          </w:tcPr>
          <w:p w14:paraId="5978EA48"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70</w:t>
            </w:r>
          </w:p>
        </w:tc>
      </w:tr>
      <w:tr w:rsidR="00A607FD" w:rsidRPr="00B76CEE" w14:paraId="7A4A117F"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1095CED6"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5E2CA63B" w14:textId="77777777" w:rsidR="00A607FD" w:rsidRPr="00BC0991" w:rsidRDefault="00A607FD" w:rsidP="00D174D8">
            <w:pPr>
              <w:ind w:left="76"/>
              <w:rPr>
                <w:rFonts w:asciiTheme="minorHAnsi" w:eastAsiaTheme="minorEastAsia" w:hAnsiTheme="minorHAnsi" w:cs="Calibri"/>
                <w:color w:val="000000"/>
              </w:rPr>
            </w:pPr>
            <w:r w:rsidRPr="00BC0991">
              <w:rPr>
                <w:rFonts w:asciiTheme="minorHAnsi" w:eastAsiaTheme="minorEastAsia" w:hAnsiTheme="minorHAnsi" w:cs="Calibri"/>
                <w:color w:val="000000"/>
              </w:rPr>
              <w:t>At least Master’s degree in environmental law or policy or related field</w:t>
            </w:r>
          </w:p>
        </w:tc>
        <w:tc>
          <w:tcPr>
            <w:tcW w:w="1103" w:type="dxa"/>
            <w:tcBorders>
              <w:top w:val="single" w:sz="4" w:space="0" w:color="auto"/>
              <w:left w:val="single" w:sz="4" w:space="0" w:color="auto"/>
              <w:bottom w:val="single" w:sz="4" w:space="0" w:color="auto"/>
              <w:right w:val="single" w:sz="4" w:space="0" w:color="auto"/>
            </w:tcBorders>
            <w:hideMark/>
          </w:tcPr>
          <w:p w14:paraId="71F21201"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10</w:t>
            </w:r>
          </w:p>
        </w:tc>
        <w:tc>
          <w:tcPr>
            <w:tcW w:w="1260" w:type="dxa"/>
            <w:tcBorders>
              <w:top w:val="single" w:sz="4" w:space="0" w:color="auto"/>
              <w:left w:val="single" w:sz="4" w:space="0" w:color="auto"/>
              <w:bottom w:val="single" w:sz="4" w:space="0" w:color="auto"/>
              <w:right w:val="single" w:sz="4" w:space="0" w:color="auto"/>
            </w:tcBorders>
          </w:tcPr>
          <w:p w14:paraId="6EA991C4"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10CCBE93"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068E3ABD"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1970130B" w14:textId="77777777" w:rsidR="00A607FD" w:rsidRPr="00BC0991" w:rsidRDefault="00A607FD" w:rsidP="00DD7854">
            <w:pPr>
              <w:ind w:left="76"/>
              <w:rPr>
                <w:rFonts w:asciiTheme="minorHAnsi" w:eastAsiaTheme="minorEastAsia" w:hAnsiTheme="minorHAnsi" w:cs="Calibri"/>
                <w:color w:val="000000"/>
              </w:rPr>
            </w:pPr>
            <w:r w:rsidRPr="00BC0991">
              <w:rPr>
                <w:rFonts w:asciiTheme="minorHAnsi" w:eastAsiaTheme="minorEastAsia" w:hAnsiTheme="minorHAnsi" w:cs="Calibri"/>
                <w:color w:val="000000"/>
              </w:rPr>
              <w:t>5 years’ experience in planning, management, and coordination of national level projects</w:t>
            </w:r>
          </w:p>
        </w:tc>
        <w:tc>
          <w:tcPr>
            <w:tcW w:w="1103" w:type="dxa"/>
            <w:tcBorders>
              <w:top w:val="single" w:sz="4" w:space="0" w:color="auto"/>
              <w:left w:val="single" w:sz="4" w:space="0" w:color="auto"/>
              <w:bottom w:val="single" w:sz="4" w:space="0" w:color="auto"/>
              <w:right w:val="single" w:sz="4" w:space="0" w:color="auto"/>
            </w:tcBorders>
          </w:tcPr>
          <w:p w14:paraId="7B97512D"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10</w:t>
            </w:r>
          </w:p>
        </w:tc>
        <w:tc>
          <w:tcPr>
            <w:tcW w:w="1260" w:type="dxa"/>
            <w:tcBorders>
              <w:top w:val="single" w:sz="4" w:space="0" w:color="auto"/>
              <w:left w:val="single" w:sz="4" w:space="0" w:color="auto"/>
              <w:bottom w:val="single" w:sz="4" w:space="0" w:color="auto"/>
              <w:right w:val="single" w:sz="4" w:space="0" w:color="auto"/>
            </w:tcBorders>
          </w:tcPr>
          <w:p w14:paraId="771236C9"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796C8A75"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19B7C321"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39C58588" w14:textId="77777777" w:rsidR="00A607FD" w:rsidRPr="00BC0991" w:rsidRDefault="00A607FD" w:rsidP="00DD7854">
            <w:pPr>
              <w:ind w:left="76"/>
              <w:rPr>
                <w:rFonts w:asciiTheme="minorHAnsi" w:eastAsiaTheme="minorEastAsia" w:hAnsiTheme="minorHAnsi" w:cs="Calibri"/>
                <w:color w:val="000000"/>
              </w:rPr>
            </w:pPr>
            <w:r w:rsidRPr="00BC0991">
              <w:rPr>
                <w:rFonts w:asciiTheme="minorHAnsi" w:eastAsiaTheme="minorEastAsia" w:hAnsiTheme="minorHAnsi" w:cs="Calibri"/>
                <w:color w:val="000000"/>
              </w:rPr>
              <w:t xml:space="preserve">5 years’ experience in environmental law in Myanmar </w:t>
            </w:r>
          </w:p>
        </w:tc>
        <w:tc>
          <w:tcPr>
            <w:tcW w:w="1103" w:type="dxa"/>
            <w:tcBorders>
              <w:top w:val="single" w:sz="4" w:space="0" w:color="auto"/>
              <w:left w:val="single" w:sz="4" w:space="0" w:color="auto"/>
              <w:bottom w:val="single" w:sz="4" w:space="0" w:color="auto"/>
              <w:right w:val="single" w:sz="4" w:space="0" w:color="auto"/>
            </w:tcBorders>
          </w:tcPr>
          <w:p w14:paraId="69A08340"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10</w:t>
            </w:r>
          </w:p>
        </w:tc>
        <w:tc>
          <w:tcPr>
            <w:tcW w:w="1260" w:type="dxa"/>
            <w:tcBorders>
              <w:top w:val="single" w:sz="4" w:space="0" w:color="auto"/>
              <w:left w:val="single" w:sz="4" w:space="0" w:color="auto"/>
              <w:bottom w:val="single" w:sz="4" w:space="0" w:color="auto"/>
              <w:right w:val="single" w:sz="4" w:space="0" w:color="auto"/>
            </w:tcBorders>
          </w:tcPr>
          <w:p w14:paraId="4DD82E14"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168A10E1"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5408987F"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68CF32DA" w14:textId="77777777" w:rsidR="00A607FD" w:rsidRPr="00BC0991" w:rsidRDefault="00A607FD" w:rsidP="00DD7854">
            <w:pPr>
              <w:ind w:left="76"/>
              <w:rPr>
                <w:rFonts w:asciiTheme="minorHAnsi" w:eastAsiaTheme="minorEastAsia" w:hAnsiTheme="minorHAnsi" w:cs="Calibri"/>
                <w:color w:val="000000"/>
              </w:rPr>
            </w:pPr>
            <w:r w:rsidRPr="00BC0991">
              <w:rPr>
                <w:rFonts w:asciiTheme="minorHAnsi" w:eastAsiaTheme="minorEastAsia" w:hAnsiTheme="minorHAnsi" w:cs="Calibri"/>
                <w:color w:val="000000"/>
              </w:rPr>
              <w:t xml:space="preserve">Experience in designing and drafting policies, laws or regulations </w:t>
            </w:r>
          </w:p>
        </w:tc>
        <w:tc>
          <w:tcPr>
            <w:tcW w:w="1103" w:type="dxa"/>
            <w:tcBorders>
              <w:top w:val="single" w:sz="4" w:space="0" w:color="auto"/>
              <w:left w:val="single" w:sz="4" w:space="0" w:color="auto"/>
              <w:bottom w:val="single" w:sz="4" w:space="0" w:color="auto"/>
              <w:right w:val="single" w:sz="4" w:space="0" w:color="auto"/>
            </w:tcBorders>
          </w:tcPr>
          <w:p w14:paraId="6FDEB28E"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10</w:t>
            </w:r>
          </w:p>
        </w:tc>
        <w:tc>
          <w:tcPr>
            <w:tcW w:w="1260" w:type="dxa"/>
            <w:tcBorders>
              <w:top w:val="single" w:sz="4" w:space="0" w:color="auto"/>
              <w:left w:val="single" w:sz="4" w:space="0" w:color="auto"/>
              <w:bottom w:val="single" w:sz="4" w:space="0" w:color="auto"/>
              <w:right w:val="single" w:sz="4" w:space="0" w:color="auto"/>
            </w:tcBorders>
          </w:tcPr>
          <w:p w14:paraId="4D74D7DD"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4505122E" w14:textId="77777777" w:rsidTr="00D174D8">
        <w:trPr>
          <w:cantSplit/>
          <w:trHeight w:val="485"/>
        </w:trPr>
        <w:tc>
          <w:tcPr>
            <w:tcW w:w="653" w:type="dxa"/>
            <w:tcBorders>
              <w:top w:val="single" w:sz="4" w:space="0" w:color="auto"/>
              <w:left w:val="single" w:sz="4" w:space="0" w:color="auto"/>
              <w:bottom w:val="single" w:sz="4" w:space="0" w:color="auto"/>
              <w:right w:val="single" w:sz="4" w:space="0" w:color="auto"/>
            </w:tcBorders>
          </w:tcPr>
          <w:p w14:paraId="49B6482D"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70FBC847" w14:textId="77777777" w:rsidR="00A607FD" w:rsidRPr="00BC0991" w:rsidRDefault="00A607FD" w:rsidP="00DD7854">
            <w:pPr>
              <w:spacing w:before="13"/>
              <w:ind w:left="76"/>
              <w:rPr>
                <w:rFonts w:asciiTheme="minorHAnsi" w:eastAsiaTheme="minorEastAsia" w:hAnsiTheme="minorHAnsi" w:cs="Calibri"/>
                <w:color w:val="000000"/>
              </w:rPr>
            </w:pPr>
            <w:r w:rsidRPr="00BC0991">
              <w:rPr>
                <w:rFonts w:asciiTheme="minorHAnsi" w:eastAsiaTheme="minorEastAsia" w:hAnsiTheme="minorHAnsi" w:cs="Calibri"/>
                <w:color w:val="000000"/>
              </w:rPr>
              <w:t>A good understanding of the main challenges facing the implementation of the Nagoya Protocol on ABS in Myanmar</w:t>
            </w:r>
          </w:p>
        </w:tc>
        <w:tc>
          <w:tcPr>
            <w:tcW w:w="1103" w:type="dxa"/>
            <w:tcBorders>
              <w:top w:val="single" w:sz="4" w:space="0" w:color="auto"/>
              <w:left w:val="single" w:sz="4" w:space="0" w:color="auto"/>
              <w:bottom w:val="single" w:sz="4" w:space="0" w:color="auto"/>
              <w:right w:val="single" w:sz="4" w:space="0" w:color="auto"/>
            </w:tcBorders>
          </w:tcPr>
          <w:p w14:paraId="063F3525"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10</w:t>
            </w:r>
          </w:p>
        </w:tc>
        <w:tc>
          <w:tcPr>
            <w:tcW w:w="1260" w:type="dxa"/>
            <w:tcBorders>
              <w:top w:val="single" w:sz="4" w:space="0" w:color="auto"/>
              <w:left w:val="single" w:sz="4" w:space="0" w:color="auto"/>
              <w:bottom w:val="single" w:sz="4" w:space="0" w:color="auto"/>
              <w:right w:val="single" w:sz="4" w:space="0" w:color="auto"/>
            </w:tcBorders>
          </w:tcPr>
          <w:p w14:paraId="41E68EE7"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44919516"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6E973584"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39ECFBBE" w14:textId="77777777" w:rsidR="00A607FD" w:rsidRPr="00BC0991" w:rsidRDefault="00A607FD" w:rsidP="00DD7854">
            <w:pPr>
              <w:spacing w:before="13"/>
              <w:ind w:left="76"/>
              <w:rPr>
                <w:rFonts w:asciiTheme="minorHAnsi" w:eastAsiaTheme="minorEastAsia" w:hAnsiTheme="minorHAnsi" w:cs="Calibri"/>
                <w:color w:val="000000"/>
              </w:rPr>
            </w:pPr>
            <w:r w:rsidRPr="00BC0991">
              <w:rPr>
                <w:rFonts w:asciiTheme="minorHAnsi" w:eastAsiaTheme="minorEastAsia" w:hAnsiTheme="minorHAnsi" w:cs="Calibri"/>
                <w:color w:val="000000"/>
              </w:rPr>
              <w:t>Experience in facilitation to lead national discussions involving key experts and stakeholders from relevant national institutions</w:t>
            </w:r>
          </w:p>
        </w:tc>
        <w:tc>
          <w:tcPr>
            <w:tcW w:w="1103" w:type="dxa"/>
            <w:tcBorders>
              <w:top w:val="single" w:sz="4" w:space="0" w:color="auto"/>
              <w:left w:val="single" w:sz="4" w:space="0" w:color="auto"/>
              <w:bottom w:val="single" w:sz="4" w:space="0" w:color="auto"/>
              <w:right w:val="single" w:sz="4" w:space="0" w:color="auto"/>
            </w:tcBorders>
          </w:tcPr>
          <w:p w14:paraId="53828C5A"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10</w:t>
            </w:r>
          </w:p>
        </w:tc>
        <w:tc>
          <w:tcPr>
            <w:tcW w:w="1260" w:type="dxa"/>
            <w:tcBorders>
              <w:top w:val="single" w:sz="4" w:space="0" w:color="auto"/>
              <w:left w:val="single" w:sz="4" w:space="0" w:color="auto"/>
              <w:bottom w:val="single" w:sz="4" w:space="0" w:color="auto"/>
              <w:right w:val="single" w:sz="4" w:space="0" w:color="auto"/>
            </w:tcBorders>
          </w:tcPr>
          <w:p w14:paraId="524F3ADA"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59CA98D8"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2011494E"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523606C8" w14:textId="77777777" w:rsidR="00A607FD" w:rsidRPr="00BC0991" w:rsidRDefault="00A607FD" w:rsidP="00DD7854">
            <w:pPr>
              <w:spacing w:before="13"/>
              <w:rPr>
                <w:rFonts w:asciiTheme="minorHAnsi" w:eastAsiaTheme="minorEastAsia" w:hAnsiTheme="minorHAnsi" w:cs="Calibri"/>
                <w:color w:val="000000"/>
              </w:rPr>
            </w:pPr>
            <w:r w:rsidRPr="00BC0991">
              <w:rPr>
                <w:rFonts w:asciiTheme="minorHAnsi" w:eastAsiaTheme="minorEastAsia" w:hAnsiTheme="minorHAnsi" w:cs="Calibri"/>
                <w:color w:val="000000"/>
              </w:rPr>
              <w:t xml:space="preserve">Excellent English and report writing skills </w:t>
            </w:r>
          </w:p>
        </w:tc>
        <w:tc>
          <w:tcPr>
            <w:tcW w:w="1103" w:type="dxa"/>
            <w:tcBorders>
              <w:top w:val="single" w:sz="4" w:space="0" w:color="auto"/>
              <w:left w:val="single" w:sz="4" w:space="0" w:color="auto"/>
              <w:bottom w:val="single" w:sz="4" w:space="0" w:color="auto"/>
              <w:right w:val="single" w:sz="4" w:space="0" w:color="auto"/>
            </w:tcBorders>
          </w:tcPr>
          <w:p w14:paraId="7DAF1180"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5</w:t>
            </w:r>
          </w:p>
        </w:tc>
        <w:tc>
          <w:tcPr>
            <w:tcW w:w="1260" w:type="dxa"/>
            <w:tcBorders>
              <w:top w:val="single" w:sz="4" w:space="0" w:color="auto"/>
              <w:left w:val="single" w:sz="4" w:space="0" w:color="auto"/>
              <w:bottom w:val="single" w:sz="4" w:space="0" w:color="auto"/>
              <w:right w:val="single" w:sz="4" w:space="0" w:color="auto"/>
            </w:tcBorders>
          </w:tcPr>
          <w:p w14:paraId="403F5C74"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183F0147" w14:textId="77777777" w:rsidTr="00DD7854">
        <w:trPr>
          <w:cantSplit/>
        </w:trPr>
        <w:tc>
          <w:tcPr>
            <w:tcW w:w="653" w:type="dxa"/>
            <w:tcBorders>
              <w:top w:val="single" w:sz="4" w:space="0" w:color="auto"/>
              <w:left w:val="single" w:sz="4" w:space="0" w:color="auto"/>
              <w:bottom w:val="single" w:sz="4" w:space="0" w:color="auto"/>
              <w:right w:val="single" w:sz="4" w:space="0" w:color="auto"/>
            </w:tcBorders>
            <w:vAlign w:val="center"/>
          </w:tcPr>
          <w:p w14:paraId="4C5673FB"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2BAC3209" w14:textId="77777777" w:rsidR="00A607FD" w:rsidRPr="00BC0991" w:rsidDel="00231FB0"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Fluency in Myanmar language would be an asset</w:t>
            </w:r>
          </w:p>
        </w:tc>
        <w:tc>
          <w:tcPr>
            <w:tcW w:w="1103" w:type="dxa"/>
            <w:tcBorders>
              <w:top w:val="single" w:sz="4" w:space="0" w:color="auto"/>
              <w:left w:val="single" w:sz="4" w:space="0" w:color="auto"/>
              <w:bottom w:val="single" w:sz="4" w:space="0" w:color="auto"/>
              <w:right w:val="single" w:sz="4" w:space="0" w:color="auto"/>
            </w:tcBorders>
          </w:tcPr>
          <w:p w14:paraId="0808528C"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5</w:t>
            </w:r>
          </w:p>
        </w:tc>
        <w:tc>
          <w:tcPr>
            <w:tcW w:w="1260" w:type="dxa"/>
            <w:tcBorders>
              <w:top w:val="single" w:sz="4" w:space="0" w:color="auto"/>
              <w:left w:val="single" w:sz="4" w:space="0" w:color="auto"/>
              <w:bottom w:val="single" w:sz="4" w:space="0" w:color="auto"/>
              <w:right w:val="single" w:sz="4" w:space="0" w:color="auto"/>
            </w:tcBorders>
          </w:tcPr>
          <w:p w14:paraId="42537F14"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49B9368B" w14:textId="77777777" w:rsidTr="00DD7854">
        <w:trPr>
          <w:cantSplit/>
        </w:trPr>
        <w:tc>
          <w:tcPr>
            <w:tcW w:w="653" w:type="dxa"/>
            <w:tcBorders>
              <w:top w:val="single" w:sz="4" w:space="0" w:color="auto"/>
              <w:left w:val="single" w:sz="4" w:space="0" w:color="auto"/>
              <w:bottom w:val="single" w:sz="4" w:space="0" w:color="auto"/>
              <w:right w:val="single" w:sz="4" w:space="0" w:color="auto"/>
            </w:tcBorders>
          </w:tcPr>
          <w:p w14:paraId="4420C08F" w14:textId="77777777" w:rsidR="00A607FD" w:rsidRPr="00B76CEE" w:rsidRDefault="00A607FD" w:rsidP="00DD7854">
            <w:pPr>
              <w:jc w:val="both"/>
              <w:rPr>
                <w:rFonts w:ascii="Myriad Pro" w:hAnsi="Myriad Pro" w:cstheme="minorHAnsi"/>
                <w:snapToGrid w:val="0"/>
                <w:sz w:val="20"/>
                <w:szCs w:val="20"/>
              </w:rPr>
            </w:pPr>
            <w:r w:rsidRPr="00B76CEE">
              <w:rPr>
                <w:rFonts w:ascii="Myriad Pro" w:hAnsi="Myriad Pro" w:cstheme="minorHAnsi"/>
                <w:snapToGrid w:val="0"/>
                <w:sz w:val="20"/>
                <w:szCs w:val="20"/>
              </w:rPr>
              <w:lastRenderedPageBreak/>
              <w:t>3.3</w:t>
            </w:r>
          </w:p>
        </w:tc>
        <w:tc>
          <w:tcPr>
            <w:tcW w:w="6277" w:type="dxa"/>
            <w:tcBorders>
              <w:top w:val="single" w:sz="4" w:space="0" w:color="auto"/>
              <w:left w:val="single" w:sz="4" w:space="0" w:color="auto"/>
              <w:bottom w:val="single" w:sz="4" w:space="0" w:color="auto"/>
              <w:right w:val="single" w:sz="4" w:space="0" w:color="auto"/>
            </w:tcBorders>
          </w:tcPr>
          <w:p w14:paraId="3787F788"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Qualifications of Development Team members</w:t>
            </w:r>
          </w:p>
        </w:tc>
        <w:tc>
          <w:tcPr>
            <w:tcW w:w="1103" w:type="dxa"/>
            <w:tcBorders>
              <w:top w:val="single" w:sz="4" w:space="0" w:color="auto"/>
              <w:left w:val="single" w:sz="4" w:space="0" w:color="auto"/>
              <w:bottom w:val="single" w:sz="4" w:space="0" w:color="auto"/>
              <w:right w:val="single" w:sz="4" w:space="0" w:color="auto"/>
            </w:tcBorders>
          </w:tcPr>
          <w:p w14:paraId="762FDE1E"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Sub-Score</w:t>
            </w:r>
          </w:p>
        </w:tc>
        <w:tc>
          <w:tcPr>
            <w:tcW w:w="1260" w:type="dxa"/>
            <w:tcBorders>
              <w:top w:val="single" w:sz="4" w:space="0" w:color="auto"/>
              <w:left w:val="single" w:sz="4" w:space="0" w:color="auto"/>
              <w:bottom w:val="single" w:sz="4" w:space="0" w:color="auto"/>
              <w:right w:val="single" w:sz="4" w:space="0" w:color="auto"/>
            </w:tcBorders>
          </w:tcPr>
          <w:p w14:paraId="25690A34"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180</w:t>
            </w:r>
          </w:p>
        </w:tc>
      </w:tr>
      <w:tr w:rsidR="00A607FD" w:rsidRPr="00B76CEE" w14:paraId="25A55056" w14:textId="77777777" w:rsidTr="00DD7854">
        <w:trPr>
          <w:cantSplit/>
        </w:trPr>
        <w:tc>
          <w:tcPr>
            <w:tcW w:w="653" w:type="dxa"/>
            <w:tcBorders>
              <w:top w:val="single" w:sz="4" w:space="0" w:color="auto"/>
              <w:left w:val="single" w:sz="4" w:space="0" w:color="auto"/>
              <w:bottom w:val="single" w:sz="4" w:space="0" w:color="auto"/>
              <w:right w:val="single" w:sz="4" w:space="0" w:color="auto"/>
            </w:tcBorders>
            <w:vAlign w:val="center"/>
          </w:tcPr>
          <w:p w14:paraId="616E618A"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62A0CC50"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Relevance of qualifications, including English and Myanmar language abilities</w:t>
            </w:r>
          </w:p>
        </w:tc>
        <w:tc>
          <w:tcPr>
            <w:tcW w:w="1103" w:type="dxa"/>
            <w:tcBorders>
              <w:top w:val="single" w:sz="4" w:space="0" w:color="auto"/>
              <w:left w:val="single" w:sz="4" w:space="0" w:color="auto"/>
              <w:bottom w:val="single" w:sz="4" w:space="0" w:color="auto"/>
              <w:right w:val="single" w:sz="4" w:space="0" w:color="auto"/>
            </w:tcBorders>
          </w:tcPr>
          <w:p w14:paraId="4DCB0974"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30</w:t>
            </w:r>
          </w:p>
        </w:tc>
        <w:tc>
          <w:tcPr>
            <w:tcW w:w="1260" w:type="dxa"/>
            <w:tcBorders>
              <w:top w:val="single" w:sz="4" w:space="0" w:color="auto"/>
              <w:left w:val="single" w:sz="4" w:space="0" w:color="auto"/>
              <w:bottom w:val="single" w:sz="4" w:space="0" w:color="auto"/>
              <w:right w:val="single" w:sz="4" w:space="0" w:color="auto"/>
            </w:tcBorders>
          </w:tcPr>
          <w:p w14:paraId="013692AB"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13989764" w14:textId="77777777" w:rsidTr="00DD7854">
        <w:trPr>
          <w:cantSplit/>
        </w:trPr>
        <w:tc>
          <w:tcPr>
            <w:tcW w:w="653" w:type="dxa"/>
            <w:tcBorders>
              <w:top w:val="single" w:sz="4" w:space="0" w:color="auto"/>
              <w:left w:val="single" w:sz="4" w:space="0" w:color="auto"/>
              <w:bottom w:val="single" w:sz="4" w:space="0" w:color="auto"/>
              <w:right w:val="single" w:sz="4" w:space="0" w:color="auto"/>
            </w:tcBorders>
            <w:vAlign w:val="center"/>
          </w:tcPr>
          <w:p w14:paraId="5207BF25" w14:textId="77777777" w:rsidR="00A607FD" w:rsidRPr="00B76CEE" w:rsidRDefault="00A607FD" w:rsidP="00DD7854">
            <w:pPr>
              <w:jc w:val="both"/>
              <w:rPr>
                <w:rFonts w:ascii="Myriad Pro" w:hAnsi="Myriad Pro" w:cstheme="minorHAnsi"/>
                <w:snapToGrid w:val="0"/>
                <w:sz w:val="20"/>
                <w:szCs w:val="20"/>
              </w:rPr>
            </w:pPr>
          </w:p>
        </w:tc>
        <w:tc>
          <w:tcPr>
            <w:tcW w:w="6277" w:type="dxa"/>
            <w:tcBorders>
              <w:top w:val="single" w:sz="4" w:space="0" w:color="auto"/>
              <w:left w:val="single" w:sz="4" w:space="0" w:color="auto"/>
              <w:bottom w:val="single" w:sz="4" w:space="0" w:color="auto"/>
              <w:right w:val="single" w:sz="4" w:space="0" w:color="auto"/>
            </w:tcBorders>
          </w:tcPr>
          <w:p w14:paraId="0E3CD3DC" w14:textId="77777777" w:rsidR="00A607FD" w:rsidRPr="00BC0991" w:rsidRDefault="00A607FD" w:rsidP="00DD7854">
            <w:pPr>
              <w:jc w:val="both"/>
              <w:rPr>
                <w:rFonts w:asciiTheme="minorHAnsi" w:eastAsiaTheme="minorEastAsia" w:hAnsiTheme="minorHAnsi" w:cs="Calibri"/>
                <w:color w:val="000000"/>
              </w:rPr>
            </w:pPr>
            <w:r w:rsidRPr="00BC0991">
              <w:rPr>
                <w:rFonts w:asciiTheme="minorHAnsi" w:eastAsiaTheme="minorEastAsia" w:hAnsiTheme="minorHAnsi" w:cs="Calibri"/>
                <w:color w:val="000000"/>
              </w:rPr>
              <w:t>Relevance of experience to project proposed</w:t>
            </w:r>
          </w:p>
        </w:tc>
        <w:tc>
          <w:tcPr>
            <w:tcW w:w="1103" w:type="dxa"/>
            <w:tcBorders>
              <w:top w:val="single" w:sz="4" w:space="0" w:color="auto"/>
              <w:left w:val="single" w:sz="4" w:space="0" w:color="auto"/>
              <w:bottom w:val="nil"/>
              <w:right w:val="single" w:sz="4" w:space="0" w:color="auto"/>
            </w:tcBorders>
          </w:tcPr>
          <w:p w14:paraId="4E985FCF" w14:textId="77777777" w:rsidR="00A607FD" w:rsidRPr="00BC0991" w:rsidRDefault="00A607FD" w:rsidP="00DD7854">
            <w:pPr>
              <w:jc w:val="center"/>
              <w:rPr>
                <w:rFonts w:asciiTheme="minorHAnsi" w:eastAsiaTheme="minorEastAsia" w:hAnsiTheme="minorHAnsi" w:cs="Calibri"/>
                <w:color w:val="000000"/>
              </w:rPr>
            </w:pPr>
            <w:r w:rsidRPr="00BC0991">
              <w:rPr>
                <w:rFonts w:asciiTheme="minorHAnsi" w:eastAsiaTheme="minorEastAsia" w:hAnsiTheme="minorHAnsi" w:cs="Calibri"/>
                <w:color w:val="000000"/>
              </w:rPr>
              <w:t>150</w:t>
            </w:r>
          </w:p>
        </w:tc>
        <w:tc>
          <w:tcPr>
            <w:tcW w:w="1260" w:type="dxa"/>
            <w:tcBorders>
              <w:top w:val="single" w:sz="4" w:space="0" w:color="auto"/>
              <w:left w:val="single" w:sz="4" w:space="0" w:color="auto"/>
              <w:bottom w:val="single" w:sz="4" w:space="0" w:color="auto"/>
              <w:right w:val="single" w:sz="4" w:space="0" w:color="auto"/>
            </w:tcBorders>
          </w:tcPr>
          <w:p w14:paraId="46A06D94" w14:textId="77777777" w:rsidR="00A607FD" w:rsidRPr="00BC0991" w:rsidRDefault="00A607FD" w:rsidP="00DD7854">
            <w:pPr>
              <w:jc w:val="center"/>
              <w:rPr>
                <w:rFonts w:asciiTheme="minorHAnsi" w:eastAsiaTheme="minorEastAsia" w:hAnsiTheme="minorHAnsi" w:cs="Calibri"/>
                <w:color w:val="000000"/>
              </w:rPr>
            </w:pPr>
          </w:p>
        </w:tc>
      </w:tr>
      <w:tr w:rsidR="00A607FD" w:rsidRPr="00B76CEE" w14:paraId="03B7EDB1" w14:textId="77777777" w:rsidTr="00DD7854">
        <w:trPr>
          <w:cantSplit/>
        </w:trPr>
        <w:tc>
          <w:tcPr>
            <w:tcW w:w="8033" w:type="dxa"/>
            <w:gridSpan w:val="3"/>
            <w:tcBorders>
              <w:top w:val="single" w:sz="4" w:space="0" w:color="auto"/>
              <w:left w:val="single" w:sz="4" w:space="0" w:color="auto"/>
              <w:bottom w:val="single" w:sz="4" w:space="0" w:color="auto"/>
              <w:right w:val="single" w:sz="4" w:space="0" w:color="auto"/>
            </w:tcBorders>
            <w:vAlign w:val="center"/>
          </w:tcPr>
          <w:p w14:paraId="5FF49BE3" w14:textId="77777777" w:rsidR="00A607FD" w:rsidRPr="00B76CEE" w:rsidRDefault="00A607FD" w:rsidP="00DD7854">
            <w:pPr>
              <w:jc w:val="right"/>
              <w:rPr>
                <w:rFonts w:ascii="Myriad Pro" w:hAnsi="Myriad Pro" w:cstheme="minorHAnsi"/>
                <w:b/>
                <w:snapToGrid w:val="0"/>
                <w:sz w:val="20"/>
                <w:szCs w:val="20"/>
              </w:rPr>
            </w:pPr>
            <w:r w:rsidRPr="00B76CEE">
              <w:rPr>
                <w:rFonts w:ascii="Myriad Pro" w:hAnsi="Myriad Pro"/>
                <w:b/>
              </w:rPr>
              <w:t>Total Part 3</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460D3505" w14:textId="77777777" w:rsidR="00A607FD" w:rsidRPr="00B76CEE" w:rsidRDefault="00A607FD" w:rsidP="00DD7854">
            <w:pPr>
              <w:jc w:val="center"/>
              <w:rPr>
                <w:rFonts w:ascii="Myriad Pro" w:hAnsi="Myriad Pro" w:cstheme="minorHAnsi"/>
                <w:b/>
                <w:snapToGrid w:val="0"/>
                <w:sz w:val="20"/>
                <w:szCs w:val="20"/>
              </w:rPr>
            </w:pPr>
            <w:r w:rsidRPr="00B76CEE">
              <w:rPr>
                <w:rFonts w:ascii="Myriad Pro" w:hAnsi="Myriad Pro" w:cstheme="minorHAnsi"/>
                <w:b/>
                <w:snapToGrid w:val="0"/>
                <w:sz w:val="20"/>
                <w:szCs w:val="20"/>
              </w:rPr>
              <w:t>300</w:t>
            </w:r>
          </w:p>
        </w:tc>
      </w:tr>
    </w:tbl>
    <w:p w14:paraId="42264FDB" w14:textId="77777777" w:rsidR="000B2530" w:rsidRDefault="000B2530" w:rsidP="000B2530">
      <w:pPr>
        <w:spacing w:after="120"/>
        <w:rPr>
          <w:rFonts w:asciiTheme="minorHAnsi" w:hAnsiTheme="minorHAnsi" w:cstheme="minorBidi"/>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7088"/>
        <w:gridCol w:w="1583"/>
      </w:tblGrid>
      <w:tr w:rsidR="00C81740" w:rsidRPr="00C81740" w14:paraId="6ECB24C5" w14:textId="77777777" w:rsidTr="00C97A8C">
        <w:trPr>
          <w:trHeight w:hRule="exact" w:val="432"/>
        </w:trPr>
        <w:tc>
          <w:tcPr>
            <w:tcW w:w="7680" w:type="dxa"/>
            <w:gridSpan w:val="2"/>
            <w:vMerge w:val="restart"/>
            <w:tcBorders>
              <w:top w:val="single" w:sz="4" w:space="0" w:color="auto"/>
              <w:left w:val="single" w:sz="4" w:space="0" w:color="auto"/>
              <w:bottom w:val="nil"/>
              <w:right w:val="single" w:sz="4" w:space="0" w:color="auto"/>
            </w:tcBorders>
            <w:hideMark/>
          </w:tcPr>
          <w:p w14:paraId="52D25302" w14:textId="77777777" w:rsidR="00C81740" w:rsidRPr="00C81740" w:rsidRDefault="00C81740" w:rsidP="00C81740">
            <w:pPr>
              <w:spacing w:after="0"/>
              <w:rPr>
                <w:rFonts w:eastAsia="MS Mincho" w:cs="Calibri"/>
                <w:b/>
                <w:snapToGrid w:val="0"/>
              </w:rPr>
            </w:pPr>
            <w:r w:rsidRPr="00C81740">
              <w:rPr>
                <w:rFonts w:eastAsia="MS Mincho" w:cs="Calibri"/>
                <w:b/>
                <w:snapToGrid w:val="0"/>
              </w:rPr>
              <w:t>Financial Proposal Evaluation</w:t>
            </w:r>
          </w:p>
          <w:p w14:paraId="69C75462" w14:textId="77777777" w:rsidR="00C81740" w:rsidRPr="00C81740" w:rsidRDefault="00C81740" w:rsidP="00C81740">
            <w:pPr>
              <w:spacing w:after="0"/>
              <w:rPr>
                <w:rFonts w:eastAsia="MS Mincho" w:cs="Calibri"/>
                <w:b/>
                <w:snapToGrid w:val="0"/>
              </w:rPr>
            </w:pPr>
            <w:r w:rsidRPr="00C81740">
              <w:rPr>
                <w:rFonts w:eastAsia="MS Mincho" w:cs="Calibri"/>
                <w:b/>
                <w:snapToGrid w:val="0"/>
              </w:rPr>
              <w:t>Form 4</w:t>
            </w:r>
          </w:p>
        </w:tc>
        <w:tc>
          <w:tcPr>
            <w:tcW w:w="1583" w:type="dxa"/>
            <w:vMerge w:val="restart"/>
            <w:tcBorders>
              <w:top w:val="single" w:sz="4" w:space="0" w:color="auto"/>
              <w:left w:val="single" w:sz="4" w:space="0" w:color="auto"/>
              <w:bottom w:val="nil"/>
              <w:right w:val="single" w:sz="4" w:space="0" w:color="auto"/>
            </w:tcBorders>
            <w:hideMark/>
          </w:tcPr>
          <w:p w14:paraId="1EFD1995" w14:textId="77777777" w:rsidR="00C81740" w:rsidRPr="00C81740" w:rsidRDefault="00C81740" w:rsidP="00C81740">
            <w:pPr>
              <w:spacing w:after="0"/>
              <w:jc w:val="center"/>
              <w:rPr>
                <w:rFonts w:eastAsia="MS Mincho" w:cs="Calibri"/>
                <w:b/>
                <w:snapToGrid w:val="0"/>
              </w:rPr>
            </w:pPr>
            <w:r w:rsidRPr="00C81740">
              <w:rPr>
                <w:rFonts w:eastAsia="MS Mincho" w:cs="Calibri"/>
                <w:b/>
                <w:snapToGrid w:val="0"/>
              </w:rPr>
              <w:t>Points obtainable</w:t>
            </w:r>
          </w:p>
        </w:tc>
      </w:tr>
      <w:tr w:rsidR="00C81740" w:rsidRPr="00C81740" w14:paraId="6DBFE899" w14:textId="77777777" w:rsidTr="00C81740">
        <w:trPr>
          <w:cantSplit/>
          <w:trHeight w:val="509"/>
        </w:trPr>
        <w:tc>
          <w:tcPr>
            <w:tcW w:w="7680" w:type="dxa"/>
            <w:gridSpan w:val="2"/>
            <w:vMerge/>
            <w:tcBorders>
              <w:top w:val="single" w:sz="4" w:space="0" w:color="auto"/>
              <w:left w:val="single" w:sz="4" w:space="0" w:color="auto"/>
              <w:bottom w:val="nil"/>
              <w:right w:val="single" w:sz="4" w:space="0" w:color="auto"/>
            </w:tcBorders>
            <w:vAlign w:val="center"/>
            <w:hideMark/>
          </w:tcPr>
          <w:p w14:paraId="024E89E3" w14:textId="77777777" w:rsidR="00C81740" w:rsidRPr="00C81740" w:rsidRDefault="00C81740" w:rsidP="00C81740">
            <w:pPr>
              <w:spacing w:after="0"/>
              <w:rPr>
                <w:rFonts w:eastAsia="MS Mincho" w:cs="Calibri"/>
                <w:snapToGrid w:val="0"/>
              </w:rPr>
            </w:pPr>
          </w:p>
        </w:tc>
        <w:tc>
          <w:tcPr>
            <w:tcW w:w="1583" w:type="dxa"/>
            <w:vMerge/>
            <w:tcBorders>
              <w:top w:val="single" w:sz="4" w:space="0" w:color="auto"/>
              <w:left w:val="single" w:sz="4" w:space="0" w:color="auto"/>
              <w:bottom w:val="nil"/>
              <w:right w:val="single" w:sz="4" w:space="0" w:color="auto"/>
            </w:tcBorders>
            <w:vAlign w:val="center"/>
            <w:hideMark/>
          </w:tcPr>
          <w:p w14:paraId="1A0C87BC" w14:textId="77777777" w:rsidR="00C81740" w:rsidRPr="00C81740" w:rsidRDefault="00C81740" w:rsidP="00C81740">
            <w:pPr>
              <w:spacing w:after="0"/>
              <w:rPr>
                <w:rFonts w:eastAsia="MS Mincho" w:cs="Calibri"/>
                <w:snapToGrid w:val="0"/>
              </w:rPr>
            </w:pPr>
          </w:p>
        </w:tc>
      </w:tr>
      <w:tr w:rsidR="00C81740" w:rsidRPr="00C81740" w14:paraId="3F0A89CE" w14:textId="77777777" w:rsidTr="00C97A8C">
        <w:trPr>
          <w:trHeight w:hRule="exact" w:val="432"/>
        </w:trPr>
        <w:tc>
          <w:tcPr>
            <w:tcW w:w="9263" w:type="dxa"/>
            <w:gridSpan w:val="3"/>
            <w:tcBorders>
              <w:top w:val="single" w:sz="4" w:space="0" w:color="auto"/>
              <w:left w:val="single" w:sz="4" w:space="0" w:color="auto"/>
              <w:right w:val="single" w:sz="4" w:space="0" w:color="auto"/>
            </w:tcBorders>
            <w:shd w:val="pct15" w:color="auto" w:fill="FFFFFF"/>
          </w:tcPr>
          <w:p w14:paraId="764B3A5A" w14:textId="77777777" w:rsidR="00C81740" w:rsidRPr="00C81740" w:rsidRDefault="00C81740" w:rsidP="00C81740">
            <w:pPr>
              <w:spacing w:after="0"/>
              <w:jc w:val="center"/>
              <w:rPr>
                <w:rFonts w:eastAsia="MS Mincho" w:cs="Calibri"/>
                <w:b/>
                <w:color w:val="000000"/>
              </w:rPr>
            </w:pPr>
            <w:r w:rsidRPr="00C81740">
              <w:rPr>
                <w:rFonts w:eastAsia="MS Mincho" w:cs="Calibri"/>
                <w:b/>
                <w:color w:val="000000"/>
              </w:rPr>
              <w:t>Utilization of Resources and Value for Money</w:t>
            </w:r>
          </w:p>
        </w:tc>
      </w:tr>
      <w:tr w:rsidR="00C81740" w:rsidRPr="00C81740" w14:paraId="77C49DA7" w14:textId="77777777" w:rsidTr="00C81740">
        <w:tc>
          <w:tcPr>
            <w:tcW w:w="592" w:type="dxa"/>
            <w:tcBorders>
              <w:top w:val="single" w:sz="4" w:space="0" w:color="auto"/>
              <w:left w:val="single" w:sz="4" w:space="0" w:color="auto"/>
              <w:bottom w:val="single" w:sz="4" w:space="0" w:color="auto"/>
              <w:right w:val="single" w:sz="4" w:space="0" w:color="auto"/>
            </w:tcBorders>
            <w:hideMark/>
          </w:tcPr>
          <w:p w14:paraId="12556819" w14:textId="77777777" w:rsidR="00C81740" w:rsidRPr="00C81740" w:rsidRDefault="00C81740" w:rsidP="00C81740">
            <w:pPr>
              <w:spacing w:after="0"/>
              <w:rPr>
                <w:rFonts w:eastAsia="MS Mincho" w:cs="Calibri"/>
                <w:snapToGrid w:val="0"/>
              </w:rPr>
            </w:pPr>
            <w:r w:rsidRPr="00C81740">
              <w:rPr>
                <w:rFonts w:eastAsia="MS Mincho" w:cs="Calibri"/>
                <w:snapToGrid w:val="0"/>
              </w:rPr>
              <w:t>4.1</w:t>
            </w:r>
          </w:p>
        </w:tc>
        <w:tc>
          <w:tcPr>
            <w:tcW w:w="7088" w:type="dxa"/>
            <w:tcBorders>
              <w:top w:val="single" w:sz="4" w:space="0" w:color="auto"/>
              <w:left w:val="single" w:sz="4" w:space="0" w:color="auto"/>
              <w:bottom w:val="single" w:sz="4" w:space="0" w:color="auto"/>
              <w:right w:val="single" w:sz="4" w:space="0" w:color="auto"/>
            </w:tcBorders>
            <w:hideMark/>
          </w:tcPr>
          <w:p w14:paraId="71874CC3" w14:textId="77777777" w:rsidR="00C81740" w:rsidRPr="00D174D8" w:rsidRDefault="00C81740" w:rsidP="00C81740">
            <w:pPr>
              <w:spacing w:after="0"/>
              <w:rPr>
                <w:rFonts w:asciiTheme="minorHAnsi" w:eastAsiaTheme="minorEastAsia" w:hAnsiTheme="minorHAnsi" w:cs="Calibri"/>
                <w:color w:val="000000"/>
              </w:rPr>
            </w:pPr>
            <w:r w:rsidRPr="00D174D8">
              <w:rPr>
                <w:rFonts w:asciiTheme="minorHAnsi" w:eastAsiaTheme="minorEastAsia" w:hAnsiTheme="minorHAnsi" w:cs="Calibri"/>
                <w:color w:val="000000"/>
              </w:rPr>
              <w:t>To what extent the proposal transfers value to the beneficiary within the given budget (the ratio between the NGO operational cost, including capital and recurring cost, versus the cost of implementation of the activity/outpu</w:t>
            </w:r>
            <w:r w:rsidR="00A607FD" w:rsidRPr="00D174D8">
              <w:rPr>
                <w:rFonts w:asciiTheme="minorHAnsi" w:eastAsiaTheme="minorEastAsia" w:hAnsiTheme="minorHAnsi" w:cs="Calibri"/>
                <w:color w:val="000000"/>
              </w:rPr>
              <w:t>t)</w:t>
            </w:r>
          </w:p>
        </w:tc>
        <w:tc>
          <w:tcPr>
            <w:tcW w:w="1583" w:type="dxa"/>
            <w:tcBorders>
              <w:top w:val="single" w:sz="4" w:space="0" w:color="auto"/>
              <w:left w:val="single" w:sz="4" w:space="0" w:color="auto"/>
              <w:bottom w:val="single" w:sz="4" w:space="0" w:color="auto"/>
              <w:right w:val="single" w:sz="4" w:space="0" w:color="auto"/>
            </w:tcBorders>
            <w:hideMark/>
          </w:tcPr>
          <w:p w14:paraId="6E98D231" w14:textId="77777777" w:rsidR="00C81740" w:rsidRPr="00C81740" w:rsidRDefault="00A607FD" w:rsidP="00C81740">
            <w:pPr>
              <w:spacing w:after="0"/>
              <w:jc w:val="center"/>
              <w:rPr>
                <w:rFonts w:eastAsia="MS Mincho" w:cs="Calibri"/>
                <w:snapToGrid w:val="0"/>
              </w:rPr>
            </w:pPr>
            <w:r>
              <w:rPr>
                <w:rFonts w:eastAsia="MS Mincho" w:cs="Calibri"/>
                <w:snapToGrid w:val="0"/>
              </w:rPr>
              <w:t>10</w:t>
            </w:r>
            <w:r w:rsidR="00C81740" w:rsidRPr="00C81740">
              <w:rPr>
                <w:rFonts w:eastAsia="MS Mincho" w:cs="Calibri"/>
                <w:snapToGrid w:val="0"/>
              </w:rPr>
              <w:t>0</w:t>
            </w:r>
          </w:p>
        </w:tc>
      </w:tr>
      <w:tr w:rsidR="00C81740" w:rsidRPr="00C81740" w14:paraId="25CEAAEE" w14:textId="77777777" w:rsidTr="00C81740">
        <w:trPr>
          <w:trHeight w:val="980"/>
        </w:trPr>
        <w:tc>
          <w:tcPr>
            <w:tcW w:w="592" w:type="dxa"/>
            <w:tcBorders>
              <w:top w:val="single" w:sz="4" w:space="0" w:color="auto"/>
              <w:left w:val="single" w:sz="4" w:space="0" w:color="auto"/>
              <w:bottom w:val="single" w:sz="4" w:space="0" w:color="auto"/>
              <w:right w:val="single" w:sz="4" w:space="0" w:color="auto"/>
            </w:tcBorders>
            <w:hideMark/>
          </w:tcPr>
          <w:p w14:paraId="4CE1199C" w14:textId="77777777" w:rsidR="00C81740" w:rsidRPr="00C81740" w:rsidRDefault="00C81740" w:rsidP="00C81740">
            <w:pPr>
              <w:spacing w:after="0"/>
              <w:rPr>
                <w:rFonts w:eastAsia="MS Mincho" w:cs="Calibri"/>
                <w:snapToGrid w:val="0"/>
              </w:rPr>
            </w:pPr>
            <w:r w:rsidRPr="00C81740">
              <w:rPr>
                <w:rFonts w:eastAsia="MS Mincho" w:cs="Calibri"/>
                <w:snapToGrid w:val="0"/>
              </w:rPr>
              <w:t>4.2</w:t>
            </w:r>
          </w:p>
        </w:tc>
        <w:tc>
          <w:tcPr>
            <w:tcW w:w="7088" w:type="dxa"/>
            <w:tcBorders>
              <w:top w:val="single" w:sz="4" w:space="0" w:color="auto"/>
              <w:left w:val="single" w:sz="4" w:space="0" w:color="auto"/>
              <w:bottom w:val="single" w:sz="4" w:space="0" w:color="auto"/>
              <w:right w:val="single" w:sz="4" w:space="0" w:color="auto"/>
            </w:tcBorders>
            <w:hideMark/>
          </w:tcPr>
          <w:p w14:paraId="72A05EF1" w14:textId="77777777" w:rsidR="00C81740" w:rsidRPr="00D174D8" w:rsidRDefault="00C81740" w:rsidP="00C81740">
            <w:pPr>
              <w:spacing w:after="0"/>
              <w:rPr>
                <w:rFonts w:asciiTheme="minorHAnsi" w:eastAsiaTheme="minorEastAsia" w:hAnsiTheme="minorHAnsi" w:cs="Calibri"/>
                <w:color w:val="000000"/>
              </w:rPr>
            </w:pPr>
            <w:r w:rsidRPr="00D174D8">
              <w:rPr>
                <w:rFonts w:asciiTheme="minorHAnsi" w:eastAsiaTheme="minorEastAsia" w:hAnsiTheme="minorHAnsi" w:cs="Calibri"/>
                <w:color w:val="000000"/>
              </w:rPr>
              <w:t>Value for money assessed in terms of quantity of proposed inputs within t</w:t>
            </w:r>
            <w:r w:rsidR="00A607FD" w:rsidRPr="00D174D8">
              <w:rPr>
                <w:rFonts w:asciiTheme="minorHAnsi" w:eastAsiaTheme="minorEastAsia" w:hAnsiTheme="minorHAnsi" w:cs="Calibri"/>
                <w:color w:val="000000"/>
              </w:rPr>
              <w:t xml:space="preserve">he prescribed fixed budget </w:t>
            </w:r>
          </w:p>
        </w:tc>
        <w:tc>
          <w:tcPr>
            <w:tcW w:w="1583" w:type="dxa"/>
            <w:tcBorders>
              <w:top w:val="single" w:sz="4" w:space="0" w:color="auto"/>
              <w:left w:val="single" w:sz="4" w:space="0" w:color="auto"/>
              <w:bottom w:val="single" w:sz="4" w:space="0" w:color="auto"/>
              <w:right w:val="single" w:sz="4" w:space="0" w:color="auto"/>
            </w:tcBorders>
          </w:tcPr>
          <w:p w14:paraId="0D674BA0" w14:textId="77777777" w:rsidR="00C81740" w:rsidRPr="00C81740" w:rsidRDefault="00C81740" w:rsidP="00C81740">
            <w:pPr>
              <w:spacing w:after="0"/>
              <w:jc w:val="center"/>
              <w:rPr>
                <w:rFonts w:eastAsia="MS Mincho" w:cs="Calibri"/>
                <w:snapToGrid w:val="0"/>
              </w:rPr>
            </w:pPr>
            <w:r w:rsidRPr="00C81740">
              <w:rPr>
                <w:rFonts w:eastAsia="MS Mincho" w:cs="Calibri"/>
                <w:snapToGrid w:val="0"/>
              </w:rPr>
              <w:t>1</w:t>
            </w:r>
            <w:r w:rsidR="00B37FD4">
              <w:rPr>
                <w:rFonts w:eastAsia="MS Mincho" w:cs="Calibri"/>
                <w:snapToGrid w:val="0"/>
              </w:rPr>
              <w:t>0</w:t>
            </w:r>
            <w:r w:rsidRPr="00C81740">
              <w:rPr>
                <w:rFonts w:eastAsia="MS Mincho" w:cs="Calibri"/>
                <w:snapToGrid w:val="0"/>
              </w:rPr>
              <w:t>0</w:t>
            </w:r>
          </w:p>
          <w:p w14:paraId="4ECCE735" w14:textId="77777777" w:rsidR="00C81740" w:rsidRPr="00C81740" w:rsidRDefault="00C81740" w:rsidP="00C81740">
            <w:pPr>
              <w:spacing w:after="0"/>
              <w:rPr>
                <w:rFonts w:eastAsia="MS Mincho" w:cs="Calibri"/>
                <w:snapToGrid w:val="0"/>
              </w:rPr>
            </w:pPr>
          </w:p>
        </w:tc>
      </w:tr>
      <w:tr w:rsidR="00C97A8C" w:rsidRPr="00C97A8C" w14:paraId="5BD6DBDB" w14:textId="77777777" w:rsidTr="00C97A8C">
        <w:trPr>
          <w:trHeight w:hRule="exact" w:val="432"/>
        </w:trPr>
        <w:tc>
          <w:tcPr>
            <w:tcW w:w="7680" w:type="dxa"/>
            <w:gridSpan w:val="2"/>
            <w:tcBorders>
              <w:top w:val="single" w:sz="4" w:space="0" w:color="auto"/>
              <w:left w:val="single" w:sz="4" w:space="0" w:color="auto"/>
              <w:bottom w:val="single" w:sz="4" w:space="0" w:color="auto"/>
              <w:right w:val="single" w:sz="4" w:space="0" w:color="auto"/>
            </w:tcBorders>
          </w:tcPr>
          <w:p w14:paraId="04803BAA" w14:textId="77777777" w:rsidR="00C97A8C" w:rsidRPr="00C97A8C" w:rsidRDefault="00C97A8C" w:rsidP="00C81740">
            <w:pPr>
              <w:spacing w:after="0"/>
              <w:ind w:left="720" w:hanging="720"/>
              <w:rPr>
                <w:rFonts w:eastAsia="MS Mincho" w:cs="Calibri"/>
                <w:b/>
                <w:i/>
                <w:snapToGrid w:val="0"/>
              </w:rPr>
            </w:pPr>
            <w:r w:rsidRPr="00C97A8C">
              <w:rPr>
                <w:rFonts w:eastAsia="MS Mincho"/>
                <w:b/>
                <w:i/>
              </w:rPr>
              <w:t>Total Part 4</w:t>
            </w:r>
          </w:p>
        </w:tc>
        <w:tc>
          <w:tcPr>
            <w:tcW w:w="1583" w:type="dxa"/>
            <w:tcBorders>
              <w:top w:val="single" w:sz="4" w:space="0" w:color="auto"/>
              <w:left w:val="single" w:sz="4" w:space="0" w:color="auto"/>
              <w:bottom w:val="single" w:sz="4" w:space="0" w:color="auto"/>
              <w:right w:val="single" w:sz="4" w:space="0" w:color="auto"/>
            </w:tcBorders>
            <w:shd w:val="pct15" w:color="auto" w:fill="FFFFFF"/>
            <w:hideMark/>
          </w:tcPr>
          <w:p w14:paraId="467D9C02" w14:textId="77777777" w:rsidR="00C97A8C" w:rsidRPr="00C97A8C" w:rsidRDefault="00A607FD" w:rsidP="00C81740">
            <w:pPr>
              <w:spacing w:after="0"/>
              <w:jc w:val="center"/>
              <w:rPr>
                <w:rFonts w:eastAsia="MS Mincho" w:cs="Calibri"/>
                <w:b/>
                <w:snapToGrid w:val="0"/>
              </w:rPr>
            </w:pPr>
            <w:r>
              <w:rPr>
                <w:rFonts w:eastAsia="MS Mincho" w:cs="Calibri"/>
                <w:b/>
                <w:snapToGrid w:val="0"/>
              </w:rPr>
              <w:t>20</w:t>
            </w:r>
            <w:r w:rsidR="00C97A8C" w:rsidRPr="00C97A8C">
              <w:rPr>
                <w:rFonts w:eastAsia="MS Mincho" w:cs="Calibri"/>
                <w:b/>
                <w:snapToGrid w:val="0"/>
              </w:rPr>
              <w:t>0</w:t>
            </w:r>
          </w:p>
        </w:tc>
      </w:tr>
    </w:tbl>
    <w:p w14:paraId="5CBD464F" w14:textId="77777777" w:rsidR="00C81740" w:rsidRDefault="00C81740" w:rsidP="0070097E">
      <w:pPr>
        <w:rPr>
          <w:rFonts w:asciiTheme="minorHAnsi" w:hAnsiTheme="minorHAnsi" w:cstheme="minorBidi"/>
        </w:rPr>
      </w:pPr>
    </w:p>
    <w:p w14:paraId="643F3829" w14:textId="77777777" w:rsidR="0070097E" w:rsidRPr="000B2530" w:rsidRDefault="0070097E" w:rsidP="000B2530">
      <w:pPr>
        <w:pStyle w:val="Default"/>
        <w:numPr>
          <w:ilvl w:val="0"/>
          <w:numId w:val="15"/>
        </w:numPr>
        <w:spacing w:after="120" w:line="264" w:lineRule="auto"/>
        <w:rPr>
          <w:rFonts w:asciiTheme="minorHAnsi" w:hAnsiTheme="minorHAnsi" w:cs="Calibri"/>
          <w:b/>
          <w:bCs/>
          <w:sz w:val="22"/>
          <w:szCs w:val="22"/>
        </w:rPr>
      </w:pPr>
      <w:r>
        <w:rPr>
          <w:rFonts w:asciiTheme="minorHAnsi" w:hAnsiTheme="minorHAnsi" w:cs="Calibri"/>
          <w:b/>
          <w:bCs/>
          <w:sz w:val="22"/>
          <w:szCs w:val="22"/>
        </w:rPr>
        <w:t>Evaluation methodology: Quality based under Fixed Budget Selection (QB-FBS)</w:t>
      </w:r>
    </w:p>
    <w:p w14:paraId="685A7993" w14:textId="77777777" w:rsidR="0070097E" w:rsidRDefault="0070097E" w:rsidP="000B2530">
      <w:pPr>
        <w:pStyle w:val="Default"/>
        <w:spacing w:after="120" w:line="264" w:lineRule="auto"/>
        <w:jc w:val="both"/>
        <w:rPr>
          <w:rFonts w:asciiTheme="minorHAnsi" w:hAnsiTheme="minorHAnsi" w:cs="Calibri"/>
          <w:sz w:val="22"/>
          <w:szCs w:val="22"/>
        </w:rPr>
      </w:pPr>
      <w:r>
        <w:rPr>
          <w:rFonts w:asciiTheme="minorHAnsi" w:hAnsiTheme="minorHAnsi" w:cs="Calibri"/>
          <w:sz w:val="22"/>
          <w:szCs w:val="22"/>
        </w:rPr>
        <w:t>QB-FBS methodology implies that all proposals have the same maximum overall price (which cannot exceed a known fixed budget amount), focusing the selection on the quality of the proposal and the CSO/ NGO proposed approach and methodology, coupled with an assessment o</w:t>
      </w:r>
      <w:r w:rsidR="003B0E71">
        <w:rPr>
          <w:rFonts w:asciiTheme="minorHAnsi" w:hAnsiTheme="minorHAnsi" w:cs="Calibri"/>
          <w:sz w:val="22"/>
          <w:szCs w:val="22"/>
        </w:rPr>
        <w:t>f</w:t>
      </w:r>
      <w:r>
        <w:rPr>
          <w:rFonts w:asciiTheme="minorHAnsi" w:hAnsiTheme="minorHAnsi" w:cs="Calibri"/>
          <w:sz w:val="22"/>
          <w:szCs w:val="22"/>
        </w:rPr>
        <w:t xml:space="preserve"> value for money and good utilization of resources in the financial proposal. </w:t>
      </w:r>
      <w:r w:rsidR="00A607FD">
        <w:rPr>
          <w:rFonts w:asciiTheme="minorHAnsi" w:hAnsiTheme="minorHAnsi" w:cs="Calibri"/>
          <w:sz w:val="22"/>
          <w:szCs w:val="22"/>
        </w:rPr>
        <w:t>NGOs</w:t>
      </w:r>
      <w:r>
        <w:rPr>
          <w:rFonts w:asciiTheme="minorHAnsi" w:hAnsiTheme="minorHAnsi" w:cs="Calibri"/>
          <w:sz w:val="22"/>
          <w:szCs w:val="22"/>
        </w:rPr>
        <w:t xml:space="preserve"> therefore </w:t>
      </w:r>
      <w:proofErr w:type="gramStart"/>
      <w:r>
        <w:rPr>
          <w:rFonts w:asciiTheme="minorHAnsi" w:hAnsiTheme="minorHAnsi" w:cs="Calibri"/>
          <w:sz w:val="22"/>
          <w:szCs w:val="22"/>
        </w:rPr>
        <w:t>have to</w:t>
      </w:r>
      <w:proofErr w:type="gramEnd"/>
      <w:r>
        <w:rPr>
          <w:rFonts w:asciiTheme="minorHAnsi" w:hAnsiTheme="minorHAnsi" w:cs="Calibri"/>
          <w:sz w:val="22"/>
          <w:szCs w:val="22"/>
        </w:rPr>
        <w:t xml:space="preserve"> provide their best technical proposal and financial breakdown (within the budget) in one single envelope (clearly stating proposed overheads). Evaluation of all technical proposals shall be carried out, in accordance with below outlined evaluation criteria, and the institution which obtains the highest technical score shall be selected. CSOs/ NGOs exceeding the established fixed budget in their financial proposals will be rejected</w:t>
      </w:r>
    </w:p>
    <w:p w14:paraId="71F6DFD4" w14:textId="77777777" w:rsidR="0070097E" w:rsidRDefault="0070097E" w:rsidP="000B2530">
      <w:pPr>
        <w:pStyle w:val="Default"/>
        <w:spacing w:after="120" w:line="264" w:lineRule="auto"/>
        <w:jc w:val="both"/>
        <w:rPr>
          <w:rFonts w:asciiTheme="minorHAnsi" w:hAnsiTheme="minorHAnsi" w:cs="Calibri"/>
          <w:sz w:val="22"/>
          <w:szCs w:val="22"/>
        </w:rPr>
      </w:pPr>
      <w:r>
        <w:rPr>
          <w:rFonts w:asciiTheme="minorHAnsi" w:hAnsiTheme="minorHAnsi" w:cs="Calibri"/>
          <w:sz w:val="22"/>
          <w:szCs w:val="22"/>
        </w:rPr>
        <w:t xml:space="preserve">Under </w:t>
      </w:r>
      <w:r>
        <w:rPr>
          <w:rFonts w:asciiTheme="minorHAnsi" w:hAnsiTheme="minorHAnsi" w:cs="Calibri"/>
          <w:sz w:val="22"/>
          <w:szCs w:val="22"/>
          <w:u w:val="single"/>
        </w:rPr>
        <w:t>QB-FBS, assessment focuses on maximizing transfer of value to the beneficiary user within a given budget</w:t>
      </w:r>
      <w:r>
        <w:rPr>
          <w:rFonts w:asciiTheme="minorHAnsi" w:hAnsiTheme="minorHAnsi" w:cs="Calibri"/>
          <w:sz w:val="22"/>
          <w:szCs w:val="22"/>
        </w:rPr>
        <w:t>.</w:t>
      </w:r>
    </w:p>
    <w:p w14:paraId="26F5C9A5" w14:textId="77777777" w:rsidR="0070097E" w:rsidRPr="000B2530" w:rsidRDefault="0070097E" w:rsidP="000B2530">
      <w:pPr>
        <w:pStyle w:val="Default"/>
        <w:numPr>
          <w:ilvl w:val="0"/>
          <w:numId w:val="15"/>
        </w:numPr>
        <w:spacing w:after="120" w:line="264" w:lineRule="auto"/>
        <w:jc w:val="both"/>
        <w:rPr>
          <w:rFonts w:asciiTheme="minorHAnsi" w:hAnsiTheme="minorHAnsi" w:cs="Calibri"/>
          <w:b/>
          <w:bCs/>
          <w:sz w:val="22"/>
          <w:szCs w:val="22"/>
        </w:rPr>
      </w:pPr>
      <w:r>
        <w:rPr>
          <w:rFonts w:asciiTheme="minorHAnsi" w:hAnsiTheme="minorHAnsi" w:cs="Calibri"/>
          <w:b/>
          <w:bCs/>
          <w:sz w:val="22"/>
          <w:szCs w:val="22"/>
        </w:rPr>
        <w:t>Budget size and duration</w:t>
      </w:r>
    </w:p>
    <w:p w14:paraId="3E457BB5" w14:textId="47B71CCC" w:rsidR="0070097E" w:rsidRDefault="0070097E" w:rsidP="000B2530">
      <w:pPr>
        <w:pStyle w:val="Default"/>
        <w:spacing w:after="120" w:line="264" w:lineRule="auto"/>
        <w:jc w:val="both"/>
        <w:rPr>
          <w:rFonts w:asciiTheme="minorHAnsi" w:hAnsiTheme="minorHAnsi" w:cs="Calibri"/>
          <w:sz w:val="22"/>
          <w:szCs w:val="22"/>
        </w:rPr>
      </w:pPr>
      <w:r>
        <w:rPr>
          <w:rFonts w:asciiTheme="minorHAnsi" w:hAnsiTheme="minorHAnsi" w:cs="Calibri"/>
          <w:sz w:val="22"/>
          <w:szCs w:val="22"/>
        </w:rPr>
        <w:t xml:space="preserve">Proposals amounts are to a maximum </w:t>
      </w:r>
      <w:r w:rsidRPr="00225A7D">
        <w:rPr>
          <w:rFonts w:asciiTheme="minorHAnsi" w:hAnsiTheme="minorHAnsi" w:cs="Calibri"/>
          <w:sz w:val="22"/>
          <w:szCs w:val="22"/>
        </w:rPr>
        <w:t xml:space="preserve">of </w:t>
      </w:r>
      <w:r w:rsidR="00230059">
        <w:rPr>
          <w:b/>
          <w:bCs/>
        </w:rPr>
        <w:t xml:space="preserve">177,000 US$ </w:t>
      </w:r>
      <w:r w:rsidR="003B0E71" w:rsidRPr="00225A7D">
        <w:rPr>
          <w:rFonts w:asciiTheme="minorHAnsi" w:hAnsiTheme="minorHAnsi" w:cs="Calibri"/>
          <w:sz w:val="22"/>
          <w:szCs w:val="22"/>
        </w:rPr>
        <w:t>for</w:t>
      </w:r>
      <w:r w:rsidR="003B0E71">
        <w:rPr>
          <w:rFonts w:asciiTheme="minorHAnsi" w:hAnsiTheme="minorHAnsi" w:cs="Calibri"/>
          <w:sz w:val="22"/>
          <w:szCs w:val="22"/>
        </w:rPr>
        <w:t xml:space="preserve"> the implementation of the</w:t>
      </w:r>
      <w:r>
        <w:rPr>
          <w:rFonts w:asciiTheme="minorHAnsi" w:hAnsiTheme="minorHAnsi" w:cs="Calibri"/>
          <w:sz w:val="22"/>
          <w:szCs w:val="22"/>
        </w:rPr>
        <w:t xml:space="preserve">. The amount requested in the proposal should be commensurate with the organization’s administrative and financial management capabilities. In principle, project duration will not exceed </w:t>
      </w:r>
      <w:r w:rsidR="00435B93">
        <w:rPr>
          <w:rFonts w:asciiTheme="minorHAnsi" w:hAnsiTheme="minorHAnsi" w:cs="Calibri"/>
          <w:b/>
          <w:sz w:val="22"/>
          <w:szCs w:val="22"/>
        </w:rPr>
        <w:t>10</w:t>
      </w:r>
      <w:r w:rsidRPr="00BB5DA1">
        <w:rPr>
          <w:rFonts w:asciiTheme="minorHAnsi" w:hAnsiTheme="minorHAnsi" w:cs="Calibri"/>
          <w:b/>
          <w:sz w:val="22"/>
          <w:szCs w:val="22"/>
        </w:rPr>
        <w:t xml:space="preserve"> months</w:t>
      </w:r>
      <w:r w:rsidRPr="00225A7D">
        <w:rPr>
          <w:rFonts w:asciiTheme="minorHAnsi" w:hAnsiTheme="minorHAnsi" w:cs="Calibri"/>
          <w:sz w:val="22"/>
          <w:szCs w:val="22"/>
        </w:rPr>
        <w:t xml:space="preserve"> from </w:t>
      </w:r>
      <w:r w:rsidR="00BC0991">
        <w:rPr>
          <w:rFonts w:asciiTheme="minorHAnsi" w:hAnsiTheme="minorHAnsi" w:cs="Calibri"/>
          <w:b/>
          <w:sz w:val="22"/>
          <w:szCs w:val="22"/>
        </w:rPr>
        <w:t>November</w:t>
      </w:r>
      <w:r w:rsidRPr="00D174D8">
        <w:rPr>
          <w:rFonts w:asciiTheme="minorHAnsi" w:hAnsiTheme="minorHAnsi" w:cs="Calibri"/>
          <w:b/>
          <w:sz w:val="22"/>
          <w:szCs w:val="22"/>
        </w:rPr>
        <w:t xml:space="preserve"> </w:t>
      </w:r>
      <w:r w:rsidR="00FA4B7D" w:rsidRPr="00D174D8">
        <w:rPr>
          <w:rFonts w:asciiTheme="minorHAnsi" w:hAnsiTheme="minorHAnsi" w:cs="Calibri"/>
          <w:b/>
          <w:sz w:val="22"/>
          <w:szCs w:val="22"/>
        </w:rPr>
        <w:t>2018</w:t>
      </w:r>
      <w:r w:rsidRPr="00D174D8">
        <w:rPr>
          <w:rFonts w:asciiTheme="minorHAnsi" w:hAnsiTheme="minorHAnsi" w:cs="Calibri"/>
          <w:b/>
          <w:sz w:val="22"/>
          <w:szCs w:val="22"/>
        </w:rPr>
        <w:t xml:space="preserve"> - </w:t>
      </w:r>
      <w:r w:rsidR="00BE31CA" w:rsidRPr="00D174D8">
        <w:rPr>
          <w:rFonts w:asciiTheme="minorHAnsi" w:hAnsiTheme="minorHAnsi" w:cs="Calibri"/>
          <w:b/>
          <w:sz w:val="22"/>
          <w:szCs w:val="22"/>
        </w:rPr>
        <w:t>August</w:t>
      </w:r>
      <w:r w:rsidRPr="00D174D8">
        <w:rPr>
          <w:rFonts w:asciiTheme="minorHAnsi" w:hAnsiTheme="minorHAnsi" w:cs="Calibri"/>
          <w:b/>
          <w:sz w:val="22"/>
          <w:szCs w:val="22"/>
        </w:rPr>
        <w:t xml:space="preserve"> 2019</w:t>
      </w:r>
      <w:r w:rsidRPr="00225A7D">
        <w:rPr>
          <w:rFonts w:asciiTheme="minorHAnsi" w:hAnsiTheme="minorHAnsi" w:cs="Calibri"/>
          <w:sz w:val="22"/>
          <w:szCs w:val="22"/>
        </w:rPr>
        <w:t>.</w:t>
      </w:r>
    </w:p>
    <w:p w14:paraId="0AA7B483" w14:textId="77777777" w:rsidR="0070097E" w:rsidRDefault="0070097E" w:rsidP="000B2530">
      <w:pPr>
        <w:pStyle w:val="Default"/>
        <w:spacing w:after="120" w:line="264" w:lineRule="auto"/>
        <w:jc w:val="both"/>
        <w:rPr>
          <w:rFonts w:asciiTheme="minorHAnsi" w:hAnsiTheme="minorHAnsi" w:cs="Calibri"/>
          <w:sz w:val="22"/>
          <w:szCs w:val="22"/>
        </w:rPr>
      </w:pPr>
    </w:p>
    <w:p w14:paraId="5EC4AC54" w14:textId="77777777" w:rsidR="0070097E" w:rsidRPr="000B2530" w:rsidRDefault="0070097E" w:rsidP="000B2530">
      <w:pPr>
        <w:pStyle w:val="Default"/>
        <w:numPr>
          <w:ilvl w:val="0"/>
          <w:numId w:val="14"/>
        </w:numPr>
        <w:spacing w:before="120" w:after="240" w:line="276" w:lineRule="auto"/>
        <w:jc w:val="both"/>
        <w:rPr>
          <w:rFonts w:asciiTheme="minorHAnsi" w:hAnsiTheme="minorHAnsi" w:cs="Calibri"/>
          <w:b/>
          <w:sz w:val="22"/>
          <w:szCs w:val="22"/>
        </w:rPr>
      </w:pPr>
      <w:r w:rsidRPr="000B2530">
        <w:rPr>
          <w:rFonts w:asciiTheme="minorHAnsi" w:hAnsiTheme="minorHAnsi" w:cs="Calibri"/>
          <w:b/>
          <w:bCs/>
          <w:sz w:val="22"/>
          <w:szCs w:val="22"/>
        </w:rPr>
        <w:t xml:space="preserve">SELECTION PROCESS: </w:t>
      </w:r>
    </w:p>
    <w:p w14:paraId="3A13E8D5" w14:textId="77777777" w:rsidR="0070097E" w:rsidRDefault="0070097E" w:rsidP="000B2530">
      <w:pPr>
        <w:pStyle w:val="Default"/>
        <w:spacing w:after="120" w:line="264" w:lineRule="auto"/>
        <w:jc w:val="both"/>
        <w:rPr>
          <w:rFonts w:asciiTheme="minorHAnsi" w:hAnsiTheme="minorHAnsi" w:cs="Calibri"/>
          <w:sz w:val="22"/>
          <w:szCs w:val="22"/>
        </w:rPr>
      </w:pPr>
      <w:r>
        <w:rPr>
          <w:rFonts w:asciiTheme="minorHAnsi" w:hAnsiTheme="minorHAnsi" w:cs="Calibri"/>
          <w:sz w:val="22"/>
          <w:szCs w:val="22"/>
        </w:rPr>
        <w:t>The UNDP will review proposals through a four-step process: (</w:t>
      </w:r>
      <w:proofErr w:type="spellStart"/>
      <w:r>
        <w:rPr>
          <w:rFonts w:asciiTheme="minorHAnsi" w:hAnsiTheme="minorHAnsi" w:cs="Calibri"/>
          <w:sz w:val="22"/>
          <w:szCs w:val="22"/>
        </w:rPr>
        <w:t>i</w:t>
      </w:r>
      <w:proofErr w:type="spellEnd"/>
      <w:r>
        <w:rPr>
          <w:rFonts w:asciiTheme="minorHAnsi" w:hAnsiTheme="minorHAnsi" w:cs="Calibri"/>
          <w:sz w:val="22"/>
          <w:szCs w:val="22"/>
        </w:rPr>
        <w:t xml:space="preserve">) technical review of eligible proposals; </w:t>
      </w:r>
      <w:r>
        <w:rPr>
          <w:rFonts w:asciiTheme="minorHAnsi" w:hAnsiTheme="minorHAnsi" w:cs="Calibri"/>
          <w:sz w:val="22"/>
          <w:szCs w:val="22"/>
        </w:rPr>
        <w:lastRenderedPageBreak/>
        <w:t>(ii) scoring and ranking of the eligible proposals based on the assessment criteria outlined in the previous section to identify highest ranking proposal; (iii) a round of clarification (if necessary) with the highest scored proposal; and (v) Responsible Party Agreement (RPA) signature.</w:t>
      </w:r>
    </w:p>
    <w:p w14:paraId="28D816CF" w14:textId="77777777" w:rsidR="0070097E" w:rsidRDefault="0070097E" w:rsidP="0070097E">
      <w:pPr>
        <w:pStyle w:val="Default"/>
        <w:rPr>
          <w:rFonts w:asciiTheme="minorHAnsi" w:hAnsiTheme="minorHAnsi" w:cs="Calibri"/>
          <w:b/>
          <w:bCs/>
          <w:sz w:val="22"/>
          <w:szCs w:val="22"/>
        </w:rPr>
      </w:pPr>
    </w:p>
    <w:p w14:paraId="04EFDE77" w14:textId="77777777" w:rsidR="0070097E" w:rsidRDefault="0070097E" w:rsidP="000B2530">
      <w:pPr>
        <w:pStyle w:val="Default"/>
        <w:numPr>
          <w:ilvl w:val="0"/>
          <w:numId w:val="14"/>
        </w:numPr>
        <w:spacing w:before="120" w:after="240" w:line="276" w:lineRule="auto"/>
        <w:rPr>
          <w:rFonts w:asciiTheme="minorHAnsi" w:hAnsiTheme="minorHAnsi" w:cs="Calibri"/>
          <w:b/>
          <w:bCs/>
          <w:sz w:val="22"/>
          <w:szCs w:val="22"/>
        </w:rPr>
      </w:pPr>
      <w:r>
        <w:rPr>
          <w:rFonts w:asciiTheme="minorHAnsi" w:hAnsiTheme="minorHAnsi" w:cs="Calibri"/>
          <w:b/>
          <w:bCs/>
          <w:sz w:val="22"/>
          <w:szCs w:val="22"/>
        </w:rPr>
        <w:t>SUBMISSION PROCESS</w:t>
      </w:r>
    </w:p>
    <w:p w14:paraId="013637DA" w14:textId="77777777" w:rsidR="0070097E" w:rsidRDefault="0070097E" w:rsidP="000B2530">
      <w:pPr>
        <w:pStyle w:val="Default"/>
        <w:spacing w:after="120" w:line="264" w:lineRule="auto"/>
        <w:rPr>
          <w:rFonts w:asciiTheme="minorHAnsi" w:hAnsiTheme="minorHAnsi" w:cs="Calibri"/>
          <w:sz w:val="22"/>
          <w:szCs w:val="22"/>
        </w:rPr>
      </w:pPr>
      <w:r>
        <w:rPr>
          <w:rFonts w:asciiTheme="minorHAnsi" w:hAnsiTheme="minorHAnsi" w:cs="Calibri"/>
          <w:sz w:val="22"/>
          <w:szCs w:val="22"/>
        </w:rPr>
        <w:t xml:space="preserve">Applicants shall bear all costs related to proposal preparation and submission. </w:t>
      </w:r>
    </w:p>
    <w:p w14:paraId="180957A7" w14:textId="77777777" w:rsidR="0070097E" w:rsidRDefault="0070097E" w:rsidP="000B2530">
      <w:pPr>
        <w:pStyle w:val="Default"/>
        <w:spacing w:after="120" w:line="264" w:lineRule="auto"/>
        <w:rPr>
          <w:rFonts w:asciiTheme="minorHAnsi" w:hAnsiTheme="minorHAnsi" w:cs="Calibri"/>
          <w:sz w:val="22"/>
          <w:szCs w:val="22"/>
        </w:rPr>
      </w:pPr>
      <w:r>
        <w:rPr>
          <w:rFonts w:asciiTheme="minorHAnsi" w:hAnsiTheme="minorHAnsi" w:cs="Calibri"/>
          <w:sz w:val="22"/>
          <w:szCs w:val="22"/>
        </w:rPr>
        <w:t>Applicants must submit their proposals to</w:t>
      </w:r>
      <w:r w:rsidR="00225A7D">
        <w:rPr>
          <w:rFonts w:asciiTheme="minorHAnsi" w:hAnsiTheme="minorHAnsi" w:cs="Calibri"/>
          <w:sz w:val="22"/>
          <w:szCs w:val="22"/>
        </w:rPr>
        <w:t xml:space="preserve"> the email address with the subject line indicated below:</w:t>
      </w:r>
    </w:p>
    <w:p w14:paraId="397450A6" w14:textId="0AD87D9B" w:rsidR="00225A7D" w:rsidRDefault="00960D3D" w:rsidP="00225A7D">
      <w:pPr>
        <w:spacing w:after="120" w:line="264" w:lineRule="auto"/>
        <w:ind w:left="360"/>
        <w:rPr>
          <w:rFonts w:cstheme="minorHAnsi"/>
          <w:b/>
          <w:i/>
          <w:color w:val="000000" w:themeColor="text1"/>
        </w:rPr>
      </w:pPr>
      <w:sdt>
        <w:sdtPr>
          <w:rPr>
            <w:rFonts w:cstheme="minorHAnsi"/>
            <w:b/>
          </w:rPr>
          <w:id w:val="-1161314761"/>
          <w:placeholder>
            <w:docPart w:val="3119C16A651B40859C052FB0A227C0E0"/>
          </w:placeholder>
          <w:text w:multiLine="1"/>
        </w:sdtPr>
        <w:sdtEndPr/>
        <w:sdtContent>
          <w:r w:rsidR="00A607FD">
            <w:rPr>
              <w:rFonts w:cstheme="minorHAnsi"/>
              <w:b/>
            </w:rPr>
            <w:t>bids.mm@undp.org</w:t>
          </w:r>
          <w:r w:rsidR="00A607FD">
            <w:rPr>
              <w:rFonts w:cstheme="minorHAnsi"/>
              <w:b/>
            </w:rPr>
            <w:br/>
            <w:t>Email Subject:  2018/PROC/UNDP-MMR/PN/109</w:t>
          </w:r>
          <w:proofErr w:type="gramStart"/>
          <w:r w:rsidR="00A607FD">
            <w:rPr>
              <w:rFonts w:cstheme="minorHAnsi"/>
              <w:b/>
            </w:rPr>
            <w:t>_(</w:t>
          </w:r>
          <w:proofErr w:type="gramEnd"/>
          <w:r w:rsidR="00A607FD">
            <w:rPr>
              <w:rFonts w:cstheme="minorHAnsi"/>
              <w:b/>
            </w:rPr>
            <w:t>Proposer Name)</w:t>
          </w:r>
        </w:sdtContent>
      </w:sdt>
    </w:p>
    <w:p w14:paraId="3E46D160" w14:textId="77777777" w:rsidR="0070097E" w:rsidRDefault="00225A7D" w:rsidP="00225A7D">
      <w:pPr>
        <w:pStyle w:val="Default"/>
        <w:spacing w:after="120" w:line="264" w:lineRule="auto"/>
        <w:ind w:left="360"/>
        <w:rPr>
          <w:rFonts w:asciiTheme="minorHAnsi" w:hAnsiTheme="minorHAnsi" w:cs="Calibri"/>
          <w:sz w:val="22"/>
          <w:szCs w:val="22"/>
        </w:rPr>
      </w:pPr>
      <w:r>
        <w:rPr>
          <w:rFonts w:asciiTheme="minorHAnsi" w:hAnsiTheme="minorHAnsi" w:cs="Calibri"/>
          <w:b/>
          <w:sz w:val="22"/>
          <w:szCs w:val="22"/>
        </w:rPr>
        <w:t xml:space="preserve"> </w:t>
      </w:r>
      <w:r w:rsidR="0070097E">
        <w:rPr>
          <w:rFonts w:asciiTheme="minorHAnsi" w:hAnsiTheme="minorHAnsi" w:cs="Calibri"/>
          <w:sz w:val="22"/>
          <w:szCs w:val="22"/>
        </w:rPr>
        <w:t xml:space="preserve">The following documents must be submitted </w:t>
      </w:r>
      <w:proofErr w:type="gramStart"/>
      <w:r w:rsidR="0070097E">
        <w:rPr>
          <w:rFonts w:asciiTheme="minorHAnsi" w:hAnsiTheme="minorHAnsi" w:cs="Calibri"/>
          <w:sz w:val="22"/>
          <w:szCs w:val="22"/>
        </w:rPr>
        <w:t>in order for</w:t>
      </w:r>
      <w:proofErr w:type="gramEnd"/>
      <w:r w:rsidR="0070097E">
        <w:rPr>
          <w:rFonts w:asciiTheme="minorHAnsi" w:hAnsiTheme="minorHAnsi" w:cs="Calibri"/>
          <w:sz w:val="22"/>
          <w:szCs w:val="22"/>
        </w:rPr>
        <w:t xml:space="preserve"> the submission to be considered: </w:t>
      </w:r>
    </w:p>
    <w:p w14:paraId="3DDB2299" w14:textId="77777777" w:rsidR="0070097E" w:rsidRDefault="0070097E" w:rsidP="000B2530">
      <w:pPr>
        <w:pStyle w:val="Default"/>
        <w:spacing w:after="120" w:line="264" w:lineRule="auto"/>
        <w:rPr>
          <w:rFonts w:asciiTheme="minorHAnsi" w:hAnsiTheme="minorHAnsi" w:cs="Calibri"/>
          <w:sz w:val="22"/>
          <w:szCs w:val="22"/>
        </w:rPr>
      </w:pPr>
      <w:r>
        <w:rPr>
          <w:rFonts w:asciiTheme="minorHAnsi" w:hAnsiTheme="minorHAnsi" w:cs="Calibri"/>
          <w:sz w:val="22"/>
          <w:szCs w:val="22"/>
        </w:rPr>
        <w:t xml:space="preserve">1) Proposal according to the Template – </w:t>
      </w:r>
      <w:r w:rsidR="000B2530">
        <w:rPr>
          <w:rFonts w:asciiTheme="minorHAnsi" w:hAnsiTheme="minorHAnsi" w:cs="Calibri"/>
          <w:sz w:val="22"/>
          <w:szCs w:val="22"/>
        </w:rPr>
        <w:t>[</w:t>
      </w:r>
      <w:proofErr w:type="gramStart"/>
      <w:r>
        <w:rPr>
          <w:rFonts w:asciiTheme="minorHAnsi" w:hAnsiTheme="minorHAnsi" w:cs="Calibri"/>
          <w:sz w:val="22"/>
          <w:szCs w:val="22"/>
        </w:rPr>
        <w:t>Annex  2</w:t>
      </w:r>
      <w:proofErr w:type="gramEnd"/>
      <w:r w:rsidR="000B2530">
        <w:rPr>
          <w:rFonts w:asciiTheme="minorHAnsi" w:hAnsiTheme="minorHAnsi" w:cs="Calibri"/>
          <w:sz w:val="22"/>
          <w:szCs w:val="22"/>
        </w:rPr>
        <w:t>]</w:t>
      </w:r>
      <w:r>
        <w:rPr>
          <w:rFonts w:asciiTheme="minorHAnsi" w:hAnsiTheme="minorHAnsi" w:cs="Calibri"/>
          <w:sz w:val="22"/>
          <w:szCs w:val="22"/>
        </w:rPr>
        <w:t xml:space="preserve"> </w:t>
      </w:r>
    </w:p>
    <w:p w14:paraId="1ACB0F71" w14:textId="77777777" w:rsidR="0070097E" w:rsidRDefault="0070097E" w:rsidP="000B2530">
      <w:pPr>
        <w:pStyle w:val="Default"/>
        <w:spacing w:after="120" w:line="264" w:lineRule="auto"/>
        <w:rPr>
          <w:rFonts w:asciiTheme="minorHAnsi" w:hAnsiTheme="minorHAnsi" w:cs="Calibri"/>
          <w:sz w:val="22"/>
          <w:szCs w:val="22"/>
        </w:rPr>
      </w:pPr>
      <w:r>
        <w:rPr>
          <w:rFonts w:asciiTheme="minorHAnsi" w:hAnsiTheme="minorHAnsi" w:cs="Calibri"/>
          <w:sz w:val="22"/>
          <w:szCs w:val="22"/>
        </w:rPr>
        <w:t xml:space="preserve">2) Audited financial statements for past two years, including management report and footnotes that accompany the financial statements.  </w:t>
      </w:r>
    </w:p>
    <w:p w14:paraId="7B1C1CF1" w14:textId="77777777" w:rsidR="0070097E" w:rsidRDefault="0070097E" w:rsidP="000B2530">
      <w:pPr>
        <w:pStyle w:val="Default"/>
        <w:spacing w:after="120" w:line="264" w:lineRule="auto"/>
        <w:rPr>
          <w:rFonts w:asciiTheme="minorHAnsi" w:hAnsiTheme="minorHAnsi" w:cs="Calibri"/>
          <w:sz w:val="22"/>
          <w:szCs w:val="22"/>
        </w:rPr>
      </w:pPr>
    </w:p>
    <w:p w14:paraId="008F40EA" w14:textId="77777777" w:rsidR="0070097E" w:rsidRDefault="0070097E" w:rsidP="000B2530">
      <w:pPr>
        <w:pStyle w:val="Default"/>
        <w:spacing w:after="120" w:line="264" w:lineRule="auto"/>
        <w:rPr>
          <w:rFonts w:asciiTheme="minorHAnsi" w:hAnsiTheme="minorHAnsi" w:cs="Calibri"/>
          <w:sz w:val="22"/>
          <w:szCs w:val="22"/>
        </w:rPr>
      </w:pPr>
      <w:r>
        <w:rPr>
          <w:rFonts w:asciiTheme="minorHAnsi" w:hAnsiTheme="minorHAnsi" w:cs="Calibri"/>
          <w:sz w:val="22"/>
          <w:szCs w:val="22"/>
        </w:rPr>
        <w:t xml:space="preserve">Only one submission per organization is allowed. Once the application is complete and submitted, revised versions of proposal documents will not be accepted. </w:t>
      </w:r>
    </w:p>
    <w:p w14:paraId="12BA1220" w14:textId="77777777" w:rsidR="0070097E" w:rsidRDefault="0070097E" w:rsidP="000B2530">
      <w:pPr>
        <w:pStyle w:val="Default"/>
        <w:spacing w:after="120" w:line="264" w:lineRule="auto"/>
        <w:rPr>
          <w:rFonts w:asciiTheme="minorHAnsi" w:hAnsiTheme="minorHAnsi" w:cs="Calibri"/>
          <w:b/>
          <w:sz w:val="22"/>
          <w:szCs w:val="22"/>
        </w:rPr>
      </w:pPr>
      <w:r>
        <w:rPr>
          <w:rFonts w:asciiTheme="minorHAnsi" w:hAnsiTheme="minorHAnsi" w:cs="Calibri"/>
          <w:b/>
          <w:sz w:val="22"/>
          <w:szCs w:val="22"/>
        </w:rPr>
        <w:t>Submission Deadline</w:t>
      </w:r>
    </w:p>
    <w:p w14:paraId="07560330" w14:textId="4733BAA5" w:rsidR="0070097E" w:rsidRDefault="0070097E" w:rsidP="000B2530">
      <w:pPr>
        <w:pStyle w:val="Default"/>
        <w:spacing w:after="120" w:line="264" w:lineRule="auto"/>
        <w:rPr>
          <w:rFonts w:asciiTheme="minorHAnsi" w:hAnsiTheme="minorHAnsi" w:cs="Calibri"/>
          <w:sz w:val="22"/>
          <w:szCs w:val="22"/>
        </w:rPr>
      </w:pPr>
      <w:r>
        <w:rPr>
          <w:rFonts w:asciiTheme="minorHAnsi" w:hAnsiTheme="minorHAnsi" w:cs="Calibri"/>
          <w:sz w:val="22"/>
          <w:szCs w:val="22"/>
        </w:rPr>
        <w:t xml:space="preserve">Proposals, with supporting documents, should be submitted by </w:t>
      </w:r>
      <w:r>
        <w:rPr>
          <w:rFonts w:asciiTheme="minorHAnsi" w:hAnsiTheme="minorHAnsi" w:cs="Calibri"/>
          <w:b/>
          <w:sz w:val="22"/>
          <w:szCs w:val="22"/>
        </w:rPr>
        <w:t>17:00 [Yangon time]</w:t>
      </w:r>
      <w:r>
        <w:rPr>
          <w:rFonts w:asciiTheme="minorHAnsi" w:hAnsiTheme="minorHAnsi" w:cs="Calibri"/>
          <w:sz w:val="22"/>
          <w:szCs w:val="22"/>
        </w:rPr>
        <w:t xml:space="preserve"> on </w:t>
      </w:r>
      <w:r w:rsidR="00FA4B7D">
        <w:rPr>
          <w:rFonts w:asciiTheme="minorHAnsi" w:hAnsiTheme="minorHAnsi" w:cs="Calibri"/>
          <w:b/>
          <w:sz w:val="22"/>
          <w:szCs w:val="22"/>
        </w:rPr>
        <w:t>[</w:t>
      </w:r>
      <w:r w:rsidR="00BC0991">
        <w:rPr>
          <w:rFonts w:asciiTheme="minorHAnsi" w:hAnsiTheme="minorHAnsi" w:cs="Calibri"/>
          <w:b/>
          <w:sz w:val="22"/>
          <w:szCs w:val="22"/>
        </w:rPr>
        <w:t>25</w:t>
      </w:r>
      <w:r w:rsidR="00FA4B7D">
        <w:rPr>
          <w:rFonts w:asciiTheme="minorHAnsi" w:hAnsiTheme="minorHAnsi" w:cs="Calibri"/>
          <w:b/>
          <w:sz w:val="22"/>
          <w:szCs w:val="22"/>
        </w:rPr>
        <w:t xml:space="preserve"> </w:t>
      </w:r>
      <w:r w:rsidR="00BE31CA">
        <w:rPr>
          <w:rFonts w:asciiTheme="minorHAnsi" w:hAnsiTheme="minorHAnsi" w:cs="Calibri"/>
          <w:b/>
          <w:sz w:val="22"/>
          <w:szCs w:val="22"/>
        </w:rPr>
        <w:t>Oct</w:t>
      </w:r>
      <w:r>
        <w:rPr>
          <w:rFonts w:asciiTheme="minorHAnsi" w:hAnsiTheme="minorHAnsi" w:cs="Calibri"/>
          <w:b/>
          <w:sz w:val="22"/>
          <w:szCs w:val="22"/>
        </w:rPr>
        <w:t xml:space="preserve"> 201</w:t>
      </w:r>
      <w:r w:rsidR="00FA4B7D">
        <w:rPr>
          <w:rFonts w:asciiTheme="minorHAnsi" w:hAnsiTheme="minorHAnsi" w:cs="Calibri"/>
          <w:b/>
          <w:sz w:val="22"/>
          <w:szCs w:val="22"/>
        </w:rPr>
        <w:t>8</w:t>
      </w:r>
      <w:r w:rsidR="00BE31CA">
        <w:rPr>
          <w:rFonts w:asciiTheme="minorHAnsi" w:hAnsiTheme="minorHAnsi" w:cs="Calibri"/>
          <w:b/>
          <w:sz w:val="22"/>
          <w:szCs w:val="22"/>
        </w:rPr>
        <w:t>]</w:t>
      </w:r>
    </w:p>
    <w:p w14:paraId="09C4F1D7" w14:textId="77777777" w:rsidR="0070097E" w:rsidRPr="00FA4B7D" w:rsidRDefault="0070097E" w:rsidP="000B2530">
      <w:pPr>
        <w:pStyle w:val="Default"/>
        <w:spacing w:after="120" w:line="264" w:lineRule="auto"/>
        <w:rPr>
          <w:rFonts w:asciiTheme="minorHAnsi" w:hAnsiTheme="minorHAnsi" w:cstheme="minorHAnsi"/>
          <w:sz w:val="22"/>
          <w:szCs w:val="22"/>
        </w:rPr>
      </w:pPr>
      <w:r w:rsidRPr="00FA4B7D">
        <w:rPr>
          <w:rFonts w:asciiTheme="minorHAnsi" w:hAnsiTheme="minorHAnsi" w:cstheme="minorHAnsi"/>
          <w:sz w:val="22"/>
          <w:szCs w:val="22"/>
        </w:rPr>
        <w:t>For additional questions about the Call for Proposals Guidelines or application forms, please e-mail</w:t>
      </w:r>
    </w:p>
    <w:p w14:paraId="637E7312" w14:textId="77777777" w:rsidR="0070097E" w:rsidRPr="00FA4B7D" w:rsidRDefault="0070097E" w:rsidP="000B2530">
      <w:pPr>
        <w:pStyle w:val="Default"/>
        <w:spacing w:after="120" w:line="264" w:lineRule="auto"/>
        <w:rPr>
          <w:rFonts w:asciiTheme="minorHAnsi" w:hAnsiTheme="minorHAnsi" w:cstheme="minorHAnsi"/>
          <w:sz w:val="22"/>
          <w:szCs w:val="22"/>
        </w:rPr>
      </w:pPr>
      <w:r w:rsidRPr="00FA4B7D">
        <w:rPr>
          <w:rFonts w:asciiTheme="minorHAnsi" w:hAnsiTheme="minorHAnsi" w:cstheme="minorHAnsi"/>
          <w:sz w:val="22"/>
          <w:szCs w:val="22"/>
        </w:rPr>
        <w:t xml:space="preserve">Moung Kee Aung (Procurement Analyst) </w:t>
      </w:r>
      <w:hyperlink r:id="rId7" w:history="1">
        <w:r w:rsidRPr="00FA4B7D">
          <w:rPr>
            <w:rStyle w:val="Hyperlink"/>
            <w:rFonts w:asciiTheme="minorHAnsi" w:hAnsiTheme="minorHAnsi" w:cstheme="minorHAnsi"/>
            <w:b/>
            <w:sz w:val="22"/>
            <w:szCs w:val="22"/>
          </w:rPr>
          <w:t>moung.kee.aung@undp.org</w:t>
        </w:r>
      </w:hyperlink>
      <w:r w:rsidRPr="00FA4B7D">
        <w:rPr>
          <w:rFonts w:asciiTheme="minorHAnsi" w:hAnsiTheme="minorHAnsi" w:cstheme="minorHAnsi"/>
          <w:b/>
          <w:sz w:val="22"/>
          <w:szCs w:val="22"/>
        </w:rPr>
        <w:t>.</w:t>
      </w:r>
    </w:p>
    <w:p w14:paraId="0511774F" w14:textId="77777777" w:rsidR="0070097E" w:rsidRPr="00FA4B7D" w:rsidRDefault="0070097E" w:rsidP="000B2530">
      <w:pPr>
        <w:pStyle w:val="Default"/>
        <w:spacing w:after="120" w:line="264" w:lineRule="auto"/>
        <w:rPr>
          <w:rFonts w:asciiTheme="minorHAnsi" w:hAnsiTheme="minorHAnsi" w:cstheme="minorHAnsi"/>
          <w:i/>
          <w:sz w:val="22"/>
          <w:szCs w:val="22"/>
        </w:rPr>
      </w:pPr>
      <w:r w:rsidRPr="00FA4B7D">
        <w:rPr>
          <w:rFonts w:asciiTheme="minorHAnsi" w:hAnsiTheme="minorHAnsi" w:cstheme="minorHAnsi"/>
          <w:i/>
          <w:sz w:val="22"/>
          <w:szCs w:val="22"/>
        </w:rPr>
        <w:t>Note: UNDP reserves the right not to fund any proposals arising from this Call for Proposals</w:t>
      </w:r>
    </w:p>
    <w:p w14:paraId="0A1AD3F0" w14:textId="77777777" w:rsidR="0070097E" w:rsidRDefault="0070097E" w:rsidP="000B2530">
      <w:pPr>
        <w:pStyle w:val="Default"/>
        <w:spacing w:after="120" w:line="264" w:lineRule="auto"/>
        <w:rPr>
          <w:rFonts w:asciiTheme="minorHAnsi" w:hAnsiTheme="minorHAnsi" w:cs="Calibri"/>
          <w:b/>
          <w:bCs/>
          <w:sz w:val="22"/>
          <w:szCs w:val="22"/>
        </w:rPr>
      </w:pPr>
      <w:r>
        <w:rPr>
          <w:rFonts w:asciiTheme="minorHAnsi" w:hAnsiTheme="minorHAnsi" w:cs="Calibri"/>
          <w:b/>
          <w:bCs/>
          <w:sz w:val="22"/>
          <w:szCs w:val="22"/>
        </w:rPr>
        <w:t>Estimate Competition Timeline</w:t>
      </w:r>
      <w:bookmarkStart w:id="0" w:name="_GoBack"/>
      <w:bookmarkEnd w:id="0"/>
    </w:p>
    <w:p w14:paraId="4241678B" w14:textId="77777777" w:rsidR="0070097E" w:rsidRDefault="0070097E" w:rsidP="000B2530">
      <w:pPr>
        <w:pStyle w:val="Default"/>
        <w:spacing w:after="120" w:line="264" w:lineRule="auto"/>
        <w:rPr>
          <w:rFonts w:asciiTheme="minorHAnsi" w:hAnsiTheme="minorHAnsi" w:cs="Calibri"/>
          <w:sz w:val="22"/>
          <w:szCs w:val="22"/>
        </w:rPr>
      </w:pPr>
      <w:r>
        <w:rPr>
          <w:rFonts w:asciiTheme="minorHAnsi" w:hAnsiTheme="minorHAnsi" w:cs="Calibri"/>
          <w:sz w:val="22"/>
          <w:szCs w:val="22"/>
        </w:rPr>
        <w:t>Below is an estimated timeline for this Call for Proposals:</w:t>
      </w:r>
    </w:p>
    <w:p w14:paraId="622E12AA" w14:textId="77777777" w:rsidR="0070097E" w:rsidRPr="00885FD1" w:rsidRDefault="00BE31CA" w:rsidP="00BC0991">
      <w:pPr>
        <w:pStyle w:val="Default"/>
        <w:numPr>
          <w:ilvl w:val="0"/>
          <w:numId w:val="18"/>
        </w:numPr>
        <w:spacing w:after="120"/>
        <w:rPr>
          <w:rFonts w:ascii="Calibri" w:hAnsi="Calibri" w:cs="Calibri"/>
          <w:sz w:val="22"/>
          <w:szCs w:val="22"/>
        </w:rPr>
      </w:pPr>
      <w:r>
        <w:rPr>
          <w:rFonts w:ascii="Calibri" w:hAnsi="Calibri" w:cs="Calibri"/>
          <w:iCs/>
          <w:sz w:val="22"/>
          <w:szCs w:val="22"/>
        </w:rPr>
        <w:t>10</w:t>
      </w:r>
      <w:r w:rsidR="003B0E71" w:rsidRPr="00885FD1">
        <w:rPr>
          <w:rFonts w:ascii="Calibri" w:hAnsi="Calibri" w:cs="Calibri"/>
          <w:iCs/>
          <w:sz w:val="22"/>
          <w:szCs w:val="22"/>
        </w:rPr>
        <w:t xml:space="preserve"> </w:t>
      </w:r>
      <w:r>
        <w:rPr>
          <w:rFonts w:ascii="Calibri" w:hAnsi="Calibri" w:cs="Calibri"/>
          <w:iCs/>
          <w:sz w:val="22"/>
          <w:szCs w:val="22"/>
        </w:rPr>
        <w:t>Oct</w:t>
      </w:r>
      <w:r w:rsidR="00A753C0" w:rsidRPr="00885FD1">
        <w:rPr>
          <w:rFonts w:ascii="Calibri" w:hAnsi="Calibri" w:cs="Calibri"/>
          <w:iCs/>
          <w:sz w:val="22"/>
          <w:szCs w:val="22"/>
        </w:rPr>
        <w:t xml:space="preserve"> 2018</w:t>
      </w:r>
      <w:r w:rsidR="0070097E" w:rsidRPr="00885FD1">
        <w:rPr>
          <w:rFonts w:ascii="Calibri" w:hAnsi="Calibri" w:cs="Calibri"/>
          <w:iCs/>
          <w:sz w:val="22"/>
          <w:szCs w:val="22"/>
        </w:rPr>
        <w:t>:</w:t>
      </w:r>
      <w:r w:rsidR="0070097E" w:rsidRPr="00885FD1">
        <w:rPr>
          <w:rFonts w:ascii="Calibri" w:hAnsi="Calibri" w:cs="Calibri"/>
          <w:sz w:val="22"/>
          <w:szCs w:val="22"/>
        </w:rPr>
        <w:t xml:space="preserve"> Call for Proposal and relevant documents are posted online.</w:t>
      </w:r>
    </w:p>
    <w:p w14:paraId="1C8EF56D" w14:textId="77777777" w:rsidR="0070097E" w:rsidRPr="00885FD1" w:rsidRDefault="00BE31CA" w:rsidP="00BC0991">
      <w:pPr>
        <w:pStyle w:val="Default"/>
        <w:numPr>
          <w:ilvl w:val="0"/>
          <w:numId w:val="18"/>
        </w:numPr>
        <w:spacing w:after="120"/>
        <w:rPr>
          <w:rFonts w:ascii="Calibri" w:hAnsi="Calibri" w:cs="Calibri"/>
          <w:sz w:val="22"/>
          <w:szCs w:val="22"/>
        </w:rPr>
      </w:pPr>
      <w:r>
        <w:rPr>
          <w:rFonts w:ascii="Calibri" w:hAnsi="Calibri" w:cs="Calibri"/>
          <w:iCs/>
          <w:sz w:val="22"/>
          <w:szCs w:val="22"/>
        </w:rPr>
        <w:t>25</w:t>
      </w:r>
      <w:r w:rsidR="003B0E71" w:rsidRPr="00885FD1">
        <w:rPr>
          <w:rFonts w:ascii="Calibri" w:hAnsi="Calibri" w:cs="Calibri"/>
          <w:iCs/>
          <w:sz w:val="22"/>
          <w:szCs w:val="22"/>
        </w:rPr>
        <w:t xml:space="preserve"> </w:t>
      </w:r>
      <w:r>
        <w:rPr>
          <w:rFonts w:ascii="Calibri" w:hAnsi="Calibri" w:cs="Calibri"/>
          <w:iCs/>
          <w:sz w:val="22"/>
          <w:szCs w:val="22"/>
        </w:rPr>
        <w:t>Oct</w:t>
      </w:r>
      <w:r w:rsidR="00A753C0" w:rsidRPr="00885FD1">
        <w:rPr>
          <w:rFonts w:ascii="Calibri" w:hAnsi="Calibri" w:cs="Calibri"/>
          <w:iCs/>
          <w:sz w:val="22"/>
          <w:szCs w:val="22"/>
        </w:rPr>
        <w:t xml:space="preserve"> 2018</w:t>
      </w:r>
      <w:r w:rsidR="0070097E" w:rsidRPr="00885FD1">
        <w:rPr>
          <w:rFonts w:ascii="Calibri" w:hAnsi="Calibri" w:cs="Calibri"/>
          <w:iCs/>
          <w:sz w:val="22"/>
          <w:szCs w:val="22"/>
        </w:rPr>
        <w:t>:</w:t>
      </w:r>
      <w:r w:rsidR="0070097E" w:rsidRPr="00885FD1">
        <w:rPr>
          <w:rFonts w:ascii="Calibri" w:hAnsi="Calibri" w:cs="Calibri"/>
          <w:sz w:val="22"/>
          <w:szCs w:val="22"/>
        </w:rPr>
        <w:t xml:space="preserve"> Deadline for organizations to submit proposals </w:t>
      </w:r>
      <w:r w:rsidR="003B0E71" w:rsidRPr="00885FD1">
        <w:rPr>
          <w:rFonts w:ascii="Calibri" w:hAnsi="Calibri" w:cs="Calibri"/>
          <w:sz w:val="22"/>
          <w:szCs w:val="22"/>
        </w:rPr>
        <w:t xml:space="preserve"> </w:t>
      </w:r>
      <w:r w:rsidR="0070097E" w:rsidRPr="00885FD1">
        <w:rPr>
          <w:rFonts w:ascii="Calibri" w:hAnsi="Calibri" w:cs="Calibri"/>
          <w:sz w:val="22"/>
          <w:szCs w:val="22"/>
        </w:rPr>
        <w:t xml:space="preserve"> under this Call.</w:t>
      </w:r>
    </w:p>
    <w:p w14:paraId="336A1F21" w14:textId="03B69570" w:rsidR="0070097E" w:rsidRPr="00885FD1" w:rsidRDefault="00BE31CA" w:rsidP="00BC0991">
      <w:pPr>
        <w:pStyle w:val="Default"/>
        <w:numPr>
          <w:ilvl w:val="0"/>
          <w:numId w:val="18"/>
        </w:numPr>
        <w:spacing w:after="120"/>
        <w:rPr>
          <w:rFonts w:ascii="Calibri" w:hAnsi="Calibri" w:cs="Calibri"/>
          <w:sz w:val="22"/>
          <w:szCs w:val="22"/>
        </w:rPr>
      </w:pPr>
      <w:r>
        <w:rPr>
          <w:rFonts w:ascii="Calibri" w:hAnsi="Calibri" w:cs="Calibri"/>
          <w:iCs/>
          <w:sz w:val="22"/>
          <w:szCs w:val="22"/>
        </w:rPr>
        <w:t>26</w:t>
      </w:r>
      <w:r w:rsidR="00A753C0" w:rsidRPr="00885FD1">
        <w:rPr>
          <w:rFonts w:ascii="Calibri" w:hAnsi="Calibri" w:cs="Calibri"/>
          <w:iCs/>
          <w:sz w:val="22"/>
          <w:szCs w:val="22"/>
        </w:rPr>
        <w:t xml:space="preserve"> - </w:t>
      </w:r>
      <w:r w:rsidR="00435B93">
        <w:rPr>
          <w:rFonts w:ascii="Calibri" w:hAnsi="Calibri" w:cs="Calibri"/>
          <w:iCs/>
          <w:sz w:val="22"/>
          <w:szCs w:val="22"/>
        </w:rPr>
        <w:t>29</w:t>
      </w:r>
      <w:r w:rsidR="003B0E71" w:rsidRPr="00885FD1">
        <w:rPr>
          <w:rFonts w:ascii="Calibri" w:hAnsi="Calibri" w:cs="Calibri"/>
          <w:iCs/>
          <w:sz w:val="22"/>
          <w:szCs w:val="22"/>
        </w:rPr>
        <w:t xml:space="preserve"> </w:t>
      </w:r>
      <w:r>
        <w:rPr>
          <w:rFonts w:ascii="Calibri" w:hAnsi="Calibri" w:cs="Calibri"/>
          <w:iCs/>
          <w:sz w:val="22"/>
          <w:szCs w:val="22"/>
        </w:rPr>
        <w:t>Oct</w:t>
      </w:r>
      <w:r w:rsidR="00A753C0" w:rsidRPr="00885FD1">
        <w:rPr>
          <w:rFonts w:ascii="Calibri" w:hAnsi="Calibri" w:cs="Calibri"/>
          <w:iCs/>
          <w:sz w:val="22"/>
          <w:szCs w:val="22"/>
        </w:rPr>
        <w:t xml:space="preserve"> 2018</w:t>
      </w:r>
      <w:r w:rsidR="0070097E" w:rsidRPr="00885FD1">
        <w:rPr>
          <w:rFonts w:ascii="Calibri" w:hAnsi="Calibri" w:cs="Calibri"/>
          <w:iCs/>
          <w:sz w:val="22"/>
          <w:szCs w:val="22"/>
        </w:rPr>
        <w:t>:</w:t>
      </w:r>
      <w:r w:rsidR="0070097E" w:rsidRPr="00885FD1">
        <w:rPr>
          <w:rFonts w:ascii="Calibri" w:hAnsi="Calibri" w:cs="Calibri"/>
          <w:sz w:val="22"/>
          <w:szCs w:val="22"/>
        </w:rPr>
        <w:t xml:space="preserve"> Assessment and selection processes.</w:t>
      </w:r>
    </w:p>
    <w:p w14:paraId="0939083D" w14:textId="356652E3" w:rsidR="0070097E" w:rsidRPr="00885FD1" w:rsidRDefault="00BE31CA" w:rsidP="00BC0991">
      <w:pPr>
        <w:pStyle w:val="Default"/>
        <w:numPr>
          <w:ilvl w:val="0"/>
          <w:numId w:val="18"/>
        </w:numPr>
        <w:spacing w:after="120"/>
        <w:rPr>
          <w:rFonts w:ascii="Calibri" w:hAnsi="Calibri" w:cs="Calibri"/>
          <w:sz w:val="22"/>
          <w:szCs w:val="22"/>
        </w:rPr>
      </w:pPr>
      <w:r>
        <w:rPr>
          <w:rFonts w:ascii="Calibri" w:hAnsi="Calibri" w:cs="Calibri"/>
          <w:iCs/>
          <w:sz w:val="22"/>
          <w:szCs w:val="22"/>
        </w:rPr>
        <w:t>3</w:t>
      </w:r>
      <w:r w:rsidR="00435B93">
        <w:rPr>
          <w:rFonts w:ascii="Calibri" w:hAnsi="Calibri" w:cs="Calibri"/>
          <w:iCs/>
          <w:sz w:val="22"/>
          <w:szCs w:val="22"/>
        </w:rPr>
        <w:t>0</w:t>
      </w:r>
      <w:r w:rsidR="00C51C82" w:rsidRPr="00885FD1">
        <w:rPr>
          <w:rFonts w:ascii="Calibri" w:hAnsi="Calibri" w:cs="Calibri"/>
          <w:iCs/>
          <w:sz w:val="22"/>
          <w:szCs w:val="22"/>
        </w:rPr>
        <w:t xml:space="preserve"> </w:t>
      </w:r>
      <w:r>
        <w:rPr>
          <w:rFonts w:ascii="Calibri" w:hAnsi="Calibri" w:cs="Calibri"/>
          <w:iCs/>
          <w:sz w:val="22"/>
          <w:szCs w:val="22"/>
        </w:rPr>
        <w:t>Oct</w:t>
      </w:r>
      <w:r w:rsidR="00A753C0" w:rsidRPr="00885FD1">
        <w:rPr>
          <w:rFonts w:ascii="Calibri" w:hAnsi="Calibri" w:cs="Calibri"/>
          <w:iCs/>
          <w:sz w:val="22"/>
          <w:szCs w:val="22"/>
        </w:rPr>
        <w:t xml:space="preserve"> 2018</w:t>
      </w:r>
      <w:r w:rsidR="0070097E" w:rsidRPr="00885FD1">
        <w:rPr>
          <w:rFonts w:ascii="Calibri" w:hAnsi="Calibri" w:cs="Calibri"/>
          <w:iCs/>
          <w:sz w:val="22"/>
          <w:szCs w:val="22"/>
        </w:rPr>
        <w:t xml:space="preserve">: </w:t>
      </w:r>
      <w:r w:rsidR="00A753C0" w:rsidRPr="00885FD1">
        <w:rPr>
          <w:rFonts w:ascii="Calibri" w:hAnsi="Calibri" w:cs="Calibri"/>
          <w:sz w:val="22"/>
          <w:szCs w:val="22"/>
        </w:rPr>
        <w:t xml:space="preserve">Notifications to selected </w:t>
      </w:r>
      <w:r w:rsidR="00225A7D" w:rsidRPr="00885FD1">
        <w:rPr>
          <w:rFonts w:ascii="Calibri" w:hAnsi="Calibri" w:cs="Calibri"/>
          <w:sz w:val="22"/>
          <w:szCs w:val="22"/>
        </w:rPr>
        <w:t>CSOs</w:t>
      </w:r>
      <w:r w:rsidR="0070097E" w:rsidRPr="00885FD1">
        <w:rPr>
          <w:rFonts w:ascii="Calibri" w:hAnsi="Calibri" w:cs="Calibri"/>
          <w:sz w:val="22"/>
          <w:szCs w:val="22"/>
        </w:rPr>
        <w:t>.</w:t>
      </w:r>
    </w:p>
    <w:p w14:paraId="6BFDB811" w14:textId="1D1532B9" w:rsidR="0070097E" w:rsidRDefault="00435B93" w:rsidP="00BC0991">
      <w:pPr>
        <w:pStyle w:val="Default"/>
        <w:numPr>
          <w:ilvl w:val="0"/>
          <w:numId w:val="18"/>
        </w:numPr>
        <w:spacing w:after="120"/>
        <w:rPr>
          <w:rFonts w:ascii="Calibri" w:hAnsi="Calibri" w:cs="Calibri"/>
          <w:sz w:val="22"/>
          <w:szCs w:val="22"/>
        </w:rPr>
      </w:pPr>
      <w:r>
        <w:rPr>
          <w:rFonts w:ascii="Calibri" w:hAnsi="Calibri" w:cs="Calibri"/>
          <w:iCs/>
          <w:sz w:val="22"/>
          <w:szCs w:val="22"/>
        </w:rPr>
        <w:t>31</w:t>
      </w:r>
      <w:r w:rsidR="00C51C82" w:rsidRPr="00885FD1">
        <w:rPr>
          <w:rFonts w:ascii="Calibri" w:hAnsi="Calibri" w:cs="Calibri"/>
          <w:iCs/>
          <w:sz w:val="22"/>
          <w:szCs w:val="22"/>
        </w:rPr>
        <w:t xml:space="preserve"> </w:t>
      </w:r>
      <w:r>
        <w:rPr>
          <w:rFonts w:ascii="Calibri" w:hAnsi="Calibri" w:cs="Calibri"/>
          <w:iCs/>
          <w:sz w:val="22"/>
          <w:szCs w:val="22"/>
        </w:rPr>
        <w:t>Oct</w:t>
      </w:r>
      <w:r w:rsidR="00C51C82" w:rsidRPr="00885FD1">
        <w:rPr>
          <w:rFonts w:ascii="Calibri" w:hAnsi="Calibri" w:cs="Calibri"/>
          <w:iCs/>
          <w:sz w:val="22"/>
          <w:szCs w:val="22"/>
        </w:rPr>
        <w:t xml:space="preserve"> </w:t>
      </w:r>
      <w:r w:rsidR="00A753C0" w:rsidRPr="00885FD1">
        <w:rPr>
          <w:rFonts w:ascii="Calibri" w:hAnsi="Calibri" w:cs="Calibri"/>
          <w:iCs/>
          <w:sz w:val="22"/>
          <w:szCs w:val="22"/>
        </w:rPr>
        <w:t>2018</w:t>
      </w:r>
      <w:r w:rsidR="0070097E" w:rsidRPr="00885FD1">
        <w:rPr>
          <w:rFonts w:ascii="Calibri" w:hAnsi="Calibri" w:cs="Calibri"/>
          <w:sz w:val="22"/>
          <w:szCs w:val="22"/>
        </w:rPr>
        <w:t xml:space="preserve">: </w:t>
      </w:r>
      <w:r w:rsidR="00A753C0" w:rsidRPr="00885FD1">
        <w:rPr>
          <w:rFonts w:ascii="Calibri" w:hAnsi="Calibri" w:cs="Calibri"/>
          <w:sz w:val="22"/>
          <w:szCs w:val="22"/>
        </w:rPr>
        <w:t>Signing</w:t>
      </w:r>
      <w:r w:rsidR="00A753C0">
        <w:rPr>
          <w:rFonts w:ascii="Calibri" w:hAnsi="Calibri" w:cs="Calibri"/>
          <w:sz w:val="22"/>
          <w:szCs w:val="22"/>
        </w:rPr>
        <w:t xml:space="preserve"> of Agreement</w:t>
      </w:r>
    </w:p>
    <w:p w14:paraId="7F8B4EF2" w14:textId="77777777" w:rsidR="0070097E" w:rsidRDefault="0070097E" w:rsidP="0070097E">
      <w:pPr>
        <w:pStyle w:val="Default"/>
        <w:rPr>
          <w:rFonts w:asciiTheme="minorHAnsi" w:hAnsiTheme="minorHAnsi" w:cs="Calibri"/>
          <w:i/>
          <w:sz w:val="22"/>
          <w:szCs w:val="22"/>
        </w:rPr>
      </w:pPr>
    </w:p>
    <w:p w14:paraId="1E6093FA" w14:textId="77777777" w:rsidR="0070097E" w:rsidRDefault="0070097E" w:rsidP="0070097E">
      <w:pPr>
        <w:pStyle w:val="Default"/>
        <w:rPr>
          <w:rFonts w:asciiTheme="minorHAnsi" w:hAnsiTheme="minorHAnsi" w:cs="Calibri"/>
          <w:b/>
          <w:bCs/>
          <w:sz w:val="22"/>
          <w:szCs w:val="22"/>
          <w:u w:val="single"/>
        </w:rPr>
      </w:pPr>
      <w:r>
        <w:rPr>
          <w:rFonts w:asciiTheme="minorHAnsi" w:hAnsiTheme="minorHAnsi" w:cs="Calibri"/>
          <w:b/>
          <w:bCs/>
          <w:sz w:val="22"/>
          <w:szCs w:val="22"/>
          <w:u w:val="single"/>
        </w:rPr>
        <w:t>IMPORTANT ADDITIONAL INFORMATION</w:t>
      </w:r>
    </w:p>
    <w:p w14:paraId="7A198D3F" w14:textId="77777777" w:rsidR="0070097E" w:rsidRDefault="0070097E" w:rsidP="00FA4B7D">
      <w:pPr>
        <w:spacing w:before="100" w:beforeAutospacing="1" w:after="100" w:afterAutospacing="1" w:line="240" w:lineRule="auto"/>
        <w:rPr>
          <w:rFonts w:asciiTheme="minorHAnsi" w:hAnsiTheme="minorHAnsi" w:cs="Calibri"/>
          <w:color w:val="000000"/>
        </w:rPr>
      </w:pPr>
      <w:r>
        <w:rPr>
          <w:rFonts w:cs="Calibri"/>
          <w:color w:val="00000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8" w:history="1">
        <w:r>
          <w:rPr>
            <w:rStyle w:val="Hyperlink"/>
            <w:rFonts w:cs="Calibri"/>
          </w:rPr>
          <w:t>http://www.undp.org/content/dam/undp/library/corporate/Transparency/UNDP_Anti_Fraud_Policy_English_FINAL_june_2011.pdf</w:t>
        </w:r>
      </w:hyperlink>
      <w:r>
        <w:rPr>
          <w:rFonts w:cs="Calibri"/>
          <w:color w:val="000000"/>
        </w:rPr>
        <w:t xml:space="preserve"> and </w:t>
      </w:r>
      <w:hyperlink r:id="rId9" w:history="1">
        <w:r>
          <w:rPr>
            <w:rStyle w:val="Hyperlink"/>
            <w:rFonts w:cs="Calibri"/>
          </w:rPr>
          <w:t>http://www.undp.org/content/undp/en/home/operations/procurement/protestandsanctions/</w:t>
        </w:r>
      </w:hyperlink>
      <w:r>
        <w:rPr>
          <w:rFonts w:cs="Calibri"/>
          <w:color w:val="000000"/>
        </w:rPr>
        <w:t xml:space="preserve"> for full description of the policies) </w:t>
      </w:r>
    </w:p>
    <w:p w14:paraId="414CA944" w14:textId="77777777" w:rsidR="0070097E" w:rsidRDefault="0070097E" w:rsidP="00FA4B7D">
      <w:pPr>
        <w:spacing w:before="100" w:beforeAutospacing="1" w:after="100" w:afterAutospacing="1" w:line="240" w:lineRule="auto"/>
        <w:jc w:val="both"/>
        <w:rPr>
          <w:rFonts w:cs="Calibri"/>
          <w:color w:val="000000"/>
        </w:rPr>
      </w:pPr>
      <w:r>
        <w:rPr>
          <w:rFonts w:cs="Calibri"/>
          <w:color w:val="000000"/>
        </w:rPr>
        <w:lastRenderedPageBreak/>
        <w:t xml:space="preserve">In responding to this Call for Proposals, UNDP requires all Proposers to conduct themselves in a professional, objective and impartial manner, and they must at all times hold UNDP’s </w:t>
      </w:r>
      <w:proofErr w:type="gramStart"/>
      <w:r>
        <w:rPr>
          <w:rFonts w:cs="Calibri"/>
          <w:color w:val="000000"/>
        </w:rPr>
        <w:t>interests</w:t>
      </w:r>
      <w:proofErr w:type="gramEnd"/>
      <w:r>
        <w:rPr>
          <w:rFonts w:cs="Calibri"/>
          <w:color w:val="000000"/>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35066773" w14:textId="77777777" w:rsidR="0070097E" w:rsidRDefault="0070097E" w:rsidP="00FA4B7D">
      <w:pPr>
        <w:pStyle w:val="NormalWeb"/>
        <w:jc w:val="both"/>
        <w:rPr>
          <w:rFonts w:asciiTheme="minorHAnsi" w:hAnsiTheme="minorHAnsi" w:cs="Calibri"/>
          <w:color w:val="000000"/>
          <w:sz w:val="22"/>
          <w:szCs w:val="22"/>
        </w:rPr>
      </w:pPr>
      <w:r>
        <w:rPr>
          <w:rFonts w:asciiTheme="minorHAnsi" w:hAnsiTheme="minorHAnsi" w:cs="Calibri"/>
          <w:color w:val="000000"/>
          <w:sz w:val="22"/>
          <w:szCs w:val="22"/>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51BB8722" w14:textId="77777777" w:rsidR="0070097E" w:rsidRDefault="0070097E" w:rsidP="00FA4B7D">
      <w:pPr>
        <w:spacing w:before="100" w:beforeAutospacing="1" w:after="100" w:afterAutospacing="1" w:line="240" w:lineRule="auto"/>
        <w:jc w:val="both"/>
        <w:rPr>
          <w:rFonts w:asciiTheme="minorHAnsi" w:hAnsiTheme="minorHAnsi" w:cs="Calibri"/>
          <w:color w:val="000000"/>
        </w:rPr>
      </w:pPr>
      <w:r>
        <w:rPr>
          <w:rFonts w:cs="Calibri"/>
          <w:color w:val="000000"/>
        </w:rPr>
        <w:t xml:space="preserve">* Were involved in the preparation and/or design of the </w:t>
      </w:r>
      <w:proofErr w:type="spellStart"/>
      <w:r>
        <w:rPr>
          <w:rFonts w:cs="Calibri"/>
          <w:color w:val="000000"/>
        </w:rPr>
        <w:t>programme</w:t>
      </w:r>
      <w:proofErr w:type="spellEnd"/>
      <w:r>
        <w:rPr>
          <w:rFonts w:cs="Calibri"/>
          <w:color w:val="000000"/>
        </w:rPr>
        <w:t xml:space="preserve">/project related to the services requested under this Call for Proposals; or </w:t>
      </w:r>
    </w:p>
    <w:p w14:paraId="223C13D2" w14:textId="77777777" w:rsidR="0070097E" w:rsidRDefault="0070097E" w:rsidP="00FA4B7D">
      <w:pPr>
        <w:spacing w:before="100" w:beforeAutospacing="1" w:after="100" w:afterAutospacing="1" w:line="240" w:lineRule="auto"/>
        <w:jc w:val="both"/>
        <w:rPr>
          <w:rFonts w:cs="Calibri"/>
          <w:color w:val="000000"/>
        </w:rPr>
      </w:pPr>
      <w:r>
        <w:rPr>
          <w:rFonts w:cs="Calibri"/>
          <w:color w:val="000000"/>
        </w:rPr>
        <w:t xml:space="preserve">* Are found to be in conflict for any other reason, as may be established by, or at the discretion of, UNDP. </w:t>
      </w:r>
    </w:p>
    <w:p w14:paraId="75D12B6A" w14:textId="77777777" w:rsidR="0070097E" w:rsidRDefault="0070097E" w:rsidP="00FA4B7D">
      <w:pPr>
        <w:spacing w:before="100" w:beforeAutospacing="1" w:after="100" w:afterAutospacing="1" w:line="240" w:lineRule="auto"/>
        <w:jc w:val="both"/>
        <w:rPr>
          <w:rFonts w:cs="Calibri"/>
          <w:color w:val="000000"/>
        </w:rPr>
      </w:pPr>
      <w:r>
        <w:rPr>
          <w:rFonts w:cs="Calibri"/>
          <w:color w:val="000000"/>
        </w:rPr>
        <w:t xml:space="preserve">In the event of any uncertainty in the interpretation of what is potentially a conflict of interest, proposers must disclose the condition to UNDP and seek UNDP’s confirmation on </w:t>
      </w:r>
      <w:proofErr w:type="gramStart"/>
      <w:r>
        <w:rPr>
          <w:rFonts w:cs="Calibri"/>
          <w:color w:val="000000"/>
        </w:rPr>
        <w:t>whether or not</w:t>
      </w:r>
      <w:proofErr w:type="gramEnd"/>
      <w:r>
        <w:rPr>
          <w:rFonts w:cs="Calibri"/>
          <w:color w:val="000000"/>
        </w:rPr>
        <w:t xml:space="preserve"> such conflict exists. </w:t>
      </w:r>
    </w:p>
    <w:p w14:paraId="747B7053" w14:textId="77777777" w:rsidR="0070097E" w:rsidRDefault="0070097E" w:rsidP="0070097E">
      <w:pPr>
        <w:spacing w:before="100" w:beforeAutospacing="1" w:after="100" w:afterAutospacing="1" w:line="240" w:lineRule="auto"/>
        <w:rPr>
          <w:rFonts w:cs="Calibri"/>
          <w:color w:val="000000"/>
        </w:rPr>
      </w:pPr>
    </w:p>
    <w:p w14:paraId="3E9112DE" w14:textId="77777777" w:rsidR="00225A7D" w:rsidRDefault="00225A7D" w:rsidP="00225A7D">
      <w:pPr>
        <w:spacing w:before="100" w:beforeAutospacing="1" w:after="100" w:afterAutospacing="1" w:line="240" w:lineRule="auto"/>
        <w:ind w:left="4500"/>
        <w:jc w:val="center"/>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14:paraId="5E8DAC15" w14:textId="77777777" w:rsidR="00BE31CA" w:rsidRDefault="00BE31CA" w:rsidP="00BE31CA">
      <w:pPr>
        <w:spacing w:before="100" w:beforeAutospacing="1" w:after="100" w:afterAutospacing="1" w:line="240" w:lineRule="auto"/>
        <w:ind w:left="4500"/>
        <w:jc w:val="center"/>
        <w:rPr>
          <w:rFonts w:cs="Calibri"/>
          <w:color w:val="000000"/>
        </w:rPr>
      </w:pPr>
      <w:r w:rsidRPr="00BE31CA">
        <w:rPr>
          <w:rFonts w:cs="Calibri"/>
          <w:color w:val="000000"/>
        </w:rPr>
        <w:t>Nasantuya Chuluun</w:t>
      </w:r>
    </w:p>
    <w:p w14:paraId="7C0F8EDF" w14:textId="77777777" w:rsidR="0070097E" w:rsidRDefault="00BE31CA" w:rsidP="00BE31CA">
      <w:pPr>
        <w:spacing w:before="100" w:beforeAutospacing="1" w:after="100" w:afterAutospacing="1" w:line="240" w:lineRule="auto"/>
        <w:ind w:left="4500"/>
        <w:jc w:val="center"/>
        <w:rPr>
          <w:rFonts w:cs="Calibri"/>
          <w:color w:val="000000"/>
        </w:rPr>
      </w:pPr>
      <w:proofErr w:type="spellStart"/>
      <w:r>
        <w:rPr>
          <w:rFonts w:cs="Calibri"/>
          <w:color w:val="000000"/>
        </w:rPr>
        <w:t>Programme</w:t>
      </w:r>
      <w:proofErr w:type="spellEnd"/>
      <w:r>
        <w:rPr>
          <w:rFonts w:cs="Calibri"/>
          <w:color w:val="000000"/>
        </w:rPr>
        <w:t xml:space="preserve"> Support Team Leader</w:t>
      </w:r>
    </w:p>
    <w:p w14:paraId="7BE8FAC4" w14:textId="77777777" w:rsidR="00910955" w:rsidRPr="009433D5" w:rsidRDefault="00910955" w:rsidP="00F26D2F">
      <w:pPr>
        <w:pStyle w:val="Default"/>
        <w:jc w:val="center"/>
        <w:rPr>
          <w:rFonts w:asciiTheme="minorHAnsi" w:hAnsiTheme="minorHAnsi" w:cs="Calibri"/>
          <w:color w:val="auto"/>
          <w:sz w:val="22"/>
          <w:szCs w:val="22"/>
        </w:rPr>
      </w:pPr>
    </w:p>
    <w:sectPr w:rsidR="00910955" w:rsidRPr="009433D5" w:rsidSect="000B2530">
      <w:pgSz w:w="11909" w:h="16834"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3CA"/>
    <w:multiLevelType w:val="hybridMultilevel"/>
    <w:tmpl w:val="6686B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A57C2"/>
    <w:multiLevelType w:val="hybridMultilevel"/>
    <w:tmpl w:val="83DAB826"/>
    <w:lvl w:ilvl="0" w:tplc="58E6F138">
      <w:start w:val="1"/>
      <w:numFmt w:val="upperRoman"/>
      <w:lvlText w:val="%1."/>
      <w:lvlJc w:val="left"/>
      <w:pPr>
        <w:ind w:left="1080" w:hanging="72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73729"/>
    <w:multiLevelType w:val="hybridMultilevel"/>
    <w:tmpl w:val="208C0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A191C"/>
    <w:multiLevelType w:val="hybridMultilevel"/>
    <w:tmpl w:val="D46C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C9494F"/>
    <w:multiLevelType w:val="multilevel"/>
    <w:tmpl w:val="8BF47056"/>
    <w:lvl w:ilvl="0">
      <w:start w:val="1"/>
      <w:numFmt w:val="decimal"/>
      <w:lvlText w:val="%1."/>
      <w:lvlJc w:val="left"/>
      <w:pPr>
        <w:ind w:left="720" w:hanging="360"/>
      </w:pPr>
      <w:rPr>
        <w:rFonts w:ascii="Corbel" w:eastAsia="Corbel" w:hAnsi="Corbel" w:cs="Corbel" w:hint="default"/>
        <w:b w:val="0"/>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DB12C0"/>
    <w:multiLevelType w:val="hybridMultilevel"/>
    <w:tmpl w:val="E1C01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33BD1"/>
    <w:multiLevelType w:val="hybridMultilevel"/>
    <w:tmpl w:val="0E6C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B4F62"/>
    <w:multiLevelType w:val="hybridMultilevel"/>
    <w:tmpl w:val="43BC0D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16" w15:restartNumberingAfterBreak="0">
    <w:nsid w:val="4CF92C7D"/>
    <w:multiLevelType w:val="hybridMultilevel"/>
    <w:tmpl w:val="FA681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50BC1"/>
    <w:multiLevelType w:val="hybridMultilevel"/>
    <w:tmpl w:val="27B49336"/>
    <w:lvl w:ilvl="0" w:tplc="54CC7874">
      <w:start w:val="1"/>
      <w:numFmt w:val="bullet"/>
      <w:lvlText w:val="-"/>
      <w:lvlJc w:val="left"/>
      <w:pPr>
        <w:ind w:left="720" w:hanging="360"/>
      </w:p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9" w15:restartNumberingAfterBreak="0">
    <w:nsid w:val="5387286B"/>
    <w:multiLevelType w:val="hybridMultilevel"/>
    <w:tmpl w:val="74C6391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C795D1D"/>
    <w:multiLevelType w:val="hybridMultilevel"/>
    <w:tmpl w:val="A71E9B50"/>
    <w:lvl w:ilvl="0" w:tplc="7C38D826">
      <w:start w:val="3"/>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1F584F"/>
    <w:multiLevelType w:val="hybridMultilevel"/>
    <w:tmpl w:val="387A0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BA7444"/>
    <w:multiLevelType w:val="hybridMultilevel"/>
    <w:tmpl w:val="40E60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912E7"/>
    <w:multiLevelType w:val="hybridMultilevel"/>
    <w:tmpl w:val="BBEA79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3"/>
  </w:num>
  <w:num w:numId="3">
    <w:abstractNumId w:val="4"/>
  </w:num>
  <w:num w:numId="4">
    <w:abstractNumId w:val="13"/>
  </w:num>
  <w:num w:numId="5">
    <w:abstractNumId w:val="0"/>
  </w:num>
  <w:num w:numId="6">
    <w:abstractNumId w:val="6"/>
  </w:num>
  <w:num w:numId="7">
    <w:abstractNumId w:val="12"/>
  </w:num>
  <w:num w:numId="8">
    <w:abstractNumId w:val="2"/>
  </w:num>
  <w:num w:numId="9">
    <w:abstractNumId w:val="17"/>
  </w:num>
  <w:num w:numId="10">
    <w:abstractNumId w:val="2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7"/>
  </w:num>
  <w:num w:numId="19">
    <w:abstractNumId w:val="5"/>
  </w:num>
  <w:num w:numId="20">
    <w:abstractNumId w:val="1"/>
  </w:num>
  <w:num w:numId="21">
    <w:abstractNumId w:val="16"/>
  </w:num>
  <w:num w:numId="22">
    <w:abstractNumId w:val="24"/>
  </w:num>
  <w:num w:numId="23">
    <w:abstractNumId w:val="21"/>
  </w:num>
  <w:num w:numId="24">
    <w:abstractNumId w:val="15"/>
  </w:num>
  <w:num w:numId="25">
    <w:abstractNumId w:val="18"/>
  </w:num>
  <w:num w:numId="26">
    <w:abstractNumId w:val="8"/>
  </w:num>
  <w:num w:numId="27">
    <w:abstractNumId w:val="11"/>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55A"/>
    <w:rsid w:val="000343CA"/>
    <w:rsid w:val="00036153"/>
    <w:rsid w:val="000379B1"/>
    <w:rsid w:val="00053246"/>
    <w:rsid w:val="00063E96"/>
    <w:rsid w:val="000B2530"/>
    <w:rsid w:val="000C4898"/>
    <w:rsid w:val="0010755A"/>
    <w:rsid w:val="0013478E"/>
    <w:rsid w:val="001B0BF4"/>
    <w:rsid w:val="001C5FB2"/>
    <w:rsid w:val="001D4688"/>
    <w:rsid w:val="002019ED"/>
    <w:rsid w:val="00225A7D"/>
    <w:rsid w:val="00230059"/>
    <w:rsid w:val="002479C2"/>
    <w:rsid w:val="00251115"/>
    <w:rsid w:val="0025324A"/>
    <w:rsid w:val="00296CFA"/>
    <w:rsid w:val="002A6033"/>
    <w:rsid w:val="002D40F6"/>
    <w:rsid w:val="00300E24"/>
    <w:rsid w:val="003076F4"/>
    <w:rsid w:val="00370DFF"/>
    <w:rsid w:val="00394C7C"/>
    <w:rsid w:val="003B0E71"/>
    <w:rsid w:val="00435B93"/>
    <w:rsid w:val="00452A90"/>
    <w:rsid w:val="004623B3"/>
    <w:rsid w:val="004F7144"/>
    <w:rsid w:val="00504D1C"/>
    <w:rsid w:val="00543404"/>
    <w:rsid w:val="005656AD"/>
    <w:rsid w:val="005C27E6"/>
    <w:rsid w:val="00600FE5"/>
    <w:rsid w:val="00685015"/>
    <w:rsid w:val="00696EBD"/>
    <w:rsid w:val="006F420C"/>
    <w:rsid w:val="0070097E"/>
    <w:rsid w:val="00775516"/>
    <w:rsid w:val="00796692"/>
    <w:rsid w:val="007C295D"/>
    <w:rsid w:val="007C3B74"/>
    <w:rsid w:val="007D22B0"/>
    <w:rsid w:val="007E6EF1"/>
    <w:rsid w:val="0082012A"/>
    <w:rsid w:val="00825B29"/>
    <w:rsid w:val="00885FD1"/>
    <w:rsid w:val="008921B3"/>
    <w:rsid w:val="008C04DA"/>
    <w:rsid w:val="008C1933"/>
    <w:rsid w:val="008D02B0"/>
    <w:rsid w:val="008F28AF"/>
    <w:rsid w:val="0090459C"/>
    <w:rsid w:val="00910955"/>
    <w:rsid w:val="00914174"/>
    <w:rsid w:val="009240B6"/>
    <w:rsid w:val="00935682"/>
    <w:rsid w:val="00940574"/>
    <w:rsid w:val="009433D5"/>
    <w:rsid w:val="00960D3D"/>
    <w:rsid w:val="00982FA5"/>
    <w:rsid w:val="00985AD0"/>
    <w:rsid w:val="009F225C"/>
    <w:rsid w:val="00A607FD"/>
    <w:rsid w:val="00A753C0"/>
    <w:rsid w:val="00A754EA"/>
    <w:rsid w:val="00A806A5"/>
    <w:rsid w:val="00A90DC4"/>
    <w:rsid w:val="00AA16B1"/>
    <w:rsid w:val="00B14544"/>
    <w:rsid w:val="00B33CFC"/>
    <w:rsid w:val="00B37FD4"/>
    <w:rsid w:val="00BA2AB0"/>
    <w:rsid w:val="00BA6C3B"/>
    <w:rsid w:val="00BB5DA1"/>
    <w:rsid w:val="00BC0991"/>
    <w:rsid w:val="00BE31CA"/>
    <w:rsid w:val="00C4750D"/>
    <w:rsid w:val="00C47DF9"/>
    <w:rsid w:val="00C51C82"/>
    <w:rsid w:val="00C525CB"/>
    <w:rsid w:val="00C81740"/>
    <w:rsid w:val="00C9267E"/>
    <w:rsid w:val="00C97A8C"/>
    <w:rsid w:val="00CB62F8"/>
    <w:rsid w:val="00D174D8"/>
    <w:rsid w:val="00D37D01"/>
    <w:rsid w:val="00D62E2A"/>
    <w:rsid w:val="00D678D2"/>
    <w:rsid w:val="00D81D91"/>
    <w:rsid w:val="00D92AA2"/>
    <w:rsid w:val="00DA6F6D"/>
    <w:rsid w:val="00DB541A"/>
    <w:rsid w:val="00DC1064"/>
    <w:rsid w:val="00E02F91"/>
    <w:rsid w:val="00E14748"/>
    <w:rsid w:val="00E45DF1"/>
    <w:rsid w:val="00E46C0A"/>
    <w:rsid w:val="00EE48A5"/>
    <w:rsid w:val="00EF058C"/>
    <w:rsid w:val="00EF4F83"/>
    <w:rsid w:val="00F13E62"/>
    <w:rsid w:val="00F26D2F"/>
    <w:rsid w:val="00FA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2303"/>
  <w15:chartTrackingRefBased/>
  <w15:docId w15:val="{C267F1E7-9B95-4001-9D4B-6B974BF8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5A"/>
    <w:pPr>
      <w:spacing w:after="200" w:line="276" w:lineRule="auto"/>
    </w:pPr>
    <w:rPr>
      <w:rFonts w:ascii="Calibri" w:eastAsia="Calibri" w:hAnsi="Calibri" w:cs="Times New Roman"/>
    </w:rPr>
  </w:style>
  <w:style w:type="paragraph" w:styleId="Heading5">
    <w:name w:val="heading 5"/>
    <w:aliases w:val="Level 3 - i"/>
    <w:basedOn w:val="Normal"/>
    <w:next w:val="Normal"/>
    <w:link w:val="Heading5Char"/>
    <w:autoRedefine/>
    <w:semiHidden/>
    <w:unhideWhenUsed/>
    <w:qFormat/>
    <w:rsid w:val="0070097E"/>
    <w:pPr>
      <w:widowControl w:val="0"/>
      <w:overflowPunct w:val="0"/>
      <w:adjustRightInd w:val="0"/>
      <w:spacing w:after="0" w:line="240" w:lineRule="auto"/>
      <w:ind w:left="450" w:hanging="425"/>
      <w:jc w:val="both"/>
      <w:outlineLvl w:val="4"/>
    </w:pPr>
    <w:rPr>
      <w:rFonts w:asciiTheme="minorHAnsi" w:eastAsia="Times New Roman" w:hAnsiTheme="minorHAnsi" w:cstheme="minorHAnsi"/>
      <w:b/>
      <w:i/>
      <w:i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ject Profile name"/>
    <w:basedOn w:val="Normal"/>
    <w:link w:val="ListParagraphChar"/>
    <w:uiPriority w:val="34"/>
    <w:qFormat/>
    <w:rsid w:val="0010755A"/>
    <w:pPr>
      <w:spacing w:after="0" w:line="240" w:lineRule="auto"/>
      <w:ind w:left="720"/>
    </w:pPr>
    <w:rPr>
      <w:rFonts w:ascii="Palatino Linotype" w:eastAsia="Times New Roman" w:hAnsi="Palatino Linotype" w:cs="Palatino Linotype"/>
      <w:sz w:val="20"/>
      <w:szCs w:val="20"/>
      <w:lang w:val="en-GB"/>
    </w:rPr>
  </w:style>
  <w:style w:type="paragraph" w:customStyle="1" w:styleId="Default">
    <w:name w:val="Default"/>
    <w:uiPriority w:val="99"/>
    <w:rsid w:val="00910955"/>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styleId="Hyperlink">
    <w:name w:val="Hyperlink"/>
    <w:basedOn w:val="DefaultParagraphFont"/>
    <w:uiPriority w:val="99"/>
    <w:unhideWhenUsed/>
    <w:rsid w:val="00910955"/>
    <w:rPr>
      <w:color w:val="0563C1" w:themeColor="hyperlink"/>
      <w:u w:val="single"/>
    </w:rPr>
  </w:style>
  <w:style w:type="character" w:styleId="UnresolvedMention">
    <w:name w:val="Unresolved Mention"/>
    <w:basedOn w:val="DefaultParagraphFont"/>
    <w:uiPriority w:val="99"/>
    <w:semiHidden/>
    <w:unhideWhenUsed/>
    <w:rsid w:val="00910955"/>
    <w:rPr>
      <w:color w:val="605E5C"/>
      <w:shd w:val="clear" w:color="auto" w:fill="E1DFDD"/>
    </w:rPr>
  </w:style>
  <w:style w:type="paragraph" w:styleId="NormalWeb">
    <w:name w:val="Normal (Web)"/>
    <w:basedOn w:val="Normal"/>
    <w:uiPriority w:val="99"/>
    <w:semiHidden/>
    <w:unhideWhenUsed/>
    <w:rsid w:val="000343CA"/>
    <w:pPr>
      <w:spacing w:before="100" w:beforeAutospacing="1" w:after="100" w:afterAutospacing="1" w:line="240" w:lineRule="auto"/>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9433D5"/>
    <w:rPr>
      <w:color w:val="954F72" w:themeColor="followedHyperlink"/>
      <w:u w:val="single"/>
    </w:rPr>
  </w:style>
  <w:style w:type="character" w:customStyle="1" w:styleId="Heading5Char">
    <w:name w:val="Heading 5 Char"/>
    <w:aliases w:val="Level 3 - i Char"/>
    <w:basedOn w:val="DefaultParagraphFont"/>
    <w:link w:val="Heading5"/>
    <w:semiHidden/>
    <w:rsid w:val="0070097E"/>
    <w:rPr>
      <w:rFonts w:eastAsia="Times New Roman" w:cstheme="minorHAnsi"/>
      <w:b/>
      <w:i/>
      <w:iCs/>
      <w:color w:val="000000"/>
      <w:kern w:val="28"/>
    </w:rPr>
  </w:style>
  <w:style w:type="paragraph" w:styleId="Header">
    <w:name w:val="header"/>
    <w:basedOn w:val="Normal"/>
    <w:link w:val="HeaderChar"/>
    <w:uiPriority w:val="99"/>
    <w:unhideWhenUsed/>
    <w:rsid w:val="00FA4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7D"/>
    <w:rPr>
      <w:rFonts w:ascii="Calibri" w:eastAsia="Calibri" w:hAnsi="Calibri" w:cs="Times New Roman"/>
    </w:rPr>
  </w:style>
  <w:style w:type="character" w:styleId="CommentReference">
    <w:name w:val="annotation reference"/>
    <w:basedOn w:val="DefaultParagraphFont"/>
    <w:uiPriority w:val="99"/>
    <w:semiHidden/>
    <w:unhideWhenUsed/>
    <w:rsid w:val="00EF058C"/>
    <w:rPr>
      <w:sz w:val="16"/>
      <w:szCs w:val="16"/>
    </w:rPr>
  </w:style>
  <w:style w:type="paragraph" w:styleId="CommentText">
    <w:name w:val="annotation text"/>
    <w:basedOn w:val="Normal"/>
    <w:link w:val="CommentTextChar"/>
    <w:uiPriority w:val="99"/>
    <w:semiHidden/>
    <w:unhideWhenUsed/>
    <w:rsid w:val="00EF058C"/>
    <w:pPr>
      <w:spacing w:line="240" w:lineRule="auto"/>
    </w:pPr>
    <w:rPr>
      <w:sz w:val="20"/>
      <w:szCs w:val="20"/>
    </w:rPr>
  </w:style>
  <w:style w:type="character" w:customStyle="1" w:styleId="CommentTextChar">
    <w:name w:val="Comment Text Char"/>
    <w:basedOn w:val="DefaultParagraphFont"/>
    <w:link w:val="CommentText"/>
    <w:uiPriority w:val="99"/>
    <w:semiHidden/>
    <w:rsid w:val="00EF05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058C"/>
    <w:rPr>
      <w:b/>
      <w:bCs/>
    </w:rPr>
  </w:style>
  <w:style w:type="character" w:customStyle="1" w:styleId="CommentSubjectChar">
    <w:name w:val="Comment Subject Char"/>
    <w:basedOn w:val="CommentTextChar"/>
    <w:link w:val="CommentSubject"/>
    <w:uiPriority w:val="99"/>
    <w:semiHidden/>
    <w:rsid w:val="00EF058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F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8C"/>
    <w:rPr>
      <w:rFonts w:ascii="Segoe UI" w:eastAsia="Calibri" w:hAnsi="Segoe UI" w:cs="Segoe UI"/>
      <w:sz w:val="18"/>
      <w:szCs w:val="18"/>
    </w:rPr>
  </w:style>
  <w:style w:type="character" w:customStyle="1" w:styleId="ListParagraphChar">
    <w:name w:val="List Paragraph Char"/>
    <w:aliases w:val="Project Profile name Char"/>
    <w:link w:val="ListParagraph"/>
    <w:uiPriority w:val="34"/>
    <w:rsid w:val="00230059"/>
    <w:rPr>
      <w:rFonts w:ascii="Palatino Linotype" w:eastAsia="Times New Roman" w:hAnsi="Palatino Linotype" w:cs="Palatino Linotype"/>
      <w:sz w:val="20"/>
      <w:szCs w:val="20"/>
      <w:lang w:val="en-GB"/>
    </w:rPr>
  </w:style>
  <w:style w:type="table" w:styleId="TableGrid">
    <w:name w:val="Table Grid"/>
    <w:basedOn w:val="TableNormal"/>
    <w:uiPriority w:val="59"/>
    <w:rsid w:val="00A607F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731">
      <w:bodyDiv w:val="1"/>
      <w:marLeft w:val="0"/>
      <w:marRight w:val="0"/>
      <w:marTop w:val="0"/>
      <w:marBottom w:val="0"/>
      <w:divBdr>
        <w:top w:val="none" w:sz="0" w:space="0" w:color="auto"/>
        <w:left w:val="none" w:sz="0" w:space="0" w:color="auto"/>
        <w:bottom w:val="none" w:sz="0" w:space="0" w:color="auto"/>
        <w:right w:val="none" w:sz="0" w:space="0" w:color="auto"/>
      </w:divBdr>
    </w:div>
    <w:div w:id="703941638">
      <w:bodyDiv w:val="1"/>
      <w:marLeft w:val="0"/>
      <w:marRight w:val="0"/>
      <w:marTop w:val="0"/>
      <w:marBottom w:val="0"/>
      <w:divBdr>
        <w:top w:val="none" w:sz="0" w:space="0" w:color="auto"/>
        <w:left w:val="none" w:sz="0" w:space="0" w:color="auto"/>
        <w:bottom w:val="none" w:sz="0" w:space="0" w:color="auto"/>
        <w:right w:val="none" w:sz="0" w:space="0" w:color="auto"/>
      </w:divBdr>
    </w:div>
    <w:div w:id="1143615720">
      <w:bodyDiv w:val="1"/>
      <w:marLeft w:val="0"/>
      <w:marRight w:val="0"/>
      <w:marTop w:val="0"/>
      <w:marBottom w:val="0"/>
      <w:divBdr>
        <w:top w:val="none" w:sz="0" w:space="0" w:color="auto"/>
        <w:left w:val="none" w:sz="0" w:space="0" w:color="auto"/>
        <w:bottom w:val="none" w:sz="0" w:space="0" w:color="auto"/>
        <w:right w:val="none" w:sz="0" w:space="0" w:color="auto"/>
      </w:divBdr>
    </w:div>
    <w:div w:id="1278751401">
      <w:bodyDiv w:val="1"/>
      <w:marLeft w:val="0"/>
      <w:marRight w:val="0"/>
      <w:marTop w:val="0"/>
      <w:marBottom w:val="0"/>
      <w:divBdr>
        <w:top w:val="none" w:sz="0" w:space="0" w:color="auto"/>
        <w:left w:val="none" w:sz="0" w:space="0" w:color="auto"/>
        <w:bottom w:val="none" w:sz="0" w:space="0" w:color="auto"/>
        <w:right w:val="none" w:sz="0" w:space="0" w:color="auto"/>
      </w:divBdr>
    </w:div>
    <w:div w:id="1370649379">
      <w:bodyDiv w:val="1"/>
      <w:marLeft w:val="0"/>
      <w:marRight w:val="0"/>
      <w:marTop w:val="0"/>
      <w:marBottom w:val="0"/>
      <w:divBdr>
        <w:top w:val="none" w:sz="0" w:space="0" w:color="auto"/>
        <w:left w:val="none" w:sz="0" w:space="0" w:color="auto"/>
        <w:bottom w:val="none" w:sz="0" w:space="0" w:color="auto"/>
        <w:right w:val="none" w:sz="0" w:space="0" w:color="auto"/>
      </w:divBdr>
    </w:div>
    <w:div w:id="1471242612">
      <w:bodyDiv w:val="1"/>
      <w:marLeft w:val="0"/>
      <w:marRight w:val="0"/>
      <w:marTop w:val="0"/>
      <w:marBottom w:val="0"/>
      <w:divBdr>
        <w:top w:val="none" w:sz="0" w:space="0" w:color="auto"/>
        <w:left w:val="none" w:sz="0" w:space="0" w:color="auto"/>
        <w:bottom w:val="none" w:sz="0" w:space="0" w:color="auto"/>
        <w:right w:val="none" w:sz="0" w:space="0" w:color="auto"/>
      </w:divBdr>
    </w:div>
    <w:div w:id="1483426207">
      <w:bodyDiv w:val="1"/>
      <w:marLeft w:val="0"/>
      <w:marRight w:val="0"/>
      <w:marTop w:val="0"/>
      <w:marBottom w:val="0"/>
      <w:divBdr>
        <w:top w:val="none" w:sz="0" w:space="0" w:color="auto"/>
        <w:left w:val="none" w:sz="0" w:space="0" w:color="auto"/>
        <w:bottom w:val="none" w:sz="0" w:space="0" w:color="auto"/>
        <w:right w:val="none" w:sz="0" w:space="0" w:color="auto"/>
      </w:divBdr>
    </w:div>
    <w:div w:id="1667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undp/library/corporate/Transparency/UNDP_Anti_Fraud_Policy_English_FINAL_june_2011.pdf" TargetMode="External"/><Relationship Id="rId3" Type="http://schemas.openxmlformats.org/officeDocument/2006/relationships/styles" Target="styles.xml"/><Relationship Id="rId7" Type="http://schemas.openxmlformats.org/officeDocument/2006/relationships/hyperlink" Target="mailto:moung.kee.aung@undp.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19C16A651B40859C052FB0A227C0E0"/>
        <w:category>
          <w:name w:val="General"/>
          <w:gallery w:val="placeholder"/>
        </w:category>
        <w:types>
          <w:type w:val="bbPlcHdr"/>
        </w:types>
        <w:behaviors>
          <w:behavior w:val="content"/>
        </w:behaviors>
        <w:guid w:val="{6406007E-8CC2-481C-A4FA-1F0FEE958974}"/>
      </w:docPartPr>
      <w:docPartBody>
        <w:p w:rsidR="004D0682" w:rsidRDefault="004D0682" w:rsidP="004D0682">
          <w:pPr>
            <w:pStyle w:val="3119C16A651B40859C052FB0A227C0E0"/>
          </w:pPr>
          <w:r>
            <w:rPr>
              <w:rFonts w:cstheme="minorHAnsi"/>
              <w:i/>
              <w:color w:val="000000" w:themeColor="text1"/>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611"/>
    <w:rsid w:val="000E4FD9"/>
    <w:rsid w:val="00277CDD"/>
    <w:rsid w:val="00333482"/>
    <w:rsid w:val="004D0682"/>
    <w:rsid w:val="004E4611"/>
    <w:rsid w:val="00582777"/>
    <w:rsid w:val="0058475F"/>
    <w:rsid w:val="006543B2"/>
    <w:rsid w:val="0068532A"/>
    <w:rsid w:val="00C53BAF"/>
    <w:rsid w:val="00D32B9C"/>
    <w:rsid w:val="00DB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C570FE78D47D0B9E38768FD5D17A1">
    <w:name w:val="911C570FE78D47D0B9E38768FD5D17A1"/>
    <w:rsid w:val="004E4611"/>
  </w:style>
  <w:style w:type="paragraph" w:customStyle="1" w:styleId="3119C16A651B40859C052FB0A227C0E0">
    <w:name w:val="3119C16A651B40859C052FB0A227C0E0"/>
    <w:rsid w:val="004D0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F3E3-D910-4A10-BF93-18E76E8A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Budhi Ulaen</dc:creator>
  <cp:keywords/>
  <dc:description/>
  <cp:lastModifiedBy>Moung Kee Aung</cp:lastModifiedBy>
  <cp:revision>4</cp:revision>
  <cp:lastPrinted>2018-10-08T11:34:00Z</cp:lastPrinted>
  <dcterms:created xsi:type="dcterms:W3CDTF">2018-07-12T07:36:00Z</dcterms:created>
  <dcterms:modified xsi:type="dcterms:W3CDTF">2018-10-08T13:14:00Z</dcterms:modified>
</cp:coreProperties>
</file>