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EA" w:rsidRPr="009716D3" w:rsidRDefault="00BE68E7" w:rsidP="00AA0AEA">
      <w:pPr>
        <w:pStyle w:val="NoSpacing"/>
        <w:jc w:val="center"/>
        <w:rPr>
          <w:rStyle w:val="Strong"/>
          <w:sz w:val="24"/>
        </w:rPr>
      </w:pPr>
      <w:r w:rsidRPr="009716D3">
        <w:rPr>
          <w:rStyle w:val="Strong"/>
          <w:sz w:val="24"/>
        </w:rPr>
        <w:t>RFP – Design Services, Bureau for Development Policy, Gender team</w:t>
      </w:r>
    </w:p>
    <w:p w:rsidR="002B5064" w:rsidRPr="009716D3" w:rsidRDefault="00AA0AEA" w:rsidP="00AA0AEA">
      <w:pPr>
        <w:pStyle w:val="NoSpacing"/>
        <w:jc w:val="center"/>
        <w:rPr>
          <w:rStyle w:val="Strong"/>
          <w:sz w:val="24"/>
        </w:rPr>
      </w:pPr>
      <w:r w:rsidRPr="009716D3">
        <w:rPr>
          <w:rStyle w:val="Strong"/>
          <w:sz w:val="24"/>
        </w:rPr>
        <w:t>Establishment of Long-Term Agreement</w:t>
      </w:r>
    </w:p>
    <w:p w:rsidR="00AA0AEA" w:rsidRPr="009716D3" w:rsidRDefault="00AA0AEA" w:rsidP="00AA0AEA">
      <w:pPr>
        <w:pStyle w:val="NoSpacing"/>
        <w:jc w:val="center"/>
        <w:rPr>
          <w:sz w:val="24"/>
        </w:rPr>
      </w:pPr>
    </w:p>
    <w:p w:rsidR="004F01ED" w:rsidRPr="009716D3" w:rsidRDefault="004F01ED" w:rsidP="00AA0AEA">
      <w:pPr>
        <w:pStyle w:val="NoSpacing"/>
        <w:jc w:val="center"/>
        <w:rPr>
          <w:sz w:val="24"/>
          <w:u w:val="single"/>
        </w:rPr>
      </w:pPr>
    </w:p>
    <w:p w:rsidR="00AA0AEA" w:rsidRPr="009716D3" w:rsidRDefault="00AA0AEA" w:rsidP="00AA0AEA">
      <w:pPr>
        <w:pStyle w:val="NoSpacing"/>
        <w:jc w:val="center"/>
        <w:rPr>
          <w:sz w:val="24"/>
          <w:u w:val="single"/>
        </w:rPr>
      </w:pPr>
      <w:r w:rsidRPr="009716D3">
        <w:rPr>
          <w:sz w:val="24"/>
          <w:u w:val="single"/>
        </w:rPr>
        <w:t>Question and Answer Report</w:t>
      </w:r>
    </w:p>
    <w:p w:rsidR="00AA0AEA" w:rsidRPr="009716D3" w:rsidRDefault="00AA0AEA" w:rsidP="00AA0AEA">
      <w:pPr>
        <w:pStyle w:val="NoSpacing"/>
        <w:jc w:val="center"/>
        <w:rPr>
          <w:b/>
          <w:sz w:val="24"/>
        </w:rPr>
      </w:pPr>
    </w:p>
    <w:p w:rsidR="00AA0AEA" w:rsidRPr="009716D3" w:rsidRDefault="00AA0AEA" w:rsidP="00AA0AEA">
      <w:pPr>
        <w:pStyle w:val="Default"/>
        <w:rPr>
          <w:color w:val="auto"/>
        </w:rPr>
      </w:pPr>
    </w:p>
    <w:p w:rsidR="00AA0AEA" w:rsidRPr="009716D3" w:rsidRDefault="004D22E5" w:rsidP="00AA0AEA">
      <w:pPr>
        <w:pStyle w:val="NoSpacing"/>
      </w:pPr>
      <w:r w:rsidRPr="009716D3">
        <w:t xml:space="preserve">The </w:t>
      </w:r>
      <w:r w:rsidR="00AA0AEA" w:rsidRPr="009716D3">
        <w:t>UNDP Gender Team has</w:t>
      </w:r>
      <w:r w:rsidRPr="009716D3">
        <w:t xml:space="preserve"> received</w:t>
      </w:r>
      <w:r w:rsidR="00AA0AEA" w:rsidRPr="009716D3">
        <w:t xml:space="preserve"> the following question(s) on its advertisement</w:t>
      </w:r>
      <w:r w:rsidR="00AA0AEA" w:rsidRPr="009716D3">
        <w:rPr>
          <w:rStyle w:val="Strong"/>
          <w:b w:val="0"/>
          <w:sz w:val="24"/>
        </w:rPr>
        <w:t xml:space="preserve"> for Long-Term Agreement </w:t>
      </w:r>
      <w:r w:rsidR="00BE68E7" w:rsidRPr="009716D3">
        <w:rPr>
          <w:rStyle w:val="Strong"/>
          <w:b w:val="0"/>
          <w:sz w:val="24"/>
        </w:rPr>
        <w:t>for design services</w:t>
      </w:r>
      <w:r w:rsidR="00AA0AEA" w:rsidRPr="009716D3">
        <w:t>. All question(s) received to-date are documented below with respective answers.</w:t>
      </w:r>
    </w:p>
    <w:p w:rsidR="00E75B6D" w:rsidRPr="009716D3" w:rsidRDefault="00E75B6D" w:rsidP="00AA0AEA">
      <w:pPr>
        <w:pStyle w:val="NoSpacing"/>
      </w:pPr>
    </w:p>
    <w:tbl>
      <w:tblPr>
        <w:tblStyle w:val="TableGrid"/>
        <w:tblW w:w="0" w:type="auto"/>
        <w:tblLook w:val="04A0" w:firstRow="1" w:lastRow="0" w:firstColumn="1" w:lastColumn="0" w:noHBand="0" w:noVBand="1"/>
      </w:tblPr>
      <w:tblGrid>
        <w:gridCol w:w="1186"/>
        <w:gridCol w:w="1280"/>
        <w:gridCol w:w="7110"/>
      </w:tblGrid>
      <w:tr w:rsidR="009716D3" w:rsidRPr="009716D3" w:rsidTr="00822969">
        <w:tc>
          <w:tcPr>
            <w:tcW w:w="9576" w:type="dxa"/>
            <w:gridSpan w:val="3"/>
          </w:tcPr>
          <w:p w:rsidR="00E75B6D" w:rsidRPr="009716D3" w:rsidRDefault="00E75B6D" w:rsidP="00E75B6D">
            <w:pPr>
              <w:pStyle w:val="NoSpacing"/>
              <w:jc w:val="center"/>
              <w:rPr>
                <w:rFonts w:cs="Arial"/>
                <w:b/>
              </w:rPr>
            </w:pPr>
            <w:r w:rsidRPr="009716D3">
              <w:rPr>
                <w:rFonts w:cs="Arial"/>
                <w:b/>
              </w:rPr>
              <w:t>Questions and Answers</w:t>
            </w:r>
          </w:p>
        </w:tc>
      </w:tr>
      <w:tr w:rsidR="009716D3" w:rsidRPr="009716D3" w:rsidTr="00EE118E">
        <w:trPr>
          <w:trHeight w:val="332"/>
        </w:trPr>
        <w:tc>
          <w:tcPr>
            <w:tcW w:w="1186" w:type="dxa"/>
            <w:vMerge w:val="restart"/>
          </w:tcPr>
          <w:p w:rsidR="00E75B6D" w:rsidRPr="009716D3" w:rsidRDefault="00E75B6D" w:rsidP="00AA0AEA">
            <w:pPr>
              <w:pStyle w:val="NoSpacing"/>
              <w:rPr>
                <w:rFonts w:ascii="Arial" w:hAnsi="Arial" w:cs="Arial"/>
              </w:rPr>
            </w:pPr>
            <w:r w:rsidRPr="009716D3">
              <w:rPr>
                <w:rFonts w:ascii="Arial" w:hAnsi="Arial" w:cs="Arial"/>
              </w:rPr>
              <w:t>1.</w:t>
            </w:r>
          </w:p>
        </w:tc>
        <w:tc>
          <w:tcPr>
            <w:tcW w:w="1280" w:type="dxa"/>
            <w:vAlign w:val="center"/>
          </w:tcPr>
          <w:p w:rsidR="00E75B6D" w:rsidRPr="009716D3" w:rsidRDefault="00E75B6D" w:rsidP="00E75B6D">
            <w:pPr>
              <w:pStyle w:val="NoSpacing"/>
              <w:rPr>
                <w:rFonts w:ascii="Arial" w:hAnsi="Arial" w:cs="Arial"/>
              </w:rPr>
            </w:pPr>
            <w:r w:rsidRPr="009716D3">
              <w:rPr>
                <w:rFonts w:ascii="Arial" w:hAnsi="Arial" w:cs="Arial"/>
              </w:rPr>
              <w:t>Q</w:t>
            </w:r>
          </w:p>
        </w:tc>
        <w:tc>
          <w:tcPr>
            <w:tcW w:w="7110" w:type="dxa"/>
            <w:vAlign w:val="center"/>
          </w:tcPr>
          <w:p w:rsidR="002C001E" w:rsidRPr="009716D3" w:rsidRDefault="00211A4B" w:rsidP="00BE68E7">
            <w:pPr>
              <w:pStyle w:val="NoSpacing"/>
            </w:pPr>
            <w:r w:rsidRPr="009716D3">
              <w:t xml:space="preserve">Could you let me know up to how many companies might be given an LTA, as this greatly effects our volume </w:t>
            </w:r>
            <w:proofErr w:type="gramStart"/>
            <w:r w:rsidRPr="009716D3">
              <w:t>costing.</w:t>
            </w:r>
            <w:proofErr w:type="gramEnd"/>
          </w:p>
        </w:tc>
      </w:tr>
      <w:tr w:rsidR="009716D3" w:rsidRPr="009716D3" w:rsidTr="00EE118E">
        <w:trPr>
          <w:trHeight w:val="60"/>
        </w:trPr>
        <w:tc>
          <w:tcPr>
            <w:tcW w:w="1186" w:type="dxa"/>
            <w:vMerge/>
          </w:tcPr>
          <w:p w:rsidR="00E75B6D" w:rsidRPr="009716D3" w:rsidRDefault="00E75B6D" w:rsidP="00AA0AEA">
            <w:pPr>
              <w:pStyle w:val="NoSpacing"/>
              <w:rPr>
                <w:rFonts w:ascii="Arial" w:hAnsi="Arial" w:cs="Arial"/>
              </w:rPr>
            </w:pPr>
          </w:p>
        </w:tc>
        <w:tc>
          <w:tcPr>
            <w:tcW w:w="1280" w:type="dxa"/>
            <w:vAlign w:val="center"/>
          </w:tcPr>
          <w:p w:rsidR="00E75B6D" w:rsidRPr="009716D3" w:rsidRDefault="00E75B6D" w:rsidP="002C001E">
            <w:pPr>
              <w:pStyle w:val="NoSpacing"/>
              <w:rPr>
                <w:rFonts w:ascii="Arial" w:hAnsi="Arial" w:cs="Arial"/>
              </w:rPr>
            </w:pPr>
            <w:r w:rsidRPr="009716D3">
              <w:rPr>
                <w:rFonts w:ascii="Arial" w:hAnsi="Arial" w:cs="Arial"/>
              </w:rPr>
              <w:t>A</w:t>
            </w:r>
          </w:p>
        </w:tc>
        <w:tc>
          <w:tcPr>
            <w:tcW w:w="7110" w:type="dxa"/>
          </w:tcPr>
          <w:p w:rsidR="00E75B6D" w:rsidRPr="009716D3" w:rsidRDefault="00211A4B" w:rsidP="00385673">
            <w:pPr>
              <w:rPr>
                <w:rFonts w:ascii="Arial" w:hAnsi="Arial" w:cs="Arial"/>
              </w:rPr>
            </w:pPr>
            <w:r w:rsidRPr="009716D3">
              <w:t>The original plan is to establish only one LTA. However depending on the bidder’s capacity</w:t>
            </w:r>
            <w:r w:rsidR="00102291" w:rsidRPr="009716D3">
              <w:t xml:space="preserve">, their proposals and price quotes </w:t>
            </w:r>
            <w:r w:rsidRPr="009716D3">
              <w:t>the procuring unit</w:t>
            </w:r>
            <w:r w:rsidR="00102291" w:rsidRPr="009716D3">
              <w:t xml:space="preserve"> </w:t>
            </w:r>
            <w:r w:rsidRPr="009716D3">
              <w:t xml:space="preserve">may enter into up to two LTAs. </w:t>
            </w:r>
          </w:p>
        </w:tc>
      </w:tr>
      <w:tr w:rsidR="009716D3" w:rsidRPr="009716D3" w:rsidTr="00EE118E">
        <w:tc>
          <w:tcPr>
            <w:tcW w:w="1186" w:type="dxa"/>
            <w:vMerge w:val="restart"/>
          </w:tcPr>
          <w:p w:rsidR="00FA624D" w:rsidRPr="009716D3" w:rsidRDefault="00FA624D" w:rsidP="00AA0AEA">
            <w:pPr>
              <w:pStyle w:val="NoSpacing"/>
              <w:rPr>
                <w:rFonts w:ascii="Arial" w:hAnsi="Arial" w:cs="Arial"/>
              </w:rPr>
            </w:pPr>
            <w:r w:rsidRPr="009716D3">
              <w:rPr>
                <w:rFonts w:ascii="Arial" w:hAnsi="Arial" w:cs="Arial"/>
              </w:rPr>
              <w:t xml:space="preserve">2. </w:t>
            </w:r>
          </w:p>
        </w:tc>
        <w:tc>
          <w:tcPr>
            <w:tcW w:w="1280" w:type="dxa"/>
            <w:vAlign w:val="center"/>
          </w:tcPr>
          <w:p w:rsidR="00FA624D" w:rsidRPr="009716D3" w:rsidRDefault="00FA624D" w:rsidP="002578B0">
            <w:pPr>
              <w:pStyle w:val="NoSpacing"/>
              <w:rPr>
                <w:rFonts w:ascii="Arial" w:hAnsi="Arial" w:cs="Arial"/>
              </w:rPr>
            </w:pPr>
            <w:r w:rsidRPr="009716D3">
              <w:rPr>
                <w:rFonts w:ascii="Arial" w:hAnsi="Arial" w:cs="Arial"/>
              </w:rPr>
              <w:t>Q</w:t>
            </w:r>
          </w:p>
        </w:tc>
        <w:tc>
          <w:tcPr>
            <w:tcW w:w="7110" w:type="dxa"/>
          </w:tcPr>
          <w:p w:rsidR="00E84B50" w:rsidRPr="009716D3" w:rsidRDefault="00E84B50" w:rsidP="00E84B50">
            <w:r w:rsidRPr="009716D3">
              <w:t>What is the expected duration of this long-term agreement?</w:t>
            </w:r>
          </w:p>
          <w:p w:rsidR="00FA624D" w:rsidRPr="009716D3" w:rsidRDefault="00FA624D" w:rsidP="002C001E"/>
        </w:tc>
      </w:tr>
      <w:tr w:rsidR="009716D3" w:rsidRPr="009716D3" w:rsidTr="00EE118E">
        <w:tc>
          <w:tcPr>
            <w:tcW w:w="1186" w:type="dxa"/>
            <w:vMerge/>
          </w:tcPr>
          <w:p w:rsidR="00FA624D" w:rsidRPr="009716D3" w:rsidRDefault="00FA624D" w:rsidP="00AA0AEA">
            <w:pPr>
              <w:pStyle w:val="NoSpacing"/>
              <w:rPr>
                <w:rFonts w:ascii="Arial" w:hAnsi="Arial" w:cs="Arial"/>
              </w:rPr>
            </w:pPr>
          </w:p>
        </w:tc>
        <w:tc>
          <w:tcPr>
            <w:tcW w:w="1280" w:type="dxa"/>
            <w:vAlign w:val="center"/>
          </w:tcPr>
          <w:p w:rsidR="00FA624D" w:rsidRPr="009716D3" w:rsidRDefault="00FA624D" w:rsidP="002578B0">
            <w:pPr>
              <w:pStyle w:val="NoSpacing"/>
              <w:rPr>
                <w:rFonts w:ascii="Arial" w:hAnsi="Arial" w:cs="Arial"/>
              </w:rPr>
            </w:pPr>
            <w:r w:rsidRPr="009716D3">
              <w:rPr>
                <w:rFonts w:ascii="Arial" w:hAnsi="Arial" w:cs="Arial"/>
              </w:rPr>
              <w:t>A</w:t>
            </w:r>
          </w:p>
        </w:tc>
        <w:tc>
          <w:tcPr>
            <w:tcW w:w="7110" w:type="dxa"/>
          </w:tcPr>
          <w:p w:rsidR="0041004C" w:rsidRPr="009716D3" w:rsidRDefault="0041004C" w:rsidP="0041004C">
            <w:r w:rsidRPr="009716D3">
              <w:t xml:space="preserve">Estimated for 4-6 months </w:t>
            </w:r>
          </w:p>
          <w:p w:rsidR="00FA624D" w:rsidRPr="009716D3" w:rsidRDefault="00FA624D" w:rsidP="00E84B50"/>
        </w:tc>
      </w:tr>
      <w:tr w:rsidR="009716D3" w:rsidRPr="009716D3" w:rsidTr="00EE118E">
        <w:tc>
          <w:tcPr>
            <w:tcW w:w="1186" w:type="dxa"/>
            <w:vMerge w:val="restart"/>
          </w:tcPr>
          <w:p w:rsidR="00222C58" w:rsidRPr="009716D3" w:rsidRDefault="00222C58" w:rsidP="00AA0AEA">
            <w:pPr>
              <w:pStyle w:val="NoSpacing"/>
              <w:rPr>
                <w:rFonts w:ascii="Arial" w:hAnsi="Arial" w:cs="Arial"/>
              </w:rPr>
            </w:pPr>
            <w:r w:rsidRPr="009716D3">
              <w:rPr>
                <w:rFonts w:ascii="Arial" w:hAnsi="Arial" w:cs="Arial"/>
              </w:rPr>
              <w:t>3.</w:t>
            </w:r>
          </w:p>
        </w:tc>
        <w:tc>
          <w:tcPr>
            <w:tcW w:w="1280" w:type="dxa"/>
            <w:vAlign w:val="center"/>
          </w:tcPr>
          <w:p w:rsidR="00222C58" w:rsidRPr="009716D3" w:rsidRDefault="00222C58" w:rsidP="00EA29BD">
            <w:pPr>
              <w:pStyle w:val="NoSpacing"/>
              <w:rPr>
                <w:rFonts w:ascii="Arial" w:hAnsi="Arial" w:cs="Arial"/>
              </w:rPr>
            </w:pPr>
            <w:r w:rsidRPr="009716D3">
              <w:rPr>
                <w:rFonts w:ascii="Arial" w:hAnsi="Arial" w:cs="Arial"/>
              </w:rPr>
              <w:t>Q</w:t>
            </w:r>
          </w:p>
        </w:tc>
        <w:tc>
          <w:tcPr>
            <w:tcW w:w="7110" w:type="dxa"/>
          </w:tcPr>
          <w:p w:rsidR="00E84B50" w:rsidRPr="009716D3" w:rsidRDefault="00E84B50" w:rsidP="00E84B50">
            <w:r w:rsidRPr="009716D3">
              <w:t>Can you specify the maximum budget available for services provided under this long-term agreement?</w:t>
            </w:r>
          </w:p>
          <w:p w:rsidR="00B937F2" w:rsidRPr="009716D3" w:rsidRDefault="00B937F2" w:rsidP="00FA242F"/>
        </w:tc>
      </w:tr>
      <w:tr w:rsidR="009716D3" w:rsidRPr="009716D3" w:rsidTr="00EE118E">
        <w:tc>
          <w:tcPr>
            <w:tcW w:w="1186" w:type="dxa"/>
            <w:vMerge/>
          </w:tcPr>
          <w:p w:rsidR="00222C58" w:rsidRPr="009716D3" w:rsidRDefault="00222C58" w:rsidP="00AA0AEA">
            <w:pPr>
              <w:pStyle w:val="NoSpacing"/>
              <w:rPr>
                <w:rFonts w:ascii="Arial" w:hAnsi="Arial" w:cs="Arial"/>
              </w:rPr>
            </w:pPr>
          </w:p>
        </w:tc>
        <w:tc>
          <w:tcPr>
            <w:tcW w:w="1280" w:type="dxa"/>
            <w:vAlign w:val="center"/>
          </w:tcPr>
          <w:p w:rsidR="00222C58" w:rsidRPr="009716D3" w:rsidRDefault="00222C58" w:rsidP="00EA29BD">
            <w:pPr>
              <w:pStyle w:val="NoSpacing"/>
              <w:rPr>
                <w:rFonts w:ascii="Arial" w:hAnsi="Arial" w:cs="Arial"/>
              </w:rPr>
            </w:pPr>
            <w:r w:rsidRPr="009716D3">
              <w:rPr>
                <w:rFonts w:ascii="Arial" w:hAnsi="Arial" w:cs="Arial"/>
              </w:rPr>
              <w:t>A</w:t>
            </w:r>
          </w:p>
        </w:tc>
        <w:tc>
          <w:tcPr>
            <w:tcW w:w="7110" w:type="dxa"/>
          </w:tcPr>
          <w:p w:rsidR="0041004C" w:rsidRPr="009716D3" w:rsidRDefault="0041004C" w:rsidP="0041004C">
            <w:r w:rsidRPr="009716D3">
              <w:t>This information can’t be disclosed to the bidders.</w:t>
            </w:r>
          </w:p>
          <w:p w:rsidR="00B937F2" w:rsidRPr="009716D3" w:rsidRDefault="00B937F2" w:rsidP="00B937F2">
            <w:pPr>
              <w:rPr>
                <w:b/>
              </w:rPr>
            </w:pPr>
          </w:p>
        </w:tc>
      </w:tr>
      <w:tr w:rsidR="009716D3" w:rsidRPr="009716D3" w:rsidTr="00EE118E">
        <w:tc>
          <w:tcPr>
            <w:tcW w:w="1186" w:type="dxa"/>
            <w:vMerge w:val="restart"/>
          </w:tcPr>
          <w:p w:rsidR="00B87D6D" w:rsidRPr="009716D3" w:rsidRDefault="00B87D6D" w:rsidP="00FD0AC4">
            <w:pPr>
              <w:pStyle w:val="NoSpacing"/>
              <w:rPr>
                <w:rFonts w:ascii="Arial" w:hAnsi="Arial" w:cs="Arial"/>
              </w:rPr>
            </w:pPr>
            <w:r w:rsidRPr="009716D3">
              <w:rPr>
                <w:rFonts w:ascii="Arial" w:hAnsi="Arial" w:cs="Arial"/>
              </w:rPr>
              <w:t xml:space="preserve">4. </w:t>
            </w:r>
          </w:p>
        </w:tc>
        <w:tc>
          <w:tcPr>
            <w:tcW w:w="1280" w:type="dxa"/>
          </w:tcPr>
          <w:p w:rsidR="00B87D6D" w:rsidRPr="009716D3" w:rsidRDefault="00B87D6D" w:rsidP="00FD0AC4">
            <w:pPr>
              <w:pStyle w:val="NoSpacing"/>
              <w:rPr>
                <w:rFonts w:ascii="Arial" w:hAnsi="Arial" w:cs="Arial"/>
              </w:rPr>
            </w:pPr>
            <w:r w:rsidRPr="009716D3">
              <w:rPr>
                <w:rFonts w:ascii="Arial" w:hAnsi="Arial" w:cs="Arial"/>
              </w:rPr>
              <w:t>Q</w:t>
            </w:r>
          </w:p>
        </w:tc>
        <w:tc>
          <w:tcPr>
            <w:tcW w:w="7110" w:type="dxa"/>
          </w:tcPr>
          <w:p w:rsidR="00B87D6D" w:rsidRPr="009716D3" w:rsidRDefault="00A85866" w:rsidP="00FD0AC4">
            <w:r w:rsidRPr="009716D3">
              <w:t>The RFP Cover letter lists Annexes 1-7. However, when opening Annex 7, the document is titled Annex 8. Is there a missing Annex 7 or is this simply a clerical error?</w:t>
            </w:r>
          </w:p>
        </w:tc>
      </w:tr>
      <w:tr w:rsidR="009716D3" w:rsidRPr="009716D3" w:rsidTr="00EE118E">
        <w:tc>
          <w:tcPr>
            <w:tcW w:w="1186" w:type="dxa"/>
            <w:vMerge/>
          </w:tcPr>
          <w:p w:rsidR="00B87D6D" w:rsidRPr="009716D3" w:rsidRDefault="00B87D6D" w:rsidP="00FD0AC4">
            <w:pPr>
              <w:pStyle w:val="NoSpacing"/>
              <w:rPr>
                <w:rFonts w:ascii="Arial" w:hAnsi="Arial" w:cs="Arial"/>
              </w:rPr>
            </w:pPr>
          </w:p>
        </w:tc>
        <w:tc>
          <w:tcPr>
            <w:tcW w:w="1280" w:type="dxa"/>
          </w:tcPr>
          <w:p w:rsidR="00B87D6D" w:rsidRPr="009716D3" w:rsidRDefault="00B87D6D" w:rsidP="00FD0AC4">
            <w:pPr>
              <w:pStyle w:val="NoSpacing"/>
              <w:rPr>
                <w:rFonts w:ascii="Arial" w:hAnsi="Arial" w:cs="Arial"/>
              </w:rPr>
            </w:pPr>
            <w:r w:rsidRPr="009716D3">
              <w:rPr>
                <w:rFonts w:ascii="Arial" w:hAnsi="Arial" w:cs="Arial"/>
              </w:rPr>
              <w:t>A</w:t>
            </w:r>
          </w:p>
        </w:tc>
        <w:tc>
          <w:tcPr>
            <w:tcW w:w="7110" w:type="dxa"/>
          </w:tcPr>
          <w:p w:rsidR="00B87D6D" w:rsidRPr="009716D3" w:rsidRDefault="004B1CD7" w:rsidP="00FD0AC4">
            <w:r w:rsidRPr="009716D3">
              <w:t>This is a typo. There is no annex 8.</w:t>
            </w:r>
          </w:p>
          <w:p w:rsidR="004B1CD7" w:rsidRPr="009716D3" w:rsidRDefault="004B1CD7" w:rsidP="00FD0AC4"/>
        </w:tc>
      </w:tr>
      <w:tr w:rsidR="009716D3" w:rsidRPr="009716D3" w:rsidTr="00EE118E">
        <w:tc>
          <w:tcPr>
            <w:tcW w:w="1186" w:type="dxa"/>
            <w:vMerge w:val="restart"/>
          </w:tcPr>
          <w:p w:rsidR="00B87D6D" w:rsidRPr="009716D3" w:rsidRDefault="00B87D6D" w:rsidP="00FD0AC4">
            <w:pPr>
              <w:pStyle w:val="NoSpacing"/>
              <w:rPr>
                <w:rFonts w:ascii="Arial" w:hAnsi="Arial" w:cs="Arial"/>
              </w:rPr>
            </w:pPr>
            <w:r w:rsidRPr="009716D3">
              <w:rPr>
                <w:rFonts w:ascii="Arial" w:hAnsi="Arial" w:cs="Arial"/>
              </w:rPr>
              <w:t>5.</w:t>
            </w:r>
          </w:p>
        </w:tc>
        <w:tc>
          <w:tcPr>
            <w:tcW w:w="1280" w:type="dxa"/>
          </w:tcPr>
          <w:p w:rsidR="00B87D6D" w:rsidRPr="009716D3" w:rsidRDefault="00B87D6D" w:rsidP="00FD0AC4">
            <w:pPr>
              <w:pStyle w:val="NoSpacing"/>
              <w:rPr>
                <w:rFonts w:ascii="Arial" w:hAnsi="Arial" w:cs="Arial"/>
              </w:rPr>
            </w:pPr>
            <w:r w:rsidRPr="009716D3">
              <w:rPr>
                <w:rFonts w:ascii="Arial" w:hAnsi="Arial" w:cs="Arial"/>
              </w:rPr>
              <w:t>Q</w:t>
            </w:r>
          </w:p>
        </w:tc>
        <w:tc>
          <w:tcPr>
            <w:tcW w:w="7110" w:type="dxa"/>
          </w:tcPr>
          <w:p w:rsidR="00A85866" w:rsidRPr="009716D3" w:rsidRDefault="00A85866" w:rsidP="00A85866">
            <w:r w:rsidRPr="009716D3">
              <w:t xml:space="preserve">In Annex 1 ‘Price Quotation’: </w:t>
            </w:r>
            <w:proofErr w:type="gramStart"/>
            <w:r w:rsidRPr="009716D3">
              <w:t>are the number</w:t>
            </w:r>
            <w:proofErr w:type="gramEnd"/>
            <w:r w:rsidRPr="009716D3">
              <w:t xml:space="preserve"> of units indicated for 2013 realistic estimates, or is this likely to change?</w:t>
            </w:r>
          </w:p>
          <w:p w:rsidR="00B87D6D" w:rsidRPr="009716D3" w:rsidRDefault="00B87D6D" w:rsidP="00FD0AC4"/>
        </w:tc>
      </w:tr>
      <w:tr w:rsidR="009716D3" w:rsidRPr="009716D3" w:rsidTr="00EE118E">
        <w:tc>
          <w:tcPr>
            <w:tcW w:w="1186" w:type="dxa"/>
            <w:vMerge/>
          </w:tcPr>
          <w:p w:rsidR="00B87D6D" w:rsidRPr="009716D3" w:rsidRDefault="00B87D6D" w:rsidP="00FD0AC4">
            <w:pPr>
              <w:pStyle w:val="NoSpacing"/>
              <w:rPr>
                <w:rFonts w:ascii="Arial" w:hAnsi="Arial" w:cs="Arial"/>
              </w:rPr>
            </w:pPr>
          </w:p>
        </w:tc>
        <w:tc>
          <w:tcPr>
            <w:tcW w:w="1280" w:type="dxa"/>
          </w:tcPr>
          <w:p w:rsidR="00B87D6D" w:rsidRPr="009716D3" w:rsidRDefault="00B87D6D" w:rsidP="00FD0AC4">
            <w:pPr>
              <w:pStyle w:val="NoSpacing"/>
              <w:rPr>
                <w:rFonts w:ascii="Arial" w:hAnsi="Arial" w:cs="Arial"/>
              </w:rPr>
            </w:pPr>
            <w:r w:rsidRPr="009716D3">
              <w:rPr>
                <w:rFonts w:ascii="Arial" w:hAnsi="Arial" w:cs="Arial"/>
              </w:rPr>
              <w:t>A</w:t>
            </w:r>
          </w:p>
        </w:tc>
        <w:tc>
          <w:tcPr>
            <w:tcW w:w="7110" w:type="dxa"/>
          </w:tcPr>
          <w:p w:rsidR="00B87D6D" w:rsidRPr="009716D3" w:rsidRDefault="004B1CD7" w:rsidP="00FD0AC4">
            <w:r w:rsidRPr="009716D3">
              <w:t>Indeed, this are estimations and the volume of work may slightly change</w:t>
            </w:r>
          </w:p>
          <w:p w:rsidR="004B1CD7" w:rsidRPr="009716D3" w:rsidRDefault="004B1CD7" w:rsidP="00FD0AC4"/>
        </w:tc>
      </w:tr>
      <w:tr w:rsidR="009716D3" w:rsidRPr="009716D3" w:rsidTr="00EE118E">
        <w:tc>
          <w:tcPr>
            <w:tcW w:w="1186" w:type="dxa"/>
            <w:vMerge w:val="restart"/>
          </w:tcPr>
          <w:p w:rsidR="00B87D6D" w:rsidRPr="009716D3" w:rsidRDefault="00B87D6D" w:rsidP="00FD0AC4">
            <w:pPr>
              <w:pStyle w:val="NoSpacing"/>
              <w:rPr>
                <w:rFonts w:ascii="Arial" w:hAnsi="Arial" w:cs="Arial"/>
              </w:rPr>
            </w:pPr>
            <w:r w:rsidRPr="009716D3">
              <w:rPr>
                <w:rFonts w:ascii="Arial" w:hAnsi="Arial" w:cs="Arial"/>
              </w:rPr>
              <w:t xml:space="preserve">6. </w:t>
            </w:r>
          </w:p>
        </w:tc>
        <w:tc>
          <w:tcPr>
            <w:tcW w:w="1280" w:type="dxa"/>
          </w:tcPr>
          <w:p w:rsidR="00B87D6D" w:rsidRPr="009716D3" w:rsidRDefault="00B87D6D" w:rsidP="00FD0AC4">
            <w:pPr>
              <w:pStyle w:val="NoSpacing"/>
              <w:rPr>
                <w:rFonts w:ascii="Arial" w:hAnsi="Arial" w:cs="Arial"/>
              </w:rPr>
            </w:pPr>
            <w:r w:rsidRPr="009716D3">
              <w:rPr>
                <w:rFonts w:ascii="Arial" w:hAnsi="Arial" w:cs="Arial"/>
              </w:rPr>
              <w:t>Q</w:t>
            </w:r>
          </w:p>
        </w:tc>
        <w:tc>
          <w:tcPr>
            <w:tcW w:w="7110" w:type="dxa"/>
          </w:tcPr>
          <w:p w:rsidR="00480042" w:rsidRPr="009716D3" w:rsidRDefault="00480042" w:rsidP="00480042">
            <w:r w:rsidRPr="009716D3">
              <w:t>In Annex 1 are mentioned the number of photos required. Is the contractor expected to cover the cost of purchase of any such photo material?</w:t>
            </w:r>
          </w:p>
          <w:p w:rsidR="00B87D6D" w:rsidRPr="009716D3" w:rsidRDefault="00B87D6D" w:rsidP="00FD0AC4"/>
        </w:tc>
      </w:tr>
      <w:tr w:rsidR="009716D3" w:rsidRPr="009716D3" w:rsidTr="00EE118E">
        <w:tc>
          <w:tcPr>
            <w:tcW w:w="1186" w:type="dxa"/>
            <w:vMerge/>
          </w:tcPr>
          <w:p w:rsidR="00B87D6D" w:rsidRPr="009716D3" w:rsidRDefault="00B87D6D" w:rsidP="00FD0AC4">
            <w:pPr>
              <w:pStyle w:val="NoSpacing"/>
              <w:rPr>
                <w:rFonts w:ascii="Arial" w:hAnsi="Arial" w:cs="Arial"/>
              </w:rPr>
            </w:pPr>
          </w:p>
        </w:tc>
        <w:tc>
          <w:tcPr>
            <w:tcW w:w="1280" w:type="dxa"/>
          </w:tcPr>
          <w:p w:rsidR="00B87D6D" w:rsidRPr="00670174" w:rsidRDefault="00B87D6D" w:rsidP="00FD0AC4">
            <w:pPr>
              <w:pStyle w:val="NoSpacing"/>
              <w:rPr>
                <w:rFonts w:ascii="Arial" w:hAnsi="Arial" w:cs="Arial"/>
              </w:rPr>
            </w:pPr>
            <w:r w:rsidRPr="00670174">
              <w:rPr>
                <w:rFonts w:ascii="Arial" w:hAnsi="Arial" w:cs="Arial"/>
              </w:rPr>
              <w:t>A</w:t>
            </w:r>
          </w:p>
        </w:tc>
        <w:tc>
          <w:tcPr>
            <w:tcW w:w="7110" w:type="dxa"/>
          </w:tcPr>
          <w:p w:rsidR="00B87D6D" w:rsidRPr="00670174" w:rsidRDefault="00670174" w:rsidP="009716D3">
            <w:r w:rsidRPr="00670174">
              <w:rPr>
                <w:rStyle w:val="apple-style-span"/>
                <w:rFonts w:ascii="Calibri" w:hAnsi="Calibri"/>
                <w:bCs/>
                <w:iCs/>
              </w:rPr>
              <w:t>The contractor is not expected to provide photos. Please indicate your charge per hour for photo research</w:t>
            </w:r>
          </w:p>
        </w:tc>
      </w:tr>
      <w:tr w:rsidR="009716D3" w:rsidRPr="009716D3" w:rsidTr="00EE118E">
        <w:tc>
          <w:tcPr>
            <w:tcW w:w="1186" w:type="dxa"/>
            <w:vMerge w:val="restart"/>
          </w:tcPr>
          <w:p w:rsidR="00B87D6D" w:rsidRPr="009716D3" w:rsidRDefault="00B87D6D" w:rsidP="00FD0AC4">
            <w:pPr>
              <w:pStyle w:val="NoSpacing"/>
              <w:rPr>
                <w:rFonts w:ascii="Arial" w:hAnsi="Arial" w:cs="Arial"/>
              </w:rPr>
            </w:pPr>
            <w:r w:rsidRPr="009716D3">
              <w:rPr>
                <w:rFonts w:ascii="Arial" w:hAnsi="Arial" w:cs="Arial"/>
              </w:rPr>
              <w:t>7.</w:t>
            </w:r>
          </w:p>
        </w:tc>
        <w:tc>
          <w:tcPr>
            <w:tcW w:w="1280" w:type="dxa"/>
          </w:tcPr>
          <w:p w:rsidR="00B87D6D" w:rsidRPr="009716D3" w:rsidRDefault="00B87D6D" w:rsidP="00FD0AC4">
            <w:pPr>
              <w:pStyle w:val="NoSpacing"/>
              <w:rPr>
                <w:rFonts w:ascii="Arial" w:hAnsi="Arial" w:cs="Arial"/>
              </w:rPr>
            </w:pPr>
            <w:r w:rsidRPr="009716D3">
              <w:rPr>
                <w:rFonts w:ascii="Arial" w:hAnsi="Arial" w:cs="Arial"/>
              </w:rPr>
              <w:t>Q</w:t>
            </w:r>
          </w:p>
        </w:tc>
        <w:tc>
          <w:tcPr>
            <w:tcW w:w="7110" w:type="dxa"/>
          </w:tcPr>
          <w:p w:rsidR="009E0D1F" w:rsidRPr="009716D3" w:rsidRDefault="009E0D1F" w:rsidP="009E0D1F">
            <w:r w:rsidRPr="009716D3">
              <w:t>In Annex 1 in the second table relating to InDesign templates, from row ‘Info graphics’ onwards, in which column do you expect tenderers to include the price figure?</w:t>
            </w:r>
          </w:p>
          <w:p w:rsidR="00B87D6D" w:rsidRPr="009716D3" w:rsidRDefault="00B87D6D" w:rsidP="00FD0AC4"/>
        </w:tc>
      </w:tr>
      <w:tr w:rsidR="009716D3" w:rsidRPr="009716D3" w:rsidTr="00EE118E">
        <w:tc>
          <w:tcPr>
            <w:tcW w:w="1186" w:type="dxa"/>
            <w:vMerge/>
          </w:tcPr>
          <w:p w:rsidR="00B87D6D" w:rsidRPr="009716D3" w:rsidRDefault="00B87D6D" w:rsidP="00FD0AC4">
            <w:pPr>
              <w:pStyle w:val="NoSpacing"/>
              <w:rPr>
                <w:rFonts w:ascii="Arial" w:hAnsi="Arial" w:cs="Arial"/>
              </w:rPr>
            </w:pPr>
          </w:p>
        </w:tc>
        <w:tc>
          <w:tcPr>
            <w:tcW w:w="1280" w:type="dxa"/>
          </w:tcPr>
          <w:p w:rsidR="00B87D6D" w:rsidRPr="009716D3" w:rsidRDefault="00B87D6D" w:rsidP="00FD0AC4">
            <w:pPr>
              <w:pStyle w:val="NoSpacing"/>
              <w:rPr>
                <w:rFonts w:ascii="Arial" w:hAnsi="Arial" w:cs="Arial"/>
              </w:rPr>
            </w:pPr>
            <w:r w:rsidRPr="009716D3">
              <w:rPr>
                <w:rFonts w:ascii="Arial" w:hAnsi="Arial" w:cs="Arial"/>
              </w:rPr>
              <w:t>A</w:t>
            </w:r>
          </w:p>
        </w:tc>
        <w:tc>
          <w:tcPr>
            <w:tcW w:w="7110" w:type="dxa"/>
          </w:tcPr>
          <w:p w:rsidR="00B87D6D" w:rsidRPr="009716D3" w:rsidRDefault="003B78AC" w:rsidP="00FD0AC4">
            <w:r w:rsidRPr="009716D3">
              <w:t>The same columns as for the page number 1 – G, H, I.  </w:t>
            </w:r>
          </w:p>
          <w:p w:rsidR="003B78AC" w:rsidRPr="009716D3" w:rsidRDefault="003B78AC" w:rsidP="00FD0AC4"/>
        </w:tc>
      </w:tr>
      <w:tr w:rsidR="009716D3" w:rsidRPr="009716D3" w:rsidTr="00EE118E">
        <w:tc>
          <w:tcPr>
            <w:tcW w:w="1186" w:type="dxa"/>
            <w:vMerge w:val="restart"/>
          </w:tcPr>
          <w:p w:rsidR="00B87D6D" w:rsidRPr="009716D3" w:rsidRDefault="00B87D6D" w:rsidP="00FD0AC4">
            <w:pPr>
              <w:pStyle w:val="NoSpacing"/>
              <w:rPr>
                <w:rFonts w:ascii="Arial" w:hAnsi="Arial" w:cs="Arial"/>
              </w:rPr>
            </w:pPr>
            <w:r w:rsidRPr="009716D3">
              <w:rPr>
                <w:rFonts w:ascii="Arial" w:hAnsi="Arial" w:cs="Arial"/>
              </w:rPr>
              <w:lastRenderedPageBreak/>
              <w:t xml:space="preserve">8. </w:t>
            </w:r>
          </w:p>
        </w:tc>
        <w:tc>
          <w:tcPr>
            <w:tcW w:w="1280" w:type="dxa"/>
          </w:tcPr>
          <w:p w:rsidR="00B87D6D" w:rsidRPr="009716D3" w:rsidRDefault="00B87D6D" w:rsidP="00FD0AC4">
            <w:pPr>
              <w:pStyle w:val="NoSpacing"/>
              <w:rPr>
                <w:rFonts w:ascii="Arial" w:hAnsi="Arial" w:cs="Arial"/>
              </w:rPr>
            </w:pPr>
            <w:r w:rsidRPr="009716D3">
              <w:rPr>
                <w:rFonts w:ascii="Arial" w:hAnsi="Arial" w:cs="Arial"/>
              </w:rPr>
              <w:t>Q</w:t>
            </w:r>
          </w:p>
        </w:tc>
        <w:tc>
          <w:tcPr>
            <w:tcW w:w="7110" w:type="dxa"/>
          </w:tcPr>
          <w:p w:rsidR="00A21AE8" w:rsidRPr="009716D3" w:rsidRDefault="00A21AE8" w:rsidP="00A21AE8">
            <w:r w:rsidRPr="009716D3">
              <w:t>In the same table, the last two rows list ‘Online publications’ and ‘Custom design’. To be able to price this realistically, could you provide some additional information for each of these two items? How many pages would you expect online publications to have? What type of products would require custom design? If print publications, what would be the expected page count?</w:t>
            </w:r>
          </w:p>
          <w:p w:rsidR="00B87D6D" w:rsidRPr="009716D3" w:rsidRDefault="00B87D6D" w:rsidP="00FD0AC4"/>
        </w:tc>
      </w:tr>
      <w:tr w:rsidR="009716D3" w:rsidRPr="009716D3" w:rsidTr="00EE118E">
        <w:tc>
          <w:tcPr>
            <w:tcW w:w="1186" w:type="dxa"/>
            <w:vMerge/>
          </w:tcPr>
          <w:p w:rsidR="00B87D6D" w:rsidRPr="009716D3" w:rsidRDefault="00B87D6D" w:rsidP="00FD0AC4">
            <w:pPr>
              <w:pStyle w:val="NoSpacing"/>
              <w:rPr>
                <w:rFonts w:ascii="Arial" w:hAnsi="Arial" w:cs="Arial"/>
              </w:rPr>
            </w:pPr>
          </w:p>
        </w:tc>
        <w:tc>
          <w:tcPr>
            <w:tcW w:w="1280" w:type="dxa"/>
          </w:tcPr>
          <w:p w:rsidR="00B87D6D" w:rsidRPr="009716D3" w:rsidRDefault="00B87D6D" w:rsidP="00FD0AC4">
            <w:pPr>
              <w:pStyle w:val="NoSpacing"/>
              <w:rPr>
                <w:rFonts w:ascii="Arial" w:hAnsi="Arial" w:cs="Arial"/>
              </w:rPr>
            </w:pPr>
            <w:r w:rsidRPr="009716D3">
              <w:rPr>
                <w:rFonts w:ascii="Arial" w:hAnsi="Arial" w:cs="Arial"/>
              </w:rPr>
              <w:t>A</w:t>
            </w:r>
          </w:p>
        </w:tc>
        <w:tc>
          <w:tcPr>
            <w:tcW w:w="7110" w:type="dxa"/>
          </w:tcPr>
          <w:p w:rsidR="003758B8" w:rsidRDefault="003758B8" w:rsidP="003758B8">
            <w:pPr>
              <w:spacing w:line="276" w:lineRule="auto"/>
              <w:rPr>
                <w:color w:val="000000"/>
              </w:rPr>
            </w:pPr>
            <w:r>
              <w:rPr>
                <w:color w:val="000000"/>
              </w:rPr>
              <w:t>The expected page volume of standard products (for print and online) is specified in the corporate description of knowledge &amp; advocacy products. It ranges from 4 to 100 pages. The requirements for custom design will be subject to change and to be discussed on a case-by-case basis.</w:t>
            </w:r>
          </w:p>
          <w:p w:rsidR="003758B8" w:rsidRDefault="003758B8" w:rsidP="003758B8">
            <w:pPr>
              <w:spacing w:line="276" w:lineRule="auto"/>
              <w:rPr>
                <w:color w:val="000000"/>
              </w:rPr>
            </w:pPr>
            <w:r>
              <w:rPr>
                <w:color w:val="000000"/>
              </w:rPr>
              <w:t> </w:t>
            </w:r>
          </w:p>
          <w:p w:rsidR="003758B8" w:rsidRDefault="003758B8" w:rsidP="003758B8">
            <w:pPr>
              <w:spacing w:line="276" w:lineRule="auto"/>
              <w:rPr>
                <w:color w:val="000000"/>
              </w:rPr>
            </w:pPr>
            <w:r>
              <w:rPr>
                <w:color w:val="000000"/>
              </w:rPr>
              <w:t>We expect bidders to submit their hourly rates for the following key category of the costs:</w:t>
            </w:r>
          </w:p>
          <w:p w:rsidR="003758B8" w:rsidRDefault="003758B8" w:rsidP="003758B8">
            <w:pPr>
              <w:spacing w:line="276" w:lineRule="auto"/>
              <w:rPr>
                <w:color w:val="000000"/>
              </w:rPr>
            </w:pPr>
            <w:r>
              <w:rPr>
                <w:color w:val="000000"/>
              </w:rPr>
              <w:t> </w:t>
            </w:r>
          </w:p>
          <w:p w:rsidR="003758B8" w:rsidRDefault="003758B8" w:rsidP="003758B8">
            <w:pPr>
              <w:pStyle w:val="ListParagraph"/>
              <w:numPr>
                <w:ilvl w:val="0"/>
                <w:numId w:val="4"/>
              </w:numPr>
              <w:spacing w:line="276" w:lineRule="auto"/>
              <w:contextualSpacing/>
              <w:rPr>
                <w:color w:val="000000"/>
              </w:rPr>
            </w:pPr>
            <w:r>
              <w:rPr>
                <w:color w:val="000000"/>
              </w:rPr>
              <w:t>Junior professional (US$/per hour)</w:t>
            </w:r>
          </w:p>
          <w:p w:rsidR="00B87D6D" w:rsidRPr="003758B8" w:rsidRDefault="003758B8" w:rsidP="003758B8">
            <w:pPr>
              <w:pStyle w:val="ListParagraph"/>
              <w:numPr>
                <w:ilvl w:val="0"/>
                <w:numId w:val="4"/>
              </w:numPr>
              <w:spacing w:line="276" w:lineRule="auto"/>
              <w:contextualSpacing/>
              <w:rPr>
                <w:color w:val="000000"/>
              </w:rPr>
            </w:pPr>
            <w:r w:rsidRPr="003758B8">
              <w:rPr>
                <w:color w:val="000000"/>
              </w:rPr>
              <w:t>Senior professional (US$/per hour)</w:t>
            </w:r>
          </w:p>
        </w:tc>
      </w:tr>
      <w:tr w:rsidR="009716D3" w:rsidRPr="009716D3" w:rsidTr="00EE118E">
        <w:tc>
          <w:tcPr>
            <w:tcW w:w="1186" w:type="dxa"/>
            <w:vMerge w:val="restart"/>
          </w:tcPr>
          <w:p w:rsidR="00B87D6D" w:rsidRPr="009716D3" w:rsidRDefault="00B87D6D" w:rsidP="00FD0AC4">
            <w:pPr>
              <w:pStyle w:val="NoSpacing"/>
              <w:rPr>
                <w:rFonts w:ascii="Arial" w:hAnsi="Arial" w:cs="Arial"/>
              </w:rPr>
            </w:pPr>
            <w:r w:rsidRPr="009716D3">
              <w:rPr>
                <w:rFonts w:ascii="Arial" w:hAnsi="Arial" w:cs="Arial"/>
              </w:rPr>
              <w:t>9.</w:t>
            </w:r>
          </w:p>
        </w:tc>
        <w:tc>
          <w:tcPr>
            <w:tcW w:w="1280" w:type="dxa"/>
          </w:tcPr>
          <w:p w:rsidR="00B87D6D" w:rsidRPr="009716D3" w:rsidRDefault="00B87D6D" w:rsidP="00FD0AC4">
            <w:pPr>
              <w:pStyle w:val="NoSpacing"/>
              <w:rPr>
                <w:rFonts w:ascii="Arial" w:hAnsi="Arial" w:cs="Arial"/>
              </w:rPr>
            </w:pPr>
            <w:r w:rsidRPr="009716D3">
              <w:rPr>
                <w:rFonts w:ascii="Arial" w:hAnsi="Arial" w:cs="Arial"/>
              </w:rPr>
              <w:t>Q</w:t>
            </w:r>
          </w:p>
        </w:tc>
        <w:tc>
          <w:tcPr>
            <w:tcW w:w="7110" w:type="dxa"/>
          </w:tcPr>
          <w:p w:rsidR="00402BAD" w:rsidRPr="009716D3" w:rsidRDefault="00402BAD" w:rsidP="00402BAD">
            <w:r w:rsidRPr="009716D3">
              <w:t>In Annex 7/8 ‘Technical Proposal Form’, section 4 ‘Requirements’, tenderers are asked to indicate insurances that protect UNDP against loss. Could you provide further information on what type of loss you are referring to and how the UNDP quantifies loss of for example a design document? We are trying to understand what type of insurance coverage is required.</w:t>
            </w:r>
          </w:p>
          <w:p w:rsidR="00B87D6D" w:rsidRPr="009716D3" w:rsidRDefault="00B87D6D" w:rsidP="00FD0AC4"/>
        </w:tc>
      </w:tr>
      <w:tr w:rsidR="009716D3" w:rsidRPr="009716D3" w:rsidTr="00EE118E">
        <w:tc>
          <w:tcPr>
            <w:tcW w:w="1186" w:type="dxa"/>
            <w:vMerge/>
          </w:tcPr>
          <w:p w:rsidR="00B87D6D" w:rsidRPr="009716D3" w:rsidRDefault="00B87D6D" w:rsidP="00FD0AC4">
            <w:pPr>
              <w:pStyle w:val="NoSpacing"/>
              <w:rPr>
                <w:rFonts w:ascii="Arial" w:hAnsi="Arial" w:cs="Arial"/>
              </w:rPr>
            </w:pPr>
          </w:p>
        </w:tc>
        <w:tc>
          <w:tcPr>
            <w:tcW w:w="1280" w:type="dxa"/>
          </w:tcPr>
          <w:p w:rsidR="00B87D6D" w:rsidRPr="009716D3" w:rsidRDefault="00B87D6D" w:rsidP="00FD0AC4">
            <w:pPr>
              <w:pStyle w:val="NoSpacing"/>
              <w:rPr>
                <w:rFonts w:ascii="Arial" w:hAnsi="Arial" w:cs="Arial"/>
              </w:rPr>
            </w:pPr>
            <w:r w:rsidRPr="009716D3">
              <w:rPr>
                <w:rFonts w:ascii="Arial" w:hAnsi="Arial" w:cs="Arial"/>
              </w:rPr>
              <w:t>A</w:t>
            </w:r>
          </w:p>
        </w:tc>
        <w:tc>
          <w:tcPr>
            <w:tcW w:w="7110" w:type="dxa"/>
          </w:tcPr>
          <w:p w:rsidR="00FD3B81" w:rsidRPr="009716D3" w:rsidRDefault="00FD3B81" w:rsidP="00FD3B81">
            <w:pPr>
              <w:pStyle w:val="Heading2"/>
              <w:spacing w:line="360" w:lineRule="atLeast"/>
              <w:outlineLvl w:val="1"/>
              <w:rPr>
                <w:rFonts w:asciiTheme="minorHAnsi" w:eastAsia="Times New Roman" w:hAnsiTheme="minorHAnsi"/>
                <w:sz w:val="22"/>
                <w:szCs w:val="22"/>
              </w:rPr>
            </w:pPr>
            <w:r w:rsidRPr="009716D3">
              <w:rPr>
                <w:rFonts w:asciiTheme="minorHAnsi" w:eastAsia="Times New Roman" w:hAnsiTheme="minorHAnsi"/>
                <w:sz w:val="22"/>
                <w:szCs w:val="22"/>
              </w:rPr>
              <w:t>Professional Liability Insurance</w:t>
            </w:r>
          </w:p>
          <w:p w:rsidR="00FD3B81" w:rsidRPr="009716D3" w:rsidRDefault="00FD3B81" w:rsidP="00FD3B81">
            <w:pPr>
              <w:pStyle w:val="NormalWeb"/>
              <w:spacing w:before="0" w:beforeAutospacing="0" w:after="120" w:afterAutospacing="0" w:line="255" w:lineRule="atLeast"/>
              <w:rPr>
                <w:rFonts w:asciiTheme="minorHAnsi" w:hAnsiTheme="minorHAnsi"/>
                <w:sz w:val="22"/>
                <w:szCs w:val="22"/>
              </w:rPr>
            </w:pPr>
            <w:r w:rsidRPr="009716D3">
              <w:rPr>
                <w:rFonts w:asciiTheme="minorHAnsi" w:hAnsiTheme="minorHAnsi"/>
                <w:sz w:val="22"/>
                <w:szCs w:val="22"/>
              </w:rPr>
              <w:t>Business owners providing services should consider having professional liability insurance (also known as </w:t>
            </w:r>
            <w:r w:rsidRPr="009716D3">
              <w:rPr>
                <w:rStyle w:val="Strong"/>
                <w:rFonts w:asciiTheme="minorHAnsi" w:hAnsiTheme="minorHAnsi"/>
                <w:sz w:val="22"/>
                <w:szCs w:val="22"/>
              </w:rPr>
              <w:t>errors and omissions insurance</w:t>
            </w:r>
            <w:r w:rsidRPr="009716D3">
              <w:rPr>
                <w:rFonts w:asciiTheme="minorHAnsi" w:hAnsiTheme="minorHAnsi"/>
                <w:sz w:val="22"/>
                <w:szCs w:val="22"/>
              </w:rPr>
              <w:t>). This type of liability coverage protects your business against malpractice, errors, and negligence in provision of services to your customers. Depending on your profession, you may be required by your state government to carry such a policy. For example, physicians are required to purchase malpractice insurance as a condition of practicing in certain states.</w:t>
            </w:r>
          </w:p>
          <w:p w:rsidR="00B87D6D" w:rsidRPr="009716D3" w:rsidRDefault="00B87D6D" w:rsidP="00FD0AC4"/>
        </w:tc>
      </w:tr>
      <w:tr w:rsidR="009716D3" w:rsidRPr="009716D3" w:rsidTr="00EE118E">
        <w:tc>
          <w:tcPr>
            <w:tcW w:w="1186" w:type="dxa"/>
            <w:vMerge w:val="restart"/>
          </w:tcPr>
          <w:p w:rsidR="00B87D6D" w:rsidRPr="009716D3" w:rsidRDefault="00B87D6D" w:rsidP="00FD0AC4">
            <w:pPr>
              <w:pStyle w:val="NoSpacing"/>
              <w:rPr>
                <w:rFonts w:ascii="Arial" w:hAnsi="Arial" w:cs="Arial"/>
              </w:rPr>
            </w:pPr>
            <w:r w:rsidRPr="009716D3">
              <w:rPr>
                <w:rFonts w:ascii="Arial" w:hAnsi="Arial" w:cs="Arial"/>
              </w:rPr>
              <w:t xml:space="preserve">10. </w:t>
            </w:r>
          </w:p>
        </w:tc>
        <w:tc>
          <w:tcPr>
            <w:tcW w:w="1280" w:type="dxa"/>
          </w:tcPr>
          <w:p w:rsidR="00B87D6D" w:rsidRPr="009716D3" w:rsidRDefault="00B87D6D" w:rsidP="00FD0AC4">
            <w:pPr>
              <w:pStyle w:val="NoSpacing"/>
              <w:rPr>
                <w:rFonts w:ascii="Arial" w:hAnsi="Arial" w:cs="Arial"/>
              </w:rPr>
            </w:pPr>
            <w:r w:rsidRPr="009716D3">
              <w:rPr>
                <w:rFonts w:ascii="Arial" w:hAnsi="Arial" w:cs="Arial"/>
              </w:rPr>
              <w:t>Q</w:t>
            </w:r>
          </w:p>
        </w:tc>
        <w:tc>
          <w:tcPr>
            <w:tcW w:w="7110" w:type="dxa"/>
          </w:tcPr>
          <w:p w:rsidR="001A5766" w:rsidRPr="009716D3" w:rsidRDefault="001A5766" w:rsidP="001A5766">
            <w:r w:rsidRPr="009716D3">
              <w:t>And finally an administrative matter: do you expect to receive the Price Proposal in a separate envelope from the Technical proposal?</w:t>
            </w:r>
          </w:p>
          <w:p w:rsidR="00B87D6D" w:rsidRPr="009716D3" w:rsidRDefault="00B87D6D" w:rsidP="00FD0AC4"/>
        </w:tc>
      </w:tr>
      <w:tr w:rsidR="009716D3" w:rsidRPr="009716D3" w:rsidTr="00EE118E">
        <w:tc>
          <w:tcPr>
            <w:tcW w:w="1186" w:type="dxa"/>
            <w:vMerge/>
          </w:tcPr>
          <w:p w:rsidR="00B87D6D" w:rsidRPr="009716D3" w:rsidRDefault="00B87D6D" w:rsidP="00FD0AC4">
            <w:pPr>
              <w:pStyle w:val="NoSpacing"/>
              <w:rPr>
                <w:rFonts w:ascii="Arial" w:hAnsi="Arial" w:cs="Arial"/>
              </w:rPr>
            </w:pPr>
          </w:p>
        </w:tc>
        <w:tc>
          <w:tcPr>
            <w:tcW w:w="1280" w:type="dxa"/>
          </w:tcPr>
          <w:p w:rsidR="00B87D6D" w:rsidRPr="009716D3" w:rsidRDefault="00B87D6D" w:rsidP="00FD0AC4">
            <w:pPr>
              <w:pStyle w:val="NoSpacing"/>
              <w:rPr>
                <w:rFonts w:ascii="Arial" w:hAnsi="Arial" w:cs="Arial"/>
              </w:rPr>
            </w:pPr>
            <w:r w:rsidRPr="009716D3">
              <w:rPr>
                <w:rFonts w:ascii="Arial" w:hAnsi="Arial" w:cs="Arial"/>
              </w:rPr>
              <w:t>A</w:t>
            </w:r>
          </w:p>
        </w:tc>
        <w:tc>
          <w:tcPr>
            <w:tcW w:w="7110" w:type="dxa"/>
          </w:tcPr>
          <w:p w:rsidR="00E73AC2" w:rsidRPr="009716D3" w:rsidRDefault="00E73AC2" w:rsidP="00E73AC2">
            <w:r w:rsidRPr="009716D3">
              <w:t>We do not expect separate envelopes for submission of proposals, but they are welcome. The focal point for this procurement will send the technical proposals to a committee that does technical evaluation. The financial proposal of technically responsive bids will be evaluated by separate team.   </w:t>
            </w:r>
          </w:p>
          <w:p w:rsidR="00E73AC2" w:rsidRPr="009716D3" w:rsidRDefault="00E73AC2" w:rsidP="00E73AC2">
            <w:r w:rsidRPr="009716D3">
              <w:t> </w:t>
            </w:r>
          </w:p>
          <w:p w:rsidR="00B87D6D" w:rsidRPr="009716D3" w:rsidRDefault="00B87D6D" w:rsidP="00FD0AC4"/>
        </w:tc>
      </w:tr>
      <w:tr w:rsidR="009716D3" w:rsidRPr="009716D3" w:rsidTr="00EE118E">
        <w:tc>
          <w:tcPr>
            <w:tcW w:w="1186" w:type="dxa"/>
            <w:vMerge w:val="restart"/>
          </w:tcPr>
          <w:p w:rsidR="00B87D6D" w:rsidRPr="009716D3" w:rsidRDefault="00821D6C" w:rsidP="00FD0AC4">
            <w:pPr>
              <w:pStyle w:val="NoSpacing"/>
              <w:rPr>
                <w:rFonts w:ascii="Arial" w:hAnsi="Arial" w:cs="Arial"/>
              </w:rPr>
            </w:pPr>
            <w:r>
              <w:rPr>
                <w:rFonts w:ascii="Arial" w:hAnsi="Arial" w:cs="Arial"/>
              </w:rPr>
              <w:t>11</w:t>
            </w:r>
            <w:r w:rsidR="00B87D6D" w:rsidRPr="009716D3">
              <w:rPr>
                <w:rFonts w:ascii="Arial" w:hAnsi="Arial" w:cs="Arial"/>
              </w:rPr>
              <w:t>.</w:t>
            </w:r>
          </w:p>
        </w:tc>
        <w:tc>
          <w:tcPr>
            <w:tcW w:w="1280" w:type="dxa"/>
          </w:tcPr>
          <w:p w:rsidR="00B87D6D" w:rsidRPr="009716D3" w:rsidRDefault="00B87D6D" w:rsidP="00FD0AC4">
            <w:pPr>
              <w:pStyle w:val="NoSpacing"/>
              <w:rPr>
                <w:rFonts w:ascii="Arial" w:hAnsi="Arial" w:cs="Arial"/>
              </w:rPr>
            </w:pPr>
            <w:r w:rsidRPr="009716D3">
              <w:rPr>
                <w:rFonts w:ascii="Arial" w:hAnsi="Arial" w:cs="Arial"/>
              </w:rPr>
              <w:t>Q</w:t>
            </w:r>
          </w:p>
        </w:tc>
        <w:tc>
          <w:tcPr>
            <w:tcW w:w="7110" w:type="dxa"/>
          </w:tcPr>
          <w:p w:rsidR="00BC4BFB" w:rsidRPr="00BC4BFB" w:rsidRDefault="00BC4BFB" w:rsidP="00BC4BFB">
            <w:r w:rsidRPr="00BC4BFB">
              <w:t xml:space="preserve">As part of the portfolio, tenderers are requested to submit a sample of a brochure. Could you specify what you consider a brochure and how this is </w:t>
            </w:r>
            <w:r w:rsidRPr="00BC4BFB">
              <w:lastRenderedPageBreak/>
              <w:t xml:space="preserve">different from a booklet? What limit does the UNDP apply to the number of pages of brochures or to the dimensions of individual pages? </w:t>
            </w:r>
          </w:p>
          <w:p w:rsidR="00B87D6D" w:rsidRPr="00BC4BFB" w:rsidRDefault="00B87D6D" w:rsidP="00FD0AC4"/>
        </w:tc>
      </w:tr>
      <w:tr w:rsidR="00B87D6D" w:rsidRPr="009716D3" w:rsidTr="00EE118E">
        <w:tc>
          <w:tcPr>
            <w:tcW w:w="1186" w:type="dxa"/>
            <w:vMerge/>
          </w:tcPr>
          <w:p w:rsidR="00B87D6D" w:rsidRPr="009716D3" w:rsidRDefault="00B87D6D" w:rsidP="00FD0AC4">
            <w:pPr>
              <w:pStyle w:val="NoSpacing"/>
              <w:rPr>
                <w:rFonts w:ascii="Arial" w:hAnsi="Arial" w:cs="Arial"/>
              </w:rPr>
            </w:pPr>
          </w:p>
        </w:tc>
        <w:tc>
          <w:tcPr>
            <w:tcW w:w="1280" w:type="dxa"/>
          </w:tcPr>
          <w:p w:rsidR="00B87D6D" w:rsidRPr="009716D3" w:rsidRDefault="00B87D6D" w:rsidP="00FD0AC4">
            <w:pPr>
              <w:pStyle w:val="NoSpacing"/>
              <w:rPr>
                <w:rFonts w:ascii="Arial" w:hAnsi="Arial" w:cs="Arial"/>
              </w:rPr>
            </w:pPr>
            <w:r w:rsidRPr="009716D3">
              <w:rPr>
                <w:rFonts w:ascii="Arial" w:hAnsi="Arial" w:cs="Arial"/>
              </w:rPr>
              <w:t>A</w:t>
            </w:r>
          </w:p>
        </w:tc>
        <w:tc>
          <w:tcPr>
            <w:tcW w:w="7110" w:type="dxa"/>
          </w:tcPr>
          <w:p w:rsidR="005A58AC" w:rsidRDefault="005A58AC" w:rsidP="005A58AC">
            <w:pPr>
              <w:spacing w:before="100" w:beforeAutospacing="1" w:after="100" w:afterAutospacing="1"/>
              <w:rPr>
                <w:b/>
                <w:bCs/>
                <w:color w:val="000000"/>
              </w:rPr>
            </w:pPr>
            <w:r>
              <w:rPr>
                <w:b/>
                <w:bCs/>
                <w:color w:val="000000"/>
              </w:rPr>
              <w:t>Booklet Description:</w:t>
            </w:r>
          </w:p>
          <w:p w:rsidR="005A58AC" w:rsidRDefault="005A58AC" w:rsidP="005A58AC">
            <w:pPr>
              <w:spacing w:before="100" w:beforeAutospacing="1" w:after="100" w:afterAutospacing="1"/>
              <w:rPr>
                <w:b/>
                <w:bCs/>
                <w:color w:val="000000"/>
              </w:rPr>
            </w:pPr>
            <w:r>
              <w:rPr>
                <w:b/>
                <w:bCs/>
                <w:color w:val="000000"/>
              </w:rPr>
              <w:t xml:space="preserve">At 12 to 50 pages, a booklet is a reference guide for external audiences on an aspect of the work of a particular team, bureau or office within UNDP. It is much more detailed than a Fast Facts but builds on the same premise – highlighting key messages including UNDP's or the team's niche and value added, the most interesting facts and figures and concrete examples of impact to illustrate results. </w:t>
            </w:r>
          </w:p>
          <w:p w:rsidR="005A58AC" w:rsidRDefault="005A58AC" w:rsidP="005A58AC">
            <w:pPr>
              <w:spacing w:before="100" w:beforeAutospacing="1" w:after="100" w:afterAutospacing="1"/>
              <w:rPr>
                <w:b/>
                <w:bCs/>
                <w:color w:val="000000"/>
              </w:rPr>
            </w:pPr>
            <w:r>
              <w:rPr>
                <w:b/>
                <w:bCs/>
                <w:color w:val="000000"/>
              </w:rPr>
              <w:t>Purpose:</w:t>
            </w:r>
          </w:p>
          <w:p w:rsidR="005A58AC" w:rsidRDefault="005A58AC" w:rsidP="005A58AC">
            <w:pPr>
              <w:spacing w:before="100" w:beforeAutospacing="1" w:after="100" w:afterAutospacing="1"/>
              <w:rPr>
                <w:b/>
                <w:bCs/>
                <w:color w:val="000000"/>
              </w:rPr>
            </w:pPr>
            <w:r>
              <w:rPr>
                <w:b/>
                <w:bCs/>
                <w:color w:val="000000"/>
              </w:rPr>
              <w:t xml:space="preserve">The purpose is to provide and easy reference guide for external audiences including donors and other stakeholders who may have a particular interest or stake in the area in question. </w:t>
            </w:r>
          </w:p>
          <w:p w:rsidR="005A58AC" w:rsidRDefault="005A58AC" w:rsidP="005A58AC">
            <w:pPr>
              <w:spacing w:before="100" w:beforeAutospacing="1" w:after="100" w:afterAutospacing="1"/>
              <w:rPr>
                <w:b/>
                <w:bCs/>
                <w:color w:val="000000"/>
              </w:rPr>
            </w:pPr>
            <w:r>
              <w:rPr>
                <w:b/>
                <w:bCs/>
                <w:color w:val="000000"/>
              </w:rPr>
              <w:t>Target audience:</w:t>
            </w:r>
          </w:p>
          <w:p w:rsidR="005A58AC" w:rsidRDefault="005A58AC" w:rsidP="005A58AC">
            <w:pPr>
              <w:spacing w:before="100" w:beforeAutospacing="1" w:after="100" w:afterAutospacing="1"/>
              <w:rPr>
                <w:b/>
                <w:bCs/>
                <w:color w:val="000000"/>
              </w:rPr>
            </w:pPr>
            <w:r>
              <w:rPr>
                <w:b/>
                <w:bCs/>
                <w:color w:val="000000"/>
              </w:rPr>
              <w:t>External audiences, donors, development partners and other stakeholders.</w:t>
            </w:r>
          </w:p>
          <w:p w:rsidR="005A58AC" w:rsidRDefault="005A58AC" w:rsidP="005A58AC">
            <w:pPr>
              <w:spacing w:before="100" w:beforeAutospacing="1" w:after="100" w:afterAutospacing="1"/>
              <w:rPr>
                <w:b/>
                <w:bCs/>
                <w:color w:val="000000"/>
              </w:rPr>
            </w:pPr>
            <w:r>
              <w:rPr>
                <w:b/>
                <w:bCs/>
                <w:color w:val="000000"/>
              </w:rPr>
              <w:t>Producers of booklets:</w:t>
            </w:r>
          </w:p>
          <w:p w:rsidR="005A58AC" w:rsidRDefault="005A58AC" w:rsidP="005A58AC">
            <w:pPr>
              <w:spacing w:before="100" w:beforeAutospacing="1" w:after="100" w:afterAutospacing="1"/>
              <w:rPr>
                <w:b/>
                <w:bCs/>
                <w:color w:val="000000"/>
              </w:rPr>
            </w:pPr>
            <w:r>
              <w:rPr>
                <w:b/>
                <w:bCs/>
                <w:color w:val="000000"/>
              </w:rPr>
              <w:t>Any team or individual within UNDP can work on a specific booklet granted it is cleared by the Practice Director and has the input of communications specialists. As with most advocacy material, it is worthwhile hiring a professional writer/editor to work with the team to develop the text. This publication needs to go through UNDP's seven-step quality assurance process.</w:t>
            </w:r>
          </w:p>
          <w:p w:rsidR="005A58AC" w:rsidRDefault="005A58AC" w:rsidP="005A58AC">
            <w:pPr>
              <w:rPr>
                <w:color w:val="000000"/>
              </w:rPr>
            </w:pPr>
          </w:p>
          <w:p w:rsidR="005A58AC" w:rsidRDefault="005A58AC" w:rsidP="005A58AC">
            <w:pPr>
              <w:rPr>
                <w:color w:val="000000"/>
              </w:rPr>
            </w:pPr>
            <w:r>
              <w:rPr>
                <w:color w:val="000000"/>
              </w:rPr>
              <w:t>8x8 Brochure Description:</w:t>
            </w:r>
          </w:p>
          <w:p w:rsidR="005A58AC" w:rsidRDefault="005A58AC" w:rsidP="005A58AC">
            <w:pPr>
              <w:pStyle w:val="Heading3"/>
              <w:outlineLvl w:val="2"/>
              <w:rPr>
                <w:rFonts w:ascii="Calibri" w:eastAsia="Times New Roman" w:hAnsi="Calibri"/>
                <w:color w:val="000000"/>
              </w:rPr>
            </w:pPr>
            <w:r>
              <w:rPr>
                <w:rFonts w:ascii="Calibri" w:eastAsia="Times New Roman" w:hAnsi="Calibri"/>
                <w:color w:val="000000"/>
              </w:rPr>
              <w:t xml:space="preserve">A brochure is used to provide basic information on a specific event, issue, project or forthcoming publication. It is more design-driven than a Fast Facts and unlike the Right Now… pamphlet can be forward-looking rather than results-focused. </w:t>
            </w:r>
          </w:p>
          <w:p w:rsidR="005A58AC" w:rsidRDefault="005A58AC" w:rsidP="005A58AC">
            <w:pPr>
              <w:pStyle w:val="Heading2"/>
              <w:outlineLvl w:val="1"/>
              <w:rPr>
                <w:rFonts w:ascii="Calibri" w:eastAsia="Times New Roman" w:hAnsi="Calibri"/>
                <w:color w:val="000000"/>
                <w:sz w:val="22"/>
                <w:szCs w:val="22"/>
              </w:rPr>
            </w:pPr>
            <w:r>
              <w:rPr>
                <w:rFonts w:ascii="Calibri" w:eastAsia="Times New Roman" w:hAnsi="Calibri"/>
                <w:color w:val="000000"/>
                <w:sz w:val="22"/>
                <w:szCs w:val="22"/>
              </w:rPr>
              <w:t>Purpose:</w:t>
            </w:r>
          </w:p>
          <w:p w:rsidR="005A58AC" w:rsidRDefault="005A58AC" w:rsidP="005A58AC">
            <w:pPr>
              <w:pStyle w:val="Heading3"/>
              <w:outlineLvl w:val="2"/>
              <w:rPr>
                <w:rFonts w:ascii="Calibri" w:eastAsia="Times New Roman" w:hAnsi="Calibri"/>
                <w:color w:val="000000"/>
              </w:rPr>
            </w:pPr>
            <w:r>
              <w:rPr>
                <w:rFonts w:ascii="Calibri" w:eastAsia="Times New Roman" w:hAnsi="Calibri"/>
                <w:color w:val="000000"/>
              </w:rPr>
              <w:t xml:space="preserve">The brochure has a multitude of purposes but should be selected carefully as there is an over-tendency to produce brochures for every occasion. For example, it could be used as a teaser to introduce a forthcoming report targeting external audiences. It could be used to prime a donor audience on a project or </w:t>
            </w:r>
            <w:proofErr w:type="spellStart"/>
            <w:r>
              <w:rPr>
                <w:rFonts w:ascii="Calibri" w:eastAsia="Times New Roman" w:hAnsi="Calibri"/>
                <w:color w:val="000000"/>
              </w:rPr>
              <w:t>programme</w:t>
            </w:r>
            <w:proofErr w:type="spellEnd"/>
            <w:r>
              <w:rPr>
                <w:rFonts w:ascii="Calibri" w:eastAsia="Times New Roman" w:hAnsi="Calibri"/>
                <w:color w:val="000000"/>
              </w:rPr>
              <w:t xml:space="preserve"> that UNDP is seeking funding for, which may not yet have commenced and therefore will not yet have results to show. </w:t>
            </w:r>
          </w:p>
          <w:p w:rsidR="00B87D6D" w:rsidRPr="00BC4BFB" w:rsidRDefault="00B87D6D" w:rsidP="00FD0AC4"/>
        </w:tc>
      </w:tr>
      <w:tr w:rsidR="00821D6C" w:rsidRPr="009716D3" w:rsidTr="00EE118E">
        <w:tc>
          <w:tcPr>
            <w:tcW w:w="1186" w:type="dxa"/>
            <w:vMerge w:val="restart"/>
          </w:tcPr>
          <w:p w:rsidR="00821D6C" w:rsidRPr="009716D3" w:rsidRDefault="00821D6C" w:rsidP="002720C4">
            <w:pPr>
              <w:pStyle w:val="NoSpacing"/>
              <w:rPr>
                <w:rFonts w:ascii="Arial" w:hAnsi="Arial" w:cs="Arial"/>
              </w:rPr>
            </w:pPr>
            <w:r>
              <w:rPr>
                <w:rFonts w:ascii="Arial" w:hAnsi="Arial" w:cs="Arial"/>
              </w:rPr>
              <w:lastRenderedPageBreak/>
              <w:t>12</w:t>
            </w:r>
            <w:r w:rsidRPr="009716D3">
              <w:rPr>
                <w:rFonts w:ascii="Arial" w:hAnsi="Arial" w:cs="Arial"/>
              </w:rPr>
              <w:t>.</w:t>
            </w:r>
          </w:p>
        </w:tc>
        <w:tc>
          <w:tcPr>
            <w:tcW w:w="1280" w:type="dxa"/>
          </w:tcPr>
          <w:p w:rsidR="00821D6C" w:rsidRPr="009716D3" w:rsidRDefault="00821D6C" w:rsidP="002720C4">
            <w:pPr>
              <w:pStyle w:val="NoSpacing"/>
              <w:rPr>
                <w:rFonts w:ascii="Arial" w:hAnsi="Arial" w:cs="Arial"/>
              </w:rPr>
            </w:pPr>
            <w:r w:rsidRPr="009716D3">
              <w:rPr>
                <w:rFonts w:ascii="Arial" w:hAnsi="Arial" w:cs="Arial"/>
              </w:rPr>
              <w:t>Q</w:t>
            </w:r>
          </w:p>
        </w:tc>
        <w:tc>
          <w:tcPr>
            <w:tcW w:w="7110" w:type="dxa"/>
          </w:tcPr>
          <w:p w:rsidR="00BC4BFB" w:rsidRPr="00BC4BFB" w:rsidRDefault="00BC4BFB" w:rsidP="00BC4BFB">
            <w:r w:rsidRPr="00BC4BFB">
              <w:t>Tenderers are requested to supply a link to at least one digital publication. Again, could you specify what you consider a digital publication? Any publication that is made available online? Or do these publications need to show specific features?</w:t>
            </w:r>
          </w:p>
          <w:p w:rsidR="00821D6C" w:rsidRPr="00BC4BFB" w:rsidRDefault="00821D6C" w:rsidP="002720C4"/>
        </w:tc>
      </w:tr>
      <w:tr w:rsidR="00821D6C" w:rsidRPr="009716D3" w:rsidTr="00EE118E">
        <w:tc>
          <w:tcPr>
            <w:tcW w:w="1186" w:type="dxa"/>
            <w:vMerge/>
          </w:tcPr>
          <w:p w:rsidR="00821D6C" w:rsidRPr="009716D3" w:rsidRDefault="00821D6C" w:rsidP="002720C4">
            <w:pPr>
              <w:pStyle w:val="NoSpacing"/>
              <w:rPr>
                <w:rFonts w:ascii="Arial" w:hAnsi="Arial" w:cs="Arial"/>
              </w:rPr>
            </w:pPr>
          </w:p>
        </w:tc>
        <w:tc>
          <w:tcPr>
            <w:tcW w:w="1280" w:type="dxa"/>
          </w:tcPr>
          <w:p w:rsidR="00821D6C" w:rsidRPr="009716D3" w:rsidRDefault="00821D6C" w:rsidP="002720C4">
            <w:pPr>
              <w:pStyle w:val="NoSpacing"/>
              <w:rPr>
                <w:rFonts w:ascii="Arial" w:hAnsi="Arial" w:cs="Arial"/>
              </w:rPr>
            </w:pPr>
            <w:r w:rsidRPr="009716D3">
              <w:rPr>
                <w:rFonts w:ascii="Arial" w:hAnsi="Arial" w:cs="Arial"/>
              </w:rPr>
              <w:t>A</w:t>
            </w:r>
          </w:p>
        </w:tc>
        <w:tc>
          <w:tcPr>
            <w:tcW w:w="7110" w:type="dxa"/>
          </w:tcPr>
          <w:p w:rsidR="0043343C" w:rsidRPr="0043343C" w:rsidRDefault="0043343C" w:rsidP="0043343C">
            <w:r w:rsidRPr="0043343C">
              <w:t xml:space="preserve">If you have examples of online publications that have special features, please share them. Generally, provide examples of the most sophisticated online publications you have developed including for example page-turn options; clickable table of content; all-text search function and more. </w:t>
            </w:r>
          </w:p>
          <w:p w:rsidR="00821D6C" w:rsidRPr="00BC4BFB" w:rsidRDefault="00821D6C" w:rsidP="002720C4"/>
        </w:tc>
      </w:tr>
      <w:tr w:rsidR="00821D6C" w:rsidRPr="009716D3" w:rsidTr="00EE118E">
        <w:tc>
          <w:tcPr>
            <w:tcW w:w="1186" w:type="dxa"/>
            <w:vMerge w:val="restart"/>
          </w:tcPr>
          <w:p w:rsidR="00821D6C" w:rsidRPr="009716D3" w:rsidRDefault="00821D6C" w:rsidP="002720C4">
            <w:pPr>
              <w:pStyle w:val="NoSpacing"/>
              <w:rPr>
                <w:rFonts w:ascii="Arial" w:hAnsi="Arial" w:cs="Arial"/>
              </w:rPr>
            </w:pPr>
            <w:r>
              <w:rPr>
                <w:rFonts w:ascii="Arial" w:hAnsi="Arial" w:cs="Arial"/>
              </w:rPr>
              <w:t>13</w:t>
            </w:r>
            <w:r w:rsidRPr="009716D3">
              <w:rPr>
                <w:rFonts w:ascii="Arial" w:hAnsi="Arial" w:cs="Arial"/>
              </w:rPr>
              <w:t>.</w:t>
            </w:r>
          </w:p>
        </w:tc>
        <w:tc>
          <w:tcPr>
            <w:tcW w:w="1280" w:type="dxa"/>
          </w:tcPr>
          <w:p w:rsidR="00821D6C" w:rsidRPr="009716D3" w:rsidRDefault="00821D6C" w:rsidP="002720C4">
            <w:pPr>
              <w:pStyle w:val="NoSpacing"/>
              <w:rPr>
                <w:rFonts w:ascii="Arial" w:hAnsi="Arial" w:cs="Arial"/>
              </w:rPr>
            </w:pPr>
            <w:r w:rsidRPr="009716D3">
              <w:rPr>
                <w:rFonts w:ascii="Arial" w:hAnsi="Arial" w:cs="Arial"/>
              </w:rPr>
              <w:t>Q</w:t>
            </w:r>
          </w:p>
        </w:tc>
        <w:tc>
          <w:tcPr>
            <w:tcW w:w="7110" w:type="dxa"/>
          </w:tcPr>
          <w:p w:rsidR="00BC4BFB" w:rsidRPr="00BC4BFB" w:rsidRDefault="00BC4BFB" w:rsidP="00BC4BFB">
            <w:r w:rsidRPr="00BC4BFB">
              <w:t>Annex 7 ‘Technical Proposal Form’ includes the following question: “Describe how your company intends to deliver the required products.” Are we correct to assume that by “deliver” is meant the process of “sending” the finished product and not the process of “creating” the product?</w:t>
            </w:r>
          </w:p>
          <w:p w:rsidR="00821D6C" w:rsidRPr="00BC4BFB" w:rsidRDefault="00821D6C" w:rsidP="002720C4"/>
        </w:tc>
      </w:tr>
      <w:tr w:rsidR="00821D6C" w:rsidRPr="009716D3" w:rsidTr="00EE118E">
        <w:tc>
          <w:tcPr>
            <w:tcW w:w="1186" w:type="dxa"/>
            <w:vMerge/>
          </w:tcPr>
          <w:p w:rsidR="00821D6C" w:rsidRPr="009716D3" w:rsidRDefault="00821D6C" w:rsidP="002720C4">
            <w:pPr>
              <w:pStyle w:val="NoSpacing"/>
              <w:rPr>
                <w:rFonts w:ascii="Arial" w:hAnsi="Arial" w:cs="Arial"/>
              </w:rPr>
            </w:pPr>
          </w:p>
        </w:tc>
        <w:tc>
          <w:tcPr>
            <w:tcW w:w="1280" w:type="dxa"/>
          </w:tcPr>
          <w:p w:rsidR="00821D6C" w:rsidRPr="0043343C" w:rsidRDefault="00821D6C" w:rsidP="002720C4">
            <w:pPr>
              <w:pStyle w:val="NoSpacing"/>
              <w:rPr>
                <w:rFonts w:ascii="Arial" w:hAnsi="Arial" w:cs="Arial"/>
              </w:rPr>
            </w:pPr>
            <w:r w:rsidRPr="0043343C">
              <w:rPr>
                <w:rFonts w:ascii="Arial" w:hAnsi="Arial" w:cs="Arial"/>
              </w:rPr>
              <w:t>A</w:t>
            </w:r>
          </w:p>
        </w:tc>
        <w:tc>
          <w:tcPr>
            <w:tcW w:w="7110" w:type="dxa"/>
          </w:tcPr>
          <w:p w:rsidR="0043343C" w:rsidRPr="0043343C" w:rsidRDefault="0043343C" w:rsidP="0043343C">
            <w:r w:rsidRPr="0043343C">
              <w:t xml:space="preserve">Yes, that’s correct. </w:t>
            </w:r>
          </w:p>
          <w:p w:rsidR="00821D6C" w:rsidRPr="0043343C" w:rsidRDefault="00821D6C" w:rsidP="0043343C">
            <w:pPr>
              <w:jc w:val="center"/>
            </w:pPr>
          </w:p>
        </w:tc>
      </w:tr>
      <w:tr w:rsidR="00821D6C" w:rsidRPr="009716D3" w:rsidTr="00EE118E">
        <w:tc>
          <w:tcPr>
            <w:tcW w:w="1186" w:type="dxa"/>
            <w:vMerge w:val="restart"/>
          </w:tcPr>
          <w:p w:rsidR="00821D6C" w:rsidRPr="009716D3" w:rsidRDefault="00821D6C" w:rsidP="002720C4">
            <w:pPr>
              <w:pStyle w:val="NoSpacing"/>
              <w:rPr>
                <w:rFonts w:ascii="Arial" w:hAnsi="Arial" w:cs="Arial"/>
              </w:rPr>
            </w:pPr>
            <w:r>
              <w:rPr>
                <w:rFonts w:ascii="Arial" w:hAnsi="Arial" w:cs="Arial"/>
              </w:rPr>
              <w:t>14</w:t>
            </w:r>
            <w:r w:rsidRPr="009716D3">
              <w:rPr>
                <w:rFonts w:ascii="Arial" w:hAnsi="Arial" w:cs="Arial"/>
              </w:rPr>
              <w:t>.</w:t>
            </w:r>
          </w:p>
        </w:tc>
        <w:tc>
          <w:tcPr>
            <w:tcW w:w="1280" w:type="dxa"/>
          </w:tcPr>
          <w:p w:rsidR="00821D6C" w:rsidRPr="009716D3" w:rsidRDefault="00821D6C" w:rsidP="002720C4">
            <w:pPr>
              <w:pStyle w:val="NoSpacing"/>
              <w:rPr>
                <w:rFonts w:ascii="Arial" w:hAnsi="Arial" w:cs="Arial"/>
              </w:rPr>
            </w:pPr>
            <w:r w:rsidRPr="009716D3">
              <w:rPr>
                <w:rFonts w:ascii="Arial" w:hAnsi="Arial" w:cs="Arial"/>
              </w:rPr>
              <w:t>Q</w:t>
            </w:r>
          </w:p>
        </w:tc>
        <w:tc>
          <w:tcPr>
            <w:tcW w:w="7110" w:type="dxa"/>
          </w:tcPr>
          <w:p w:rsidR="00BC4BFB" w:rsidRPr="00BC4BFB" w:rsidRDefault="00BC4BFB" w:rsidP="00BC4BFB">
            <w:r w:rsidRPr="00BC4BFB">
              <w:t xml:space="preserve">Are we correct in assuming that column “#days turn around” refers to the turn-around time for producing one unit per product and not to all estimated units per product? I.e. we here indicate the turn-around time for delivering one unit of one product in one language? </w:t>
            </w:r>
          </w:p>
          <w:p w:rsidR="00821D6C" w:rsidRPr="00BC4BFB" w:rsidRDefault="00821D6C" w:rsidP="002720C4"/>
        </w:tc>
      </w:tr>
      <w:tr w:rsidR="00821D6C" w:rsidRPr="009716D3" w:rsidTr="00EE118E">
        <w:tc>
          <w:tcPr>
            <w:tcW w:w="1186" w:type="dxa"/>
            <w:vMerge/>
          </w:tcPr>
          <w:p w:rsidR="00821D6C" w:rsidRPr="009716D3" w:rsidRDefault="00821D6C" w:rsidP="002720C4">
            <w:pPr>
              <w:pStyle w:val="NoSpacing"/>
              <w:rPr>
                <w:rFonts w:ascii="Arial" w:hAnsi="Arial" w:cs="Arial"/>
              </w:rPr>
            </w:pPr>
          </w:p>
        </w:tc>
        <w:tc>
          <w:tcPr>
            <w:tcW w:w="1280" w:type="dxa"/>
          </w:tcPr>
          <w:p w:rsidR="00821D6C" w:rsidRPr="009716D3" w:rsidRDefault="00821D6C" w:rsidP="002720C4">
            <w:pPr>
              <w:pStyle w:val="NoSpacing"/>
              <w:rPr>
                <w:rFonts w:ascii="Arial" w:hAnsi="Arial" w:cs="Arial"/>
              </w:rPr>
            </w:pPr>
            <w:r w:rsidRPr="009716D3">
              <w:rPr>
                <w:rFonts w:ascii="Arial" w:hAnsi="Arial" w:cs="Arial"/>
              </w:rPr>
              <w:t>A</w:t>
            </w:r>
          </w:p>
        </w:tc>
        <w:tc>
          <w:tcPr>
            <w:tcW w:w="7110" w:type="dxa"/>
          </w:tcPr>
          <w:p w:rsidR="00821D6C" w:rsidRPr="009716D3" w:rsidRDefault="007E6BE1" w:rsidP="002720C4">
            <w:r>
              <w:t>This is correct</w:t>
            </w:r>
          </w:p>
        </w:tc>
      </w:tr>
      <w:tr w:rsidR="00BC4BFB" w:rsidRPr="009716D3" w:rsidTr="00EE118E">
        <w:tc>
          <w:tcPr>
            <w:tcW w:w="1186" w:type="dxa"/>
            <w:vMerge w:val="restart"/>
          </w:tcPr>
          <w:p w:rsidR="00BC4BFB" w:rsidRPr="009716D3" w:rsidRDefault="00BC4BFB" w:rsidP="002720C4">
            <w:pPr>
              <w:pStyle w:val="NoSpacing"/>
              <w:rPr>
                <w:rFonts w:ascii="Arial" w:hAnsi="Arial" w:cs="Arial"/>
              </w:rPr>
            </w:pPr>
            <w:r>
              <w:rPr>
                <w:rFonts w:ascii="Arial" w:hAnsi="Arial" w:cs="Arial"/>
              </w:rPr>
              <w:t>15</w:t>
            </w:r>
            <w:r w:rsidRPr="009716D3">
              <w:rPr>
                <w:rFonts w:ascii="Arial" w:hAnsi="Arial" w:cs="Arial"/>
              </w:rPr>
              <w:t>.</w:t>
            </w:r>
          </w:p>
        </w:tc>
        <w:tc>
          <w:tcPr>
            <w:tcW w:w="1280" w:type="dxa"/>
          </w:tcPr>
          <w:p w:rsidR="00BC4BFB" w:rsidRPr="009716D3" w:rsidRDefault="00BC4BFB" w:rsidP="002720C4">
            <w:pPr>
              <w:pStyle w:val="NoSpacing"/>
              <w:rPr>
                <w:rFonts w:ascii="Arial" w:hAnsi="Arial" w:cs="Arial"/>
              </w:rPr>
            </w:pPr>
            <w:r w:rsidRPr="009716D3">
              <w:rPr>
                <w:rFonts w:ascii="Arial" w:hAnsi="Arial" w:cs="Arial"/>
              </w:rPr>
              <w:t>Q</w:t>
            </w:r>
          </w:p>
        </w:tc>
        <w:tc>
          <w:tcPr>
            <w:tcW w:w="7110" w:type="dxa"/>
          </w:tcPr>
          <w:p w:rsidR="00BC4BFB" w:rsidRDefault="00BC4BFB" w:rsidP="00BC4BFB">
            <w:r>
              <w:t xml:space="preserve">As a European-based company, our current policy covers worldwide apart from North America. It can of course be extended but not within the timeframe of this tender. Is this an automatic exclusion factor? I.e. will our tender be disqualified on this issue alone? </w:t>
            </w:r>
          </w:p>
          <w:p w:rsidR="00BC4BFB" w:rsidRPr="009716D3" w:rsidRDefault="00BC4BFB" w:rsidP="00BC4BFB"/>
        </w:tc>
      </w:tr>
      <w:tr w:rsidR="00BC4BFB" w:rsidRPr="009716D3" w:rsidTr="00EE118E">
        <w:tc>
          <w:tcPr>
            <w:tcW w:w="1186" w:type="dxa"/>
            <w:vMerge/>
          </w:tcPr>
          <w:p w:rsidR="00BC4BFB" w:rsidRPr="009716D3" w:rsidRDefault="00BC4BFB" w:rsidP="002720C4">
            <w:pPr>
              <w:pStyle w:val="NoSpacing"/>
              <w:rPr>
                <w:rFonts w:ascii="Arial" w:hAnsi="Arial" w:cs="Arial"/>
              </w:rPr>
            </w:pPr>
          </w:p>
        </w:tc>
        <w:tc>
          <w:tcPr>
            <w:tcW w:w="1280" w:type="dxa"/>
          </w:tcPr>
          <w:p w:rsidR="00BC4BFB" w:rsidRPr="009716D3" w:rsidRDefault="00BC4BFB" w:rsidP="002720C4">
            <w:pPr>
              <w:pStyle w:val="NoSpacing"/>
              <w:rPr>
                <w:rFonts w:ascii="Arial" w:hAnsi="Arial" w:cs="Arial"/>
              </w:rPr>
            </w:pPr>
            <w:r w:rsidRPr="009716D3">
              <w:rPr>
                <w:rFonts w:ascii="Arial" w:hAnsi="Arial" w:cs="Arial"/>
              </w:rPr>
              <w:t>A</w:t>
            </w:r>
          </w:p>
        </w:tc>
        <w:tc>
          <w:tcPr>
            <w:tcW w:w="7110" w:type="dxa"/>
          </w:tcPr>
          <w:p w:rsidR="00BC4BFB" w:rsidRPr="009716D3" w:rsidRDefault="00806979" w:rsidP="00806979">
            <w:pPr>
              <w:spacing w:line="276" w:lineRule="auto"/>
            </w:pPr>
            <w:r>
              <w:rPr>
                <w:color w:val="000000"/>
              </w:rPr>
              <w:t xml:space="preserve">No, this situation does not lead to an automatic exclusion. The tender will not be disqualified if the companies based outside North America will warranty insurance coverage for the products and services to be rendered by the companies, for the unforeseen circumstances (natural disaster,  war, others similar situations). </w:t>
            </w:r>
          </w:p>
        </w:tc>
      </w:tr>
      <w:tr w:rsidR="0043343C" w:rsidRPr="009716D3" w:rsidTr="00EE118E">
        <w:tc>
          <w:tcPr>
            <w:tcW w:w="1186" w:type="dxa"/>
          </w:tcPr>
          <w:p w:rsidR="00180B3F" w:rsidRDefault="00180B3F" w:rsidP="0043343C">
            <w:pPr>
              <w:pStyle w:val="NoSpacing"/>
              <w:rPr>
                <w:rFonts w:ascii="Arial" w:hAnsi="Arial" w:cs="Arial"/>
              </w:rPr>
            </w:pPr>
          </w:p>
          <w:p w:rsidR="0043343C" w:rsidRPr="009716D3" w:rsidRDefault="0043343C" w:rsidP="0043343C">
            <w:pPr>
              <w:pStyle w:val="NoSpacing"/>
              <w:rPr>
                <w:rFonts w:ascii="Arial" w:hAnsi="Arial" w:cs="Arial"/>
              </w:rPr>
            </w:pPr>
            <w:r>
              <w:rPr>
                <w:rFonts w:ascii="Arial" w:hAnsi="Arial" w:cs="Arial"/>
              </w:rPr>
              <w:t>16</w:t>
            </w:r>
            <w:r w:rsidRPr="009716D3">
              <w:rPr>
                <w:rFonts w:ascii="Arial" w:hAnsi="Arial" w:cs="Arial"/>
              </w:rPr>
              <w:t>.</w:t>
            </w:r>
          </w:p>
        </w:tc>
        <w:tc>
          <w:tcPr>
            <w:tcW w:w="1280" w:type="dxa"/>
          </w:tcPr>
          <w:p w:rsidR="00180B3F" w:rsidRDefault="00180B3F" w:rsidP="001B40F5">
            <w:pPr>
              <w:pStyle w:val="NoSpacing"/>
              <w:rPr>
                <w:rFonts w:ascii="Arial" w:hAnsi="Arial" w:cs="Arial"/>
              </w:rPr>
            </w:pPr>
          </w:p>
          <w:p w:rsidR="0043343C" w:rsidRPr="009716D3" w:rsidRDefault="00220527" w:rsidP="001B40F5">
            <w:pPr>
              <w:pStyle w:val="NoSpacing"/>
              <w:rPr>
                <w:rFonts w:ascii="Arial" w:hAnsi="Arial" w:cs="Arial"/>
              </w:rPr>
            </w:pPr>
            <w:r>
              <w:rPr>
                <w:rFonts w:ascii="Arial" w:hAnsi="Arial" w:cs="Arial"/>
              </w:rPr>
              <w:t>Reminders</w:t>
            </w:r>
          </w:p>
        </w:tc>
        <w:tc>
          <w:tcPr>
            <w:tcW w:w="7110" w:type="dxa"/>
          </w:tcPr>
          <w:p w:rsidR="0043343C" w:rsidRDefault="0043343C" w:rsidP="001B40F5">
            <w:r>
              <w:t xml:space="preserve"> </w:t>
            </w:r>
          </w:p>
          <w:p w:rsidR="00180B3F" w:rsidRPr="000B2FC2" w:rsidRDefault="00180B3F" w:rsidP="00180B3F">
            <w:r w:rsidRPr="000B2FC2">
              <w:t xml:space="preserve">Electronic submission of the </w:t>
            </w:r>
            <w:r w:rsidRPr="000B2FC2">
              <w:t xml:space="preserve">proposals: UNDP main server can </w:t>
            </w:r>
            <w:r w:rsidRPr="000B2FC2">
              <w:t xml:space="preserve">accept emails for up to 8 </w:t>
            </w:r>
            <w:proofErr w:type="spellStart"/>
            <w:r w:rsidRPr="000B2FC2">
              <w:t>MBts</w:t>
            </w:r>
            <w:proofErr w:type="spellEnd"/>
            <w:r w:rsidRPr="000B2FC2">
              <w:t>. If you</w:t>
            </w:r>
            <w:r w:rsidRPr="000B2FC2">
              <w:t>’re planning to send an</w:t>
            </w:r>
            <w:r w:rsidRPr="000B2FC2">
              <w:t xml:space="preserve"> e-mail that exceeds this limit please send the proposals in several e-mails having the same subject name and expected number of emails  ( adding “email number of 1 out of X) </w:t>
            </w:r>
          </w:p>
          <w:p w:rsidR="00180B3F" w:rsidRPr="000B2FC2" w:rsidRDefault="00180B3F" w:rsidP="00180B3F"/>
          <w:p w:rsidR="00180B3F" w:rsidRPr="000B2FC2" w:rsidRDefault="00180B3F" w:rsidP="00180B3F">
            <w:r w:rsidRPr="000B2FC2">
              <w:t>However, in order for us to see</w:t>
            </w:r>
            <w:r w:rsidR="000B2FC2">
              <w:t xml:space="preserve"> and appreciate</w:t>
            </w:r>
            <w:r w:rsidRPr="000B2FC2">
              <w:t xml:space="preserve"> the actual samples of your design, we encourage</w:t>
            </w:r>
            <w:r w:rsidR="000B2FC2" w:rsidRPr="000B2FC2">
              <w:t xml:space="preserve"> all </w:t>
            </w:r>
            <w:r w:rsidRPr="000B2FC2">
              <w:t xml:space="preserve">bidders to send us the link of your e-books so we can </w:t>
            </w:r>
            <w:r w:rsidR="000B2FC2">
              <w:t xml:space="preserve">view </w:t>
            </w:r>
            <w:r w:rsidRPr="000B2FC2">
              <w:t>your best works onli</w:t>
            </w:r>
            <w:r w:rsidR="000B2FC2">
              <w:t>ne for evaluation purposes.</w:t>
            </w:r>
            <w:r w:rsidRPr="000B2FC2">
              <w:t xml:space="preserve">  </w:t>
            </w:r>
          </w:p>
          <w:p w:rsidR="0043343C" w:rsidRPr="009716D3" w:rsidRDefault="0043343C" w:rsidP="001B40F5"/>
        </w:tc>
      </w:tr>
    </w:tbl>
    <w:p w:rsidR="00E75B6D" w:rsidRPr="009716D3" w:rsidRDefault="00E75B6D" w:rsidP="00AA0AEA">
      <w:pPr>
        <w:pStyle w:val="NoSpacing"/>
        <w:rPr>
          <w:rFonts w:ascii="Arial" w:hAnsi="Arial" w:cs="Arial"/>
        </w:rPr>
      </w:pPr>
      <w:bookmarkStart w:id="0" w:name="_GoBack"/>
      <w:bookmarkEnd w:id="0"/>
    </w:p>
    <w:p w:rsidR="00AA0AEA" w:rsidRPr="009716D3" w:rsidRDefault="00AA0AEA">
      <w:pPr>
        <w:pStyle w:val="NoSpacing"/>
        <w:rPr>
          <w:bCs/>
          <w:sz w:val="24"/>
        </w:rPr>
      </w:pPr>
    </w:p>
    <w:sectPr w:rsidR="00AA0AEA" w:rsidRPr="0097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259"/>
    <w:multiLevelType w:val="hybridMultilevel"/>
    <w:tmpl w:val="5C5A69F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5961678"/>
    <w:multiLevelType w:val="hybridMultilevel"/>
    <w:tmpl w:val="9C005B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AA5237"/>
    <w:multiLevelType w:val="hybridMultilevel"/>
    <w:tmpl w:val="BF06F37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1407165"/>
    <w:multiLevelType w:val="hybridMultilevel"/>
    <w:tmpl w:val="10DAFC2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EA"/>
    <w:rsid w:val="000B2FC2"/>
    <w:rsid w:val="00102291"/>
    <w:rsid w:val="0010369F"/>
    <w:rsid w:val="00180B3F"/>
    <w:rsid w:val="001A5766"/>
    <w:rsid w:val="00211A4B"/>
    <w:rsid w:val="00220527"/>
    <w:rsid w:val="00222C58"/>
    <w:rsid w:val="002B5064"/>
    <w:rsid w:val="002C001E"/>
    <w:rsid w:val="003758B8"/>
    <w:rsid w:val="00385673"/>
    <w:rsid w:val="003B78AC"/>
    <w:rsid w:val="00402BAD"/>
    <w:rsid w:val="0041004C"/>
    <w:rsid w:val="0043343C"/>
    <w:rsid w:val="00480042"/>
    <w:rsid w:val="004B1CD7"/>
    <w:rsid w:val="004D22E5"/>
    <w:rsid w:val="004F01ED"/>
    <w:rsid w:val="005A58AC"/>
    <w:rsid w:val="006321D6"/>
    <w:rsid w:val="00670174"/>
    <w:rsid w:val="007E6BE1"/>
    <w:rsid w:val="00806979"/>
    <w:rsid w:val="00821D6C"/>
    <w:rsid w:val="009716D3"/>
    <w:rsid w:val="009E0D1F"/>
    <w:rsid w:val="00A21AE8"/>
    <w:rsid w:val="00A85866"/>
    <w:rsid w:val="00AA0AEA"/>
    <w:rsid w:val="00B722A3"/>
    <w:rsid w:val="00B87D6D"/>
    <w:rsid w:val="00B937F2"/>
    <w:rsid w:val="00BC4BFB"/>
    <w:rsid w:val="00BE68E7"/>
    <w:rsid w:val="00E73AC2"/>
    <w:rsid w:val="00E75B6D"/>
    <w:rsid w:val="00E84B50"/>
    <w:rsid w:val="00E8743E"/>
    <w:rsid w:val="00EE118E"/>
    <w:rsid w:val="00FA242F"/>
    <w:rsid w:val="00FA624D"/>
    <w:rsid w:val="00FD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D3B81"/>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AEA"/>
    <w:rPr>
      <w:b/>
      <w:bCs/>
    </w:rPr>
  </w:style>
  <w:style w:type="paragraph" w:styleId="NoSpacing">
    <w:name w:val="No Spacing"/>
    <w:uiPriority w:val="1"/>
    <w:qFormat/>
    <w:rsid w:val="00AA0AEA"/>
    <w:pPr>
      <w:spacing w:after="0" w:line="240" w:lineRule="auto"/>
    </w:pPr>
  </w:style>
  <w:style w:type="paragraph" w:customStyle="1" w:styleId="Default">
    <w:name w:val="Default"/>
    <w:rsid w:val="00AA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75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01E"/>
    <w:pPr>
      <w:spacing w:after="0" w:line="240" w:lineRule="auto"/>
      <w:ind w:left="72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D3B81"/>
    <w:rPr>
      <w:rFonts w:ascii="Times New Roman" w:hAnsi="Times New Roman" w:cs="Times New Roman"/>
      <w:b/>
      <w:bCs/>
      <w:sz w:val="36"/>
      <w:szCs w:val="36"/>
    </w:rPr>
  </w:style>
  <w:style w:type="paragraph" w:styleId="NormalWeb">
    <w:name w:val="Normal (Web)"/>
    <w:basedOn w:val="Normal"/>
    <w:uiPriority w:val="99"/>
    <w:semiHidden/>
    <w:unhideWhenUsed/>
    <w:rsid w:val="00FD3B81"/>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670174"/>
  </w:style>
  <w:style w:type="character" w:customStyle="1" w:styleId="Heading3Char">
    <w:name w:val="Heading 3 Char"/>
    <w:basedOn w:val="DefaultParagraphFont"/>
    <w:link w:val="Heading3"/>
    <w:uiPriority w:val="9"/>
    <w:semiHidden/>
    <w:rsid w:val="005A58A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D3B81"/>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AEA"/>
    <w:rPr>
      <w:b/>
      <w:bCs/>
    </w:rPr>
  </w:style>
  <w:style w:type="paragraph" w:styleId="NoSpacing">
    <w:name w:val="No Spacing"/>
    <w:uiPriority w:val="1"/>
    <w:qFormat/>
    <w:rsid w:val="00AA0AEA"/>
    <w:pPr>
      <w:spacing w:after="0" w:line="240" w:lineRule="auto"/>
    </w:pPr>
  </w:style>
  <w:style w:type="paragraph" w:customStyle="1" w:styleId="Default">
    <w:name w:val="Default"/>
    <w:rsid w:val="00AA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75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01E"/>
    <w:pPr>
      <w:spacing w:after="0" w:line="240" w:lineRule="auto"/>
      <w:ind w:left="72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D3B81"/>
    <w:rPr>
      <w:rFonts w:ascii="Times New Roman" w:hAnsi="Times New Roman" w:cs="Times New Roman"/>
      <w:b/>
      <w:bCs/>
      <w:sz w:val="36"/>
      <w:szCs w:val="36"/>
    </w:rPr>
  </w:style>
  <w:style w:type="paragraph" w:styleId="NormalWeb">
    <w:name w:val="Normal (Web)"/>
    <w:basedOn w:val="Normal"/>
    <w:uiPriority w:val="99"/>
    <w:semiHidden/>
    <w:unhideWhenUsed/>
    <w:rsid w:val="00FD3B81"/>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670174"/>
  </w:style>
  <w:style w:type="character" w:customStyle="1" w:styleId="Heading3Char">
    <w:name w:val="Heading 3 Char"/>
    <w:basedOn w:val="DefaultParagraphFont"/>
    <w:link w:val="Heading3"/>
    <w:uiPriority w:val="9"/>
    <w:semiHidden/>
    <w:rsid w:val="005A58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1229">
      <w:bodyDiv w:val="1"/>
      <w:marLeft w:val="0"/>
      <w:marRight w:val="0"/>
      <w:marTop w:val="0"/>
      <w:marBottom w:val="0"/>
      <w:divBdr>
        <w:top w:val="none" w:sz="0" w:space="0" w:color="auto"/>
        <w:left w:val="none" w:sz="0" w:space="0" w:color="auto"/>
        <w:bottom w:val="none" w:sz="0" w:space="0" w:color="auto"/>
        <w:right w:val="none" w:sz="0" w:space="0" w:color="auto"/>
      </w:divBdr>
    </w:div>
    <w:div w:id="85081898">
      <w:bodyDiv w:val="1"/>
      <w:marLeft w:val="0"/>
      <w:marRight w:val="0"/>
      <w:marTop w:val="0"/>
      <w:marBottom w:val="0"/>
      <w:divBdr>
        <w:top w:val="none" w:sz="0" w:space="0" w:color="auto"/>
        <w:left w:val="none" w:sz="0" w:space="0" w:color="auto"/>
        <w:bottom w:val="none" w:sz="0" w:space="0" w:color="auto"/>
        <w:right w:val="none" w:sz="0" w:space="0" w:color="auto"/>
      </w:divBdr>
    </w:div>
    <w:div w:id="145438584">
      <w:bodyDiv w:val="1"/>
      <w:marLeft w:val="0"/>
      <w:marRight w:val="0"/>
      <w:marTop w:val="0"/>
      <w:marBottom w:val="0"/>
      <w:divBdr>
        <w:top w:val="none" w:sz="0" w:space="0" w:color="auto"/>
        <w:left w:val="none" w:sz="0" w:space="0" w:color="auto"/>
        <w:bottom w:val="none" w:sz="0" w:space="0" w:color="auto"/>
        <w:right w:val="none" w:sz="0" w:space="0" w:color="auto"/>
      </w:divBdr>
    </w:div>
    <w:div w:id="189729835">
      <w:bodyDiv w:val="1"/>
      <w:marLeft w:val="0"/>
      <w:marRight w:val="0"/>
      <w:marTop w:val="0"/>
      <w:marBottom w:val="0"/>
      <w:divBdr>
        <w:top w:val="none" w:sz="0" w:space="0" w:color="auto"/>
        <w:left w:val="none" w:sz="0" w:space="0" w:color="auto"/>
        <w:bottom w:val="none" w:sz="0" w:space="0" w:color="auto"/>
        <w:right w:val="none" w:sz="0" w:space="0" w:color="auto"/>
      </w:divBdr>
    </w:div>
    <w:div w:id="273294196">
      <w:bodyDiv w:val="1"/>
      <w:marLeft w:val="0"/>
      <w:marRight w:val="0"/>
      <w:marTop w:val="0"/>
      <w:marBottom w:val="0"/>
      <w:divBdr>
        <w:top w:val="none" w:sz="0" w:space="0" w:color="auto"/>
        <w:left w:val="none" w:sz="0" w:space="0" w:color="auto"/>
        <w:bottom w:val="none" w:sz="0" w:space="0" w:color="auto"/>
        <w:right w:val="none" w:sz="0" w:space="0" w:color="auto"/>
      </w:divBdr>
    </w:div>
    <w:div w:id="302976121">
      <w:bodyDiv w:val="1"/>
      <w:marLeft w:val="0"/>
      <w:marRight w:val="0"/>
      <w:marTop w:val="0"/>
      <w:marBottom w:val="0"/>
      <w:divBdr>
        <w:top w:val="none" w:sz="0" w:space="0" w:color="auto"/>
        <w:left w:val="none" w:sz="0" w:space="0" w:color="auto"/>
        <w:bottom w:val="none" w:sz="0" w:space="0" w:color="auto"/>
        <w:right w:val="none" w:sz="0" w:space="0" w:color="auto"/>
      </w:divBdr>
    </w:div>
    <w:div w:id="365834995">
      <w:bodyDiv w:val="1"/>
      <w:marLeft w:val="0"/>
      <w:marRight w:val="0"/>
      <w:marTop w:val="0"/>
      <w:marBottom w:val="0"/>
      <w:divBdr>
        <w:top w:val="none" w:sz="0" w:space="0" w:color="auto"/>
        <w:left w:val="none" w:sz="0" w:space="0" w:color="auto"/>
        <w:bottom w:val="none" w:sz="0" w:space="0" w:color="auto"/>
        <w:right w:val="none" w:sz="0" w:space="0" w:color="auto"/>
      </w:divBdr>
    </w:div>
    <w:div w:id="403839272">
      <w:bodyDiv w:val="1"/>
      <w:marLeft w:val="0"/>
      <w:marRight w:val="0"/>
      <w:marTop w:val="0"/>
      <w:marBottom w:val="0"/>
      <w:divBdr>
        <w:top w:val="none" w:sz="0" w:space="0" w:color="auto"/>
        <w:left w:val="none" w:sz="0" w:space="0" w:color="auto"/>
        <w:bottom w:val="none" w:sz="0" w:space="0" w:color="auto"/>
        <w:right w:val="none" w:sz="0" w:space="0" w:color="auto"/>
      </w:divBdr>
    </w:div>
    <w:div w:id="469514691">
      <w:bodyDiv w:val="1"/>
      <w:marLeft w:val="0"/>
      <w:marRight w:val="0"/>
      <w:marTop w:val="0"/>
      <w:marBottom w:val="0"/>
      <w:divBdr>
        <w:top w:val="none" w:sz="0" w:space="0" w:color="auto"/>
        <w:left w:val="none" w:sz="0" w:space="0" w:color="auto"/>
        <w:bottom w:val="none" w:sz="0" w:space="0" w:color="auto"/>
        <w:right w:val="none" w:sz="0" w:space="0" w:color="auto"/>
      </w:divBdr>
    </w:div>
    <w:div w:id="698169007">
      <w:bodyDiv w:val="1"/>
      <w:marLeft w:val="0"/>
      <w:marRight w:val="0"/>
      <w:marTop w:val="0"/>
      <w:marBottom w:val="0"/>
      <w:divBdr>
        <w:top w:val="none" w:sz="0" w:space="0" w:color="auto"/>
        <w:left w:val="none" w:sz="0" w:space="0" w:color="auto"/>
        <w:bottom w:val="none" w:sz="0" w:space="0" w:color="auto"/>
        <w:right w:val="none" w:sz="0" w:space="0" w:color="auto"/>
      </w:divBdr>
    </w:div>
    <w:div w:id="718631284">
      <w:bodyDiv w:val="1"/>
      <w:marLeft w:val="0"/>
      <w:marRight w:val="0"/>
      <w:marTop w:val="0"/>
      <w:marBottom w:val="0"/>
      <w:divBdr>
        <w:top w:val="none" w:sz="0" w:space="0" w:color="auto"/>
        <w:left w:val="none" w:sz="0" w:space="0" w:color="auto"/>
        <w:bottom w:val="none" w:sz="0" w:space="0" w:color="auto"/>
        <w:right w:val="none" w:sz="0" w:space="0" w:color="auto"/>
      </w:divBdr>
    </w:div>
    <w:div w:id="809832693">
      <w:bodyDiv w:val="1"/>
      <w:marLeft w:val="0"/>
      <w:marRight w:val="0"/>
      <w:marTop w:val="0"/>
      <w:marBottom w:val="0"/>
      <w:divBdr>
        <w:top w:val="none" w:sz="0" w:space="0" w:color="auto"/>
        <w:left w:val="none" w:sz="0" w:space="0" w:color="auto"/>
        <w:bottom w:val="none" w:sz="0" w:space="0" w:color="auto"/>
        <w:right w:val="none" w:sz="0" w:space="0" w:color="auto"/>
      </w:divBdr>
    </w:div>
    <w:div w:id="965889852">
      <w:bodyDiv w:val="1"/>
      <w:marLeft w:val="0"/>
      <w:marRight w:val="0"/>
      <w:marTop w:val="0"/>
      <w:marBottom w:val="0"/>
      <w:divBdr>
        <w:top w:val="none" w:sz="0" w:space="0" w:color="auto"/>
        <w:left w:val="none" w:sz="0" w:space="0" w:color="auto"/>
        <w:bottom w:val="none" w:sz="0" w:space="0" w:color="auto"/>
        <w:right w:val="none" w:sz="0" w:space="0" w:color="auto"/>
      </w:divBdr>
    </w:div>
    <w:div w:id="970673440">
      <w:bodyDiv w:val="1"/>
      <w:marLeft w:val="0"/>
      <w:marRight w:val="0"/>
      <w:marTop w:val="0"/>
      <w:marBottom w:val="0"/>
      <w:divBdr>
        <w:top w:val="none" w:sz="0" w:space="0" w:color="auto"/>
        <w:left w:val="none" w:sz="0" w:space="0" w:color="auto"/>
        <w:bottom w:val="none" w:sz="0" w:space="0" w:color="auto"/>
        <w:right w:val="none" w:sz="0" w:space="0" w:color="auto"/>
      </w:divBdr>
    </w:div>
    <w:div w:id="1104032196">
      <w:bodyDiv w:val="1"/>
      <w:marLeft w:val="0"/>
      <w:marRight w:val="0"/>
      <w:marTop w:val="0"/>
      <w:marBottom w:val="0"/>
      <w:divBdr>
        <w:top w:val="none" w:sz="0" w:space="0" w:color="auto"/>
        <w:left w:val="none" w:sz="0" w:space="0" w:color="auto"/>
        <w:bottom w:val="none" w:sz="0" w:space="0" w:color="auto"/>
        <w:right w:val="none" w:sz="0" w:space="0" w:color="auto"/>
      </w:divBdr>
    </w:div>
    <w:div w:id="1159270792">
      <w:bodyDiv w:val="1"/>
      <w:marLeft w:val="0"/>
      <w:marRight w:val="0"/>
      <w:marTop w:val="0"/>
      <w:marBottom w:val="0"/>
      <w:divBdr>
        <w:top w:val="none" w:sz="0" w:space="0" w:color="auto"/>
        <w:left w:val="none" w:sz="0" w:space="0" w:color="auto"/>
        <w:bottom w:val="none" w:sz="0" w:space="0" w:color="auto"/>
        <w:right w:val="none" w:sz="0" w:space="0" w:color="auto"/>
      </w:divBdr>
    </w:div>
    <w:div w:id="1286697959">
      <w:bodyDiv w:val="1"/>
      <w:marLeft w:val="0"/>
      <w:marRight w:val="0"/>
      <w:marTop w:val="0"/>
      <w:marBottom w:val="0"/>
      <w:divBdr>
        <w:top w:val="none" w:sz="0" w:space="0" w:color="auto"/>
        <w:left w:val="none" w:sz="0" w:space="0" w:color="auto"/>
        <w:bottom w:val="none" w:sz="0" w:space="0" w:color="auto"/>
        <w:right w:val="none" w:sz="0" w:space="0" w:color="auto"/>
      </w:divBdr>
    </w:div>
    <w:div w:id="1375039185">
      <w:bodyDiv w:val="1"/>
      <w:marLeft w:val="0"/>
      <w:marRight w:val="0"/>
      <w:marTop w:val="0"/>
      <w:marBottom w:val="0"/>
      <w:divBdr>
        <w:top w:val="none" w:sz="0" w:space="0" w:color="auto"/>
        <w:left w:val="none" w:sz="0" w:space="0" w:color="auto"/>
        <w:bottom w:val="none" w:sz="0" w:space="0" w:color="auto"/>
        <w:right w:val="none" w:sz="0" w:space="0" w:color="auto"/>
      </w:divBdr>
    </w:div>
    <w:div w:id="1411655016">
      <w:bodyDiv w:val="1"/>
      <w:marLeft w:val="0"/>
      <w:marRight w:val="0"/>
      <w:marTop w:val="0"/>
      <w:marBottom w:val="0"/>
      <w:divBdr>
        <w:top w:val="none" w:sz="0" w:space="0" w:color="auto"/>
        <w:left w:val="none" w:sz="0" w:space="0" w:color="auto"/>
        <w:bottom w:val="none" w:sz="0" w:space="0" w:color="auto"/>
        <w:right w:val="none" w:sz="0" w:space="0" w:color="auto"/>
      </w:divBdr>
    </w:div>
    <w:div w:id="1413820137">
      <w:bodyDiv w:val="1"/>
      <w:marLeft w:val="0"/>
      <w:marRight w:val="0"/>
      <w:marTop w:val="0"/>
      <w:marBottom w:val="0"/>
      <w:divBdr>
        <w:top w:val="none" w:sz="0" w:space="0" w:color="auto"/>
        <w:left w:val="none" w:sz="0" w:space="0" w:color="auto"/>
        <w:bottom w:val="none" w:sz="0" w:space="0" w:color="auto"/>
        <w:right w:val="none" w:sz="0" w:space="0" w:color="auto"/>
      </w:divBdr>
    </w:div>
    <w:div w:id="1587886526">
      <w:bodyDiv w:val="1"/>
      <w:marLeft w:val="0"/>
      <w:marRight w:val="0"/>
      <w:marTop w:val="0"/>
      <w:marBottom w:val="0"/>
      <w:divBdr>
        <w:top w:val="none" w:sz="0" w:space="0" w:color="auto"/>
        <w:left w:val="none" w:sz="0" w:space="0" w:color="auto"/>
        <w:bottom w:val="none" w:sz="0" w:space="0" w:color="auto"/>
        <w:right w:val="none" w:sz="0" w:space="0" w:color="auto"/>
      </w:divBdr>
    </w:div>
    <w:div w:id="1672677347">
      <w:bodyDiv w:val="1"/>
      <w:marLeft w:val="0"/>
      <w:marRight w:val="0"/>
      <w:marTop w:val="0"/>
      <w:marBottom w:val="0"/>
      <w:divBdr>
        <w:top w:val="none" w:sz="0" w:space="0" w:color="auto"/>
        <w:left w:val="none" w:sz="0" w:space="0" w:color="auto"/>
        <w:bottom w:val="none" w:sz="0" w:space="0" w:color="auto"/>
        <w:right w:val="none" w:sz="0" w:space="0" w:color="auto"/>
      </w:divBdr>
    </w:div>
    <w:div w:id="1728912727">
      <w:bodyDiv w:val="1"/>
      <w:marLeft w:val="0"/>
      <w:marRight w:val="0"/>
      <w:marTop w:val="0"/>
      <w:marBottom w:val="0"/>
      <w:divBdr>
        <w:top w:val="none" w:sz="0" w:space="0" w:color="auto"/>
        <w:left w:val="none" w:sz="0" w:space="0" w:color="auto"/>
        <w:bottom w:val="none" w:sz="0" w:space="0" w:color="auto"/>
        <w:right w:val="none" w:sz="0" w:space="0" w:color="auto"/>
      </w:divBdr>
    </w:div>
    <w:div w:id="1924483776">
      <w:bodyDiv w:val="1"/>
      <w:marLeft w:val="0"/>
      <w:marRight w:val="0"/>
      <w:marTop w:val="0"/>
      <w:marBottom w:val="0"/>
      <w:divBdr>
        <w:top w:val="none" w:sz="0" w:space="0" w:color="auto"/>
        <w:left w:val="none" w:sz="0" w:space="0" w:color="auto"/>
        <w:bottom w:val="none" w:sz="0" w:space="0" w:color="auto"/>
        <w:right w:val="none" w:sz="0" w:space="0" w:color="auto"/>
      </w:divBdr>
    </w:div>
    <w:div w:id="2024474786">
      <w:bodyDiv w:val="1"/>
      <w:marLeft w:val="0"/>
      <w:marRight w:val="0"/>
      <w:marTop w:val="0"/>
      <w:marBottom w:val="0"/>
      <w:divBdr>
        <w:top w:val="none" w:sz="0" w:space="0" w:color="auto"/>
        <w:left w:val="none" w:sz="0" w:space="0" w:color="auto"/>
        <w:bottom w:val="none" w:sz="0" w:space="0" w:color="auto"/>
        <w:right w:val="none" w:sz="0" w:space="0" w:color="auto"/>
      </w:divBdr>
    </w:div>
    <w:div w:id="21300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Eggerts</dc:creator>
  <cp:lastModifiedBy>Rodolfo Alonday</cp:lastModifiedBy>
  <cp:revision>29</cp:revision>
  <dcterms:created xsi:type="dcterms:W3CDTF">2013-03-08T21:10:00Z</dcterms:created>
  <dcterms:modified xsi:type="dcterms:W3CDTF">2013-03-21T21:21:00Z</dcterms:modified>
</cp:coreProperties>
</file>