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A2A1" w14:textId="77777777" w:rsidR="009F2D53" w:rsidRPr="000E5F0F" w:rsidRDefault="009F2D53" w:rsidP="009F2D53">
      <w:pPr>
        <w:tabs>
          <w:tab w:val="left" w:pos="1410"/>
        </w:tabs>
        <w:spacing w:after="0" w:line="240" w:lineRule="auto"/>
        <w:jc w:val="center"/>
        <w:rPr>
          <w:rFonts w:asciiTheme="minorHAnsi" w:eastAsia="Times New Roman" w:hAnsiTheme="minorHAnsi" w:cstheme="minorHAnsi"/>
          <w:b/>
          <w:color w:val="auto"/>
          <w:sz w:val="21"/>
          <w:szCs w:val="21"/>
          <w:u w:val="single"/>
          <w:lang w:eastAsia="rw-RW"/>
        </w:rPr>
      </w:pPr>
      <w:bookmarkStart w:id="0" w:name="_GoBack"/>
      <w:bookmarkEnd w:id="0"/>
      <w:r w:rsidRPr="000E5F0F">
        <w:rPr>
          <w:rFonts w:asciiTheme="minorHAnsi" w:eastAsia="Times New Roman" w:hAnsiTheme="minorHAnsi" w:cstheme="minorHAnsi"/>
          <w:b/>
          <w:color w:val="auto"/>
          <w:sz w:val="21"/>
          <w:szCs w:val="21"/>
          <w:u w:val="single"/>
          <w:lang w:eastAsia="rw-RW"/>
        </w:rPr>
        <w:t>NOTICE DE SELECTION POUR CONSULTANT</w:t>
      </w:r>
    </w:p>
    <w:p w14:paraId="549ECA70" w14:textId="77777777" w:rsidR="009F2D53" w:rsidRPr="000E5F0F" w:rsidRDefault="009F2D53" w:rsidP="009F2D53">
      <w:pPr>
        <w:tabs>
          <w:tab w:val="left" w:pos="1410"/>
        </w:tabs>
        <w:spacing w:after="0" w:line="240" w:lineRule="auto"/>
        <w:jc w:val="center"/>
        <w:rPr>
          <w:rFonts w:asciiTheme="minorHAnsi" w:eastAsia="Times New Roman" w:hAnsiTheme="minorHAnsi" w:cstheme="minorHAnsi"/>
          <w:b/>
          <w:color w:val="auto"/>
          <w:sz w:val="21"/>
          <w:szCs w:val="21"/>
          <w:u w:val="single"/>
          <w:lang w:eastAsia="rw-RW"/>
        </w:rPr>
      </w:pPr>
    </w:p>
    <w:p w14:paraId="6AC8FD42" w14:textId="36E2C65A" w:rsidR="009F2D53" w:rsidRPr="000E5F0F" w:rsidRDefault="009F2D53" w:rsidP="009F2D53">
      <w:pPr>
        <w:tabs>
          <w:tab w:val="left" w:pos="1410"/>
          <w:tab w:val="left" w:pos="6663"/>
          <w:tab w:val="left" w:pos="6804"/>
        </w:tabs>
        <w:spacing w:after="12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Date : </w:t>
      </w:r>
      <w:r w:rsidR="00EF7925" w:rsidRPr="000E5F0F">
        <w:rPr>
          <w:rFonts w:asciiTheme="minorHAnsi" w:eastAsia="Times New Roman" w:hAnsiTheme="minorHAnsi" w:cstheme="minorHAnsi"/>
          <w:color w:val="auto"/>
          <w:sz w:val="21"/>
          <w:szCs w:val="21"/>
          <w:lang w:eastAsia="rw-RW"/>
        </w:rPr>
        <w:t>7 NOVEMBRE</w:t>
      </w:r>
      <w:r w:rsidRPr="000E5F0F">
        <w:rPr>
          <w:rFonts w:asciiTheme="minorHAnsi" w:eastAsia="Times New Roman" w:hAnsiTheme="minorHAnsi" w:cstheme="minorHAnsi"/>
          <w:color w:val="auto"/>
          <w:sz w:val="21"/>
          <w:szCs w:val="21"/>
          <w:lang w:eastAsia="rw-RW"/>
        </w:rPr>
        <w:t xml:space="preserve"> 2018</w:t>
      </w:r>
    </w:p>
    <w:p w14:paraId="3BA8AD43" w14:textId="77777777" w:rsidR="00046228" w:rsidRPr="000E5F0F" w:rsidRDefault="00687D06">
      <w:pPr>
        <w:rPr>
          <w:rFonts w:asciiTheme="minorHAnsi" w:hAnsiTheme="minorHAnsi" w:cstheme="minorHAnsi"/>
          <w:color w:val="auto"/>
        </w:rPr>
      </w:pPr>
      <w:r w:rsidRPr="000E5F0F">
        <w:rPr>
          <w:rFonts w:asciiTheme="minorHAnsi" w:hAnsiTheme="minorHAnsi" w:cstheme="minorHAnsi"/>
          <w:noProof/>
          <w:color w:val="auto"/>
        </w:rPr>
        <mc:AlternateContent>
          <mc:Choice Requires="wps">
            <w:drawing>
              <wp:anchor distT="4294967293" distB="4294967293" distL="114300" distR="114300" simplePos="0" relativeHeight="251662336" behindDoc="0" locked="0" layoutInCell="1" allowOverlap="1" wp14:anchorId="59FC1E0B" wp14:editId="38196A08">
                <wp:simplePos x="0" y="0"/>
                <wp:positionH relativeFrom="margin">
                  <wp:align>center</wp:align>
                </wp:positionH>
                <wp:positionV relativeFrom="paragraph">
                  <wp:posOffset>16123</wp:posOffset>
                </wp:positionV>
                <wp:extent cx="6638925" cy="0"/>
                <wp:effectExtent l="0" t="19050" r="47625" b="381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5A393" id="_x0000_t32" coordsize="21600,21600" o:spt="32" o:oned="t" path="m,l21600,21600e" filled="f">
                <v:path arrowok="t" fillok="f" o:connecttype="none"/>
                <o:lock v:ext="edit" shapetype="t"/>
              </v:shapetype>
              <v:shape id="Connecteur droit avec flèche 1" o:spid="_x0000_s1026" type="#_x0000_t32" style="position:absolute;margin-left:0;margin-top:1.25pt;width:522.75pt;height:0;z-index:25166233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" strokecolor="blue" strokeweight="4.5pt">
                <w10:wrap anchorx="margin"/>
              </v:shape>
            </w:pict>
          </mc:Fallback>
        </mc:AlternateContent>
      </w:r>
    </w:p>
    <w:tbl>
      <w:tblPr>
        <w:tblStyle w:val="Grilledutableau"/>
        <w:tblW w:w="0" w:type="auto"/>
        <w:tblInd w:w="0" w:type="dxa"/>
        <w:tblLook w:val="04A0" w:firstRow="1" w:lastRow="0" w:firstColumn="1" w:lastColumn="0" w:noHBand="0" w:noVBand="1"/>
      </w:tblPr>
      <w:tblGrid>
        <w:gridCol w:w="2547"/>
        <w:gridCol w:w="6470"/>
      </w:tblGrid>
      <w:tr w:rsidR="0017676D" w:rsidRPr="000E5F0F" w14:paraId="16F82103" w14:textId="77777777" w:rsidTr="00687D06">
        <w:tc>
          <w:tcPr>
            <w:tcW w:w="2547" w:type="dxa"/>
            <w:tcBorders>
              <w:top w:val="single" w:sz="4" w:space="0" w:color="auto"/>
              <w:left w:val="single" w:sz="4" w:space="0" w:color="auto"/>
              <w:bottom w:val="single" w:sz="4" w:space="0" w:color="auto"/>
              <w:right w:val="single" w:sz="4" w:space="0" w:color="auto"/>
            </w:tcBorders>
            <w:hideMark/>
          </w:tcPr>
          <w:p w14:paraId="510BA68D" w14:textId="77777777" w:rsidR="00687D06" w:rsidRPr="000E5F0F" w:rsidRDefault="00687D06">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PAYS</w:t>
            </w:r>
          </w:p>
        </w:tc>
        <w:tc>
          <w:tcPr>
            <w:tcW w:w="6470" w:type="dxa"/>
            <w:tcBorders>
              <w:top w:val="single" w:sz="4" w:space="0" w:color="auto"/>
              <w:left w:val="single" w:sz="4" w:space="0" w:color="auto"/>
              <w:bottom w:val="single" w:sz="4" w:space="0" w:color="auto"/>
              <w:right w:val="single" w:sz="4" w:space="0" w:color="auto"/>
            </w:tcBorders>
            <w:hideMark/>
          </w:tcPr>
          <w:p w14:paraId="47014670" w14:textId="77777777" w:rsidR="00687D06" w:rsidRPr="000E5F0F" w:rsidRDefault="00687D06">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TOGO</w:t>
            </w:r>
          </w:p>
        </w:tc>
      </w:tr>
      <w:tr w:rsidR="0017676D" w:rsidRPr="000E5F0F" w14:paraId="5E193317" w14:textId="77777777" w:rsidTr="00687D06">
        <w:trPr>
          <w:trHeight w:val="1065"/>
        </w:trPr>
        <w:tc>
          <w:tcPr>
            <w:tcW w:w="2547" w:type="dxa"/>
            <w:tcBorders>
              <w:top w:val="single" w:sz="4" w:space="0" w:color="auto"/>
              <w:left w:val="single" w:sz="4" w:space="0" w:color="auto"/>
              <w:bottom w:val="single" w:sz="4" w:space="0" w:color="auto"/>
              <w:right w:val="single" w:sz="4" w:space="0" w:color="auto"/>
            </w:tcBorders>
            <w:hideMark/>
          </w:tcPr>
          <w:p w14:paraId="48174043" w14:textId="77777777" w:rsidR="00687D06" w:rsidRPr="000E5F0F" w:rsidRDefault="00687D06">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TITRE DU POSTE</w:t>
            </w:r>
            <w:r w:rsidRPr="000E5F0F">
              <w:rPr>
                <w:rFonts w:asciiTheme="minorHAnsi" w:eastAsia="Times New Roman" w:hAnsiTheme="minorHAnsi" w:cstheme="minorHAnsi"/>
                <w:color w:val="auto"/>
                <w:sz w:val="21"/>
                <w:szCs w:val="21"/>
                <w:lang w:eastAsia="rw-RW"/>
              </w:rPr>
              <w:t> </w:t>
            </w:r>
            <w:r w:rsidRPr="000E5F0F">
              <w:rPr>
                <w:rFonts w:asciiTheme="minorHAnsi" w:eastAsia="Times New Roman" w:hAnsiTheme="minorHAnsi" w:cstheme="minorHAnsi"/>
                <w:b/>
                <w:color w:val="auto"/>
                <w:sz w:val="21"/>
                <w:szCs w:val="21"/>
                <w:lang w:eastAsia="rw-RW"/>
              </w:rPr>
              <w:t>:</w:t>
            </w:r>
          </w:p>
        </w:tc>
        <w:tc>
          <w:tcPr>
            <w:tcW w:w="6470" w:type="dxa"/>
            <w:tcBorders>
              <w:top w:val="single" w:sz="4" w:space="0" w:color="auto"/>
              <w:left w:val="single" w:sz="4" w:space="0" w:color="auto"/>
              <w:bottom w:val="single" w:sz="4" w:space="0" w:color="auto"/>
              <w:right w:val="single" w:sz="4" w:space="0" w:color="auto"/>
            </w:tcBorders>
          </w:tcPr>
          <w:p w14:paraId="3F0931D1" w14:textId="2DD91765" w:rsidR="00687D06" w:rsidRPr="000E5F0F" w:rsidRDefault="00687D06">
            <w:pPr>
              <w:spacing w:after="222" w:line="256" w:lineRule="auto"/>
              <w:ind w:left="0" w:firstLine="0"/>
              <w:rPr>
                <w:rFonts w:asciiTheme="minorHAnsi" w:hAnsiTheme="minorHAnsi" w:cstheme="minorHAnsi"/>
                <w:color w:val="auto"/>
                <w:sz w:val="22"/>
              </w:rPr>
            </w:pPr>
            <w:r w:rsidRPr="000E5F0F">
              <w:rPr>
                <w:rFonts w:asciiTheme="minorHAnsi" w:hAnsiTheme="minorHAnsi" w:cstheme="minorHAnsi"/>
                <w:color w:val="auto"/>
                <w:sz w:val="22"/>
              </w:rPr>
              <w:t>CONSULTANT</w:t>
            </w:r>
            <w:r w:rsidR="00B02423" w:rsidRPr="000E5F0F">
              <w:rPr>
                <w:rFonts w:asciiTheme="minorHAnsi" w:hAnsiTheme="minorHAnsi" w:cstheme="minorHAnsi"/>
                <w:color w:val="auto"/>
                <w:sz w:val="22"/>
              </w:rPr>
              <w:t>(E)</w:t>
            </w:r>
            <w:r w:rsidRPr="000E5F0F">
              <w:rPr>
                <w:rFonts w:asciiTheme="minorHAnsi" w:hAnsiTheme="minorHAnsi" w:cstheme="minorHAnsi"/>
                <w:color w:val="auto"/>
                <w:sz w:val="22"/>
              </w:rPr>
              <w:t xml:space="preserve"> </w:t>
            </w:r>
            <w:r w:rsidR="0011771C" w:rsidRPr="000E5F0F">
              <w:rPr>
                <w:rFonts w:asciiTheme="minorHAnsi" w:hAnsiTheme="minorHAnsi" w:cstheme="minorHAnsi"/>
                <w:color w:val="auto"/>
                <w:sz w:val="22"/>
              </w:rPr>
              <w:t xml:space="preserve">CHEF DE MISSION </w:t>
            </w:r>
            <w:r w:rsidRPr="000E5F0F">
              <w:rPr>
                <w:rFonts w:asciiTheme="minorHAnsi" w:hAnsiTheme="minorHAnsi" w:cstheme="minorHAnsi"/>
                <w:color w:val="auto"/>
                <w:sz w:val="22"/>
              </w:rPr>
              <w:t>POUR L’ELABORATION D’UN PROGRAMME NATIONAL D’APPUI A LA DECENTRALISATION ET A LA MISE EN PLACE DES COLLECTIVITES LOCALES</w:t>
            </w:r>
          </w:p>
          <w:p w14:paraId="5EC8F2D8" w14:textId="77777777" w:rsidR="00687D06" w:rsidRPr="000E5F0F" w:rsidRDefault="00687D06">
            <w:pPr>
              <w:pStyle w:val="En-tte"/>
              <w:jc w:val="center"/>
              <w:rPr>
                <w:rFonts w:asciiTheme="minorHAnsi" w:eastAsia="Times New Roman" w:hAnsiTheme="minorHAnsi" w:cstheme="minorHAnsi"/>
                <w:color w:val="auto"/>
                <w:sz w:val="21"/>
                <w:szCs w:val="21"/>
                <w:lang w:eastAsia="rw-RW"/>
              </w:rPr>
            </w:pPr>
          </w:p>
        </w:tc>
      </w:tr>
      <w:tr w:rsidR="0017676D" w:rsidRPr="000E5F0F" w14:paraId="35C38CDA" w14:textId="77777777" w:rsidTr="00687D06">
        <w:tc>
          <w:tcPr>
            <w:tcW w:w="2547" w:type="dxa"/>
            <w:tcBorders>
              <w:top w:val="single" w:sz="4" w:space="0" w:color="auto"/>
              <w:left w:val="single" w:sz="4" w:space="0" w:color="auto"/>
              <w:bottom w:val="single" w:sz="4" w:space="0" w:color="auto"/>
              <w:right w:val="single" w:sz="4" w:space="0" w:color="auto"/>
            </w:tcBorders>
            <w:hideMark/>
          </w:tcPr>
          <w:p w14:paraId="07C9E568" w14:textId="77777777" w:rsidR="00687D06" w:rsidRPr="000E5F0F" w:rsidRDefault="00687D06">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OBJET DE LA MISSION</w:t>
            </w:r>
          </w:p>
        </w:tc>
        <w:tc>
          <w:tcPr>
            <w:tcW w:w="6470" w:type="dxa"/>
            <w:tcBorders>
              <w:top w:val="single" w:sz="4" w:space="0" w:color="auto"/>
              <w:left w:val="single" w:sz="4" w:space="0" w:color="auto"/>
              <w:bottom w:val="single" w:sz="4" w:space="0" w:color="auto"/>
              <w:right w:val="single" w:sz="4" w:space="0" w:color="auto"/>
            </w:tcBorders>
            <w:hideMark/>
          </w:tcPr>
          <w:p w14:paraId="2D5BCC90" w14:textId="77777777" w:rsidR="00687D06" w:rsidRPr="000E5F0F" w:rsidRDefault="00687D06" w:rsidP="0062210D">
            <w:pPr>
              <w:tabs>
                <w:tab w:val="left" w:pos="1410"/>
              </w:tabs>
              <w:spacing w:after="160" w:line="259" w:lineRule="auto"/>
              <w:ind w:left="0" w:firstLine="0"/>
              <w:jc w:val="left"/>
              <w:rPr>
                <w:rFonts w:asciiTheme="minorHAnsi" w:eastAsia="Times New Roman" w:hAnsiTheme="minorHAnsi" w:cstheme="minorHAnsi"/>
                <w:color w:val="auto"/>
                <w:szCs w:val="24"/>
                <w:lang w:eastAsia="rw-RW"/>
              </w:rPr>
            </w:pPr>
            <w:r w:rsidRPr="000E5F0F">
              <w:rPr>
                <w:rFonts w:asciiTheme="minorHAnsi" w:eastAsia="Times New Roman" w:hAnsiTheme="minorHAnsi" w:cstheme="minorHAnsi"/>
                <w:color w:val="auto"/>
                <w:sz w:val="21"/>
                <w:szCs w:val="21"/>
                <w:lang w:eastAsia="rw-RW"/>
              </w:rPr>
              <w:t xml:space="preserve">Elaborer un </w:t>
            </w:r>
            <w:r w:rsidR="009F2D53" w:rsidRPr="000E5F0F">
              <w:rPr>
                <w:rFonts w:asciiTheme="minorHAnsi" w:eastAsia="Times New Roman" w:hAnsiTheme="minorHAnsi" w:cstheme="minorHAnsi"/>
                <w:color w:val="auto"/>
                <w:sz w:val="21"/>
                <w:szCs w:val="21"/>
                <w:lang w:eastAsia="rw-RW"/>
              </w:rPr>
              <w:t>programme national d’appui à la décentralisation et à la mise en place des collectivités locales</w:t>
            </w:r>
            <w:r w:rsidR="009070BB" w:rsidRPr="000E5F0F">
              <w:rPr>
                <w:rFonts w:asciiTheme="minorHAnsi" w:eastAsia="Times New Roman" w:hAnsiTheme="minorHAnsi" w:cstheme="minorHAnsi"/>
                <w:color w:val="auto"/>
                <w:sz w:val="21"/>
                <w:szCs w:val="21"/>
                <w:lang w:eastAsia="rw-RW"/>
              </w:rPr>
              <w:t xml:space="preserve"> prenant en compte le développement institutionnel des collectivités locales et la formation des acteurs de la décentralisation</w:t>
            </w:r>
          </w:p>
        </w:tc>
      </w:tr>
      <w:tr w:rsidR="0017676D" w:rsidRPr="000E5F0F" w14:paraId="4FCDADA9" w14:textId="77777777" w:rsidTr="00687D06">
        <w:tc>
          <w:tcPr>
            <w:tcW w:w="2547" w:type="dxa"/>
            <w:tcBorders>
              <w:top w:val="single" w:sz="4" w:space="0" w:color="auto"/>
              <w:left w:val="single" w:sz="4" w:space="0" w:color="auto"/>
              <w:bottom w:val="single" w:sz="4" w:space="0" w:color="auto"/>
              <w:right w:val="single" w:sz="4" w:space="0" w:color="auto"/>
            </w:tcBorders>
            <w:hideMark/>
          </w:tcPr>
          <w:p w14:paraId="29FF4730" w14:textId="77777777" w:rsidR="00687D06" w:rsidRPr="000E5F0F" w:rsidRDefault="00687D06">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Durée :</w:t>
            </w:r>
          </w:p>
        </w:tc>
        <w:tc>
          <w:tcPr>
            <w:tcW w:w="6470" w:type="dxa"/>
            <w:tcBorders>
              <w:top w:val="single" w:sz="4" w:space="0" w:color="auto"/>
              <w:left w:val="single" w:sz="4" w:space="0" w:color="auto"/>
              <w:bottom w:val="single" w:sz="4" w:space="0" w:color="auto"/>
              <w:right w:val="single" w:sz="4" w:space="0" w:color="auto"/>
            </w:tcBorders>
            <w:hideMark/>
          </w:tcPr>
          <w:p w14:paraId="415AB48F" w14:textId="7B67E838" w:rsidR="00687D06" w:rsidRPr="000E5F0F" w:rsidRDefault="00EF7925">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5</w:t>
            </w:r>
            <w:r w:rsidR="00B02423" w:rsidRPr="000E5F0F">
              <w:rPr>
                <w:rFonts w:asciiTheme="minorHAnsi" w:eastAsia="Times New Roman" w:hAnsiTheme="minorHAnsi" w:cstheme="minorHAnsi"/>
                <w:b/>
                <w:color w:val="auto"/>
                <w:sz w:val="21"/>
                <w:szCs w:val="21"/>
                <w:lang w:eastAsia="rw-RW"/>
              </w:rPr>
              <w:t>0</w:t>
            </w:r>
            <w:r w:rsidR="00687D06" w:rsidRPr="000E5F0F">
              <w:rPr>
                <w:rFonts w:asciiTheme="minorHAnsi" w:eastAsia="Times New Roman" w:hAnsiTheme="minorHAnsi" w:cstheme="minorHAnsi"/>
                <w:b/>
                <w:color w:val="auto"/>
                <w:sz w:val="21"/>
                <w:szCs w:val="21"/>
                <w:lang w:eastAsia="rw-RW"/>
              </w:rPr>
              <w:t xml:space="preserve"> jours</w:t>
            </w:r>
            <w:r w:rsidRPr="000E5F0F">
              <w:rPr>
                <w:rFonts w:asciiTheme="minorHAnsi" w:eastAsia="Times New Roman" w:hAnsiTheme="minorHAnsi" w:cstheme="minorHAnsi"/>
                <w:b/>
                <w:color w:val="auto"/>
                <w:sz w:val="21"/>
                <w:szCs w:val="21"/>
                <w:lang w:eastAsia="rw-RW"/>
              </w:rPr>
              <w:t xml:space="preserve"> étalés sur deux mois</w:t>
            </w:r>
          </w:p>
        </w:tc>
      </w:tr>
      <w:tr w:rsidR="00687D06" w:rsidRPr="000E5F0F" w14:paraId="75593B9D" w14:textId="77777777" w:rsidTr="00687D06">
        <w:tc>
          <w:tcPr>
            <w:tcW w:w="2547" w:type="dxa"/>
            <w:tcBorders>
              <w:top w:val="single" w:sz="4" w:space="0" w:color="auto"/>
              <w:left w:val="single" w:sz="4" w:space="0" w:color="auto"/>
              <w:bottom w:val="single" w:sz="4" w:space="0" w:color="auto"/>
              <w:right w:val="single" w:sz="4" w:space="0" w:color="auto"/>
            </w:tcBorders>
            <w:hideMark/>
          </w:tcPr>
          <w:p w14:paraId="208C12D3" w14:textId="77777777" w:rsidR="00687D06" w:rsidRPr="000E5F0F" w:rsidRDefault="00687D06">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 xml:space="preserve">Date estimée de début du contrat : </w:t>
            </w:r>
          </w:p>
        </w:tc>
        <w:tc>
          <w:tcPr>
            <w:tcW w:w="6470" w:type="dxa"/>
            <w:tcBorders>
              <w:top w:val="single" w:sz="4" w:space="0" w:color="auto"/>
              <w:left w:val="single" w:sz="4" w:space="0" w:color="auto"/>
              <w:bottom w:val="single" w:sz="4" w:space="0" w:color="auto"/>
              <w:right w:val="single" w:sz="4" w:space="0" w:color="auto"/>
            </w:tcBorders>
            <w:hideMark/>
          </w:tcPr>
          <w:p w14:paraId="38BAE7BE" w14:textId="5A766E65" w:rsidR="00687D06" w:rsidRPr="000E5F0F" w:rsidRDefault="000F0151">
            <w:pPr>
              <w:tabs>
                <w:tab w:val="left" w:pos="1410"/>
              </w:tabs>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03 Décembre 2018</w:t>
            </w:r>
          </w:p>
        </w:tc>
      </w:tr>
    </w:tbl>
    <w:p w14:paraId="7B50DCD5" w14:textId="77777777" w:rsidR="00687D06" w:rsidRPr="000E5F0F" w:rsidRDefault="00687D06" w:rsidP="00687D06">
      <w:pPr>
        <w:spacing w:after="0"/>
        <w:ind w:left="-142" w:right="-851"/>
        <w:rPr>
          <w:rFonts w:asciiTheme="minorHAnsi" w:eastAsia="Times New Roman" w:hAnsiTheme="minorHAnsi" w:cstheme="minorHAnsi"/>
          <w:color w:val="auto"/>
          <w:sz w:val="21"/>
          <w:szCs w:val="21"/>
          <w:lang w:eastAsia="rw-RW"/>
        </w:rPr>
      </w:pPr>
    </w:p>
    <w:p w14:paraId="6834DFAC" w14:textId="30D41CA7" w:rsidR="00687D06" w:rsidRPr="000E5F0F" w:rsidRDefault="00687D06" w:rsidP="002C43DC">
      <w:pPr>
        <w:ind w:left="-142" w:right="-851"/>
        <w:rPr>
          <w:rFonts w:asciiTheme="minorHAnsi" w:hAnsiTheme="minorHAnsi" w:cstheme="minorHAnsi"/>
          <w:color w:val="auto"/>
          <w:u w:val="single"/>
        </w:rPr>
      </w:pPr>
      <w:r w:rsidRPr="000E5F0F">
        <w:rPr>
          <w:rFonts w:asciiTheme="minorHAnsi" w:eastAsia="Times New Roman" w:hAnsiTheme="minorHAnsi" w:cstheme="minorHAnsi"/>
          <w:color w:val="auto"/>
          <w:sz w:val="21"/>
          <w:szCs w:val="21"/>
          <w:lang w:eastAsia="rw-RW"/>
        </w:rPr>
        <w:t>Prière envoyer vos propositions (propositions technique et financière) dûment signées à l’adresse e-mail</w:t>
      </w:r>
      <w:r w:rsidRPr="000E5F0F">
        <w:rPr>
          <w:rFonts w:asciiTheme="minorHAnsi" w:eastAsia="Times New Roman" w:hAnsiTheme="minorHAnsi" w:cstheme="minorHAnsi"/>
          <w:b/>
          <w:color w:val="auto"/>
          <w:sz w:val="21"/>
          <w:szCs w:val="21"/>
          <w:lang w:eastAsia="rw-RW"/>
        </w:rPr>
        <w:t xml:space="preserve"> </w:t>
      </w:r>
      <w:hyperlink r:id="rId6" w:history="1">
        <w:r w:rsidRPr="002C43DC">
          <w:rPr>
            <w:rStyle w:val="Lienhypertexte"/>
            <w:rFonts w:asciiTheme="minorHAnsi" w:hAnsiTheme="minorHAnsi" w:cstheme="minorHAnsi"/>
            <w:color w:val="00B0F0"/>
          </w:rPr>
          <w:t>procurement.tg@undp.org</w:t>
        </w:r>
      </w:hyperlink>
      <w:r w:rsidRPr="000E5F0F">
        <w:rPr>
          <w:rFonts w:asciiTheme="minorHAnsi" w:hAnsiTheme="minorHAnsi" w:cstheme="minorHAnsi"/>
          <w:color w:val="auto"/>
        </w:rPr>
        <w:t>/ avec</w:t>
      </w:r>
      <w:r w:rsidRPr="000E5F0F">
        <w:rPr>
          <w:rFonts w:asciiTheme="minorHAnsi" w:eastAsia="Times New Roman" w:hAnsiTheme="minorHAnsi" w:cstheme="minorHAnsi"/>
          <w:color w:val="auto"/>
          <w:sz w:val="21"/>
          <w:szCs w:val="21"/>
          <w:lang w:eastAsia="rw-RW"/>
        </w:rPr>
        <w:t xml:space="preserve"> mention de la référence et l’intitulé du dossier</w:t>
      </w:r>
      <w:r w:rsidRPr="000E5F0F">
        <w:rPr>
          <w:rFonts w:asciiTheme="minorHAnsi" w:eastAsia="Times New Roman" w:hAnsiTheme="minorHAnsi" w:cstheme="minorHAnsi"/>
          <w:b/>
          <w:color w:val="auto"/>
          <w:sz w:val="21"/>
          <w:szCs w:val="21"/>
          <w:lang w:eastAsia="rw-RW"/>
        </w:rPr>
        <w:t xml:space="preserve">. </w:t>
      </w:r>
      <w:r w:rsidRPr="000E5F0F">
        <w:rPr>
          <w:rFonts w:asciiTheme="minorHAnsi" w:hAnsiTheme="minorHAnsi" w:cstheme="minorHAnsi"/>
          <w:b/>
          <w:color w:val="auto"/>
          <w:sz w:val="21"/>
          <w:szCs w:val="21"/>
        </w:rPr>
        <w:t xml:space="preserve">Votre proposition devra être reçue </w:t>
      </w:r>
      <w:r w:rsidR="00B02423" w:rsidRPr="000E5F0F">
        <w:rPr>
          <w:rFonts w:asciiTheme="minorHAnsi" w:hAnsiTheme="minorHAnsi" w:cstheme="minorHAnsi"/>
          <w:color w:val="auto"/>
          <w:sz w:val="21"/>
          <w:szCs w:val="21"/>
        </w:rPr>
        <w:t xml:space="preserve">au plus tard </w:t>
      </w:r>
      <w:r w:rsidR="00B02423" w:rsidRPr="000E5F0F">
        <w:rPr>
          <w:rFonts w:asciiTheme="minorHAnsi" w:hAnsiTheme="minorHAnsi" w:cstheme="minorHAnsi"/>
          <w:b/>
          <w:color w:val="auto"/>
          <w:sz w:val="21"/>
          <w:szCs w:val="21"/>
        </w:rPr>
        <w:t xml:space="preserve">le </w:t>
      </w:r>
      <w:r w:rsidR="000F0151" w:rsidRPr="000E5F0F">
        <w:rPr>
          <w:rFonts w:asciiTheme="minorHAnsi" w:hAnsiTheme="minorHAnsi" w:cstheme="minorHAnsi"/>
          <w:b/>
          <w:color w:val="auto"/>
          <w:sz w:val="21"/>
          <w:szCs w:val="21"/>
        </w:rPr>
        <w:t>26</w:t>
      </w:r>
      <w:r w:rsidR="00EF7925" w:rsidRPr="000E5F0F">
        <w:rPr>
          <w:rFonts w:asciiTheme="minorHAnsi" w:hAnsiTheme="minorHAnsi" w:cstheme="minorHAnsi"/>
          <w:b/>
          <w:color w:val="auto"/>
          <w:sz w:val="21"/>
          <w:szCs w:val="21"/>
        </w:rPr>
        <w:t xml:space="preserve"> </w:t>
      </w:r>
      <w:r w:rsidRPr="000E5F0F">
        <w:rPr>
          <w:rFonts w:asciiTheme="minorHAnsi" w:hAnsiTheme="minorHAnsi" w:cstheme="minorHAnsi"/>
          <w:b/>
          <w:color w:val="auto"/>
          <w:sz w:val="21"/>
          <w:szCs w:val="21"/>
        </w:rPr>
        <w:t>novembre</w:t>
      </w:r>
      <w:r w:rsidRPr="000E5F0F">
        <w:rPr>
          <w:rFonts w:asciiTheme="minorHAnsi" w:hAnsiTheme="minorHAnsi" w:cstheme="minorHAnsi"/>
          <w:color w:val="auto"/>
          <w:sz w:val="21"/>
          <w:szCs w:val="21"/>
        </w:rPr>
        <w:t xml:space="preserve"> </w:t>
      </w:r>
      <w:r w:rsidRPr="000E5F0F">
        <w:rPr>
          <w:rFonts w:asciiTheme="minorHAnsi" w:hAnsiTheme="minorHAnsi" w:cstheme="minorHAnsi"/>
          <w:b/>
          <w:color w:val="auto"/>
          <w:sz w:val="21"/>
          <w:szCs w:val="21"/>
        </w:rPr>
        <w:t>2018 à 17 heures locale de Lomé</w:t>
      </w:r>
      <w:r w:rsidRPr="000E5F0F">
        <w:rPr>
          <w:rFonts w:asciiTheme="minorHAnsi" w:hAnsiTheme="minorHAnsi" w:cstheme="minorHAnsi"/>
          <w:color w:val="auto"/>
          <w:sz w:val="21"/>
          <w:szCs w:val="21"/>
        </w:rPr>
        <w:t xml:space="preserve">. </w:t>
      </w:r>
    </w:p>
    <w:p w14:paraId="4F75B2E8" w14:textId="77777777" w:rsidR="00687D06" w:rsidRPr="000E5F0F" w:rsidRDefault="00687D06" w:rsidP="00687D06">
      <w:pPr>
        <w:spacing w:after="120" w:line="240" w:lineRule="auto"/>
        <w:rPr>
          <w:rFonts w:asciiTheme="minorHAnsi" w:eastAsia="Times New Roman" w:hAnsiTheme="minorHAnsi" w:cstheme="minorHAnsi"/>
          <w:color w:val="auto"/>
          <w:sz w:val="21"/>
          <w:szCs w:val="21"/>
          <w:lang w:eastAsia="rw-RW"/>
        </w:rPr>
      </w:pPr>
      <w:r w:rsidRPr="000E5F0F">
        <w:rPr>
          <w:rFonts w:asciiTheme="minorHAnsi" w:hAnsiTheme="minorHAnsi" w:cstheme="minorHAnsi"/>
          <w:noProof/>
          <w:color w:val="auto"/>
        </w:rPr>
        <mc:AlternateContent>
          <mc:Choice Requires="wps">
            <w:drawing>
              <wp:anchor distT="4294967293" distB="4294967293" distL="114300" distR="114300" simplePos="0" relativeHeight="251660288" behindDoc="0" locked="0" layoutInCell="1" allowOverlap="1" wp14:anchorId="0A640A43" wp14:editId="3AEA6FC7">
                <wp:simplePos x="0" y="0"/>
                <wp:positionH relativeFrom="column">
                  <wp:posOffset>-509684</wp:posOffset>
                </wp:positionH>
                <wp:positionV relativeFrom="paragraph">
                  <wp:posOffset>227745</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007BF" id="Connecteur droit avec flèche 2" o:spid="_x0000_s1026" type="#_x0000_t32" style="position:absolute;margin-left:-40.15pt;margin-top:17.9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" strokecolor="blue" strokeweight="4.5pt"/>
            </w:pict>
          </mc:Fallback>
        </mc:AlternateContent>
      </w:r>
    </w:p>
    <w:p w14:paraId="715D5DEC" w14:textId="77777777" w:rsidR="00687D06" w:rsidRPr="000E5F0F" w:rsidRDefault="00687D06" w:rsidP="00687D06">
      <w:pPr>
        <w:spacing w:after="222" w:line="256" w:lineRule="auto"/>
        <w:ind w:left="0" w:firstLine="0"/>
        <w:jc w:val="center"/>
        <w:rPr>
          <w:rFonts w:asciiTheme="minorHAnsi" w:hAnsiTheme="minorHAnsi" w:cstheme="minorHAnsi"/>
          <w:color w:val="auto"/>
          <w:szCs w:val="24"/>
        </w:rPr>
      </w:pPr>
    </w:p>
    <w:p w14:paraId="25E9194D" w14:textId="5F04BA12" w:rsidR="00687D06" w:rsidRDefault="00687D06" w:rsidP="000E5F0F">
      <w:pPr>
        <w:pStyle w:val="Titre1"/>
        <w:numPr>
          <w:ilvl w:val="0"/>
          <w:numId w:val="28"/>
        </w:numPr>
        <w:jc w:val="both"/>
        <w:rPr>
          <w:rFonts w:asciiTheme="minorHAnsi" w:hAnsiTheme="minorHAnsi" w:cstheme="minorHAnsi"/>
          <w:i w:val="0"/>
          <w:color w:val="auto"/>
          <w:szCs w:val="24"/>
        </w:rPr>
      </w:pPr>
      <w:bookmarkStart w:id="1" w:name="_Hlk526332488"/>
      <w:r w:rsidRPr="000E5F0F">
        <w:rPr>
          <w:rFonts w:asciiTheme="minorHAnsi" w:hAnsiTheme="minorHAnsi" w:cstheme="minorHAnsi"/>
          <w:i w:val="0"/>
          <w:color w:val="auto"/>
          <w:szCs w:val="24"/>
        </w:rPr>
        <w:t xml:space="preserve">CONTEXTE ET JUSTIFICATION </w:t>
      </w:r>
    </w:p>
    <w:p w14:paraId="5116493E" w14:textId="77777777" w:rsidR="000E5F0F" w:rsidRPr="000E5F0F" w:rsidRDefault="000E5F0F" w:rsidP="000E5F0F"/>
    <w:p w14:paraId="12A6E716" w14:textId="5E5EC404" w:rsidR="00687D06" w:rsidRPr="000E5F0F" w:rsidRDefault="00687D06" w:rsidP="000E5F0F">
      <w:pPr>
        <w:spacing w:after="0" w:line="240" w:lineRule="auto"/>
        <w:ind w:left="0" w:firstLine="0"/>
        <w:rPr>
          <w:rFonts w:asciiTheme="minorHAnsi" w:eastAsia="Times New Roman" w:hAnsiTheme="minorHAnsi" w:cstheme="minorHAnsi"/>
          <w:bCs/>
          <w:color w:val="auto"/>
          <w:sz w:val="21"/>
          <w:szCs w:val="21"/>
          <w:lang w:eastAsia="rw-RW"/>
        </w:rPr>
      </w:pPr>
      <w:r w:rsidRPr="000E5F0F">
        <w:rPr>
          <w:rFonts w:asciiTheme="minorHAnsi" w:hAnsiTheme="minorHAnsi" w:cstheme="minorHAnsi"/>
          <w:color w:val="auto"/>
          <w:szCs w:val="24"/>
        </w:rPr>
        <w:t xml:space="preserve"> </w:t>
      </w:r>
      <w:r w:rsidRPr="000E5F0F">
        <w:rPr>
          <w:rFonts w:asciiTheme="minorHAnsi" w:eastAsia="Times New Roman" w:hAnsiTheme="minorHAnsi" w:cstheme="minorHAnsi"/>
          <w:bCs/>
          <w:color w:val="auto"/>
          <w:sz w:val="21"/>
          <w:szCs w:val="21"/>
          <w:lang w:eastAsia="rw-RW"/>
        </w:rPr>
        <w:t>La décentralisation qui est une mise en œuvre de la démocratie et du développement local, se présente aujourd’hui aux Etats africains comme une opportunité de transformation économique et sociale qualitative. Elle bénéficie d’un réel intérêt au Togo comme dans beaucoup de pays de la sous-région ouest africaine et du monde ainsi que de l’accompagnement des partenaires au développement.</w:t>
      </w:r>
    </w:p>
    <w:p w14:paraId="27FBE347" w14:textId="1976AD4F" w:rsidR="00687D06" w:rsidRDefault="00687D06" w:rsidP="000E5F0F">
      <w:pPr>
        <w:spacing w:after="0" w:line="240" w:lineRule="auto"/>
        <w:ind w:left="0" w:firstLine="0"/>
        <w:rPr>
          <w:rFonts w:asciiTheme="minorHAnsi" w:eastAsia="Times New Roman" w:hAnsiTheme="minorHAnsi" w:cstheme="minorHAnsi"/>
          <w:bCs/>
          <w:color w:val="auto"/>
          <w:sz w:val="21"/>
          <w:szCs w:val="21"/>
          <w:lang w:eastAsia="rw-RW"/>
        </w:rPr>
      </w:pPr>
      <w:r w:rsidRPr="000E5F0F">
        <w:rPr>
          <w:rFonts w:asciiTheme="minorHAnsi" w:eastAsia="Times New Roman" w:hAnsiTheme="minorHAnsi" w:cstheme="minorHAnsi"/>
          <w:bCs/>
          <w:color w:val="auto"/>
          <w:sz w:val="21"/>
          <w:szCs w:val="21"/>
          <w:lang w:eastAsia="rw-RW"/>
        </w:rPr>
        <w:t xml:space="preserve">Au Togo, elle fait partie des grandes réformes politiques et institutionnelles engagées par le Gouvernement en vue d’ancrer la démocratie locale et de réaliser un développement participatif et harmonisé à la base afin de réduire considérablement la pauvreté. </w:t>
      </w:r>
    </w:p>
    <w:p w14:paraId="78E368B7" w14:textId="77777777" w:rsidR="000E5F0F" w:rsidRPr="000E5F0F" w:rsidRDefault="000E5F0F" w:rsidP="000E5F0F">
      <w:pPr>
        <w:spacing w:after="0" w:line="240" w:lineRule="auto"/>
        <w:ind w:left="0" w:firstLine="0"/>
        <w:rPr>
          <w:rFonts w:asciiTheme="minorHAnsi" w:eastAsia="Times New Roman" w:hAnsiTheme="minorHAnsi" w:cstheme="minorHAnsi"/>
          <w:bCs/>
          <w:color w:val="auto"/>
          <w:sz w:val="21"/>
          <w:szCs w:val="21"/>
          <w:lang w:eastAsia="rw-RW"/>
        </w:rPr>
      </w:pPr>
    </w:p>
    <w:p w14:paraId="054ADBAF" w14:textId="77777777" w:rsidR="00687D06" w:rsidRPr="000E5F0F" w:rsidRDefault="00687D06" w:rsidP="000E5F0F">
      <w:pPr>
        <w:spacing w:after="0" w:line="240" w:lineRule="auto"/>
        <w:ind w:left="0" w:firstLine="0"/>
        <w:rPr>
          <w:rFonts w:asciiTheme="minorHAnsi" w:hAnsiTheme="minorHAnsi" w:cstheme="minorHAnsi"/>
          <w:color w:val="auto"/>
          <w:szCs w:val="24"/>
        </w:rPr>
      </w:pPr>
      <w:r w:rsidRPr="000E5F0F">
        <w:rPr>
          <w:rFonts w:asciiTheme="minorHAnsi" w:eastAsia="Times New Roman" w:hAnsiTheme="minorHAnsi" w:cstheme="minorHAnsi"/>
          <w:bCs/>
          <w:color w:val="auto"/>
          <w:sz w:val="21"/>
          <w:szCs w:val="21"/>
          <w:lang w:eastAsia="rw-RW"/>
        </w:rPr>
        <w:t>A l’étape actuelle de sa mise en œuvre, le processus connait une relance marquée par les</w:t>
      </w:r>
      <w:r w:rsidRPr="000E5F0F">
        <w:rPr>
          <w:rFonts w:asciiTheme="minorHAnsi" w:hAnsiTheme="minorHAnsi" w:cstheme="minorHAnsi"/>
          <w:color w:val="auto"/>
          <w:szCs w:val="24"/>
        </w:rPr>
        <w:t xml:space="preserve"> avancées </w:t>
      </w:r>
      <w:r w:rsidRPr="000E5F0F">
        <w:rPr>
          <w:rFonts w:asciiTheme="minorHAnsi" w:eastAsia="Times New Roman" w:hAnsiTheme="minorHAnsi" w:cstheme="minorHAnsi"/>
          <w:bCs/>
          <w:color w:val="auto"/>
          <w:sz w:val="21"/>
          <w:szCs w:val="21"/>
          <w:lang w:eastAsia="rw-RW"/>
        </w:rPr>
        <w:t>majeures suivantes :</w:t>
      </w:r>
    </w:p>
    <w:p w14:paraId="23DA8797"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la mise en place et l’opérationnalisation d’un Comité technique sur la décentralisation ;</w:t>
      </w:r>
    </w:p>
    <w:p w14:paraId="11907C7B"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 renforcement des capacités institutionnelles du ministère chargé de la décentralisation et des services de proximité à travers les programmes d’assistance à la décentralisation mis en œuvre par les partenaires techniques et financiers notamment le PNUD dans le cadre du projet d’appui à la réforme et à la modernisation de l’administration publique ;</w:t>
      </w:r>
    </w:p>
    <w:p w14:paraId="6F043F3E"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 renforcement du cadre juridique relatif à la décentralisation et aux libertés locales ainsi que la réalisation d’importantes études qui constituent un fonds documentaire indispensable à la prise de décision pour la formulation et la mise en œuvre des mécanismes inhérents au processus de décentralisation ;</w:t>
      </w:r>
    </w:p>
    <w:p w14:paraId="10FB0F15"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l’adoption par le gouvernement en mars 2016  de la Feuille de route de la décentralisation et des élections locales ;</w:t>
      </w:r>
    </w:p>
    <w:p w14:paraId="0A7E5F4A"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lastRenderedPageBreak/>
        <w:t>l’amélioration de l’appropriation du processus de décentralisation par tous les acteurs à travers l’atelier national  sur la décentralisation tenu en décembre 2016. L’atelier national sur la décentralisation a permis de dégager les approches et outils convergents pour une compréhension mutuelle des contraintes/exigences techniques et financières pour la réussite du processus de décentralisation au Togo. Il a conclu à l’importance et l’urgence, d’une part d’élaborer rapidement un cadre stratégique de mise en œuvre de la décentralisation et, d’autre part de mettre en place des mécanismes communs de travail pour tous les acteurs de la décentralisation en vue d’accélérer l’effectivité de la décentralisation ;</w:t>
      </w:r>
    </w:p>
    <w:p w14:paraId="2D1A5860"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l’engagement du gouvernement à tenir les élections locales;</w:t>
      </w:r>
    </w:p>
    <w:p w14:paraId="66BD2115" w14:textId="77777777" w:rsidR="00687D06" w:rsidRPr="000E5F0F" w:rsidRDefault="00687D06" w:rsidP="000E5F0F">
      <w:pPr>
        <w:pStyle w:val="Paragraphedeliste"/>
        <w:numPr>
          <w:ilvl w:val="0"/>
          <w:numId w:val="27"/>
        </w:numPr>
        <w:autoSpaceDE w:val="0"/>
        <w:autoSpaceDN w:val="0"/>
        <w:adjustRightInd w:val="0"/>
        <w:spacing w:after="0"/>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l’engagement renouvelé des partenaires techniques et financiers (PTF) présents au Togo pour accompagner la mise en œuvre de la décentralisation à travers des programmes concernant le renforcement des capacités institutionnelles, organisationnelles, en ressources humaines, en infrastructures et en équipements, ainsi que l’amélioration des finances locales, la promotion des mécanismes de financement alternatifs et de la coopération décentralisée.</w:t>
      </w:r>
    </w:p>
    <w:p w14:paraId="00AB040A" w14:textId="77777777" w:rsidR="00BC3465"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Le processus de décentralisation est entré dans une phase décisive avec la création de 5 régions, 39 préfectures et 116 communes</w:t>
      </w:r>
      <w:r w:rsidR="00BC3465" w:rsidRPr="000E5F0F">
        <w:rPr>
          <w:rFonts w:asciiTheme="minorHAnsi" w:eastAsia="Times New Roman" w:hAnsiTheme="minorHAnsi" w:cstheme="minorHAnsi"/>
          <w:color w:val="auto"/>
          <w:sz w:val="21"/>
          <w:szCs w:val="21"/>
          <w:lang w:eastAsia="rw-RW"/>
        </w:rPr>
        <w:t xml:space="preserve">, l’adoption de la loi portant modification de la loi n° 2007-011 du 13 mars 2007 relative à la décentralisation et aux libertés locales, l’adoption du décret portant création du </w:t>
      </w:r>
      <w:bookmarkStart w:id="2" w:name="_Hlk528862152"/>
      <w:r w:rsidR="00BC3465" w:rsidRPr="000E5F0F">
        <w:rPr>
          <w:rFonts w:asciiTheme="minorHAnsi" w:eastAsia="Times New Roman" w:hAnsiTheme="minorHAnsi" w:cstheme="minorHAnsi"/>
          <w:color w:val="auto"/>
          <w:sz w:val="21"/>
          <w:szCs w:val="21"/>
          <w:lang w:eastAsia="rw-RW"/>
        </w:rPr>
        <w:t>Conseil national de suivi de la décentralisation (CNSD) </w:t>
      </w:r>
      <w:bookmarkEnd w:id="2"/>
      <w:r w:rsidR="00BC3465" w:rsidRPr="000E5F0F">
        <w:rPr>
          <w:rFonts w:asciiTheme="minorHAnsi" w:eastAsia="Times New Roman" w:hAnsiTheme="minorHAnsi" w:cstheme="minorHAnsi"/>
          <w:color w:val="auto"/>
          <w:sz w:val="21"/>
          <w:szCs w:val="21"/>
          <w:lang w:eastAsia="rw-RW"/>
        </w:rPr>
        <w:t>et le décret portant nomination des membres du CNSD, l’adoption des décrets relatifs au ressort territorial et chef-lieu des communes, ainsi que le décret relatif au nombre de conseillers et des adjoints au maire par commune.</w:t>
      </w:r>
    </w:p>
    <w:p w14:paraId="3BC6AC34"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p>
    <w:p w14:paraId="4FC9260D"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Mais au-delà de l’effectivité formelle des réformes engagées, le défi majeur actuel de la décentralisation demeure le fonctionnement efficace des collectivités locales créées.</w:t>
      </w:r>
    </w:p>
    <w:p w14:paraId="72C599E2"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L’avènement de ces nouvelles collectivités locales intervient dans un contexte de gouvernance locale caractérisé par l’absence d’infrastructures, d’équipements et de structures de gestion décentralisée, l’insuffisance quantitative et qualitative des compétences et la méconnaissance des capacités des collectivités locales par </w:t>
      </w:r>
      <w:r w:rsidR="00246750" w:rsidRPr="000E5F0F">
        <w:rPr>
          <w:rFonts w:asciiTheme="minorHAnsi" w:eastAsia="Times New Roman" w:hAnsiTheme="minorHAnsi" w:cstheme="minorHAnsi"/>
          <w:color w:val="auto"/>
          <w:sz w:val="21"/>
          <w:szCs w:val="21"/>
          <w:lang w:eastAsia="rw-RW"/>
        </w:rPr>
        <w:t xml:space="preserve">les </w:t>
      </w:r>
      <w:r w:rsidRPr="000E5F0F">
        <w:rPr>
          <w:rFonts w:asciiTheme="minorHAnsi" w:eastAsia="Times New Roman" w:hAnsiTheme="minorHAnsi" w:cstheme="minorHAnsi"/>
          <w:color w:val="auto"/>
          <w:sz w:val="21"/>
          <w:szCs w:val="21"/>
          <w:lang w:eastAsia="rw-RW"/>
        </w:rPr>
        <w:t>acteurs étatiques et non étatiques impliqués dans le processus de décentralisation.</w:t>
      </w:r>
    </w:p>
    <w:p w14:paraId="21AD7927"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p>
    <w:p w14:paraId="170D7F00"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En effet, les collectivités locales naissantes ne disposent pas de systèmes administratifs de base et de capacités pertinentes pour démarrer leurs activités statutaires</w:t>
      </w:r>
      <w:r w:rsidR="00541656" w:rsidRPr="000E5F0F">
        <w:rPr>
          <w:rFonts w:asciiTheme="minorHAnsi" w:eastAsia="Times New Roman" w:hAnsiTheme="minorHAnsi" w:cstheme="minorHAnsi"/>
          <w:color w:val="auto"/>
          <w:sz w:val="21"/>
          <w:szCs w:val="21"/>
          <w:lang w:eastAsia="rw-RW"/>
        </w:rPr>
        <w:t xml:space="preserve">, </w:t>
      </w:r>
      <w:r w:rsidRPr="000E5F0F">
        <w:rPr>
          <w:rFonts w:asciiTheme="minorHAnsi" w:eastAsia="Times New Roman" w:hAnsiTheme="minorHAnsi" w:cstheme="minorHAnsi"/>
          <w:color w:val="auto"/>
          <w:sz w:val="21"/>
          <w:szCs w:val="21"/>
          <w:lang w:eastAsia="rw-RW"/>
        </w:rPr>
        <w:t>fonctionner correctement</w:t>
      </w:r>
      <w:r w:rsidR="00541656" w:rsidRPr="000E5F0F">
        <w:rPr>
          <w:rFonts w:asciiTheme="minorHAnsi" w:eastAsia="Times New Roman" w:hAnsiTheme="minorHAnsi" w:cstheme="minorHAnsi"/>
          <w:color w:val="auto"/>
          <w:sz w:val="21"/>
          <w:szCs w:val="21"/>
          <w:lang w:eastAsia="rw-RW"/>
        </w:rPr>
        <w:t xml:space="preserve"> et délivrer des services publics locaux accessibles et de qualité, porteurs de développement durable.</w:t>
      </w:r>
    </w:p>
    <w:p w14:paraId="217645D5" w14:textId="77777777" w:rsidR="00687D06" w:rsidRPr="000E5F0F" w:rsidRDefault="007C7E91"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Par conséquent, i</w:t>
      </w:r>
      <w:r w:rsidR="00687D06" w:rsidRPr="000E5F0F">
        <w:rPr>
          <w:rFonts w:asciiTheme="minorHAnsi" w:eastAsia="Times New Roman" w:hAnsiTheme="minorHAnsi" w:cstheme="minorHAnsi"/>
          <w:color w:val="auto"/>
          <w:sz w:val="21"/>
          <w:szCs w:val="21"/>
          <w:lang w:eastAsia="rw-RW"/>
        </w:rPr>
        <w:t>l importe d’anticiper sur la situation de démarrage de ces nouvelles entités locales</w:t>
      </w:r>
      <w:r w:rsidR="00B46EE4" w:rsidRPr="000E5F0F">
        <w:rPr>
          <w:rFonts w:asciiTheme="minorHAnsi" w:eastAsia="Times New Roman" w:hAnsiTheme="minorHAnsi" w:cstheme="minorHAnsi"/>
          <w:color w:val="auto"/>
          <w:sz w:val="21"/>
          <w:szCs w:val="21"/>
          <w:lang w:eastAsia="rw-RW"/>
        </w:rPr>
        <w:t xml:space="preserve"> ainsi que le renforcement du pilotage et de la coordination des actions de mise en œuvre de la décentralisation.</w:t>
      </w:r>
    </w:p>
    <w:p w14:paraId="5161C270" w14:textId="77777777" w:rsidR="00220512" w:rsidRPr="000E5F0F" w:rsidRDefault="00B46EE4"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C’est dans cette perspective, qu’est prévue la mobilisation d’un consultant pour l’élaboration d’un programme national d’appui à la décentralisation et à la mise en place des collectivités</w:t>
      </w:r>
      <w:r w:rsidR="00541656" w:rsidRPr="000E5F0F">
        <w:rPr>
          <w:rFonts w:asciiTheme="minorHAnsi" w:eastAsia="Times New Roman" w:hAnsiTheme="minorHAnsi" w:cstheme="minorHAnsi"/>
          <w:color w:val="auto"/>
          <w:sz w:val="21"/>
          <w:szCs w:val="21"/>
          <w:lang w:eastAsia="rw-RW"/>
        </w:rPr>
        <w:t xml:space="preserve"> locales.</w:t>
      </w:r>
    </w:p>
    <w:p w14:paraId="2E6D1629" w14:textId="77777777" w:rsidR="00541656" w:rsidRPr="000E5F0F" w:rsidRDefault="009468C3"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 programme national d’appui à la décentralisation et à la mise en place des collectivités locales doit prendre en compte </w:t>
      </w:r>
      <w:r w:rsidR="00341AE4" w:rsidRPr="000E5F0F">
        <w:rPr>
          <w:rFonts w:asciiTheme="minorHAnsi" w:eastAsia="Times New Roman" w:hAnsiTheme="minorHAnsi" w:cstheme="minorHAnsi"/>
          <w:color w:val="auto"/>
          <w:sz w:val="21"/>
          <w:szCs w:val="21"/>
          <w:lang w:eastAsia="rw-RW"/>
        </w:rPr>
        <w:t xml:space="preserve">les </w:t>
      </w:r>
      <w:r w:rsidRPr="000E5F0F">
        <w:rPr>
          <w:rFonts w:asciiTheme="minorHAnsi" w:eastAsia="Times New Roman" w:hAnsiTheme="minorHAnsi" w:cstheme="minorHAnsi"/>
          <w:color w:val="auto"/>
          <w:sz w:val="21"/>
          <w:szCs w:val="21"/>
          <w:lang w:eastAsia="rw-RW"/>
        </w:rPr>
        <w:t>deux (2) composantes essentielles</w:t>
      </w:r>
      <w:r w:rsidR="00341AE4" w:rsidRPr="000E5F0F">
        <w:rPr>
          <w:rFonts w:asciiTheme="minorHAnsi" w:eastAsia="Times New Roman" w:hAnsiTheme="minorHAnsi" w:cstheme="minorHAnsi"/>
          <w:color w:val="auto"/>
          <w:sz w:val="21"/>
          <w:szCs w:val="21"/>
          <w:lang w:eastAsia="rw-RW"/>
        </w:rPr>
        <w:t xml:space="preserve"> suivantes :</w:t>
      </w:r>
    </w:p>
    <w:bookmarkEnd w:id="1"/>
    <w:p w14:paraId="29F7E3B6"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(i) </w:t>
      </w:r>
      <w:r w:rsidR="009B01F0" w:rsidRPr="000E5F0F">
        <w:rPr>
          <w:rFonts w:asciiTheme="minorHAnsi" w:eastAsia="Times New Roman" w:hAnsiTheme="minorHAnsi" w:cstheme="minorHAnsi"/>
          <w:color w:val="auto"/>
          <w:sz w:val="21"/>
          <w:szCs w:val="21"/>
          <w:lang w:eastAsia="rw-RW"/>
        </w:rPr>
        <w:t>l</w:t>
      </w:r>
      <w:r w:rsidR="00341AE4" w:rsidRPr="000E5F0F">
        <w:rPr>
          <w:rFonts w:asciiTheme="minorHAnsi" w:eastAsia="Times New Roman" w:hAnsiTheme="minorHAnsi" w:cstheme="minorHAnsi"/>
          <w:color w:val="auto"/>
          <w:sz w:val="21"/>
          <w:szCs w:val="21"/>
          <w:lang w:eastAsia="rw-RW"/>
        </w:rPr>
        <w:t xml:space="preserve">e </w:t>
      </w:r>
      <w:r w:rsidRPr="000E5F0F">
        <w:rPr>
          <w:rFonts w:asciiTheme="minorHAnsi" w:eastAsia="Times New Roman" w:hAnsiTheme="minorHAnsi" w:cstheme="minorHAnsi"/>
          <w:color w:val="auto"/>
          <w:sz w:val="21"/>
          <w:szCs w:val="21"/>
          <w:lang w:eastAsia="rw-RW"/>
        </w:rPr>
        <w:t>développement institutionnel</w:t>
      </w:r>
      <w:r w:rsidR="00341AE4" w:rsidRPr="000E5F0F">
        <w:rPr>
          <w:rFonts w:asciiTheme="minorHAnsi" w:eastAsia="Times New Roman" w:hAnsiTheme="minorHAnsi" w:cstheme="minorHAnsi"/>
          <w:color w:val="auto"/>
          <w:sz w:val="21"/>
          <w:szCs w:val="21"/>
          <w:lang w:eastAsia="rw-RW"/>
        </w:rPr>
        <w:t xml:space="preserve"> des collectivités locales</w:t>
      </w:r>
      <w:r w:rsidRPr="000E5F0F">
        <w:rPr>
          <w:rFonts w:asciiTheme="minorHAnsi" w:eastAsia="Times New Roman" w:hAnsiTheme="minorHAnsi" w:cstheme="minorHAnsi"/>
          <w:color w:val="auto"/>
          <w:sz w:val="21"/>
          <w:szCs w:val="21"/>
          <w:lang w:eastAsia="rw-RW"/>
        </w:rPr>
        <w:t> </w:t>
      </w:r>
    </w:p>
    <w:p w14:paraId="25E7752A" w14:textId="77777777" w:rsidR="00687D06" w:rsidRPr="000E5F0F" w:rsidRDefault="009B01F0"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Il s’agit de l’élaboration d’un</w:t>
      </w:r>
      <w:r w:rsidR="00687D06" w:rsidRPr="000E5F0F">
        <w:rPr>
          <w:rFonts w:asciiTheme="minorHAnsi" w:eastAsia="Times New Roman" w:hAnsiTheme="minorHAnsi" w:cstheme="minorHAnsi"/>
          <w:color w:val="auto"/>
          <w:sz w:val="21"/>
          <w:szCs w:val="21"/>
          <w:lang w:eastAsia="rw-RW"/>
        </w:rPr>
        <w:t xml:space="preserve"> cadre de développement institutionnel des collectivités locales qui définit les besoins prioritaires des collectivités locales dans la phase de démarrage sur une période de cinq ans, en termes d’infrastructures, d’équipements, d’organisation et d’outils de gestion administrative, d‘emplois et de compétences à mobiliser, de fonctionnement des conseils de collectivités locales, d’outils de mobilisation et de gestion des finances locales, de </w:t>
      </w:r>
      <w:r w:rsidR="00D640A5" w:rsidRPr="000E5F0F">
        <w:rPr>
          <w:rFonts w:asciiTheme="minorHAnsi" w:eastAsia="Times New Roman" w:hAnsiTheme="minorHAnsi" w:cstheme="minorHAnsi"/>
          <w:color w:val="auto"/>
          <w:sz w:val="21"/>
          <w:szCs w:val="21"/>
          <w:lang w:eastAsia="rw-RW"/>
        </w:rPr>
        <w:t xml:space="preserve">prise en charge du développement local/communautaire, de </w:t>
      </w:r>
      <w:r w:rsidR="00687D06" w:rsidRPr="000E5F0F">
        <w:rPr>
          <w:rFonts w:asciiTheme="minorHAnsi" w:eastAsia="Times New Roman" w:hAnsiTheme="minorHAnsi" w:cstheme="minorHAnsi"/>
          <w:color w:val="auto"/>
          <w:sz w:val="21"/>
          <w:szCs w:val="21"/>
          <w:lang w:eastAsia="rw-RW"/>
        </w:rPr>
        <w:t>mutualisation et de coopération décentralisée.</w:t>
      </w:r>
    </w:p>
    <w:p w14:paraId="3B86A101"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lastRenderedPageBreak/>
        <w:t xml:space="preserve">Le cadre de développement institutionnel servira de référence à l’administration centrale pour déployer en amont les pré requis, les principes d’action de développement institutionnel nécessaires au lancement des nouvelles collectivités locales. </w:t>
      </w:r>
    </w:p>
    <w:p w14:paraId="36DB678D"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Après l’installation des exécutifs locaux à l’issue des élections locales, il servira également à chaque région, à chaque préfecture et à chaque commune, de rampe de lancement de son plan de développement institutionnel spécifique et de son plan de développement local, en fonction de ses priorités et de ses ressources locales disponibles ou à mobiliser.</w:t>
      </w:r>
    </w:p>
    <w:p w14:paraId="1A204AF1"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A ce stade, il doit être conçu comme un dispositif multi acteurs qui permet aux différents intervenants dans le processus de la décentralisation notamment l’Etat, les collectivités locales, les partenaires techniques et financiers, les organisations de la société civile d’avoir une plus grande visibilité dans les actions prioritaires de mise en place des nouvelles entités décentralisées afin de déployer leurs efforts en conséquence.</w:t>
      </w:r>
    </w:p>
    <w:p w14:paraId="63E7B44C"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(ii) </w:t>
      </w:r>
      <w:r w:rsidR="009B01F0" w:rsidRPr="000E5F0F">
        <w:rPr>
          <w:rFonts w:asciiTheme="minorHAnsi" w:eastAsia="Times New Roman" w:hAnsiTheme="minorHAnsi" w:cstheme="minorHAnsi"/>
          <w:color w:val="auto"/>
          <w:sz w:val="21"/>
          <w:szCs w:val="21"/>
          <w:lang w:eastAsia="rw-RW"/>
        </w:rPr>
        <w:t>la</w:t>
      </w:r>
      <w:r w:rsidRPr="000E5F0F">
        <w:rPr>
          <w:rFonts w:asciiTheme="minorHAnsi" w:eastAsia="Times New Roman" w:hAnsiTheme="minorHAnsi" w:cstheme="minorHAnsi"/>
          <w:color w:val="auto"/>
          <w:sz w:val="21"/>
          <w:szCs w:val="21"/>
          <w:lang w:eastAsia="rw-RW"/>
        </w:rPr>
        <w:t xml:space="preserve"> formation des acteurs de la décentralisation </w:t>
      </w:r>
    </w:p>
    <w:p w14:paraId="4AFCC304"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Les élections locales à venir mettront à la tête des communes, des conseils communaux, préfectoraux et régionaux, un personnel politique local issu d’horizons les plus divers et qui sera appelé à gérer un ensemble de compétences dans les domaines de l’éducation, de la santé, de l’environnement, de l’assainissement, de l’état civil, du budget et à conduire des missions inhérentes à la promotion de la démocratie locale et du développement communautaire.</w:t>
      </w:r>
    </w:p>
    <w:p w14:paraId="5DD25082"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Le mandat de conseiller municipal, de conseil préfectoral ou régional constituera pour eux, une première expérience de la gestion des affaires locales. Dans tous les cas, ce personnel politique local aura besoin de s’approprier les nouvelles missions assignées à la décentralisation et au développement local.</w:t>
      </w:r>
    </w:p>
    <w:p w14:paraId="6867862F"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Par ailleurs, le développement de la fonction publique territoriale nécessite un renforcement des capacités des personnels des services municipaux, préfectoraux et régionaux ainsi que des personnels de l’encadrement administratif et technique des services déconcentrés.</w:t>
      </w:r>
    </w:p>
    <w:p w14:paraId="669395AF"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Cette nouvelle donne requiert impérativement que soit conçue une politique rigoureuse de formation définissant des modules bien adaptés, le public cible, la structure de suivi et de supervision à même de répondre à l’ampleur de la demande de formation. Le but visé par la formation de ces catégories d’acteurs de la décentralisation est l’augmentation et le renforcement de leurs capacités opérationnelles dans la gestion des affaires locales en leur permettant de jouer pleinement leurs rôles.</w:t>
      </w:r>
    </w:p>
    <w:p w14:paraId="46E247E5"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Dans la phase de mise en route des nouvelles collectivités locales, les besoins sont énormes et les défis multiples. </w:t>
      </w:r>
    </w:p>
    <w:p w14:paraId="71ECF68D" w14:textId="77777777" w:rsidR="00687D06" w:rsidRPr="000E5F0F" w:rsidRDefault="00687D06"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Mais le plus urgent demeure, entre autres, la détermination d’une feuille de route globale de formation de l’ensemble des acteurs, notamment les élus locaux, les cadres de l’administration centrale et des services déconcentrés du Ministère chargé des collectivités locales, et certains agents du Ministère des finances, du Ministère chargé de la Fonction publique et de tout département ministériel impliqué dans le processus de décentralisation.</w:t>
      </w:r>
    </w:p>
    <w:p w14:paraId="766A8676" w14:textId="15B29C2E" w:rsidR="009B01F0" w:rsidRPr="000E5F0F" w:rsidRDefault="0018171E" w:rsidP="000E5F0F">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La mission sera assurée par trois consultants notamment un chef de mission expert en décentralisation et gouvernance locale, un expert en finances locales et un deuxième expert en décentralisation.</w:t>
      </w:r>
    </w:p>
    <w:p w14:paraId="001E4038" w14:textId="77777777" w:rsidR="0018171E" w:rsidRPr="000E5F0F" w:rsidRDefault="0018171E" w:rsidP="00B02423">
      <w:pPr>
        <w:autoSpaceDE w:val="0"/>
        <w:autoSpaceDN w:val="0"/>
        <w:adjustRightInd w:val="0"/>
        <w:spacing w:after="0" w:line="240" w:lineRule="auto"/>
        <w:rPr>
          <w:rFonts w:asciiTheme="minorHAnsi" w:hAnsiTheme="minorHAnsi" w:cstheme="minorHAnsi"/>
          <w:color w:val="auto"/>
          <w:szCs w:val="24"/>
        </w:rPr>
      </w:pPr>
    </w:p>
    <w:p w14:paraId="6FB55B0B" w14:textId="77777777" w:rsidR="00687D06" w:rsidRPr="000E5F0F" w:rsidRDefault="00687D06" w:rsidP="00B02423">
      <w:pPr>
        <w:pStyle w:val="Titre1"/>
        <w:ind w:left="-5"/>
        <w:jc w:val="both"/>
        <w:rPr>
          <w:rFonts w:asciiTheme="minorHAnsi" w:hAnsiTheme="minorHAnsi" w:cstheme="minorHAnsi"/>
          <w:i w:val="0"/>
          <w:color w:val="auto"/>
          <w:szCs w:val="24"/>
        </w:rPr>
      </w:pPr>
      <w:r w:rsidRPr="000E5F0F">
        <w:rPr>
          <w:rFonts w:asciiTheme="minorHAnsi" w:hAnsiTheme="minorHAnsi" w:cstheme="minorHAnsi"/>
          <w:i w:val="0"/>
          <w:color w:val="auto"/>
          <w:szCs w:val="24"/>
        </w:rPr>
        <w:t xml:space="preserve">II- OBJECTIFS DE LA </w:t>
      </w:r>
      <w:r w:rsidR="009B01F0" w:rsidRPr="000E5F0F">
        <w:rPr>
          <w:rFonts w:asciiTheme="minorHAnsi" w:hAnsiTheme="minorHAnsi" w:cstheme="minorHAnsi"/>
          <w:i w:val="0"/>
          <w:color w:val="auto"/>
          <w:szCs w:val="24"/>
        </w:rPr>
        <w:t>MISSION</w:t>
      </w:r>
    </w:p>
    <w:p w14:paraId="1B72B0B5" w14:textId="77777777" w:rsidR="00687D06" w:rsidRPr="000E5F0F" w:rsidRDefault="00687D06" w:rsidP="00B02423">
      <w:pPr>
        <w:spacing w:after="0" w:line="256" w:lineRule="auto"/>
        <w:ind w:left="0" w:firstLine="0"/>
        <w:rPr>
          <w:rFonts w:asciiTheme="minorHAnsi" w:hAnsiTheme="minorHAnsi" w:cstheme="minorHAnsi"/>
          <w:color w:val="auto"/>
          <w:szCs w:val="24"/>
        </w:rPr>
      </w:pPr>
      <w:r w:rsidRPr="000E5F0F">
        <w:rPr>
          <w:rFonts w:asciiTheme="minorHAnsi" w:hAnsiTheme="minorHAnsi" w:cstheme="minorHAnsi"/>
          <w:b/>
          <w:color w:val="auto"/>
          <w:szCs w:val="24"/>
        </w:rPr>
        <w:t xml:space="preserve"> </w:t>
      </w:r>
    </w:p>
    <w:p w14:paraId="19F1BF09" w14:textId="77777777" w:rsidR="00687D06" w:rsidRPr="000E5F0F" w:rsidRDefault="00687D06" w:rsidP="00B02423">
      <w:pPr>
        <w:rPr>
          <w:rFonts w:asciiTheme="minorHAnsi" w:hAnsiTheme="minorHAnsi" w:cstheme="minorHAnsi"/>
          <w:b/>
          <w:color w:val="auto"/>
          <w:szCs w:val="24"/>
        </w:rPr>
      </w:pPr>
      <w:r w:rsidRPr="000E5F0F">
        <w:rPr>
          <w:rFonts w:asciiTheme="minorHAnsi" w:hAnsiTheme="minorHAnsi" w:cstheme="minorHAnsi"/>
          <w:b/>
          <w:color w:val="auto"/>
          <w:szCs w:val="24"/>
        </w:rPr>
        <w:t xml:space="preserve">2.1. Objectif </w:t>
      </w:r>
      <w:r w:rsidR="00C52E8F" w:rsidRPr="000E5F0F">
        <w:rPr>
          <w:rFonts w:asciiTheme="minorHAnsi" w:hAnsiTheme="minorHAnsi" w:cstheme="minorHAnsi"/>
          <w:b/>
          <w:color w:val="auto"/>
          <w:szCs w:val="24"/>
        </w:rPr>
        <w:t>général</w:t>
      </w:r>
    </w:p>
    <w:p w14:paraId="6A3A8758" w14:textId="77777777" w:rsidR="00DF2557" w:rsidRPr="000E5F0F" w:rsidRDefault="00DF2557" w:rsidP="00B02423">
      <w:pPr>
        <w:rPr>
          <w:rFonts w:asciiTheme="minorHAnsi" w:hAnsiTheme="minorHAnsi" w:cstheme="minorHAnsi"/>
          <w:color w:val="auto"/>
          <w:szCs w:val="24"/>
        </w:rPr>
      </w:pPr>
    </w:p>
    <w:p w14:paraId="2DF25234" w14:textId="77777777" w:rsidR="00C52E8F" w:rsidRPr="000E5F0F" w:rsidRDefault="00C52E8F" w:rsidP="00B02423">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L’objectif général est de réaliser une étude qui permet de doter le gouvernement d’un programme national d’appui à la décentralisation et à la mise en place des collectivités </w:t>
      </w:r>
      <w:r w:rsidR="005F5CF9" w:rsidRPr="000E5F0F">
        <w:rPr>
          <w:rFonts w:asciiTheme="minorHAnsi" w:eastAsia="Times New Roman" w:hAnsiTheme="minorHAnsi" w:cstheme="minorHAnsi"/>
          <w:color w:val="auto"/>
          <w:sz w:val="21"/>
          <w:szCs w:val="21"/>
          <w:lang w:eastAsia="rw-RW"/>
        </w:rPr>
        <w:t>locales pour</w:t>
      </w:r>
      <w:r w:rsidRPr="000E5F0F">
        <w:rPr>
          <w:rFonts w:asciiTheme="minorHAnsi" w:eastAsia="Times New Roman" w:hAnsiTheme="minorHAnsi" w:cstheme="minorHAnsi"/>
          <w:color w:val="auto"/>
          <w:sz w:val="21"/>
          <w:szCs w:val="21"/>
          <w:lang w:eastAsia="rw-RW"/>
        </w:rPr>
        <w:t xml:space="preserve"> l’atteinte des ODD. </w:t>
      </w:r>
    </w:p>
    <w:p w14:paraId="444863DD" w14:textId="47353D73" w:rsidR="00687D06" w:rsidRDefault="00687D06" w:rsidP="00B02423">
      <w:pPr>
        <w:rPr>
          <w:rFonts w:asciiTheme="minorHAnsi" w:hAnsiTheme="minorHAnsi" w:cstheme="minorHAnsi"/>
          <w:color w:val="auto"/>
          <w:szCs w:val="24"/>
        </w:rPr>
      </w:pPr>
    </w:p>
    <w:p w14:paraId="6083401D" w14:textId="263F827C" w:rsidR="000E5F0F" w:rsidRDefault="000E5F0F" w:rsidP="00B02423">
      <w:pPr>
        <w:rPr>
          <w:rFonts w:asciiTheme="minorHAnsi" w:hAnsiTheme="minorHAnsi" w:cstheme="minorHAnsi"/>
          <w:color w:val="auto"/>
          <w:szCs w:val="24"/>
        </w:rPr>
      </w:pPr>
    </w:p>
    <w:p w14:paraId="6D7DA2BD" w14:textId="77777777" w:rsidR="000E5F0F" w:rsidRPr="000E5F0F" w:rsidRDefault="000E5F0F" w:rsidP="00B02423">
      <w:pPr>
        <w:rPr>
          <w:rFonts w:asciiTheme="minorHAnsi" w:hAnsiTheme="minorHAnsi" w:cstheme="minorHAnsi"/>
          <w:color w:val="auto"/>
          <w:szCs w:val="24"/>
        </w:rPr>
      </w:pPr>
    </w:p>
    <w:p w14:paraId="282C005C" w14:textId="77777777" w:rsidR="00687D06" w:rsidRPr="000E5F0F" w:rsidRDefault="00687D06" w:rsidP="00B02423">
      <w:pPr>
        <w:rPr>
          <w:rFonts w:asciiTheme="minorHAnsi" w:hAnsiTheme="minorHAnsi" w:cstheme="minorHAnsi"/>
          <w:b/>
          <w:color w:val="auto"/>
          <w:szCs w:val="24"/>
        </w:rPr>
      </w:pPr>
      <w:r w:rsidRPr="000E5F0F">
        <w:rPr>
          <w:rFonts w:asciiTheme="minorHAnsi" w:hAnsiTheme="minorHAnsi" w:cstheme="minorHAnsi"/>
          <w:b/>
          <w:color w:val="auto"/>
          <w:szCs w:val="24"/>
        </w:rPr>
        <w:lastRenderedPageBreak/>
        <w:t>2.2. Objectifs spécifiques et mission du consultant</w:t>
      </w:r>
    </w:p>
    <w:p w14:paraId="3B16928D" w14:textId="77777777" w:rsidR="00DF2557" w:rsidRPr="000E5F0F" w:rsidRDefault="00DF2557" w:rsidP="00B02423">
      <w:pPr>
        <w:rPr>
          <w:rFonts w:asciiTheme="minorHAnsi" w:hAnsiTheme="minorHAnsi" w:cstheme="minorHAnsi"/>
          <w:color w:val="auto"/>
          <w:szCs w:val="24"/>
        </w:rPr>
      </w:pPr>
    </w:p>
    <w:p w14:paraId="01E9E6D9" w14:textId="77777777" w:rsidR="00C52E8F" w:rsidRPr="000E5F0F" w:rsidRDefault="00C52E8F" w:rsidP="00B02423">
      <w:pPr>
        <w:autoSpaceDE w:val="0"/>
        <w:autoSpaceDN w:val="0"/>
        <w:adjustRightInd w:val="0"/>
        <w:spacing w:after="0" w:line="276"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De façon spécifique, </w:t>
      </w:r>
      <w:r w:rsidR="000F7510" w:rsidRPr="000E5F0F">
        <w:rPr>
          <w:rFonts w:asciiTheme="minorHAnsi" w:eastAsia="Times New Roman" w:hAnsiTheme="minorHAnsi" w:cstheme="minorHAnsi"/>
          <w:color w:val="auto"/>
          <w:sz w:val="21"/>
          <w:szCs w:val="21"/>
          <w:lang w:eastAsia="rw-RW"/>
        </w:rPr>
        <w:t xml:space="preserve">le programme national d’appui à la décentralisation et à la mise en place des collectivités locales doit définir (i) un cadre de développement </w:t>
      </w:r>
      <w:r w:rsidR="00F160C5" w:rsidRPr="000E5F0F">
        <w:rPr>
          <w:rFonts w:asciiTheme="minorHAnsi" w:eastAsia="Times New Roman" w:hAnsiTheme="minorHAnsi" w:cstheme="minorHAnsi"/>
          <w:color w:val="auto"/>
          <w:sz w:val="21"/>
          <w:szCs w:val="21"/>
          <w:lang w:eastAsia="rw-RW"/>
        </w:rPr>
        <w:t>institutionnel des</w:t>
      </w:r>
      <w:r w:rsidR="000F7510" w:rsidRPr="000E5F0F">
        <w:rPr>
          <w:rFonts w:asciiTheme="minorHAnsi" w:eastAsia="Times New Roman" w:hAnsiTheme="minorHAnsi" w:cstheme="minorHAnsi"/>
          <w:color w:val="auto"/>
          <w:sz w:val="21"/>
          <w:szCs w:val="21"/>
          <w:lang w:eastAsia="rw-RW"/>
        </w:rPr>
        <w:t xml:space="preserve"> collectivités locales et (ii) un programme </w:t>
      </w:r>
      <w:r w:rsidR="00F160C5" w:rsidRPr="000E5F0F">
        <w:rPr>
          <w:rFonts w:asciiTheme="minorHAnsi" w:eastAsia="Times New Roman" w:hAnsiTheme="minorHAnsi" w:cstheme="minorHAnsi"/>
          <w:color w:val="auto"/>
          <w:sz w:val="21"/>
          <w:szCs w:val="21"/>
          <w:lang w:eastAsia="rw-RW"/>
        </w:rPr>
        <w:t>de formation</w:t>
      </w:r>
      <w:r w:rsidR="000F7510" w:rsidRPr="000E5F0F">
        <w:rPr>
          <w:rFonts w:asciiTheme="minorHAnsi" w:eastAsia="Times New Roman" w:hAnsiTheme="minorHAnsi" w:cstheme="minorHAnsi"/>
          <w:color w:val="auto"/>
          <w:sz w:val="21"/>
          <w:szCs w:val="21"/>
          <w:lang w:eastAsia="rw-RW"/>
        </w:rPr>
        <w:t xml:space="preserve"> des acteurs de la décentralisation</w:t>
      </w:r>
      <w:r w:rsidR="00F160C5" w:rsidRPr="000E5F0F">
        <w:rPr>
          <w:rFonts w:asciiTheme="minorHAnsi" w:eastAsia="Times New Roman" w:hAnsiTheme="minorHAnsi" w:cstheme="minorHAnsi"/>
          <w:color w:val="auto"/>
          <w:sz w:val="21"/>
          <w:szCs w:val="21"/>
          <w:lang w:eastAsia="rw-RW"/>
        </w:rPr>
        <w:t>.</w:t>
      </w:r>
    </w:p>
    <w:p w14:paraId="0549B1EE" w14:textId="77777777" w:rsidR="00687D06" w:rsidRPr="000E5F0F" w:rsidRDefault="00687D06" w:rsidP="00B02423">
      <w:pPr>
        <w:spacing w:after="0" w:line="256" w:lineRule="auto"/>
        <w:ind w:left="0" w:firstLine="0"/>
        <w:rPr>
          <w:rFonts w:asciiTheme="minorHAnsi" w:hAnsiTheme="minorHAnsi" w:cstheme="minorHAnsi"/>
          <w:color w:val="auto"/>
          <w:szCs w:val="24"/>
        </w:rPr>
      </w:pPr>
    </w:p>
    <w:p w14:paraId="773BB98C" w14:textId="77777777" w:rsidR="00687D06" w:rsidRPr="000E5F0F" w:rsidRDefault="00F160C5" w:rsidP="00B02423">
      <w:pPr>
        <w:pStyle w:val="Paragraphedeliste"/>
        <w:numPr>
          <w:ilvl w:val="0"/>
          <w:numId w:val="2"/>
        </w:numPr>
        <w:jc w:val="both"/>
        <w:rPr>
          <w:rFonts w:asciiTheme="minorHAnsi" w:hAnsiTheme="minorHAnsi" w:cstheme="minorHAnsi"/>
          <w:b/>
          <w:i/>
          <w:sz w:val="24"/>
          <w:szCs w:val="24"/>
        </w:rPr>
      </w:pPr>
      <w:bookmarkStart w:id="3" w:name="_Hlk526351435"/>
      <w:r w:rsidRPr="000E5F0F">
        <w:rPr>
          <w:rFonts w:asciiTheme="minorHAnsi" w:hAnsiTheme="minorHAnsi" w:cstheme="minorHAnsi"/>
          <w:b/>
          <w:i/>
          <w:sz w:val="24"/>
          <w:szCs w:val="24"/>
        </w:rPr>
        <w:t xml:space="preserve">Définir </w:t>
      </w:r>
      <w:r w:rsidR="00692DE3" w:rsidRPr="000E5F0F">
        <w:rPr>
          <w:rFonts w:asciiTheme="minorHAnsi" w:hAnsiTheme="minorHAnsi" w:cstheme="minorHAnsi"/>
          <w:b/>
          <w:i/>
          <w:sz w:val="24"/>
          <w:szCs w:val="24"/>
        </w:rPr>
        <w:t>un cadre</w:t>
      </w:r>
      <w:r w:rsidRPr="000E5F0F">
        <w:rPr>
          <w:rFonts w:asciiTheme="minorHAnsi" w:hAnsiTheme="minorHAnsi" w:cstheme="minorHAnsi"/>
          <w:b/>
          <w:i/>
          <w:sz w:val="24"/>
          <w:szCs w:val="24"/>
        </w:rPr>
        <w:t xml:space="preserve"> de développement</w:t>
      </w:r>
      <w:r w:rsidR="00687D06" w:rsidRPr="000E5F0F">
        <w:rPr>
          <w:rFonts w:asciiTheme="minorHAnsi" w:hAnsiTheme="minorHAnsi" w:cstheme="minorHAnsi"/>
          <w:b/>
          <w:i/>
          <w:sz w:val="24"/>
          <w:szCs w:val="24"/>
        </w:rPr>
        <w:t xml:space="preserve"> institutionnel des collectivités locales </w:t>
      </w:r>
    </w:p>
    <w:bookmarkEnd w:id="3"/>
    <w:p w14:paraId="494A28A2" w14:textId="77777777" w:rsidR="00687D06" w:rsidRPr="000E5F0F" w:rsidRDefault="00687D06" w:rsidP="00687D06">
      <w:pPr>
        <w:spacing w:line="36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Il s’agit d’une part, d’effectuer un </w:t>
      </w:r>
      <w:bookmarkStart w:id="4" w:name="_Hlk508341992"/>
      <w:r w:rsidRPr="000E5F0F">
        <w:rPr>
          <w:rFonts w:asciiTheme="minorHAnsi" w:eastAsia="Times New Roman" w:hAnsiTheme="minorHAnsi" w:cstheme="minorHAnsi"/>
          <w:color w:val="auto"/>
          <w:sz w:val="21"/>
          <w:szCs w:val="21"/>
          <w:lang w:eastAsia="rw-RW"/>
        </w:rPr>
        <w:t xml:space="preserve">diagnostic général de l’organisation et du fonctionnement des collectivités locales et un état des lieux des infrastructures, des équipements et des ressources humaines </w:t>
      </w:r>
      <w:bookmarkEnd w:id="4"/>
      <w:r w:rsidRPr="000E5F0F">
        <w:rPr>
          <w:rFonts w:asciiTheme="minorHAnsi" w:eastAsia="Times New Roman" w:hAnsiTheme="minorHAnsi" w:cstheme="minorHAnsi"/>
          <w:color w:val="auto"/>
          <w:sz w:val="21"/>
          <w:szCs w:val="21"/>
          <w:lang w:eastAsia="rw-RW"/>
        </w:rPr>
        <w:t>et d’autre part, de proposer en conséquence un cadre de développement institutionnel.</w:t>
      </w:r>
    </w:p>
    <w:p w14:paraId="3D05B86D" w14:textId="77777777" w:rsidR="00687D06" w:rsidRPr="000E5F0F" w:rsidRDefault="00687D06" w:rsidP="00687D06">
      <w:pPr>
        <w:spacing w:line="36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Le diagnostic devra comporter les éléments suivants :</w:t>
      </w:r>
    </w:p>
    <w:p w14:paraId="1F8104D1" w14:textId="77777777" w:rsidR="00687D06" w:rsidRPr="000E5F0F" w:rsidRDefault="00687D06" w:rsidP="000E5F0F">
      <w:pPr>
        <w:pStyle w:val="Paragraphedeliste"/>
        <w:numPr>
          <w:ilvl w:val="0"/>
          <w:numId w:val="26"/>
        </w:numPr>
        <w:spacing w:line="36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l’analyse du référentiel législatif et règlementaire des collectivités locales ;</w:t>
      </w:r>
    </w:p>
    <w:p w14:paraId="33A289E3" w14:textId="77777777" w:rsidR="00687D06" w:rsidRPr="000E5F0F" w:rsidRDefault="00687D06" w:rsidP="000E5F0F">
      <w:pPr>
        <w:pStyle w:val="Paragraphedeliste"/>
        <w:numPr>
          <w:ilvl w:val="0"/>
          <w:numId w:val="26"/>
        </w:numPr>
        <w:spacing w:line="36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l’évaluation du système d’organisation et de fonctionnement actuel des collectivités locales ;</w:t>
      </w:r>
    </w:p>
    <w:p w14:paraId="7D9099A2" w14:textId="77777777" w:rsidR="00687D06" w:rsidRPr="000E5F0F" w:rsidRDefault="00687D06" w:rsidP="000E5F0F">
      <w:pPr>
        <w:pStyle w:val="Paragraphedeliste"/>
        <w:numPr>
          <w:ilvl w:val="0"/>
          <w:numId w:val="26"/>
        </w:numPr>
        <w:spacing w:line="36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l’analyse des qualifications actuelles des ressources humaines disponibles, leur adéquation avec les fonctions et missions assignées aux collectivités locales ;</w:t>
      </w:r>
    </w:p>
    <w:p w14:paraId="2F62E9B1" w14:textId="77777777" w:rsidR="00687D06" w:rsidRPr="000E5F0F" w:rsidRDefault="00687D06" w:rsidP="000E5F0F">
      <w:pPr>
        <w:pStyle w:val="Paragraphedeliste"/>
        <w:numPr>
          <w:ilvl w:val="0"/>
          <w:numId w:val="26"/>
        </w:numPr>
        <w:spacing w:line="36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l’évaluation des moyens de travail mis à la disposition des services et des agents pour la réalisation des missions ou tâches assignées ;</w:t>
      </w:r>
    </w:p>
    <w:p w14:paraId="00ABFF4D" w14:textId="77777777" w:rsidR="00687D06" w:rsidRPr="000E5F0F" w:rsidRDefault="00687D06" w:rsidP="000E5F0F">
      <w:pPr>
        <w:pStyle w:val="Paragraphedeliste"/>
        <w:numPr>
          <w:ilvl w:val="0"/>
          <w:numId w:val="26"/>
        </w:numPr>
        <w:spacing w:line="36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l’appréciation de l’appui des services techniques déconcentrés, en particulier les services financiers et ceux de la tutelle rapprochée ;</w:t>
      </w:r>
    </w:p>
    <w:p w14:paraId="616DD1D6" w14:textId="77777777" w:rsidR="00687D06" w:rsidRPr="000E5F0F" w:rsidRDefault="00687D06" w:rsidP="00687D06">
      <w:pPr>
        <w:spacing w:line="360" w:lineRule="auto"/>
        <w:rPr>
          <w:rFonts w:asciiTheme="minorHAnsi" w:eastAsia="Times New Roman" w:hAnsiTheme="minorHAnsi" w:cstheme="minorHAnsi"/>
          <w:color w:val="auto"/>
          <w:sz w:val="21"/>
          <w:szCs w:val="21"/>
          <w:lang w:eastAsia="rw-RW"/>
        </w:rPr>
      </w:pPr>
      <w:bookmarkStart w:id="5" w:name="_Hlk508342199"/>
      <w:r w:rsidRPr="000E5F0F">
        <w:rPr>
          <w:rFonts w:asciiTheme="minorHAnsi" w:eastAsia="Times New Roman" w:hAnsiTheme="minorHAnsi" w:cstheme="minorHAnsi"/>
          <w:color w:val="auto"/>
          <w:sz w:val="21"/>
          <w:szCs w:val="21"/>
          <w:lang w:eastAsia="rw-RW"/>
        </w:rPr>
        <w:t xml:space="preserve">Le cadre de développement institutionnel </w:t>
      </w:r>
      <w:bookmarkEnd w:id="5"/>
      <w:r w:rsidRPr="000E5F0F">
        <w:rPr>
          <w:rFonts w:asciiTheme="minorHAnsi" w:eastAsia="Times New Roman" w:hAnsiTheme="minorHAnsi" w:cstheme="minorHAnsi"/>
          <w:color w:val="auto"/>
          <w:sz w:val="21"/>
          <w:szCs w:val="21"/>
          <w:lang w:eastAsia="rw-RW"/>
        </w:rPr>
        <w:t>à établir sur la base du diagnostic et des objectifs du développement durable assignés à la décentralisation consiste en la formulation de recommandations sous formes de proposition concernant :</w:t>
      </w:r>
    </w:p>
    <w:p w14:paraId="4D17E6AB" w14:textId="77777777" w:rsidR="00687D06" w:rsidRPr="000E5F0F" w:rsidRDefault="00687D06" w:rsidP="00687D06">
      <w:pPr>
        <w:pStyle w:val="Paragraphedeliste"/>
        <w:numPr>
          <w:ilvl w:val="0"/>
          <w:numId w:val="4"/>
        </w:numPr>
        <w:autoSpaceDE w:val="0"/>
        <w:autoSpaceDN w:val="0"/>
        <w:adjustRightInd w:val="0"/>
        <w:spacing w:after="0"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l’organisation appropriée des services avec des profils de poste et une description</w:t>
      </w:r>
    </w:p>
    <w:p w14:paraId="28F910F4" w14:textId="77777777" w:rsidR="00687D06" w:rsidRPr="000E5F0F" w:rsidRDefault="00687D06" w:rsidP="00687D06">
      <w:pPr>
        <w:autoSpaceDE w:val="0"/>
        <w:autoSpaceDN w:val="0"/>
        <w:adjustRightInd w:val="0"/>
        <w:spacing w:after="0" w:line="360" w:lineRule="auto"/>
        <w:ind w:left="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       appropriée des différentes fonctions ;</w:t>
      </w:r>
    </w:p>
    <w:p w14:paraId="760C2A84" w14:textId="77777777" w:rsidR="00687D06" w:rsidRPr="000E5F0F" w:rsidRDefault="00687D06" w:rsidP="00687D06">
      <w:pPr>
        <w:pStyle w:val="Paragraphedeliste"/>
        <w:numPr>
          <w:ilvl w:val="0"/>
          <w:numId w:val="4"/>
        </w:numPr>
        <w:autoSpaceDE w:val="0"/>
        <w:autoSpaceDN w:val="0"/>
        <w:adjustRightInd w:val="0"/>
        <w:spacing w:after="0"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mesures pouvant contribuer à asseoir les premiers embryons de la fonction publique territoriale et à améliorer l’assistance à apporter aux collectivités locales par les services déconcentrés ;</w:t>
      </w:r>
    </w:p>
    <w:p w14:paraId="4BC80DE7" w14:textId="77777777" w:rsidR="00687D06" w:rsidRPr="000E5F0F" w:rsidRDefault="00687D06" w:rsidP="00687D06">
      <w:pPr>
        <w:pStyle w:val="Paragraphedeliste"/>
        <w:numPr>
          <w:ilvl w:val="0"/>
          <w:numId w:val="4"/>
        </w:numPr>
        <w:autoSpaceDE w:val="0"/>
        <w:autoSpaceDN w:val="0"/>
        <w:adjustRightInd w:val="0"/>
        <w:spacing w:after="0"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mesures de renforcement des capacités du personnel des collectivités locales et des institutions et services d’appui à la gouvernance locale ;</w:t>
      </w:r>
    </w:p>
    <w:p w14:paraId="54CA2BD0" w14:textId="77777777" w:rsidR="00687D06" w:rsidRPr="000E5F0F" w:rsidRDefault="00687D06" w:rsidP="00687D06">
      <w:pPr>
        <w:pStyle w:val="Paragraphedeliste"/>
        <w:numPr>
          <w:ilvl w:val="0"/>
          <w:numId w:val="4"/>
        </w:numPr>
        <w:autoSpaceDE w:val="0"/>
        <w:autoSpaceDN w:val="0"/>
        <w:adjustRightInd w:val="0"/>
        <w:spacing w:after="0"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besoins en outil d‘organisation et de gestion administrative ;</w:t>
      </w:r>
    </w:p>
    <w:p w14:paraId="6AFF9CAE" w14:textId="77777777" w:rsidR="00687D06" w:rsidRPr="000E5F0F" w:rsidRDefault="00687D06" w:rsidP="00687D06">
      <w:pPr>
        <w:pStyle w:val="Paragraphedeliste"/>
        <w:numPr>
          <w:ilvl w:val="0"/>
          <w:numId w:val="4"/>
        </w:numPr>
        <w:autoSpaceDE w:val="0"/>
        <w:autoSpaceDN w:val="0"/>
        <w:adjustRightInd w:val="0"/>
        <w:spacing w:after="0"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besoins en outil de planification, de mobilisation et de gestion des finances locales</w:t>
      </w:r>
      <w:r w:rsidR="002F473F" w:rsidRPr="000E5F0F">
        <w:rPr>
          <w:rFonts w:asciiTheme="minorHAnsi" w:eastAsia="Times New Roman" w:hAnsiTheme="minorHAnsi" w:cstheme="minorHAnsi"/>
          <w:sz w:val="21"/>
          <w:szCs w:val="21"/>
          <w:lang w:eastAsia="rw-RW"/>
        </w:rPr>
        <w:t xml:space="preserve"> , de mécanismes de financement alternatif </w:t>
      </w:r>
      <w:r w:rsidRPr="000E5F0F">
        <w:rPr>
          <w:rFonts w:asciiTheme="minorHAnsi" w:eastAsia="Times New Roman" w:hAnsiTheme="minorHAnsi" w:cstheme="minorHAnsi"/>
          <w:sz w:val="21"/>
          <w:szCs w:val="21"/>
          <w:lang w:eastAsia="rw-RW"/>
        </w:rPr>
        <w:t> </w:t>
      </w:r>
      <w:r w:rsidR="002F473F" w:rsidRPr="000E5F0F">
        <w:rPr>
          <w:rFonts w:asciiTheme="minorHAnsi" w:eastAsia="Times New Roman" w:hAnsiTheme="minorHAnsi" w:cstheme="minorHAnsi"/>
          <w:sz w:val="21"/>
          <w:szCs w:val="21"/>
          <w:lang w:eastAsia="rw-RW"/>
        </w:rPr>
        <w:t>de la décentralisation</w:t>
      </w:r>
      <w:r w:rsidRPr="000E5F0F">
        <w:rPr>
          <w:rFonts w:asciiTheme="minorHAnsi" w:eastAsia="Times New Roman" w:hAnsiTheme="minorHAnsi" w:cstheme="minorHAnsi"/>
          <w:sz w:val="21"/>
          <w:szCs w:val="21"/>
          <w:lang w:eastAsia="rw-RW"/>
        </w:rPr>
        <w:t>;</w:t>
      </w:r>
    </w:p>
    <w:p w14:paraId="6B2AC268" w14:textId="77777777" w:rsidR="00687D06" w:rsidRPr="000E5F0F" w:rsidRDefault="00687D06" w:rsidP="00687D06">
      <w:pPr>
        <w:pStyle w:val="Paragraphedeliste"/>
        <w:numPr>
          <w:ilvl w:val="0"/>
          <w:numId w:val="4"/>
        </w:numPr>
        <w:autoSpaceDE w:val="0"/>
        <w:autoSpaceDN w:val="0"/>
        <w:adjustRightInd w:val="0"/>
        <w:spacing w:after="0"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besoins en infrastructures et en équipements</w:t>
      </w:r>
      <w:r w:rsidR="002F473F" w:rsidRPr="000E5F0F">
        <w:rPr>
          <w:rFonts w:asciiTheme="minorHAnsi" w:eastAsia="Times New Roman" w:hAnsiTheme="minorHAnsi" w:cstheme="minorHAnsi"/>
          <w:sz w:val="21"/>
          <w:szCs w:val="21"/>
          <w:lang w:eastAsia="rw-RW"/>
        </w:rPr>
        <w:t>,</w:t>
      </w:r>
    </w:p>
    <w:p w14:paraId="62711214" w14:textId="77777777" w:rsidR="002F473F" w:rsidRPr="000E5F0F" w:rsidRDefault="002F473F" w:rsidP="002F473F">
      <w:pPr>
        <w:pStyle w:val="Paragraphedeliste"/>
        <w:numPr>
          <w:ilvl w:val="0"/>
          <w:numId w:val="4"/>
        </w:numPr>
        <w:spacing w:line="360" w:lineRule="auto"/>
        <w:jc w:val="both"/>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besoins en termes d’espaces de promotion de la réédition des comptes des élus locaux et des relations entre les élus locaux et les populations</w:t>
      </w:r>
      <w:r w:rsidR="0047446A" w:rsidRPr="000E5F0F">
        <w:rPr>
          <w:rFonts w:asciiTheme="minorHAnsi" w:eastAsia="Times New Roman" w:hAnsiTheme="minorHAnsi" w:cstheme="minorHAnsi"/>
          <w:sz w:val="21"/>
          <w:szCs w:val="21"/>
          <w:lang w:eastAsia="rw-RW"/>
        </w:rPr>
        <w:t>, de promotion</w:t>
      </w:r>
      <w:r w:rsidRPr="000E5F0F">
        <w:rPr>
          <w:rFonts w:asciiTheme="minorHAnsi" w:eastAsia="Times New Roman" w:hAnsiTheme="minorHAnsi" w:cstheme="minorHAnsi"/>
          <w:sz w:val="21"/>
          <w:szCs w:val="21"/>
          <w:lang w:eastAsia="rw-RW"/>
        </w:rPr>
        <w:t xml:space="preserve"> du genre et </w:t>
      </w:r>
      <w:r w:rsidR="0047446A" w:rsidRPr="000E5F0F">
        <w:rPr>
          <w:rFonts w:asciiTheme="minorHAnsi" w:eastAsia="Times New Roman" w:hAnsiTheme="minorHAnsi" w:cstheme="minorHAnsi"/>
          <w:sz w:val="21"/>
          <w:szCs w:val="21"/>
          <w:lang w:eastAsia="rw-RW"/>
        </w:rPr>
        <w:t>d</w:t>
      </w:r>
      <w:r w:rsidRPr="000E5F0F">
        <w:rPr>
          <w:rFonts w:asciiTheme="minorHAnsi" w:eastAsia="Times New Roman" w:hAnsiTheme="minorHAnsi" w:cstheme="minorHAnsi"/>
          <w:sz w:val="21"/>
          <w:szCs w:val="21"/>
          <w:lang w:eastAsia="rw-RW"/>
        </w:rPr>
        <w:t xml:space="preserve">’autonomisation des femmes. </w:t>
      </w:r>
    </w:p>
    <w:p w14:paraId="26CF84AD" w14:textId="77777777" w:rsidR="002F473F" w:rsidRPr="000E5F0F" w:rsidRDefault="002F473F" w:rsidP="0047446A">
      <w:pPr>
        <w:pStyle w:val="Paragraphedeliste"/>
        <w:autoSpaceDE w:val="0"/>
        <w:autoSpaceDN w:val="0"/>
        <w:adjustRightInd w:val="0"/>
        <w:spacing w:after="0" w:line="360" w:lineRule="auto"/>
        <w:ind w:left="370"/>
        <w:jc w:val="both"/>
        <w:rPr>
          <w:rFonts w:asciiTheme="minorHAnsi" w:hAnsiTheme="minorHAnsi" w:cstheme="minorHAnsi"/>
          <w:sz w:val="24"/>
          <w:szCs w:val="24"/>
        </w:rPr>
      </w:pPr>
    </w:p>
    <w:p w14:paraId="02219A8C" w14:textId="77777777" w:rsidR="00687D06" w:rsidRPr="000E5F0F" w:rsidRDefault="00687D06" w:rsidP="00687D06">
      <w:pPr>
        <w:spacing w:line="36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lastRenderedPageBreak/>
        <w:t xml:space="preserve">Les recommandations devront tenir compte des spécificités de chaque catégorie de collectivité locale (région, préfecture, commune). </w:t>
      </w:r>
      <w:r w:rsidR="000B3991" w:rsidRPr="000E5F0F">
        <w:rPr>
          <w:rFonts w:asciiTheme="minorHAnsi" w:eastAsia="Times New Roman" w:hAnsiTheme="minorHAnsi" w:cstheme="minorHAnsi"/>
          <w:color w:val="auto"/>
          <w:sz w:val="21"/>
          <w:szCs w:val="21"/>
          <w:lang w:eastAsia="rw-RW"/>
        </w:rPr>
        <w:t xml:space="preserve"> Les actions préconisées seront déclinées dans un chronogramme de mise en œuvre.</w:t>
      </w:r>
    </w:p>
    <w:p w14:paraId="5E329B17" w14:textId="77777777" w:rsidR="0047446A" w:rsidRPr="000E5F0F" w:rsidRDefault="0047446A" w:rsidP="00687D06">
      <w:pPr>
        <w:spacing w:line="36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Elles porteront également sur une proposition de mécanismes de suivi-évaluation de la mise en œuvre du cadre de développement institutionnel de la décentralisation et de la mise en place des collectivités locales.</w:t>
      </w:r>
    </w:p>
    <w:p w14:paraId="56749DF8" w14:textId="77777777" w:rsidR="00687D06" w:rsidRPr="000E5F0F" w:rsidRDefault="00687D06" w:rsidP="00687D06">
      <w:pPr>
        <w:pStyle w:val="Paragraphedeliste"/>
        <w:jc w:val="both"/>
        <w:rPr>
          <w:rFonts w:asciiTheme="minorHAnsi" w:hAnsiTheme="minorHAnsi" w:cstheme="minorHAnsi"/>
          <w:sz w:val="24"/>
          <w:szCs w:val="24"/>
        </w:rPr>
      </w:pPr>
    </w:p>
    <w:p w14:paraId="52DD110E" w14:textId="77777777" w:rsidR="00687D06" w:rsidRPr="000E5F0F" w:rsidRDefault="00F160C5" w:rsidP="00687D06">
      <w:pPr>
        <w:pStyle w:val="Paragraphedeliste"/>
        <w:numPr>
          <w:ilvl w:val="0"/>
          <w:numId w:val="2"/>
        </w:numPr>
        <w:jc w:val="both"/>
        <w:rPr>
          <w:rFonts w:asciiTheme="minorHAnsi" w:hAnsiTheme="minorHAnsi" w:cstheme="minorHAnsi"/>
          <w:b/>
          <w:i/>
          <w:sz w:val="24"/>
          <w:szCs w:val="24"/>
        </w:rPr>
      </w:pPr>
      <w:bookmarkStart w:id="6" w:name="_Hlk526351356"/>
      <w:r w:rsidRPr="000E5F0F">
        <w:rPr>
          <w:rFonts w:asciiTheme="minorHAnsi" w:hAnsiTheme="minorHAnsi" w:cstheme="minorHAnsi"/>
          <w:b/>
          <w:i/>
          <w:sz w:val="24"/>
          <w:szCs w:val="24"/>
        </w:rPr>
        <w:t>Définir un plan</w:t>
      </w:r>
      <w:r w:rsidR="00687D06" w:rsidRPr="000E5F0F">
        <w:rPr>
          <w:rFonts w:asciiTheme="minorHAnsi" w:hAnsiTheme="minorHAnsi" w:cstheme="minorHAnsi"/>
          <w:b/>
          <w:i/>
          <w:sz w:val="24"/>
          <w:szCs w:val="24"/>
        </w:rPr>
        <w:t xml:space="preserve"> de formation des acteurs de la décentralisation </w:t>
      </w:r>
    </w:p>
    <w:bookmarkEnd w:id="6"/>
    <w:p w14:paraId="05E41763" w14:textId="77777777" w:rsidR="00687D06" w:rsidRPr="000E5F0F" w:rsidRDefault="00687D06" w:rsidP="00687D06">
      <w:pPr>
        <w:spacing w:line="36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La </w:t>
      </w:r>
      <w:r w:rsidR="00692DE3" w:rsidRPr="000E5F0F">
        <w:rPr>
          <w:rFonts w:asciiTheme="minorHAnsi" w:eastAsia="Times New Roman" w:hAnsiTheme="minorHAnsi" w:cstheme="minorHAnsi"/>
          <w:color w:val="auto"/>
          <w:sz w:val="21"/>
          <w:szCs w:val="21"/>
          <w:lang w:eastAsia="rw-RW"/>
        </w:rPr>
        <w:t>définition</w:t>
      </w:r>
      <w:r w:rsidRPr="000E5F0F">
        <w:rPr>
          <w:rFonts w:asciiTheme="minorHAnsi" w:eastAsia="Times New Roman" w:hAnsiTheme="minorHAnsi" w:cstheme="minorHAnsi"/>
          <w:color w:val="auto"/>
          <w:sz w:val="21"/>
          <w:szCs w:val="21"/>
          <w:lang w:eastAsia="rw-RW"/>
        </w:rPr>
        <w:t xml:space="preserve"> du programme national de formation des acteurs de la décentralisation nécessite que soient précisés les points suivants : </w:t>
      </w:r>
    </w:p>
    <w:p w14:paraId="1A61E784" w14:textId="77777777" w:rsidR="00687D06" w:rsidRPr="000E5F0F" w:rsidRDefault="00687D06" w:rsidP="000E5F0F">
      <w:pPr>
        <w:pStyle w:val="Paragraphedeliste"/>
        <w:numPr>
          <w:ilvl w:val="0"/>
          <w:numId w:val="25"/>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l’état des lieux faisant une situation analytique des formations antérieures pour faire ressortir les leçons à en tirer ;</w:t>
      </w:r>
    </w:p>
    <w:p w14:paraId="20EE4C1E" w14:textId="77777777" w:rsidR="00687D06" w:rsidRPr="000E5F0F" w:rsidRDefault="00687D06" w:rsidP="000E5F0F">
      <w:pPr>
        <w:pStyle w:val="Paragraphedeliste"/>
        <w:numPr>
          <w:ilvl w:val="0"/>
          <w:numId w:val="25"/>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 xml:space="preserve">la description du </w:t>
      </w:r>
      <w:r w:rsidR="00692DE3" w:rsidRPr="000E5F0F">
        <w:rPr>
          <w:rFonts w:asciiTheme="minorHAnsi" w:eastAsia="Times New Roman" w:hAnsiTheme="minorHAnsi" w:cstheme="minorHAnsi"/>
          <w:sz w:val="21"/>
          <w:szCs w:val="21"/>
          <w:lang w:eastAsia="rw-RW"/>
        </w:rPr>
        <w:t>plan</w:t>
      </w:r>
      <w:r w:rsidRPr="000E5F0F">
        <w:rPr>
          <w:rFonts w:asciiTheme="minorHAnsi" w:eastAsia="Times New Roman" w:hAnsiTheme="minorHAnsi" w:cstheme="minorHAnsi"/>
          <w:sz w:val="21"/>
          <w:szCs w:val="21"/>
          <w:lang w:eastAsia="rw-RW"/>
        </w:rPr>
        <w:t xml:space="preserve"> de formation qui précise : (i) les objectifs du programme ; (ii) les résultats attendus ; (iii)les activités à prévoir ; (iv) les groupes cibles ; (v) les bénéficiaires de la formation ; (vi) les axes de formation ; (vii) les modules de formations ;</w:t>
      </w:r>
    </w:p>
    <w:p w14:paraId="70EAD21E" w14:textId="77777777" w:rsidR="00687D06" w:rsidRPr="000E5F0F" w:rsidRDefault="00687D06" w:rsidP="000E5F0F">
      <w:pPr>
        <w:pStyle w:val="Paragraphedeliste"/>
        <w:numPr>
          <w:ilvl w:val="0"/>
          <w:numId w:val="25"/>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les modalités</w:t>
      </w:r>
      <w:r w:rsidR="00692DE3" w:rsidRPr="000E5F0F">
        <w:rPr>
          <w:rFonts w:asciiTheme="minorHAnsi" w:eastAsia="Times New Roman" w:hAnsiTheme="minorHAnsi" w:cstheme="minorHAnsi"/>
          <w:sz w:val="21"/>
          <w:szCs w:val="21"/>
          <w:lang w:eastAsia="rw-RW"/>
        </w:rPr>
        <w:t xml:space="preserve"> et le chronogramme</w:t>
      </w:r>
      <w:r w:rsidRPr="000E5F0F">
        <w:rPr>
          <w:rFonts w:asciiTheme="minorHAnsi" w:eastAsia="Times New Roman" w:hAnsiTheme="minorHAnsi" w:cstheme="minorHAnsi"/>
          <w:sz w:val="21"/>
          <w:szCs w:val="21"/>
          <w:lang w:eastAsia="rw-RW"/>
        </w:rPr>
        <w:t xml:space="preserve"> de sa mise en œuvre : (i) le rôle des parties prenantes ; (ii) les modalités de mise en œuvre des formations ; (iii) le budget et le calendrier de mise en œuvre ; (iv) l’ordre de priorité des formations ; (v) le suivi-évaluation du programme national de formation ; (vi) le financement du programme national de formation ;</w:t>
      </w:r>
    </w:p>
    <w:p w14:paraId="107C5B66" w14:textId="77777777" w:rsidR="00687D06" w:rsidRPr="000E5F0F" w:rsidRDefault="00687D06" w:rsidP="00687D06">
      <w:pPr>
        <w:pStyle w:val="Titre1"/>
        <w:ind w:left="-5"/>
        <w:jc w:val="both"/>
        <w:rPr>
          <w:rFonts w:asciiTheme="minorHAnsi" w:hAnsiTheme="minorHAnsi" w:cstheme="minorHAnsi"/>
          <w:i w:val="0"/>
          <w:color w:val="auto"/>
          <w:szCs w:val="24"/>
        </w:rPr>
      </w:pPr>
      <w:r w:rsidRPr="000E5F0F">
        <w:rPr>
          <w:rFonts w:asciiTheme="minorHAnsi" w:hAnsiTheme="minorHAnsi" w:cstheme="minorHAnsi"/>
          <w:i w:val="0"/>
          <w:color w:val="auto"/>
          <w:szCs w:val="24"/>
        </w:rPr>
        <w:t xml:space="preserve">III- RESULTATS ATTENDUS </w:t>
      </w:r>
    </w:p>
    <w:p w14:paraId="1DCF12B9" w14:textId="77777777" w:rsidR="00DF2557" w:rsidRPr="000E5F0F" w:rsidRDefault="00DF2557" w:rsidP="00687D06">
      <w:pPr>
        <w:spacing w:after="0" w:line="256" w:lineRule="auto"/>
        <w:ind w:left="49" w:firstLine="0"/>
        <w:rPr>
          <w:rFonts w:asciiTheme="minorHAnsi" w:hAnsiTheme="minorHAnsi" w:cstheme="minorHAnsi"/>
          <w:color w:val="auto"/>
          <w:szCs w:val="24"/>
        </w:rPr>
      </w:pPr>
    </w:p>
    <w:p w14:paraId="2C0DF6AF" w14:textId="77777777" w:rsidR="00687D06" w:rsidRPr="000E5F0F" w:rsidRDefault="0002346D" w:rsidP="000E5F0F">
      <w:pPr>
        <w:pStyle w:val="Paragraphedeliste"/>
        <w:numPr>
          <w:ilvl w:val="0"/>
          <w:numId w:val="24"/>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Un cadre</w:t>
      </w:r>
      <w:r w:rsidR="00687D06" w:rsidRPr="000E5F0F">
        <w:rPr>
          <w:rFonts w:asciiTheme="minorHAnsi" w:eastAsia="Times New Roman" w:hAnsiTheme="minorHAnsi" w:cstheme="minorHAnsi"/>
          <w:sz w:val="21"/>
          <w:szCs w:val="21"/>
          <w:lang w:eastAsia="rw-RW"/>
        </w:rPr>
        <w:t xml:space="preserve"> de développement institutionnel des collectivités locales est élaboré et validé. </w:t>
      </w:r>
    </w:p>
    <w:p w14:paraId="2EBD693F"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p w14:paraId="337B6F47" w14:textId="1B5376FA" w:rsidR="00687D06" w:rsidRPr="000E5F0F" w:rsidRDefault="00687D06" w:rsidP="000E5F0F">
      <w:pPr>
        <w:pStyle w:val="Paragraphedeliste"/>
        <w:numPr>
          <w:ilvl w:val="0"/>
          <w:numId w:val="24"/>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 xml:space="preserve">Un </w:t>
      </w:r>
      <w:r w:rsidR="0011771C" w:rsidRPr="000E5F0F">
        <w:rPr>
          <w:rFonts w:asciiTheme="minorHAnsi" w:eastAsia="Times New Roman" w:hAnsiTheme="minorHAnsi" w:cstheme="minorHAnsi"/>
          <w:sz w:val="21"/>
          <w:szCs w:val="21"/>
          <w:lang w:eastAsia="rw-RW"/>
        </w:rPr>
        <w:t xml:space="preserve">programme </w:t>
      </w:r>
      <w:r w:rsidRPr="000E5F0F">
        <w:rPr>
          <w:rFonts w:asciiTheme="minorHAnsi" w:eastAsia="Times New Roman" w:hAnsiTheme="minorHAnsi" w:cstheme="minorHAnsi"/>
          <w:sz w:val="21"/>
          <w:szCs w:val="21"/>
          <w:lang w:eastAsia="rw-RW"/>
        </w:rPr>
        <w:t>de formation des acteurs de la décentralisation est élaboré et validé ;</w:t>
      </w:r>
    </w:p>
    <w:p w14:paraId="524480D6" w14:textId="77777777" w:rsidR="00EF7925" w:rsidRPr="000E5F0F" w:rsidRDefault="00EF7925"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p w14:paraId="5941F442" w14:textId="08372269" w:rsidR="00EF7925" w:rsidRPr="000E5F0F" w:rsidRDefault="00EF7925" w:rsidP="000E5F0F">
      <w:pPr>
        <w:pStyle w:val="Paragraphedeliste"/>
        <w:numPr>
          <w:ilvl w:val="0"/>
          <w:numId w:val="24"/>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Projet d’appui à la décentralisation et aux collectivités locales pour la période de 2019-2021</w:t>
      </w:r>
    </w:p>
    <w:p w14:paraId="2168C505" w14:textId="77777777" w:rsidR="0002346D" w:rsidRPr="000E5F0F" w:rsidRDefault="0002346D"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p w14:paraId="4B5B1C92" w14:textId="5D3DA11E" w:rsidR="00687D06" w:rsidRPr="000E5F0F" w:rsidRDefault="000112B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Le programme national d’appui à la décentralisation et à la mise en place des collectivités locales constitué du cadre de développement institutionnel des collectivités locales et du plan de formation des acteurs de la décentralisation sera soumis</w:t>
      </w:r>
      <w:r w:rsidR="00687D06" w:rsidRPr="000E5F0F">
        <w:rPr>
          <w:rFonts w:asciiTheme="minorHAnsi" w:eastAsia="Times New Roman" w:hAnsiTheme="minorHAnsi" w:cstheme="minorHAnsi"/>
          <w:color w:val="auto"/>
          <w:sz w:val="21"/>
          <w:szCs w:val="21"/>
          <w:lang w:eastAsia="rw-RW"/>
        </w:rPr>
        <w:t xml:space="preserve"> au Ministère de l’administration territoriale, de la décentralisatio</w:t>
      </w:r>
      <w:r w:rsidR="00EF7925" w:rsidRPr="000E5F0F">
        <w:rPr>
          <w:rFonts w:asciiTheme="minorHAnsi" w:eastAsia="Times New Roman" w:hAnsiTheme="minorHAnsi" w:cstheme="minorHAnsi"/>
          <w:color w:val="auto"/>
          <w:sz w:val="21"/>
          <w:szCs w:val="21"/>
          <w:lang w:eastAsia="rw-RW"/>
        </w:rPr>
        <w:t xml:space="preserve">n et des collectivités locales et </w:t>
      </w:r>
      <w:r w:rsidR="00687D06" w:rsidRPr="000E5F0F">
        <w:rPr>
          <w:rFonts w:asciiTheme="minorHAnsi" w:eastAsia="Times New Roman" w:hAnsiTheme="minorHAnsi" w:cstheme="minorHAnsi"/>
          <w:color w:val="auto"/>
          <w:sz w:val="21"/>
          <w:szCs w:val="21"/>
          <w:lang w:eastAsia="rw-RW"/>
        </w:rPr>
        <w:t xml:space="preserve">au PNUD </w:t>
      </w:r>
    </w:p>
    <w:p w14:paraId="21DBA835" w14:textId="1EC11617" w:rsidR="001C32B9" w:rsidRPr="000E5F0F" w:rsidRDefault="001C32B9"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Les </w:t>
      </w:r>
      <w:r w:rsidR="0011771C" w:rsidRPr="000E5F0F">
        <w:rPr>
          <w:rFonts w:asciiTheme="minorHAnsi" w:eastAsia="Times New Roman" w:hAnsiTheme="minorHAnsi" w:cstheme="minorHAnsi"/>
          <w:color w:val="auto"/>
          <w:sz w:val="21"/>
          <w:szCs w:val="21"/>
          <w:lang w:eastAsia="rw-RW"/>
        </w:rPr>
        <w:t>trois livrables</w:t>
      </w:r>
      <w:r w:rsidRPr="000E5F0F">
        <w:rPr>
          <w:rFonts w:asciiTheme="minorHAnsi" w:eastAsia="Times New Roman" w:hAnsiTheme="minorHAnsi" w:cstheme="minorHAnsi"/>
          <w:color w:val="auto"/>
          <w:sz w:val="21"/>
          <w:szCs w:val="21"/>
          <w:lang w:eastAsia="rw-RW"/>
        </w:rPr>
        <w:t xml:space="preserve"> seront soumis au Ministère de l’administration territoriale, de la décentralisation et des collectivités locales, au PNUD et à l’Unité de gestion en copie hard et en version électronique. </w:t>
      </w:r>
    </w:p>
    <w:p w14:paraId="0163D905" w14:textId="77777777" w:rsidR="00B61CDD" w:rsidRPr="000E5F0F" w:rsidRDefault="00B61CDD" w:rsidP="000112B6">
      <w:pPr>
        <w:spacing w:after="0" w:line="256" w:lineRule="auto"/>
        <w:ind w:left="0"/>
        <w:rPr>
          <w:rFonts w:asciiTheme="minorHAnsi" w:hAnsiTheme="minorHAnsi" w:cstheme="minorHAnsi"/>
          <w:color w:val="auto"/>
          <w:szCs w:val="24"/>
        </w:rPr>
      </w:pPr>
    </w:p>
    <w:p w14:paraId="6E894F55" w14:textId="77777777" w:rsidR="00772F30" w:rsidRPr="000E5F0F" w:rsidRDefault="00772F30" w:rsidP="00772F30">
      <w:pPr>
        <w:pStyle w:val="Paragraphedeliste"/>
        <w:numPr>
          <w:ilvl w:val="0"/>
          <w:numId w:val="6"/>
        </w:numPr>
        <w:spacing w:after="0" w:line="256" w:lineRule="auto"/>
        <w:rPr>
          <w:rFonts w:asciiTheme="minorHAnsi" w:hAnsiTheme="minorHAnsi" w:cstheme="minorHAnsi"/>
          <w:sz w:val="24"/>
          <w:szCs w:val="24"/>
        </w:rPr>
      </w:pPr>
      <w:r w:rsidRPr="000E5F0F">
        <w:rPr>
          <w:rFonts w:asciiTheme="minorHAnsi" w:hAnsiTheme="minorHAnsi" w:cstheme="minorHAnsi"/>
          <w:sz w:val="24"/>
          <w:szCs w:val="24"/>
        </w:rPr>
        <w:t>Un rapport de mission</w:t>
      </w:r>
    </w:p>
    <w:p w14:paraId="5ECD9C05" w14:textId="77777777" w:rsidR="005A2690" w:rsidRPr="000E5F0F" w:rsidRDefault="005A2690" w:rsidP="00687D06">
      <w:pPr>
        <w:spacing w:after="0" w:line="256" w:lineRule="auto"/>
        <w:ind w:left="0" w:firstLine="0"/>
        <w:rPr>
          <w:rFonts w:asciiTheme="minorHAnsi" w:hAnsiTheme="minorHAnsi" w:cstheme="minorHAnsi"/>
          <w:b/>
          <w:color w:val="auto"/>
          <w:szCs w:val="24"/>
        </w:rPr>
      </w:pPr>
    </w:p>
    <w:p w14:paraId="10E75C36" w14:textId="77777777" w:rsidR="00687D06" w:rsidRPr="000E5F0F" w:rsidRDefault="00687D06" w:rsidP="00687D06">
      <w:pPr>
        <w:rPr>
          <w:rFonts w:asciiTheme="minorHAnsi" w:hAnsiTheme="minorHAnsi" w:cstheme="minorHAnsi"/>
          <w:b/>
          <w:color w:val="auto"/>
          <w:szCs w:val="24"/>
        </w:rPr>
      </w:pPr>
      <w:r w:rsidRPr="000E5F0F">
        <w:rPr>
          <w:rFonts w:asciiTheme="minorHAnsi" w:hAnsiTheme="minorHAnsi" w:cstheme="minorHAnsi"/>
          <w:b/>
          <w:color w:val="auto"/>
          <w:szCs w:val="24"/>
        </w:rPr>
        <w:t xml:space="preserve">IV- DUREE ET LIEU DE LA CONSULTATION </w:t>
      </w:r>
    </w:p>
    <w:p w14:paraId="42F9C6DF" w14:textId="537DF86E"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La consultation aura une durée de </w:t>
      </w:r>
      <w:r w:rsidR="00544A97" w:rsidRPr="000E5F0F">
        <w:rPr>
          <w:rFonts w:asciiTheme="minorHAnsi" w:eastAsia="Times New Roman" w:hAnsiTheme="minorHAnsi" w:cstheme="minorHAnsi"/>
          <w:color w:val="auto"/>
          <w:sz w:val="21"/>
          <w:szCs w:val="21"/>
          <w:lang w:eastAsia="rw-RW"/>
        </w:rPr>
        <w:t>cinquante (5</w:t>
      </w:r>
      <w:r w:rsidR="001C32B9" w:rsidRPr="000E5F0F">
        <w:rPr>
          <w:rFonts w:asciiTheme="minorHAnsi" w:eastAsia="Times New Roman" w:hAnsiTheme="minorHAnsi" w:cstheme="minorHAnsi"/>
          <w:color w:val="auto"/>
          <w:sz w:val="21"/>
          <w:szCs w:val="21"/>
          <w:lang w:eastAsia="rw-RW"/>
        </w:rPr>
        <w:t xml:space="preserve">0) </w:t>
      </w:r>
      <w:r w:rsidRPr="000E5F0F">
        <w:rPr>
          <w:rFonts w:asciiTheme="minorHAnsi" w:eastAsia="Times New Roman" w:hAnsiTheme="minorHAnsi" w:cstheme="minorHAnsi"/>
          <w:color w:val="auto"/>
          <w:sz w:val="21"/>
          <w:szCs w:val="21"/>
          <w:lang w:eastAsia="rw-RW"/>
        </w:rPr>
        <w:t>jours</w:t>
      </w:r>
      <w:r w:rsidR="001C32B9" w:rsidRPr="000E5F0F">
        <w:rPr>
          <w:rFonts w:asciiTheme="minorHAnsi" w:eastAsia="Times New Roman" w:hAnsiTheme="minorHAnsi" w:cstheme="minorHAnsi"/>
          <w:color w:val="auto"/>
          <w:sz w:val="21"/>
          <w:szCs w:val="21"/>
          <w:lang w:eastAsia="rw-RW"/>
        </w:rPr>
        <w:t xml:space="preserve"> </w:t>
      </w:r>
      <w:r w:rsidR="00544A97" w:rsidRPr="000E5F0F">
        <w:rPr>
          <w:rFonts w:asciiTheme="minorHAnsi" w:eastAsia="Times New Roman" w:hAnsiTheme="minorHAnsi" w:cstheme="minorHAnsi"/>
          <w:color w:val="auto"/>
          <w:sz w:val="21"/>
          <w:szCs w:val="21"/>
          <w:lang w:eastAsia="rw-RW"/>
        </w:rPr>
        <w:t>étalés sur deux mois</w:t>
      </w:r>
      <w:r w:rsidR="001C32B9" w:rsidRPr="000E5F0F">
        <w:rPr>
          <w:rFonts w:asciiTheme="minorHAnsi" w:eastAsia="Times New Roman" w:hAnsiTheme="minorHAnsi" w:cstheme="minorHAnsi"/>
          <w:color w:val="auto"/>
          <w:sz w:val="21"/>
          <w:szCs w:val="21"/>
          <w:lang w:eastAsia="rw-RW"/>
        </w:rPr>
        <w:t xml:space="preserve">. </w:t>
      </w:r>
    </w:p>
    <w:p w14:paraId="034F24EB" w14:textId="77777777" w:rsidR="00687D06" w:rsidRPr="000E5F0F" w:rsidRDefault="002E2E04"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 (la) </w:t>
      </w:r>
      <w:r w:rsidR="00687D06" w:rsidRPr="000E5F0F">
        <w:rPr>
          <w:rFonts w:asciiTheme="minorHAnsi" w:eastAsia="Times New Roman" w:hAnsiTheme="minorHAnsi" w:cstheme="minorHAnsi"/>
          <w:color w:val="auto"/>
          <w:sz w:val="21"/>
          <w:szCs w:val="21"/>
          <w:lang w:eastAsia="rw-RW"/>
        </w:rPr>
        <w:t>consultant</w:t>
      </w:r>
      <w:r w:rsidRPr="000E5F0F">
        <w:rPr>
          <w:rFonts w:asciiTheme="minorHAnsi" w:eastAsia="Times New Roman" w:hAnsiTheme="minorHAnsi" w:cstheme="minorHAnsi"/>
          <w:color w:val="auto"/>
          <w:sz w:val="21"/>
          <w:szCs w:val="21"/>
          <w:lang w:eastAsia="rw-RW"/>
        </w:rPr>
        <w:t>(e)</w:t>
      </w:r>
      <w:r w:rsidR="00687D06" w:rsidRPr="000E5F0F">
        <w:rPr>
          <w:rFonts w:asciiTheme="minorHAnsi" w:eastAsia="Times New Roman" w:hAnsiTheme="minorHAnsi" w:cstheme="minorHAnsi"/>
          <w:color w:val="auto"/>
          <w:sz w:val="21"/>
          <w:szCs w:val="21"/>
          <w:lang w:eastAsia="rw-RW"/>
        </w:rPr>
        <w:t xml:space="preserve"> effectuer</w:t>
      </w:r>
      <w:r w:rsidR="003B66BA" w:rsidRPr="000E5F0F">
        <w:rPr>
          <w:rFonts w:asciiTheme="minorHAnsi" w:eastAsia="Times New Roman" w:hAnsiTheme="minorHAnsi" w:cstheme="minorHAnsi"/>
          <w:color w:val="auto"/>
          <w:sz w:val="21"/>
          <w:szCs w:val="21"/>
          <w:lang w:eastAsia="rw-RW"/>
        </w:rPr>
        <w:t xml:space="preserve">a sa </w:t>
      </w:r>
      <w:r w:rsidR="00751B1F" w:rsidRPr="000E5F0F">
        <w:rPr>
          <w:rFonts w:asciiTheme="minorHAnsi" w:eastAsia="Times New Roman" w:hAnsiTheme="minorHAnsi" w:cstheme="minorHAnsi"/>
          <w:color w:val="auto"/>
          <w:sz w:val="21"/>
          <w:szCs w:val="21"/>
          <w:lang w:eastAsia="rw-RW"/>
        </w:rPr>
        <w:t>mission</w:t>
      </w:r>
      <w:r w:rsidR="00687D06" w:rsidRPr="000E5F0F">
        <w:rPr>
          <w:rFonts w:asciiTheme="minorHAnsi" w:eastAsia="Times New Roman" w:hAnsiTheme="minorHAnsi" w:cstheme="minorHAnsi"/>
          <w:color w:val="auto"/>
          <w:sz w:val="21"/>
          <w:szCs w:val="21"/>
          <w:lang w:eastAsia="rw-RW"/>
        </w:rPr>
        <w:t xml:space="preserve"> essentiellement à Lomé</w:t>
      </w:r>
      <w:r w:rsidR="003B66BA" w:rsidRPr="000E5F0F">
        <w:rPr>
          <w:rFonts w:asciiTheme="minorHAnsi" w:eastAsia="Times New Roman" w:hAnsiTheme="minorHAnsi" w:cstheme="minorHAnsi"/>
          <w:color w:val="auto"/>
          <w:sz w:val="21"/>
          <w:szCs w:val="21"/>
          <w:lang w:eastAsia="rw-RW"/>
        </w:rPr>
        <w:t>.</w:t>
      </w:r>
      <w:r w:rsidR="00687D06" w:rsidRPr="000E5F0F">
        <w:rPr>
          <w:rFonts w:asciiTheme="minorHAnsi" w:eastAsia="Times New Roman" w:hAnsiTheme="minorHAnsi" w:cstheme="minorHAnsi"/>
          <w:color w:val="auto"/>
          <w:sz w:val="21"/>
          <w:szCs w:val="21"/>
          <w:lang w:eastAsia="rw-RW"/>
        </w:rPr>
        <w:t xml:space="preserve"> </w:t>
      </w:r>
      <w:r w:rsidR="003B66BA" w:rsidRPr="000E5F0F">
        <w:rPr>
          <w:rFonts w:asciiTheme="minorHAnsi" w:eastAsia="Times New Roman" w:hAnsiTheme="minorHAnsi" w:cstheme="minorHAnsi"/>
          <w:color w:val="auto"/>
          <w:sz w:val="21"/>
          <w:szCs w:val="21"/>
          <w:lang w:eastAsia="rw-RW"/>
        </w:rPr>
        <w:t>D</w:t>
      </w:r>
      <w:r w:rsidR="00687D06" w:rsidRPr="000E5F0F">
        <w:rPr>
          <w:rFonts w:asciiTheme="minorHAnsi" w:eastAsia="Times New Roman" w:hAnsiTheme="minorHAnsi" w:cstheme="minorHAnsi"/>
          <w:color w:val="auto"/>
          <w:sz w:val="21"/>
          <w:szCs w:val="21"/>
          <w:lang w:eastAsia="rw-RW"/>
        </w:rPr>
        <w:t xml:space="preserve">es </w:t>
      </w:r>
      <w:r w:rsidR="003B66BA" w:rsidRPr="000E5F0F">
        <w:rPr>
          <w:rFonts w:asciiTheme="minorHAnsi" w:eastAsia="Times New Roman" w:hAnsiTheme="minorHAnsi" w:cstheme="minorHAnsi"/>
          <w:color w:val="auto"/>
          <w:sz w:val="21"/>
          <w:szCs w:val="21"/>
          <w:lang w:eastAsia="rw-RW"/>
        </w:rPr>
        <w:t xml:space="preserve">déplacements </w:t>
      </w:r>
      <w:r w:rsidR="00687D06" w:rsidRPr="000E5F0F">
        <w:rPr>
          <w:rFonts w:asciiTheme="minorHAnsi" w:eastAsia="Times New Roman" w:hAnsiTheme="minorHAnsi" w:cstheme="minorHAnsi"/>
          <w:color w:val="auto"/>
          <w:sz w:val="21"/>
          <w:szCs w:val="21"/>
          <w:lang w:eastAsia="rw-RW"/>
        </w:rPr>
        <w:t xml:space="preserve">dans une ou plusieurs autres localités du territoire national </w:t>
      </w:r>
      <w:r w:rsidR="00EC154F" w:rsidRPr="000E5F0F">
        <w:rPr>
          <w:rFonts w:asciiTheme="minorHAnsi" w:eastAsia="Times New Roman" w:hAnsiTheme="minorHAnsi" w:cstheme="minorHAnsi"/>
          <w:color w:val="auto"/>
          <w:sz w:val="21"/>
          <w:szCs w:val="21"/>
          <w:lang w:eastAsia="rw-RW"/>
        </w:rPr>
        <w:t xml:space="preserve">pourront </w:t>
      </w:r>
      <w:r w:rsidRPr="000E5F0F">
        <w:rPr>
          <w:rFonts w:asciiTheme="minorHAnsi" w:eastAsia="Times New Roman" w:hAnsiTheme="minorHAnsi" w:cstheme="minorHAnsi"/>
          <w:color w:val="auto"/>
          <w:sz w:val="21"/>
          <w:szCs w:val="21"/>
          <w:lang w:eastAsia="rw-RW"/>
        </w:rPr>
        <w:t xml:space="preserve">s’effectuer </w:t>
      </w:r>
      <w:r w:rsidR="00687D06" w:rsidRPr="000E5F0F">
        <w:rPr>
          <w:rFonts w:asciiTheme="minorHAnsi" w:eastAsia="Times New Roman" w:hAnsiTheme="minorHAnsi" w:cstheme="minorHAnsi"/>
          <w:color w:val="auto"/>
          <w:sz w:val="21"/>
          <w:szCs w:val="21"/>
          <w:lang w:eastAsia="rw-RW"/>
        </w:rPr>
        <w:t>sous des conditions à définir au préalable.</w:t>
      </w:r>
    </w:p>
    <w:p w14:paraId="0E47FEED" w14:textId="07D928BF" w:rsidR="00687D06" w:rsidRDefault="00687D06" w:rsidP="00687D06">
      <w:pPr>
        <w:pStyle w:val="Titre1"/>
        <w:ind w:left="-5"/>
        <w:jc w:val="both"/>
        <w:rPr>
          <w:rFonts w:asciiTheme="minorHAnsi" w:hAnsiTheme="minorHAnsi" w:cstheme="minorHAnsi"/>
          <w:color w:val="auto"/>
          <w:szCs w:val="24"/>
        </w:rPr>
      </w:pPr>
    </w:p>
    <w:p w14:paraId="30FCD312" w14:textId="6E3A2F68" w:rsidR="000E5F0F" w:rsidRDefault="000E5F0F" w:rsidP="000E5F0F"/>
    <w:p w14:paraId="493988C4" w14:textId="77777777" w:rsidR="000E5F0F" w:rsidRPr="000E5F0F" w:rsidRDefault="000E5F0F" w:rsidP="000E5F0F"/>
    <w:p w14:paraId="7B0B7C60" w14:textId="23BD3BE0" w:rsidR="00687D06" w:rsidRPr="000E5F0F" w:rsidRDefault="00687D06" w:rsidP="00687D06">
      <w:pPr>
        <w:rPr>
          <w:rFonts w:asciiTheme="minorHAnsi" w:hAnsiTheme="minorHAnsi" w:cstheme="minorHAnsi"/>
          <w:b/>
          <w:color w:val="auto"/>
          <w:szCs w:val="24"/>
        </w:rPr>
      </w:pPr>
      <w:r w:rsidRPr="000E5F0F">
        <w:rPr>
          <w:rFonts w:asciiTheme="minorHAnsi" w:hAnsiTheme="minorHAnsi" w:cstheme="minorHAnsi"/>
          <w:b/>
          <w:color w:val="auto"/>
          <w:szCs w:val="24"/>
        </w:rPr>
        <w:t>V- ORGANISATION DE LA CONSULTATION</w:t>
      </w:r>
    </w:p>
    <w:p w14:paraId="2DAEB460" w14:textId="77777777" w:rsidR="001C32B9" w:rsidRPr="000E5F0F" w:rsidRDefault="001C32B9" w:rsidP="00687D06">
      <w:pPr>
        <w:rPr>
          <w:rFonts w:asciiTheme="minorHAnsi" w:hAnsiTheme="minorHAnsi" w:cstheme="minorHAnsi"/>
          <w:b/>
          <w:color w:val="auto"/>
          <w:szCs w:val="24"/>
        </w:rPr>
      </w:pPr>
    </w:p>
    <w:p w14:paraId="1C48866A" w14:textId="48030A10" w:rsidR="00687D06" w:rsidRPr="000E5F0F" w:rsidRDefault="002E2E04"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 (la) consultant(e) </w:t>
      </w:r>
      <w:r w:rsidR="00454675" w:rsidRPr="000E5F0F">
        <w:rPr>
          <w:rFonts w:asciiTheme="minorHAnsi" w:eastAsia="Times New Roman" w:hAnsiTheme="minorHAnsi" w:cstheme="minorHAnsi"/>
          <w:color w:val="auto"/>
          <w:sz w:val="21"/>
          <w:szCs w:val="21"/>
          <w:lang w:eastAsia="rw-RW"/>
        </w:rPr>
        <w:t xml:space="preserve">sera le chef de mission. Lui et son équipe travailleront avec </w:t>
      </w:r>
      <w:r w:rsidRPr="000E5F0F">
        <w:rPr>
          <w:rFonts w:asciiTheme="minorHAnsi" w:eastAsia="Times New Roman" w:hAnsiTheme="minorHAnsi" w:cstheme="minorHAnsi"/>
          <w:color w:val="auto"/>
          <w:sz w:val="21"/>
          <w:szCs w:val="21"/>
          <w:lang w:eastAsia="rw-RW"/>
        </w:rPr>
        <w:t xml:space="preserve"> </w:t>
      </w:r>
      <w:r w:rsidR="00454675" w:rsidRPr="000E5F0F">
        <w:rPr>
          <w:rFonts w:asciiTheme="minorHAnsi" w:eastAsia="Times New Roman" w:hAnsiTheme="minorHAnsi" w:cstheme="minorHAnsi"/>
          <w:color w:val="auto"/>
          <w:sz w:val="21"/>
          <w:szCs w:val="21"/>
          <w:lang w:eastAsia="rw-RW"/>
        </w:rPr>
        <w:t>les</w:t>
      </w:r>
      <w:r w:rsidRPr="000E5F0F">
        <w:rPr>
          <w:rFonts w:asciiTheme="minorHAnsi" w:eastAsia="Times New Roman" w:hAnsiTheme="minorHAnsi" w:cstheme="minorHAnsi"/>
          <w:color w:val="auto"/>
          <w:sz w:val="21"/>
          <w:szCs w:val="21"/>
          <w:lang w:eastAsia="rw-RW"/>
        </w:rPr>
        <w:t xml:space="preserve"> cadres </w:t>
      </w:r>
      <w:r w:rsidR="00687D06" w:rsidRPr="000E5F0F">
        <w:rPr>
          <w:rFonts w:asciiTheme="minorHAnsi" w:eastAsia="Times New Roman" w:hAnsiTheme="minorHAnsi" w:cstheme="minorHAnsi"/>
          <w:color w:val="auto"/>
          <w:sz w:val="21"/>
          <w:szCs w:val="21"/>
          <w:lang w:eastAsia="rw-RW"/>
        </w:rPr>
        <w:t xml:space="preserve">du Ministère de l’Administration Territoriale, de la Décentralisation et des Collectivités Locales (MATDCL). </w:t>
      </w:r>
      <w:r w:rsidRPr="000E5F0F">
        <w:rPr>
          <w:rFonts w:asciiTheme="minorHAnsi" w:eastAsia="Times New Roman" w:hAnsiTheme="minorHAnsi" w:cstheme="minorHAnsi"/>
          <w:color w:val="auto"/>
          <w:sz w:val="21"/>
          <w:szCs w:val="21"/>
          <w:lang w:eastAsia="rw-RW"/>
        </w:rPr>
        <w:t>Il (elle) organise</w:t>
      </w:r>
      <w:r w:rsidR="00454675" w:rsidRPr="000E5F0F">
        <w:rPr>
          <w:rFonts w:asciiTheme="minorHAnsi" w:eastAsia="Times New Roman" w:hAnsiTheme="minorHAnsi" w:cstheme="minorHAnsi"/>
          <w:color w:val="auto"/>
          <w:sz w:val="21"/>
          <w:szCs w:val="21"/>
          <w:lang w:eastAsia="rw-RW"/>
        </w:rPr>
        <w:t>ra</w:t>
      </w:r>
      <w:r w:rsidR="00687D06" w:rsidRPr="000E5F0F">
        <w:rPr>
          <w:rFonts w:asciiTheme="minorHAnsi" w:eastAsia="Times New Roman" w:hAnsiTheme="minorHAnsi" w:cstheme="minorHAnsi"/>
          <w:color w:val="auto"/>
          <w:sz w:val="21"/>
          <w:szCs w:val="21"/>
          <w:lang w:eastAsia="rw-RW"/>
        </w:rPr>
        <w:t xml:space="preserve"> le travail et répartit les tâches. Il </w:t>
      </w:r>
      <w:r w:rsidRPr="000E5F0F">
        <w:rPr>
          <w:rFonts w:asciiTheme="minorHAnsi" w:eastAsia="Times New Roman" w:hAnsiTheme="minorHAnsi" w:cstheme="minorHAnsi"/>
          <w:color w:val="auto"/>
          <w:sz w:val="21"/>
          <w:szCs w:val="21"/>
          <w:lang w:eastAsia="rw-RW"/>
        </w:rPr>
        <w:t xml:space="preserve">(elle) </w:t>
      </w:r>
      <w:r w:rsidR="00687D06" w:rsidRPr="000E5F0F">
        <w:rPr>
          <w:rFonts w:asciiTheme="minorHAnsi" w:eastAsia="Times New Roman" w:hAnsiTheme="minorHAnsi" w:cstheme="minorHAnsi"/>
          <w:color w:val="auto"/>
          <w:sz w:val="21"/>
          <w:szCs w:val="21"/>
          <w:lang w:eastAsia="rw-RW"/>
        </w:rPr>
        <w:t>assure</w:t>
      </w:r>
      <w:r w:rsidR="00454675" w:rsidRPr="000E5F0F">
        <w:rPr>
          <w:rFonts w:asciiTheme="minorHAnsi" w:eastAsia="Times New Roman" w:hAnsiTheme="minorHAnsi" w:cstheme="minorHAnsi"/>
          <w:color w:val="auto"/>
          <w:sz w:val="21"/>
          <w:szCs w:val="21"/>
          <w:lang w:eastAsia="rw-RW"/>
        </w:rPr>
        <w:t>ra la coordination, ferra</w:t>
      </w:r>
      <w:r w:rsidR="00687D06" w:rsidRPr="000E5F0F">
        <w:rPr>
          <w:rFonts w:asciiTheme="minorHAnsi" w:eastAsia="Times New Roman" w:hAnsiTheme="minorHAnsi" w:cstheme="minorHAnsi"/>
          <w:color w:val="auto"/>
          <w:sz w:val="21"/>
          <w:szCs w:val="21"/>
          <w:lang w:eastAsia="rw-RW"/>
        </w:rPr>
        <w:t xml:space="preserve"> la synthèse des travaux et présente</w:t>
      </w:r>
      <w:r w:rsidR="00454675" w:rsidRPr="000E5F0F">
        <w:rPr>
          <w:rFonts w:asciiTheme="minorHAnsi" w:eastAsia="Times New Roman" w:hAnsiTheme="minorHAnsi" w:cstheme="minorHAnsi"/>
          <w:color w:val="auto"/>
          <w:sz w:val="21"/>
          <w:szCs w:val="21"/>
          <w:lang w:eastAsia="rw-RW"/>
        </w:rPr>
        <w:t>ra</w:t>
      </w:r>
      <w:r w:rsidR="00687D06" w:rsidRPr="000E5F0F">
        <w:rPr>
          <w:rFonts w:asciiTheme="minorHAnsi" w:eastAsia="Times New Roman" w:hAnsiTheme="minorHAnsi" w:cstheme="minorHAnsi"/>
          <w:color w:val="auto"/>
          <w:sz w:val="21"/>
          <w:szCs w:val="21"/>
          <w:lang w:eastAsia="rw-RW"/>
        </w:rPr>
        <w:t xml:space="preserve"> les rapports et les livrables.</w:t>
      </w:r>
    </w:p>
    <w:p w14:paraId="25596089" w14:textId="77777777" w:rsidR="00687D06" w:rsidRPr="000E5F0F" w:rsidRDefault="00687D06" w:rsidP="00687D06">
      <w:pPr>
        <w:rPr>
          <w:rFonts w:asciiTheme="minorHAnsi" w:hAnsiTheme="minorHAnsi" w:cstheme="minorHAnsi"/>
          <w:b/>
          <w:color w:val="auto"/>
          <w:szCs w:val="24"/>
        </w:rPr>
      </w:pPr>
      <w:r w:rsidRPr="000E5F0F">
        <w:rPr>
          <w:rFonts w:asciiTheme="minorHAnsi" w:hAnsiTheme="minorHAnsi" w:cstheme="minorHAnsi"/>
          <w:b/>
          <w:color w:val="auto"/>
          <w:szCs w:val="24"/>
        </w:rPr>
        <w:t xml:space="preserve"> </w:t>
      </w:r>
    </w:p>
    <w:p w14:paraId="70D931F2" w14:textId="77777777" w:rsidR="00687D06" w:rsidRPr="000E5F0F" w:rsidRDefault="00687D06" w:rsidP="00687D06">
      <w:pPr>
        <w:rPr>
          <w:rFonts w:asciiTheme="minorHAnsi" w:hAnsiTheme="minorHAnsi" w:cstheme="minorHAnsi"/>
          <w:b/>
          <w:color w:val="auto"/>
          <w:szCs w:val="24"/>
        </w:rPr>
      </w:pPr>
      <w:r w:rsidRPr="000E5F0F">
        <w:rPr>
          <w:rFonts w:asciiTheme="minorHAnsi" w:hAnsiTheme="minorHAnsi" w:cstheme="minorHAnsi"/>
          <w:b/>
          <w:color w:val="auto"/>
          <w:szCs w:val="24"/>
        </w:rPr>
        <w:t>VI- METHODOLOGIE </w:t>
      </w:r>
    </w:p>
    <w:p w14:paraId="575E0A5F" w14:textId="77777777" w:rsidR="00687D06" w:rsidRPr="000E5F0F" w:rsidRDefault="00687D06" w:rsidP="00687D06">
      <w:pPr>
        <w:rPr>
          <w:rFonts w:asciiTheme="minorHAnsi" w:hAnsiTheme="minorHAnsi" w:cstheme="minorHAnsi"/>
          <w:b/>
          <w:color w:val="auto"/>
          <w:szCs w:val="24"/>
        </w:rPr>
      </w:pPr>
    </w:p>
    <w:p w14:paraId="4DC0C949" w14:textId="20C46F22"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Le</w:t>
      </w:r>
      <w:r w:rsidR="002E2E04" w:rsidRPr="000E5F0F">
        <w:rPr>
          <w:rFonts w:asciiTheme="minorHAnsi" w:eastAsia="Times New Roman" w:hAnsiTheme="minorHAnsi" w:cstheme="minorHAnsi"/>
          <w:color w:val="auto"/>
          <w:sz w:val="21"/>
          <w:szCs w:val="21"/>
          <w:lang w:eastAsia="rw-RW"/>
        </w:rPr>
        <w:t xml:space="preserve"> (la)</w:t>
      </w:r>
      <w:r w:rsidRPr="000E5F0F">
        <w:rPr>
          <w:rFonts w:asciiTheme="minorHAnsi" w:eastAsia="Times New Roman" w:hAnsiTheme="minorHAnsi" w:cstheme="minorHAnsi"/>
          <w:color w:val="auto"/>
          <w:sz w:val="21"/>
          <w:szCs w:val="21"/>
          <w:lang w:eastAsia="rw-RW"/>
        </w:rPr>
        <w:t xml:space="preserve"> consultant(e)</w:t>
      </w:r>
      <w:r w:rsidR="00B10935" w:rsidRPr="000E5F0F">
        <w:rPr>
          <w:rFonts w:asciiTheme="minorHAnsi" w:eastAsia="Times New Roman" w:hAnsiTheme="minorHAnsi" w:cstheme="minorHAnsi"/>
          <w:color w:val="auto"/>
          <w:sz w:val="21"/>
          <w:szCs w:val="21"/>
          <w:lang w:eastAsia="rw-RW"/>
        </w:rPr>
        <w:t xml:space="preserve"> avec son équipe </w:t>
      </w:r>
      <w:r w:rsidR="00FB20FD" w:rsidRPr="000E5F0F">
        <w:rPr>
          <w:rFonts w:asciiTheme="minorHAnsi" w:eastAsia="Times New Roman" w:hAnsiTheme="minorHAnsi" w:cstheme="minorHAnsi"/>
          <w:color w:val="auto"/>
          <w:sz w:val="21"/>
          <w:szCs w:val="21"/>
          <w:lang w:eastAsia="rw-RW"/>
        </w:rPr>
        <w:t>devront appliquer</w:t>
      </w:r>
      <w:r w:rsidRPr="000E5F0F">
        <w:rPr>
          <w:rFonts w:asciiTheme="minorHAnsi" w:eastAsia="Times New Roman" w:hAnsiTheme="minorHAnsi" w:cstheme="minorHAnsi"/>
          <w:color w:val="auto"/>
          <w:sz w:val="21"/>
          <w:szCs w:val="21"/>
          <w:lang w:eastAsia="rw-RW"/>
        </w:rPr>
        <w:t xml:space="preserve"> à la mission la méthodologie la plus adéquate susceptible de favoriser une réalisation efficace des résultats attendus. A ce titre, le</w:t>
      </w:r>
      <w:r w:rsidR="002E2E04" w:rsidRPr="000E5F0F">
        <w:rPr>
          <w:rFonts w:asciiTheme="minorHAnsi" w:eastAsia="Times New Roman" w:hAnsiTheme="minorHAnsi" w:cstheme="minorHAnsi"/>
          <w:color w:val="auto"/>
          <w:sz w:val="21"/>
          <w:szCs w:val="21"/>
          <w:lang w:eastAsia="rw-RW"/>
        </w:rPr>
        <w:t xml:space="preserve"> (la)</w:t>
      </w:r>
      <w:r w:rsidRPr="000E5F0F">
        <w:rPr>
          <w:rFonts w:asciiTheme="minorHAnsi" w:eastAsia="Times New Roman" w:hAnsiTheme="minorHAnsi" w:cstheme="minorHAnsi"/>
          <w:color w:val="auto"/>
          <w:sz w:val="21"/>
          <w:szCs w:val="21"/>
          <w:lang w:eastAsia="rw-RW"/>
        </w:rPr>
        <w:t xml:space="preserve"> consultant</w:t>
      </w:r>
      <w:r w:rsidR="002E2E04" w:rsidRPr="000E5F0F">
        <w:rPr>
          <w:rFonts w:asciiTheme="minorHAnsi" w:eastAsia="Times New Roman" w:hAnsiTheme="minorHAnsi" w:cstheme="minorHAnsi"/>
          <w:color w:val="auto"/>
          <w:sz w:val="21"/>
          <w:szCs w:val="21"/>
          <w:lang w:eastAsia="rw-RW"/>
        </w:rPr>
        <w:t xml:space="preserve">(e) </w:t>
      </w:r>
      <w:r w:rsidRPr="000E5F0F">
        <w:rPr>
          <w:rFonts w:asciiTheme="minorHAnsi" w:eastAsia="Times New Roman" w:hAnsiTheme="minorHAnsi" w:cstheme="minorHAnsi"/>
          <w:color w:val="auto"/>
          <w:sz w:val="21"/>
          <w:szCs w:val="21"/>
          <w:lang w:eastAsia="rw-RW"/>
        </w:rPr>
        <w:t>procéder</w:t>
      </w:r>
      <w:r w:rsidR="002E2E04" w:rsidRPr="000E5F0F">
        <w:rPr>
          <w:rFonts w:asciiTheme="minorHAnsi" w:eastAsia="Times New Roman" w:hAnsiTheme="minorHAnsi" w:cstheme="minorHAnsi"/>
          <w:color w:val="auto"/>
          <w:sz w:val="21"/>
          <w:szCs w:val="21"/>
          <w:lang w:eastAsia="rw-RW"/>
        </w:rPr>
        <w:t>a</w:t>
      </w:r>
      <w:r w:rsidRPr="000E5F0F">
        <w:rPr>
          <w:rFonts w:asciiTheme="minorHAnsi" w:eastAsia="Times New Roman" w:hAnsiTheme="minorHAnsi" w:cstheme="minorHAnsi"/>
          <w:color w:val="auto"/>
          <w:sz w:val="21"/>
          <w:szCs w:val="21"/>
          <w:lang w:eastAsia="rw-RW"/>
        </w:rPr>
        <w:t xml:space="preserve"> à une revue documentaire, notamment la lecture des textes préalablement inventoriés, afin d’obtenir les données sur le sujet. Il</w:t>
      </w:r>
      <w:r w:rsidR="002E2E04" w:rsidRPr="000E5F0F">
        <w:rPr>
          <w:rFonts w:asciiTheme="minorHAnsi" w:eastAsia="Times New Roman" w:hAnsiTheme="minorHAnsi" w:cstheme="minorHAnsi"/>
          <w:color w:val="auto"/>
          <w:sz w:val="21"/>
          <w:szCs w:val="21"/>
          <w:lang w:eastAsia="rw-RW"/>
        </w:rPr>
        <w:t>(elle)</w:t>
      </w:r>
      <w:r w:rsidRPr="000E5F0F">
        <w:rPr>
          <w:rFonts w:asciiTheme="minorHAnsi" w:eastAsia="Times New Roman" w:hAnsiTheme="minorHAnsi" w:cstheme="minorHAnsi"/>
          <w:color w:val="auto"/>
          <w:sz w:val="21"/>
          <w:szCs w:val="21"/>
          <w:lang w:eastAsia="rw-RW"/>
        </w:rPr>
        <w:t xml:space="preserve"> procèder</w:t>
      </w:r>
      <w:r w:rsidR="002E2E04" w:rsidRPr="000E5F0F">
        <w:rPr>
          <w:rFonts w:asciiTheme="minorHAnsi" w:eastAsia="Times New Roman" w:hAnsiTheme="minorHAnsi" w:cstheme="minorHAnsi"/>
          <w:color w:val="auto"/>
          <w:sz w:val="21"/>
          <w:szCs w:val="21"/>
          <w:lang w:eastAsia="rw-RW"/>
        </w:rPr>
        <w:t>a</w:t>
      </w:r>
      <w:r w:rsidRPr="000E5F0F">
        <w:rPr>
          <w:rFonts w:asciiTheme="minorHAnsi" w:eastAsia="Times New Roman" w:hAnsiTheme="minorHAnsi" w:cstheme="minorHAnsi"/>
          <w:color w:val="auto"/>
          <w:sz w:val="21"/>
          <w:szCs w:val="21"/>
          <w:lang w:eastAsia="rw-RW"/>
        </w:rPr>
        <w:t xml:space="preserve"> également aux consultations ou entretiens avec les Responsables des différents services intervenant dans la décentralisation, pour s’informer sur l’organisation, les méthodes de travail, les conditions matérielles de travail, etc.</w:t>
      </w:r>
    </w:p>
    <w:p w14:paraId="518F38D4" w14:textId="77777777" w:rsidR="00687D06" w:rsidRPr="000E5F0F" w:rsidRDefault="002E2E04"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Chacune des deux composantes du programme national d’appui à la </w:t>
      </w:r>
      <w:r w:rsidR="00772F30" w:rsidRPr="000E5F0F">
        <w:rPr>
          <w:rFonts w:asciiTheme="minorHAnsi" w:eastAsia="Times New Roman" w:hAnsiTheme="minorHAnsi" w:cstheme="minorHAnsi"/>
          <w:color w:val="auto"/>
          <w:sz w:val="21"/>
          <w:szCs w:val="21"/>
          <w:lang w:eastAsia="rw-RW"/>
        </w:rPr>
        <w:t>décentralisation et à la mise en place des collectivités locales</w:t>
      </w:r>
      <w:r w:rsidRPr="000E5F0F">
        <w:rPr>
          <w:rFonts w:asciiTheme="minorHAnsi" w:eastAsia="Times New Roman" w:hAnsiTheme="minorHAnsi" w:cstheme="minorHAnsi"/>
          <w:color w:val="auto"/>
          <w:sz w:val="21"/>
          <w:szCs w:val="21"/>
          <w:lang w:eastAsia="rw-RW"/>
        </w:rPr>
        <w:t xml:space="preserve"> </w:t>
      </w:r>
      <w:r w:rsidR="00772F30" w:rsidRPr="000E5F0F">
        <w:rPr>
          <w:rFonts w:asciiTheme="minorHAnsi" w:eastAsia="Times New Roman" w:hAnsiTheme="minorHAnsi" w:cstheme="minorHAnsi"/>
          <w:color w:val="auto"/>
          <w:sz w:val="21"/>
          <w:szCs w:val="21"/>
          <w:lang w:eastAsia="rw-RW"/>
        </w:rPr>
        <w:t>à savoir le cadre de développement institutionnel des collectivités locales et le plan de formation des acteurs de la décentralisation sera</w:t>
      </w:r>
      <w:r w:rsidR="00687D06" w:rsidRPr="000E5F0F">
        <w:rPr>
          <w:rFonts w:asciiTheme="minorHAnsi" w:eastAsia="Times New Roman" w:hAnsiTheme="minorHAnsi" w:cstheme="minorHAnsi"/>
          <w:color w:val="auto"/>
          <w:sz w:val="21"/>
          <w:szCs w:val="21"/>
          <w:lang w:eastAsia="rw-RW"/>
        </w:rPr>
        <w:t xml:space="preserve"> </w:t>
      </w:r>
      <w:r w:rsidR="00772F30" w:rsidRPr="000E5F0F">
        <w:rPr>
          <w:rFonts w:asciiTheme="minorHAnsi" w:eastAsia="Times New Roman" w:hAnsiTheme="minorHAnsi" w:cstheme="minorHAnsi"/>
          <w:color w:val="auto"/>
          <w:sz w:val="21"/>
          <w:szCs w:val="21"/>
          <w:lang w:eastAsia="rw-RW"/>
        </w:rPr>
        <w:t xml:space="preserve">validée </w:t>
      </w:r>
      <w:r w:rsidR="00687D06" w:rsidRPr="000E5F0F">
        <w:rPr>
          <w:rFonts w:asciiTheme="minorHAnsi" w:eastAsia="Times New Roman" w:hAnsiTheme="minorHAnsi" w:cstheme="minorHAnsi"/>
          <w:color w:val="auto"/>
          <w:sz w:val="21"/>
          <w:szCs w:val="21"/>
          <w:lang w:eastAsia="rw-RW"/>
        </w:rPr>
        <w:t>en deux étapes à savoir :</w:t>
      </w:r>
    </w:p>
    <w:p w14:paraId="27180771" w14:textId="77777777" w:rsidR="00687D06" w:rsidRPr="000E5F0F" w:rsidRDefault="00687D06" w:rsidP="000E5F0F">
      <w:pPr>
        <w:pStyle w:val="Paragraphedeliste"/>
        <w:numPr>
          <w:ilvl w:val="0"/>
          <w:numId w:val="23"/>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Validation préliminaire au cours d’une réunion technique regroupant environ vingt (20) personnes au MATDCL ;</w:t>
      </w:r>
    </w:p>
    <w:p w14:paraId="5FE23338" w14:textId="77777777" w:rsidR="00687D06" w:rsidRPr="000E5F0F" w:rsidRDefault="00687D06" w:rsidP="000E5F0F">
      <w:pPr>
        <w:pStyle w:val="Paragraphedeliste"/>
        <w:numPr>
          <w:ilvl w:val="0"/>
          <w:numId w:val="23"/>
        </w:numPr>
        <w:autoSpaceDE w:val="0"/>
        <w:autoSpaceDN w:val="0"/>
        <w:adjustRightInd w:val="0"/>
        <w:spacing w:before="120" w:after="120" w:line="240" w:lineRule="auto"/>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Validation définitive en atelier national regroupant environ cent (100) personnes.</w:t>
      </w:r>
    </w:p>
    <w:p w14:paraId="03D3DBE4" w14:textId="266E0600" w:rsidR="00687D06" w:rsidRPr="000E5F0F" w:rsidRDefault="00687D06" w:rsidP="00687D06">
      <w:pPr>
        <w:pStyle w:val="Titre1"/>
        <w:spacing w:after="256"/>
        <w:ind w:left="-5"/>
        <w:jc w:val="both"/>
        <w:rPr>
          <w:rFonts w:asciiTheme="minorHAnsi" w:hAnsiTheme="minorHAnsi" w:cstheme="minorHAnsi"/>
          <w:i w:val="0"/>
          <w:color w:val="auto"/>
          <w:szCs w:val="24"/>
        </w:rPr>
      </w:pPr>
      <w:r w:rsidRPr="000E5F0F">
        <w:rPr>
          <w:rFonts w:asciiTheme="minorHAnsi" w:hAnsiTheme="minorHAnsi" w:cstheme="minorHAnsi"/>
          <w:i w:val="0"/>
          <w:color w:val="auto"/>
          <w:szCs w:val="24"/>
        </w:rPr>
        <w:lastRenderedPageBreak/>
        <w:t>VII- PROFIL D</w:t>
      </w:r>
      <w:r w:rsidR="002D637F" w:rsidRPr="000E5F0F">
        <w:rPr>
          <w:rFonts w:asciiTheme="minorHAnsi" w:hAnsiTheme="minorHAnsi" w:cstheme="minorHAnsi"/>
          <w:i w:val="0"/>
          <w:color w:val="auto"/>
          <w:szCs w:val="24"/>
        </w:rPr>
        <w:t xml:space="preserve">U CONSULTANT (E) CHEF DE MISSION </w:t>
      </w:r>
      <w:r w:rsidRPr="000E5F0F">
        <w:rPr>
          <w:rFonts w:asciiTheme="minorHAnsi" w:hAnsiTheme="minorHAnsi" w:cstheme="minorHAnsi"/>
          <w:i w:val="0"/>
          <w:color w:val="auto"/>
          <w:szCs w:val="24"/>
        </w:rPr>
        <w:t xml:space="preserve">- QUALIFICATIONS ET COMPETENCES </w:t>
      </w:r>
    </w:p>
    <w:tbl>
      <w:tblPr>
        <w:tblStyle w:val="Grilledutableau"/>
        <w:tblW w:w="0" w:type="auto"/>
        <w:tblInd w:w="0" w:type="dxa"/>
        <w:tblLook w:val="04A0" w:firstRow="1" w:lastRow="0" w:firstColumn="1" w:lastColumn="0" w:noHBand="0" w:noVBand="1"/>
      </w:tblPr>
      <w:tblGrid>
        <w:gridCol w:w="2405"/>
        <w:gridCol w:w="6657"/>
      </w:tblGrid>
      <w:tr w:rsidR="0017676D" w:rsidRPr="000E5F0F" w14:paraId="13333652" w14:textId="77777777" w:rsidTr="001C32B9">
        <w:tc>
          <w:tcPr>
            <w:tcW w:w="2405" w:type="dxa"/>
            <w:tcBorders>
              <w:top w:val="single" w:sz="4" w:space="0" w:color="auto"/>
              <w:left w:val="single" w:sz="4" w:space="0" w:color="auto"/>
              <w:bottom w:val="single" w:sz="4" w:space="0" w:color="auto"/>
              <w:right w:val="single" w:sz="4" w:space="0" w:color="auto"/>
            </w:tcBorders>
          </w:tcPr>
          <w:p w14:paraId="7C6CBAF4" w14:textId="49D92236" w:rsidR="00687D06" w:rsidRPr="000E5F0F" w:rsidRDefault="00687D06" w:rsidP="000E5F0F">
            <w:pPr>
              <w:pStyle w:val="Titre1"/>
              <w:jc w:val="both"/>
              <w:outlineLvl w:val="0"/>
              <w:rPr>
                <w:rFonts w:asciiTheme="minorHAnsi" w:eastAsia="Times New Roman" w:hAnsiTheme="minorHAnsi" w:cstheme="minorHAnsi"/>
                <w:b w:val="0"/>
                <w:i w:val="0"/>
                <w:color w:val="auto"/>
                <w:sz w:val="21"/>
                <w:szCs w:val="21"/>
                <w:lang w:eastAsia="rw-RW"/>
              </w:rPr>
            </w:pPr>
          </w:p>
        </w:tc>
        <w:tc>
          <w:tcPr>
            <w:tcW w:w="6657" w:type="dxa"/>
            <w:tcBorders>
              <w:top w:val="single" w:sz="4" w:space="0" w:color="auto"/>
              <w:left w:val="single" w:sz="4" w:space="0" w:color="auto"/>
              <w:bottom w:val="single" w:sz="4" w:space="0" w:color="auto"/>
              <w:right w:val="single" w:sz="4" w:space="0" w:color="auto"/>
            </w:tcBorders>
            <w:hideMark/>
          </w:tcPr>
          <w:p w14:paraId="724D1BDF"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Au moins un diplôme de niveau BAC +5 en droit, sciences politiques, économie, administration</w:t>
            </w:r>
            <w:r w:rsidR="00BA644A" w:rsidRPr="000E5F0F">
              <w:rPr>
                <w:rFonts w:asciiTheme="minorHAnsi" w:eastAsia="Times New Roman" w:hAnsiTheme="minorHAnsi" w:cstheme="minorHAnsi"/>
                <w:b w:val="0"/>
                <w:i w:val="0"/>
                <w:color w:val="auto"/>
                <w:sz w:val="21"/>
                <w:szCs w:val="21"/>
                <w:lang w:eastAsia="rw-RW"/>
              </w:rPr>
              <w:t xml:space="preserve"> </w:t>
            </w:r>
            <w:r w:rsidR="00EF4C17" w:rsidRPr="000E5F0F">
              <w:rPr>
                <w:rFonts w:asciiTheme="minorHAnsi" w:eastAsia="Times New Roman" w:hAnsiTheme="minorHAnsi" w:cstheme="minorHAnsi"/>
                <w:b w:val="0"/>
                <w:i w:val="0"/>
                <w:color w:val="auto"/>
                <w:sz w:val="21"/>
                <w:szCs w:val="21"/>
                <w:lang w:eastAsia="rw-RW"/>
              </w:rPr>
              <w:t>publique ;</w:t>
            </w:r>
            <w:r w:rsidR="00027054" w:rsidRPr="000E5F0F">
              <w:rPr>
                <w:rFonts w:asciiTheme="minorHAnsi" w:eastAsia="Times New Roman" w:hAnsiTheme="minorHAnsi" w:cstheme="minorHAnsi"/>
                <w:b w:val="0"/>
                <w:i w:val="0"/>
                <w:color w:val="auto"/>
                <w:sz w:val="21"/>
                <w:szCs w:val="21"/>
                <w:lang w:eastAsia="rw-RW"/>
              </w:rPr>
              <w:t xml:space="preserve">         </w:t>
            </w:r>
            <w:r w:rsidRPr="000E5F0F">
              <w:rPr>
                <w:rFonts w:asciiTheme="minorHAnsi" w:eastAsia="Times New Roman" w:hAnsiTheme="minorHAnsi" w:cstheme="minorHAnsi"/>
                <w:b w:val="0"/>
                <w:i w:val="0"/>
                <w:color w:val="auto"/>
                <w:sz w:val="21"/>
                <w:szCs w:val="21"/>
                <w:lang w:eastAsia="rw-RW"/>
              </w:rPr>
              <w:t>décentralisation et collectivités locales, sciences sociales et humaines ou diplôme équivalent.</w:t>
            </w:r>
          </w:p>
        </w:tc>
      </w:tr>
      <w:tr w:rsidR="0017676D" w:rsidRPr="000E5F0F" w14:paraId="78B0C872" w14:textId="77777777" w:rsidTr="001C32B9">
        <w:tc>
          <w:tcPr>
            <w:tcW w:w="2405" w:type="dxa"/>
            <w:tcBorders>
              <w:top w:val="single" w:sz="4" w:space="0" w:color="auto"/>
              <w:left w:val="single" w:sz="4" w:space="0" w:color="auto"/>
              <w:bottom w:val="single" w:sz="4" w:space="0" w:color="auto"/>
              <w:right w:val="single" w:sz="4" w:space="0" w:color="auto"/>
            </w:tcBorders>
          </w:tcPr>
          <w:p w14:paraId="2EB7A874"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p>
          <w:p w14:paraId="56C63A9D"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p>
          <w:p w14:paraId="0DC37606"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Expérience</w:t>
            </w:r>
          </w:p>
        </w:tc>
        <w:tc>
          <w:tcPr>
            <w:tcW w:w="6657" w:type="dxa"/>
            <w:tcBorders>
              <w:top w:val="single" w:sz="4" w:space="0" w:color="auto"/>
              <w:left w:val="single" w:sz="4" w:space="0" w:color="auto"/>
              <w:bottom w:val="single" w:sz="4" w:space="0" w:color="auto"/>
              <w:right w:val="single" w:sz="4" w:space="0" w:color="auto"/>
            </w:tcBorders>
            <w:hideMark/>
          </w:tcPr>
          <w:p w14:paraId="1E93879E"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Dix (10) ans d’expérience professionnelle ;</w:t>
            </w:r>
          </w:p>
          <w:p w14:paraId="1CC67E29"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 xml:space="preserve">Au moins deux références en matière d’élaboration de politique sectorielle ; </w:t>
            </w:r>
          </w:p>
          <w:p w14:paraId="05E2A27F"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 xml:space="preserve">Au moins </w:t>
            </w:r>
            <w:r w:rsidR="00EF4C17" w:rsidRPr="000E5F0F">
              <w:rPr>
                <w:rFonts w:asciiTheme="minorHAnsi" w:eastAsia="Times New Roman" w:hAnsiTheme="minorHAnsi" w:cstheme="minorHAnsi"/>
                <w:b w:val="0"/>
                <w:i w:val="0"/>
                <w:color w:val="auto"/>
                <w:sz w:val="21"/>
                <w:szCs w:val="21"/>
                <w:lang w:eastAsia="rw-RW"/>
              </w:rPr>
              <w:t>deux</w:t>
            </w:r>
            <w:r w:rsidRPr="000E5F0F">
              <w:rPr>
                <w:rFonts w:asciiTheme="minorHAnsi" w:eastAsia="Times New Roman" w:hAnsiTheme="minorHAnsi" w:cstheme="minorHAnsi"/>
                <w:b w:val="0"/>
                <w:i w:val="0"/>
                <w:color w:val="auto"/>
                <w:sz w:val="21"/>
                <w:szCs w:val="21"/>
                <w:lang w:eastAsia="rw-RW"/>
              </w:rPr>
              <w:t xml:space="preserve"> référence</w:t>
            </w:r>
            <w:r w:rsidR="00EF4C17" w:rsidRPr="000E5F0F">
              <w:rPr>
                <w:rFonts w:asciiTheme="minorHAnsi" w:eastAsia="Times New Roman" w:hAnsiTheme="minorHAnsi" w:cstheme="minorHAnsi"/>
                <w:b w:val="0"/>
                <w:i w:val="0"/>
                <w:color w:val="auto"/>
                <w:sz w:val="21"/>
                <w:szCs w:val="21"/>
                <w:lang w:eastAsia="rw-RW"/>
              </w:rPr>
              <w:t>s</w:t>
            </w:r>
            <w:r w:rsidRPr="000E5F0F">
              <w:rPr>
                <w:rFonts w:asciiTheme="minorHAnsi" w:eastAsia="Times New Roman" w:hAnsiTheme="minorHAnsi" w:cstheme="minorHAnsi"/>
                <w:b w:val="0"/>
                <w:i w:val="0"/>
                <w:color w:val="auto"/>
                <w:sz w:val="21"/>
                <w:szCs w:val="21"/>
                <w:lang w:eastAsia="rw-RW"/>
              </w:rPr>
              <w:t xml:space="preserve"> de formulation et de pilotage d’outils d’appui à la décentralisation et aux collectivités locales ; </w:t>
            </w:r>
          </w:p>
          <w:p w14:paraId="62808D12"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 xml:space="preserve">Au moins </w:t>
            </w:r>
            <w:r w:rsidR="00EF4C17" w:rsidRPr="000E5F0F">
              <w:rPr>
                <w:rFonts w:asciiTheme="minorHAnsi" w:eastAsia="Times New Roman" w:hAnsiTheme="minorHAnsi" w:cstheme="minorHAnsi"/>
                <w:b w:val="0"/>
                <w:i w:val="0"/>
                <w:color w:val="auto"/>
                <w:sz w:val="21"/>
                <w:szCs w:val="21"/>
                <w:lang w:eastAsia="rw-RW"/>
              </w:rPr>
              <w:t xml:space="preserve">une </w:t>
            </w:r>
            <w:r w:rsidRPr="000E5F0F">
              <w:rPr>
                <w:rFonts w:asciiTheme="minorHAnsi" w:eastAsia="Times New Roman" w:hAnsiTheme="minorHAnsi" w:cstheme="minorHAnsi"/>
                <w:b w:val="0"/>
                <w:i w:val="0"/>
                <w:color w:val="auto"/>
                <w:sz w:val="21"/>
                <w:szCs w:val="21"/>
                <w:lang w:eastAsia="rw-RW"/>
              </w:rPr>
              <w:t>référence de poste de responsabilité dans le domaine de la décentralisation et de la gouvernance territoriale.</w:t>
            </w:r>
          </w:p>
        </w:tc>
      </w:tr>
      <w:tr w:rsidR="0017676D" w:rsidRPr="000E5F0F" w14:paraId="530178FA" w14:textId="77777777" w:rsidTr="001C32B9">
        <w:tc>
          <w:tcPr>
            <w:tcW w:w="2405" w:type="dxa"/>
            <w:tcBorders>
              <w:top w:val="single" w:sz="4" w:space="0" w:color="auto"/>
              <w:left w:val="single" w:sz="4" w:space="0" w:color="auto"/>
              <w:bottom w:val="single" w:sz="4" w:space="0" w:color="auto"/>
              <w:right w:val="single" w:sz="4" w:space="0" w:color="auto"/>
            </w:tcBorders>
          </w:tcPr>
          <w:p w14:paraId="3106C69C"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p>
          <w:p w14:paraId="6BFE18A0"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p>
          <w:p w14:paraId="0E0396AF"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p>
          <w:p w14:paraId="3AB8620F"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Qualifications et compétences</w:t>
            </w:r>
          </w:p>
        </w:tc>
        <w:tc>
          <w:tcPr>
            <w:tcW w:w="6657" w:type="dxa"/>
            <w:tcBorders>
              <w:top w:val="single" w:sz="4" w:space="0" w:color="auto"/>
              <w:left w:val="single" w:sz="4" w:space="0" w:color="auto"/>
              <w:bottom w:val="single" w:sz="4" w:space="0" w:color="auto"/>
              <w:right w:val="single" w:sz="4" w:space="0" w:color="auto"/>
            </w:tcBorders>
            <w:hideMark/>
          </w:tcPr>
          <w:p w14:paraId="4E96B2EA"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 xml:space="preserve">Très bonne connaissance de la problématique de la gouvernance locale et de la mise en œuvre de la décentralisation en Afrique ; </w:t>
            </w:r>
          </w:p>
          <w:p w14:paraId="065A9035"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Une bonne connaissance en administration publique et en gestion des ressources humaines sera un atout ;</w:t>
            </w:r>
          </w:p>
          <w:p w14:paraId="5B5AE285"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Grande familiarité avec l’utilisation des textes juridiques ;</w:t>
            </w:r>
          </w:p>
          <w:p w14:paraId="48B0FB08"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Très bonne capacité d’analyse, de synthèse et de rédaction ;</w:t>
            </w:r>
          </w:p>
          <w:p w14:paraId="489B3F44"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Aptitude à travailler en équipe et excellentes capacités de communication ;</w:t>
            </w:r>
          </w:p>
          <w:p w14:paraId="06D6F9FC"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Connaissance approfondie des pays francophones et notamment du Togo ;</w:t>
            </w:r>
          </w:p>
          <w:p w14:paraId="0040E9B4"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Expérience dans l’utilisation de l’outil informatique et des logiciels de bureau (MS Word, Excel, Powerpoint, etc.) ;</w:t>
            </w:r>
          </w:p>
          <w:p w14:paraId="555257DC" w14:textId="77777777" w:rsidR="00687D06" w:rsidRPr="000E5F0F" w:rsidRDefault="00687D06" w:rsidP="000E5F0F">
            <w:pPr>
              <w:pStyle w:val="Titre1"/>
              <w:numPr>
                <w:ilvl w:val="0"/>
                <w:numId w:val="9"/>
              </w:numPr>
              <w:jc w:val="both"/>
              <w:outlineLvl w:val="0"/>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 xml:space="preserve">Expérience dans la manipulation de l’internet et des messageries. </w:t>
            </w:r>
          </w:p>
        </w:tc>
      </w:tr>
      <w:tr w:rsidR="0017676D" w:rsidRPr="000E5F0F" w14:paraId="42D4FA21" w14:textId="77777777" w:rsidTr="001C32B9">
        <w:tc>
          <w:tcPr>
            <w:tcW w:w="2405" w:type="dxa"/>
            <w:tcBorders>
              <w:top w:val="single" w:sz="4" w:space="0" w:color="auto"/>
              <w:left w:val="single" w:sz="4" w:space="0" w:color="auto"/>
              <w:bottom w:val="single" w:sz="4" w:space="0" w:color="auto"/>
              <w:right w:val="single" w:sz="4" w:space="0" w:color="auto"/>
            </w:tcBorders>
            <w:hideMark/>
          </w:tcPr>
          <w:p w14:paraId="7A8ADFD1" w14:textId="77777777" w:rsidR="00687D06" w:rsidRPr="000E5F0F" w:rsidRDefault="00687D06">
            <w:pPr>
              <w:spacing w:after="0" w:line="256" w:lineRule="auto"/>
              <w:ind w:left="0" w:firstLine="0"/>
              <w:rPr>
                <w:rFonts w:asciiTheme="minorHAnsi" w:hAnsiTheme="minorHAnsi" w:cstheme="minorHAnsi"/>
                <w:color w:val="auto"/>
                <w:szCs w:val="24"/>
              </w:rPr>
            </w:pPr>
            <w:r w:rsidRPr="000E5F0F">
              <w:rPr>
                <w:rFonts w:asciiTheme="minorHAnsi" w:hAnsiTheme="minorHAnsi" w:cstheme="minorHAnsi"/>
                <w:color w:val="auto"/>
                <w:szCs w:val="24"/>
              </w:rPr>
              <w:t>Langues requises</w:t>
            </w:r>
          </w:p>
        </w:tc>
        <w:tc>
          <w:tcPr>
            <w:tcW w:w="6657" w:type="dxa"/>
            <w:tcBorders>
              <w:top w:val="single" w:sz="4" w:space="0" w:color="auto"/>
              <w:left w:val="single" w:sz="4" w:space="0" w:color="auto"/>
              <w:bottom w:val="single" w:sz="4" w:space="0" w:color="auto"/>
              <w:right w:val="single" w:sz="4" w:space="0" w:color="auto"/>
            </w:tcBorders>
          </w:tcPr>
          <w:p w14:paraId="3CB93C54" w14:textId="77777777" w:rsidR="00687D06" w:rsidRPr="000E5F0F" w:rsidRDefault="00687D06" w:rsidP="00DF2557">
            <w:pPr>
              <w:pStyle w:val="Paragraphedeliste"/>
              <w:numPr>
                <w:ilvl w:val="0"/>
                <w:numId w:val="8"/>
              </w:numPr>
              <w:spacing w:after="0" w:line="256" w:lineRule="auto"/>
              <w:jc w:val="both"/>
              <w:rPr>
                <w:rFonts w:asciiTheme="minorHAnsi" w:hAnsiTheme="minorHAnsi" w:cstheme="minorHAnsi"/>
                <w:sz w:val="24"/>
                <w:szCs w:val="24"/>
              </w:rPr>
            </w:pPr>
            <w:r w:rsidRPr="000E5F0F">
              <w:rPr>
                <w:rFonts w:asciiTheme="minorHAnsi" w:hAnsiTheme="minorHAnsi" w:cstheme="minorHAnsi"/>
                <w:sz w:val="24"/>
                <w:szCs w:val="24"/>
              </w:rPr>
              <w:t>Une excellente maîtrise de la langue française est exigée ;</w:t>
            </w:r>
          </w:p>
          <w:p w14:paraId="294C2F78" w14:textId="77777777" w:rsidR="00687D06" w:rsidRPr="000E5F0F" w:rsidRDefault="00687D06" w:rsidP="00DF2557">
            <w:pPr>
              <w:pStyle w:val="Paragraphedeliste"/>
              <w:numPr>
                <w:ilvl w:val="0"/>
                <w:numId w:val="8"/>
              </w:numPr>
              <w:spacing w:after="0" w:line="256" w:lineRule="auto"/>
              <w:jc w:val="both"/>
              <w:rPr>
                <w:rFonts w:asciiTheme="minorHAnsi" w:hAnsiTheme="minorHAnsi" w:cstheme="minorHAnsi"/>
                <w:sz w:val="24"/>
                <w:szCs w:val="24"/>
              </w:rPr>
            </w:pPr>
            <w:r w:rsidRPr="000E5F0F">
              <w:rPr>
                <w:rFonts w:asciiTheme="minorHAnsi" w:hAnsiTheme="minorHAnsi" w:cstheme="minorHAnsi"/>
                <w:sz w:val="24"/>
                <w:szCs w:val="24"/>
              </w:rPr>
              <w:t>Connaissance de l’anglais est un atout.</w:t>
            </w:r>
          </w:p>
          <w:p w14:paraId="6AC5D6F9" w14:textId="77777777" w:rsidR="00687D06" w:rsidRPr="000E5F0F" w:rsidRDefault="00687D06">
            <w:pPr>
              <w:pStyle w:val="Paragraphedeliste"/>
              <w:spacing w:after="0" w:line="256" w:lineRule="auto"/>
              <w:ind w:left="360"/>
              <w:jc w:val="both"/>
              <w:rPr>
                <w:rFonts w:asciiTheme="minorHAnsi" w:hAnsiTheme="minorHAnsi" w:cstheme="minorHAnsi"/>
                <w:sz w:val="24"/>
                <w:szCs w:val="24"/>
              </w:rPr>
            </w:pPr>
          </w:p>
        </w:tc>
      </w:tr>
    </w:tbl>
    <w:p w14:paraId="153477C7" w14:textId="07F1B465" w:rsidR="000E5F0F" w:rsidRDefault="000E5F0F" w:rsidP="000E5F0F">
      <w:pPr>
        <w:pStyle w:val="Titre1"/>
        <w:ind w:left="-5"/>
        <w:jc w:val="both"/>
        <w:rPr>
          <w:rFonts w:asciiTheme="minorHAnsi" w:hAnsiTheme="minorHAnsi" w:cstheme="minorHAnsi"/>
          <w:i w:val="0"/>
          <w:color w:val="auto"/>
          <w:szCs w:val="24"/>
        </w:rPr>
      </w:pPr>
    </w:p>
    <w:p w14:paraId="5EA23E5D" w14:textId="77777777" w:rsidR="000E5F0F" w:rsidRPr="000E5F0F" w:rsidRDefault="000E5F0F" w:rsidP="000E5F0F"/>
    <w:p w14:paraId="7FAE1F3B" w14:textId="50598447" w:rsidR="00687D06" w:rsidRPr="000E5F0F" w:rsidRDefault="00E32208" w:rsidP="000E5F0F">
      <w:pPr>
        <w:pStyle w:val="Titre1"/>
        <w:ind w:left="-5"/>
        <w:jc w:val="both"/>
        <w:rPr>
          <w:rFonts w:asciiTheme="minorHAnsi" w:hAnsiTheme="minorHAnsi" w:cstheme="minorHAnsi"/>
          <w:i w:val="0"/>
          <w:color w:val="auto"/>
          <w:szCs w:val="24"/>
        </w:rPr>
      </w:pPr>
      <w:r w:rsidRPr="000E5F0F">
        <w:rPr>
          <w:rFonts w:asciiTheme="minorHAnsi" w:hAnsiTheme="minorHAnsi" w:cstheme="minorHAnsi"/>
          <w:i w:val="0"/>
          <w:color w:val="auto"/>
          <w:szCs w:val="24"/>
        </w:rPr>
        <w:t xml:space="preserve">VIII- </w:t>
      </w:r>
      <w:r w:rsidR="00687D06" w:rsidRPr="000E5F0F">
        <w:rPr>
          <w:rFonts w:asciiTheme="minorHAnsi" w:hAnsiTheme="minorHAnsi" w:cstheme="minorHAnsi"/>
          <w:i w:val="0"/>
          <w:color w:val="auto"/>
          <w:szCs w:val="24"/>
        </w:rPr>
        <w:t>CRITERE D’ELIGIBILITE</w:t>
      </w:r>
    </w:p>
    <w:p w14:paraId="55F112C4" w14:textId="77777777" w:rsidR="00687D06" w:rsidRPr="000E5F0F" w:rsidRDefault="00687D06" w:rsidP="00687D06">
      <w:pPr>
        <w:rPr>
          <w:rFonts w:asciiTheme="minorHAnsi" w:hAnsiTheme="minorHAnsi" w:cstheme="minorHAnsi"/>
          <w:i/>
          <w:color w:val="auto"/>
          <w:szCs w:val="24"/>
        </w:rPr>
      </w:pPr>
    </w:p>
    <w:p w14:paraId="1C69DE9E" w14:textId="77777777" w:rsidR="00687D06" w:rsidRPr="000E5F0F" w:rsidRDefault="00687D06" w:rsidP="00687D06">
      <w:pPr>
        <w:pStyle w:val="Titre1"/>
        <w:numPr>
          <w:ilvl w:val="0"/>
          <w:numId w:val="9"/>
        </w:numPr>
        <w:jc w:val="both"/>
        <w:rPr>
          <w:rFonts w:asciiTheme="minorHAnsi" w:eastAsia="Times New Roman" w:hAnsiTheme="minorHAnsi" w:cstheme="minorHAnsi"/>
          <w:b w:val="0"/>
          <w:i w:val="0"/>
          <w:color w:val="auto"/>
          <w:sz w:val="21"/>
          <w:szCs w:val="21"/>
          <w:lang w:eastAsia="rw-RW"/>
        </w:rPr>
      </w:pPr>
      <w:r w:rsidRPr="000E5F0F">
        <w:rPr>
          <w:rFonts w:asciiTheme="minorHAnsi" w:eastAsia="Times New Roman" w:hAnsiTheme="minorHAnsi" w:cstheme="minorHAnsi"/>
          <w:b w:val="0"/>
          <w:i w:val="0"/>
          <w:color w:val="auto"/>
          <w:sz w:val="21"/>
          <w:szCs w:val="21"/>
          <w:lang w:eastAsia="rw-RW"/>
        </w:rPr>
        <w:t>Diplôme de niveau Bac+5 ou Doctorat en sciences politiques, juridiques, sciences sociales, administration publique, Décentralisation et Gouvernance locale, Economie, gestion publique ou d’un diplôme équivalent</w:t>
      </w:r>
    </w:p>
    <w:p w14:paraId="248E1F14" w14:textId="3794FE55" w:rsidR="00687D06" w:rsidRPr="000E5F0F" w:rsidRDefault="00687D06" w:rsidP="00687D06">
      <w:pPr>
        <w:pStyle w:val="Paragraphedeliste"/>
        <w:numPr>
          <w:ilvl w:val="0"/>
          <w:numId w:val="9"/>
        </w:numPr>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Au moins dix (10) ans d’expérience professionnelle en matière de conception, de formulation et de pilotage des politiques publiques dans le domaine de la décentralisation</w:t>
      </w:r>
      <w:r w:rsidR="0011771C" w:rsidRPr="000E5F0F">
        <w:rPr>
          <w:rFonts w:asciiTheme="minorHAnsi" w:eastAsia="Times New Roman" w:hAnsiTheme="minorHAnsi" w:cstheme="minorHAnsi"/>
          <w:sz w:val="21"/>
          <w:szCs w:val="21"/>
          <w:lang w:eastAsia="rw-RW"/>
        </w:rPr>
        <w:t xml:space="preserve"> et de la gouvernance locale</w:t>
      </w:r>
      <w:r w:rsidRPr="000E5F0F">
        <w:rPr>
          <w:rFonts w:asciiTheme="minorHAnsi" w:eastAsia="Times New Roman" w:hAnsiTheme="minorHAnsi" w:cstheme="minorHAnsi"/>
          <w:sz w:val="21"/>
          <w:szCs w:val="21"/>
          <w:lang w:eastAsia="rw-RW"/>
        </w:rPr>
        <w:t> ;</w:t>
      </w:r>
    </w:p>
    <w:p w14:paraId="7B4B0745" w14:textId="77777777" w:rsidR="00687D06" w:rsidRPr="000E5F0F" w:rsidRDefault="00687D06" w:rsidP="00687D06">
      <w:pPr>
        <w:pStyle w:val="Paragraphedeliste"/>
        <w:numPr>
          <w:ilvl w:val="0"/>
          <w:numId w:val="9"/>
        </w:numPr>
        <w:rPr>
          <w:rFonts w:asciiTheme="minorHAnsi" w:eastAsia="Times New Roman" w:hAnsiTheme="minorHAnsi" w:cstheme="minorHAnsi"/>
          <w:sz w:val="21"/>
          <w:szCs w:val="21"/>
          <w:lang w:eastAsia="rw-RW"/>
        </w:rPr>
      </w:pPr>
      <w:r w:rsidRPr="000E5F0F">
        <w:rPr>
          <w:rFonts w:asciiTheme="minorHAnsi" w:eastAsia="Times New Roman" w:hAnsiTheme="minorHAnsi" w:cstheme="minorHAnsi"/>
          <w:sz w:val="21"/>
          <w:szCs w:val="21"/>
          <w:lang w:eastAsia="rw-RW"/>
        </w:rPr>
        <w:t xml:space="preserve">Au </w:t>
      </w:r>
      <w:r w:rsidR="00BA644A" w:rsidRPr="000E5F0F">
        <w:rPr>
          <w:rFonts w:asciiTheme="minorHAnsi" w:eastAsia="Times New Roman" w:hAnsiTheme="minorHAnsi" w:cstheme="minorHAnsi"/>
          <w:sz w:val="21"/>
          <w:szCs w:val="21"/>
          <w:lang w:eastAsia="rw-RW"/>
        </w:rPr>
        <w:t xml:space="preserve">moins </w:t>
      </w:r>
      <w:r w:rsidR="00EF4C17" w:rsidRPr="000E5F0F">
        <w:rPr>
          <w:rFonts w:asciiTheme="minorHAnsi" w:eastAsia="Times New Roman" w:hAnsiTheme="minorHAnsi" w:cstheme="minorHAnsi"/>
          <w:sz w:val="21"/>
          <w:szCs w:val="21"/>
          <w:lang w:eastAsia="rw-RW"/>
        </w:rPr>
        <w:t xml:space="preserve">deux </w:t>
      </w:r>
      <w:r w:rsidR="00BA644A" w:rsidRPr="000E5F0F">
        <w:rPr>
          <w:rFonts w:asciiTheme="minorHAnsi" w:eastAsia="Times New Roman" w:hAnsiTheme="minorHAnsi" w:cstheme="minorHAnsi"/>
          <w:sz w:val="21"/>
          <w:szCs w:val="21"/>
          <w:lang w:eastAsia="rw-RW"/>
        </w:rPr>
        <w:t>référence</w:t>
      </w:r>
      <w:r w:rsidR="00EF4C17" w:rsidRPr="000E5F0F">
        <w:rPr>
          <w:rFonts w:asciiTheme="minorHAnsi" w:eastAsia="Times New Roman" w:hAnsiTheme="minorHAnsi" w:cstheme="minorHAnsi"/>
          <w:sz w:val="21"/>
          <w:szCs w:val="21"/>
          <w:lang w:eastAsia="rw-RW"/>
        </w:rPr>
        <w:t>s</w:t>
      </w:r>
      <w:r w:rsidRPr="000E5F0F">
        <w:rPr>
          <w:rFonts w:asciiTheme="minorHAnsi" w:eastAsia="Times New Roman" w:hAnsiTheme="minorHAnsi" w:cstheme="minorHAnsi"/>
          <w:sz w:val="21"/>
          <w:szCs w:val="21"/>
          <w:lang w:eastAsia="rw-RW"/>
        </w:rPr>
        <w:t xml:space="preserve"> de formulation et de pilotage d’outils d’appui à la décentralisation</w:t>
      </w:r>
    </w:p>
    <w:p w14:paraId="0862ED70" w14:textId="77777777" w:rsidR="00687D06" w:rsidRPr="000E5F0F" w:rsidRDefault="00571E6F" w:rsidP="00687D06">
      <w:pPr>
        <w:pStyle w:val="Titre1"/>
        <w:ind w:left="-5"/>
        <w:jc w:val="both"/>
        <w:rPr>
          <w:rFonts w:asciiTheme="minorHAnsi" w:hAnsiTheme="minorHAnsi" w:cstheme="minorHAnsi"/>
          <w:i w:val="0"/>
          <w:color w:val="auto"/>
          <w:szCs w:val="24"/>
        </w:rPr>
      </w:pPr>
      <w:r w:rsidRPr="000E5F0F">
        <w:rPr>
          <w:rFonts w:asciiTheme="minorHAnsi" w:hAnsiTheme="minorHAnsi" w:cstheme="minorHAnsi"/>
          <w:i w:val="0"/>
          <w:color w:val="auto"/>
          <w:szCs w:val="24"/>
        </w:rPr>
        <w:t>IX</w:t>
      </w:r>
      <w:r w:rsidR="00687D06" w:rsidRPr="000E5F0F">
        <w:rPr>
          <w:rFonts w:asciiTheme="minorHAnsi" w:hAnsiTheme="minorHAnsi" w:cstheme="minorHAnsi"/>
          <w:i w:val="0"/>
          <w:color w:val="auto"/>
          <w:szCs w:val="24"/>
        </w:rPr>
        <w:t xml:space="preserve">- </w:t>
      </w:r>
      <w:bookmarkStart w:id="7" w:name="_Hlk528909333"/>
      <w:r w:rsidR="00687D06" w:rsidRPr="000E5F0F">
        <w:rPr>
          <w:rFonts w:asciiTheme="minorHAnsi" w:hAnsiTheme="minorHAnsi" w:cstheme="minorHAnsi"/>
          <w:i w:val="0"/>
          <w:color w:val="auto"/>
          <w:szCs w:val="24"/>
        </w:rPr>
        <w:t>DOCUMENTS A INCLURE DANS LA SOUMISSION DE LA PROPOSITION</w:t>
      </w:r>
      <w:r w:rsidR="00687D06" w:rsidRPr="000E5F0F">
        <w:rPr>
          <w:rFonts w:asciiTheme="minorHAnsi" w:hAnsiTheme="minorHAnsi" w:cstheme="minorHAnsi"/>
          <w:b w:val="0"/>
          <w:i w:val="0"/>
          <w:color w:val="auto"/>
          <w:szCs w:val="24"/>
        </w:rPr>
        <w:t xml:space="preserve"> </w:t>
      </w:r>
      <w:bookmarkEnd w:id="7"/>
    </w:p>
    <w:p w14:paraId="00D62604" w14:textId="3D58E9AE"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Les Consultant(e)s intéressé(e)s doivent présenter un dossier de candidature comprenant une proposition technique et une proposition financière dont les contenus sont décrits ci-après : </w:t>
      </w:r>
    </w:p>
    <w:tbl>
      <w:tblPr>
        <w:tblW w:w="9625" w:type="dxa"/>
        <w:tblInd w:w="-147" w:type="dxa"/>
        <w:tblCellMar>
          <w:left w:w="70" w:type="dxa"/>
          <w:right w:w="70" w:type="dxa"/>
        </w:tblCellMar>
        <w:tblLook w:val="04A0" w:firstRow="1" w:lastRow="0" w:firstColumn="1" w:lastColumn="0" w:noHBand="0" w:noVBand="1"/>
      </w:tblPr>
      <w:tblGrid>
        <w:gridCol w:w="1701"/>
        <w:gridCol w:w="1769"/>
        <w:gridCol w:w="4693"/>
        <w:gridCol w:w="1462"/>
      </w:tblGrid>
      <w:tr w:rsidR="0017676D" w:rsidRPr="000E5F0F" w14:paraId="449D6089" w14:textId="77777777" w:rsidTr="009C5182">
        <w:trPr>
          <w:trHeight w:val="465"/>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27D0BF2"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Offre</w:t>
            </w:r>
          </w:p>
        </w:tc>
        <w:tc>
          <w:tcPr>
            <w:tcW w:w="176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2400801"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Documents</w:t>
            </w:r>
          </w:p>
        </w:tc>
        <w:tc>
          <w:tcPr>
            <w:tcW w:w="4693" w:type="dxa"/>
            <w:tcBorders>
              <w:top w:val="single" w:sz="4" w:space="0" w:color="auto"/>
              <w:left w:val="nil"/>
              <w:bottom w:val="nil"/>
              <w:right w:val="single" w:sz="4" w:space="0" w:color="auto"/>
            </w:tcBorders>
            <w:shd w:val="clear" w:color="auto" w:fill="D5DCE4" w:themeFill="text2" w:themeFillTint="33"/>
            <w:vAlign w:val="center"/>
            <w:hideMark/>
          </w:tcPr>
          <w:p w14:paraId="6D7FB91C"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Description</w:t>
            </w:r>
          </w:p>
        </w:tc>
        <w:tc>
          <w:tcPr>
            <w:tcW w:w="146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7ED45D8"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Forme</w:t>
            </w:r>
          </w:p>
        </w:tc>
      </w:tr>
      <w:tr w:rsidR="0017676D" w:rsidRPr="000E5F0F" w14:paraId="58C8AC4E" w14:textId="77777777" w:rsidTr="009C5182">
        <w:trPr>
          <w:trHeight w:val="178"/>
        </w:trPr>
        <w:tc>
          <w:tcPr>
            <w:tcW w:w="1701" w:type="dxa"/>
            <w:vMerge w:val="restart"/>
            <w:tcBorders>
              <w:top w:val="nil"/>
              <w:left w:val="single" w:sz="4" w:space="0" w:color="auto"/>
              <w:bottom w:val="single" w:sz="4" w:space="0" w:color="auto"/>
              <w:right w:val="single" w:sz="4" w:space="0" w:color="auto"/>
            </w:tcBorders>
            <w:vAlign w:val="center"/>
            <w:hideMark/>
          </w:tcPr>
          <w:p w14:paraId="648D4547" w14:textId="77777777" w:rsidR="009C5182" w:rsidRPr="000E5F0F" w:rsidRDefault="009C5182"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Proposition Technique </w:t>
            </w:r>
            <w:r w:rsidRPr="000E5F0F">
              <w:rPr>
                <w:rFonts w:asciiTheme="minorHAnsi" w:eastAsia="Times New Roman" w:hAnsiTheme="minorHAnsi" w:cstheme="minorHAnsi"/>
                <w:color w:val="auto"/>
                <w:sz w:val="21"/>
                <w:szCs w:val="21"/>
                <w:lang w:eastAsia="rw-RW"/>
              </w:rPr>
              <w:lastRenderedPageBreak/>
              <w:t xml:space="preserve">(Fichier 1 /Enveloppe 1) </w:t>
            </w:r>
          </w:p>
          <w:p w14:paraId="1AA7A902" w14:textId="77777777" w:rsidR="009C5182" w:rsidRPr="000E5F0F" w:rsidRDefault="009C5182"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p w14:paraId="2D60BD96" w14:textId="7B206515"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1769" w:type="dxa"/>
            <w:vMerge w:val="restart"/>
            <w:tcBorders>
              <w:top w:val="nil"/>
              <w:left w:val="single" w:sz="4" w:space="0" w:color="auto"/>
              <w:bottom w:val="single" w:sz="4" w:space="0" w:color="000000"/>
              <w:right w:val="nil"/>
            </w:tcBorders>
            <w:vAlign w:val="center"/>
            <w:hideMark/>
          </w:tcPr>
          <w:p w14:paraId="7355DC23"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lastRenderedPageBreak/>
              <w:t xml:space="preserve">Note méthodologique </w:t>
            </w:r>
            <w:r w:rsidRPr="000E5F0F">
              <w:rPr>
                <w:rFonts w:asciiTheme="minorHAnsi" w:eastAsia="Times New Roman" w:hAnsiTheme="minorHAnsi" w:cstheme="minorHAnsi"/>
                <w:color w:val="auto"/>
                <w:sz w:val="21"/>
                <w:szCs w:val="21"/>
                <w:lang w:eastAsia="rw-RW"/>
              </w:rPr>
              <w:lastRenderedPageBreak/>
              <w:t xml:space="preserve">pour l’exécution de la mission attendue </w:t>
            </w:r>
          </w:p>
        </w:tc>
        <w:tc>
          <w:tcPr>
            <w:tcW w:w="4693" w:type="dxa"/>
            <w:tcBorders>
              <w:top w:val="single" w:sz="4" w:space="0" w:color="auto"/>
              <w:left w:val="single" w:sz="4" w:space="0" w:color="auto"/>
              <w:bottom w:val="nil"/>
              <w:right w:val="single" w:sz="4" w:space="0" w:color="auto"/>
            </w:tcBorders>
            <w:vAlign w:val="center"/>
            <w:hideMark/>
          </w:tcPr>
          <w:p w14:paraId="3FEB10D8"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lastRenderedPageBreak/>
              <w:t>Une description expliquant :</w:t>
            </w:r>
          </w:p>
        </w:tc>
        <w:tc>
          <w:tcPr>
            <w:tcW w:w="1462" w:type="dxa"/>
            <w:vMerge w:val="restart"/>
            <w:tcBorders>
              <w:top w:val="nil"/>
              <w:left w:val="nil"/>
              <w:bottom w:val="single" w:sz="4" w:space="0" w:color="000000"/>
              <w:right w:val="single" w:sz="4" w:space="0" w:color="auto"/>
            </w:tcBorders>
            <w:vAlign w:val="center"/>
            <w:hideMark/>
          </w:tcPr>
          <w:p w14:paraId="37F1F820"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Pas de formulaire spécifique</w:t>
            </w:r>
          </w:p>
        </w:tc>
      </w:tr>
      <w:tr w:rsidR="0017676D" w:rsidRPr="000E5F0F" w14:paraId="34BEE699" w14:textId="77777777" w:rsidTr="009C5182">
        <w:trPr>
          <w:trHeight w:val="357"/>
        </w:trPr>
        <w:tc>
          <w:tcPr>
            <w:tcW w:w="1701" w:type="dxa"/>
            <w:vMerge/>
            <w:tcBorders>
              <w:top w:val="nil"/>
              <w:left w:val="single" w:sz="4" w:space="0" w:color="auto"/>
              <w:bottom w:val="single" w:sz="4" w:space="0" w:color="auto"/>
              <w:right w:val="single" w:sz="4" w:space="0" w:color="auto"/>
            </w:tcBorders>
            <w:vAlign w:val="center"/>
            <w:hideMark/>
          </w:tcPr>
          <w:p w14:paraId="25870D85"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0" w:type="auto"/>
            <w:vMerge/>
            <w:tcBorders>
              <w:top w:val="nil"/>
              <w:left w:val="single" w:sz="4" w:space="0" w:color="auto"/>
              <w:bottom w:val="single" w:sz="4" w:space="0" w:color="000000"/>
              <w:right w:val="nil"/>
            </w:tcBorders>
            <w:vAlign w:val="center"/>
            <w:hideMark/>
          </w:tcPr>
          <w:p w14:paraId="491E7158"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4693" w:type="dxa"/>
            <w:tcBorders>
              <w:top w:val="nil"/>
              <w:left w:val="single" w:sz="4" w:space="0" w:color="auto"/>
              <w:bottom w:val="nil"/>
              <w:right w:val="single" w:sz="4" w:space="0" w:color="auto"/>
            </w:tcBorders>
            <w:vAlign w:val="center"/>
            <w:hideMark/>
          </w:tcPr>
          <w:p w14:paraId="2FEF287E"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0" w:type="auto"/>
            <w:vMerge/>
            <w:tcBorders>
              <w:top w:val="nil"/>
              <w:left w:val="nil"/>
              <w:bottom w:val="single" w:sz="4" w:space="0" w:color="000000"/>
              <w:right w:val="single" w:sz="4" w:space="0" w:color="auto"/>
            </w:tcBorders>
            <w:vAlign w:val="center"/>
            <w:hideMark/>
          </w:tcPr>
          <w:p w14:paraId="04F1365B"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r>
      <w:tr w:rsidR="0017676D" w:rsidRPr="000E5F0F" w14:paraId="518A573D" w14:textId="77777777" w:rsidTr="009C5182">
        <w:trPr>
          <w:trHeight w:val="536"/>
        </w:trPr>
        <w:tc>
          <w:tcPr>
            <w:tcW w:w="1701" w:type="dxa"/>
            <w:vMerge/>
            <w:tcBorders>
              <w:top w:val="nil"/>
              <w:left w:val="single" w:sz="4" w:space="0" w:color="auto"/>
              <w:bottom w:val="single" w:sz="4" w:space="0" w:color="auto"/>
              <w:right w:val="single" w:sz="4" w:space="0" w:color="auto"/>
            </w:tcBorders>
            <w:vAlign w:val="center"/>
            <w:hideMark/>
          </w:tcPr>
          <w:p w14:paraId="1AA15580"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0" w:type="auto"/>
            <w:vMerge/>
            <w:tcBorders>
              <w:top w:val="nil"/>
              <w:left w:val="single" w:sz="4" w:space="0" w:color="auto"/>
              <w:bottom w:val="single" w:sz="4" w:space="0" w:color="000000"/>
              <w:right w:val="nil"/>
            </w:tcBorders>
            <w:vAlign w:val="center"/>
            <w:hideMark/>
          </w:tcPr>
          <w:p w14:paraId="3A59C1C7"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4693" w:type="dxa"/>
            <w:tcBorders>
              <w:top w:val="nil"/>
              <w:left w:val="single" w:sz="4" w:space="0" w:color="auto"/>
              <w:bottom w:val="single" w:sz="4" w:space="0" w:color="auto"/>
              <w:right w:val="single" w:sz="4" w:space="0" w:color="auto"/>
            </w:tcBorders>
            <w:vAlign w:val="center"/>
            <w:hideMark/>
          </w:tcPr>
          <w:p w14:paraId="206BC490"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La démarche ou approche méthodologique, les outils ainsi que la déclinaison des tâches à mettre en en œuvre pour la réalisation de la mission ainsi qu’un chronogramme indicatif des activités.</w:t>
            </w:r>
          </w:p>
        </w:tc>
        <w:tc>
          <w:tcPr>
            <w:tcW w:w="0" w:type="auto"/>
            <w:vMerge/>
            <w:tcBorders>
              <w:top w:val="nil"/>
              <w:left w:val="nil"/>
              <w:bottom w:val="single" w:sz="4" w:space="0" w:color="000000"/>
              <w:right w:val="single" w:sz="4" w:space="0" w:color="auto"/>
            </w:tcBorders>
            <w:vAlign w:val="center"/>
            <w:hideMark/>
          </w:tcPr>
          <w:p w14:paraId="616096E9"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r>
      <w:tr w:rsidR="0017676D" w:rsidRPr="000E5F0F" w14:paraId="00383125" w14:textId="77777777" w:rsidTr="0017676D">
        <w:trPr>
          <w:trHeight w:val="456"/>
        </w:trPr>
        <w:tc>
          <w:tcPr>
            <w:tcW w:w="1701" w:type="dxa"/>
            <w:vMerge/>
            <w:tcBorders>
              <w:top w:val="nil"/>
              <w:left w:val="single" w:sz="4" w:space="0" w:color="auto"/>
              <w:bottom w:val="single" w:sz="4" w:space="0" w:color="auto"/>
              <w:right w:val="single" w:sz="4" w:space="0" w:color="auto"/>
            </w:tcBorders>
            <w:vAlign w:val="center"/>
            <w:hideMark/>
          </w:tcPr>
          <w:p w14:paraId="43419CE5"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commentRangeStart w:id="8"/>
          </w:p>
        </w:tc>
        <w:tc>
          <w:tcPr>
            <w:tcW w:w="1769" w:type="dxa"/>
            <w:tcBorders>
              <w:top w:val="nil"/>
              <w:left w:val="nil"/>
              <w:bottom w:val="single" w:sz="4" w:space="0" w:color="auto"/>
              <w:right w:val="single" w:sz="4" w:space="0" w:color="auto"/>
            </w:tcBorders>
            <w:shd w:val="clear" w:color="auto" w:fill="auto"/>
            <w:vAlign w:val="center"/>
            <w:hideMark/>
          </w:tcPr>
          <w:p w14:paraId="472CDFF2" w14:textId="279928C0" w:rsidR="009C5182"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Curriculum Vitae</w:t>
            </w:r>
            <w:r w:rsidR="009C5182" w:rsidRPr="000E5F0F">
              <w:rPr>
                <w:rFonts w:asciiTheme="minorHAnsi" w:eastAsia="Times New Roman" w:hAnsiTheme="minorHAnsi" w:cstheme="minorHAnsi"/>
                <w:color w:val="auto"/>
                <w:sz w:val="21"/>
                <w:szCs w:val="21"/>
                <w:lang w:eastAsia="rw-RW"/>
              </w:rPr>
              <w:t xml:space="preserve"> </w:t>
            </w:r>
            <w:r w:rsidR="0017676D" w:rsidRPr="000E5F0F">
              <w:rPr>
                <w:rFonts w:asciiTheme="minorHAnsi" w:eastAsia="Times New Roman" w:hAnsiTheme="minorHAnsi" w:cstheme="minorHAnsi"/>
                <w:color w:val="auto"/>
                <w:sz w:val="21"/>
                <w:szCs w:val="21"/>
                <w:lang w:eastAsia="rw-RW"/>
              </w:rPr>
              <w:t xml:space="preserve">ou </w:t>
            </w:r>
            <w:r w:rsidR="009C5182" w:rsidRPr="000E5F0F">
              <w:rPr>
                <w:rFonts w:asciiTheme="minorHAnsi" w:eastAsia="Times New Roman" w:hAnsiTheme="minorHAnsi" w:cstheme="minorHAnsi"/>
                <w:color w:val="auto"/>
                <w:sz w:val="21"/>
                <w:szCs w:val="21"/>
                <w:lang w:eastAsia="rw-RW"/>
              </w:rPr>
              <w:t>P11</w:t>
            </w:r>
          </w:p>
          <w:p w14:paraId="1F983031"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4693" w:type="dxa"/>
            <w:tcBorders>
              <w:top w:val="nil"/>
              <w:left w:val="nil"/>
              <w:bottom w:val="single" w:sz="4" w:space="0" w:color="auto"/>
              <w:right w:val="single" w:sz="4" w:space="0" w:color="auto"/>
            </w:tcBorders>
            <w:shd w:val="clear" w:color="auto" w:fill="auto"/>
            <w:vAlign w:val="center"/>
            <w:hideMark/>
          </w:tcPr>
          <w:p w14:paraId="2C7D8325"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Fournir les CV détaillés</w:t>
            </w:r>
          </w:p>
        </w:tc>
        <w:tc>
          <w:tcPr>
            <w:tcW w:w="1462" w:type="dxa"/>
            <w:tcBorders>
              <w:top w:val="nil"/>
              <w:left w:val="nil"/>
              <w:bottom w:val="single" w:sz="4" w:space="0" w:color="auto"/>
              <w:right w:val="single" w:sz="4" w:space="0" w:color="auto"/>
            </w:tcBorders>
            <w:shd w:val="clear" w:color="auto" w:fill="auto"/>
            <w:vAlign w:val="center"/>
          </w:tcPr>
          <w:p w14:paraId="661CF6E2" w14:textId="77777777" w:rsidR="00687D06" w:rsidRPr="000E5F0F" w:rsidRDefault="009C5182"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Annexe </w:t>
            </w:r>
            <w:r w:rsidR="00F51B82" w:rsidRPr="000E5F0F">
              <w:rPr>
                <w:rFonts w:asciiTheme="minorHAnsi" w:eastAsia="Times New Roman" w:hAnsiTheme="minorHAnsi" w:cstheme="minorHAnsi"/>
                <w:color w:val="auto"/>
                <w:sz w:val="21"/>
                <w:szCs w:val="21"/>
                <w:lang w:eastAsia="rw-RW"/>
              </w:rPr>
              <w:t>4</w:t>
            </w:r>
            <w:commentRangeEnd w:id="8"/>
            <w:r w:rsidR="006F7969" w:rsidRPr="000E5F0F">
              <w:rPr>
                <w:rFonts w:eastAsia="Times New Roman"/>
                <w:sz w:val="21"/>
                <w:szCs w:val="21"/>
                <w:lang w:eastAsia="rw-RW"/>
              </w:rPr>
              <w:commentReference w:id="8"/>
            </w:r>
          </w:p>
        </w:tc>
      </w:tr>
      <w:tr w:rsidR="0017676D" w:rsidRPr="000E5F0F" w14:paraId="2C39A9FA" w14:textId="77777777" w:rsidTr="009C5182">
        <w:trPr>
          <w:trHeight w:val="306"/>
        </w:trPr>
        <w:tc>
          <w:tcPr>
            <w:tcW w:w="1701" w:type="dxa"/>
            <w:vMerge/>
            <w:tcBorders>
              <w:top w:val="nil"/>
              <w:left w:val="single" w:sz="4" w:space="0" w:color="auto"/>
              <w:bottom w:val="single" w:sz="4" w:space="0" w:color="auto"/>
              <w:right w:val="single" w:sz="4" w:space="0" w:color="auto"/>
            </w:tcBorders>
            <w:vAlign w:val="center"/>
            <w:hideMark/>
          </w:tcPr>
          <w:p w14:paraId="06C20148"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1769" w:type="dxa"/>
            <w:tcBorders>
              <w:top w:val="nil"/>
              <w:left w:val="nil"/>
              <w:bottom w:val="single" w:sz="4" w:space="0" w:color="auto"/>
              <w:right w:val="single" w:sz="4" w:space="0" w:color="auto"/>
            </w:tcBorders>
            <w:vAlign w:val="center"/>
            <w:hideMark/>
          </w:tcPr>
          <w:p w14:paraId="5BB7DA68"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Diplômes</w:t>
            </w:r>
          </w:p>
        </w:tc>
        <w:tc>
          <w:tcPr>
            <w:tcW w:w="4693" w:type="dxa"/>
            <w:tcBorders>
              <w:top w:val="nil"/>
              <w:left w:val="nil"/>
              <w:bottom w:val="single" w:sz="4" w:space="0" w:color="auto"/>
              <w:right w:val="single" w:sz="4" w:space="0" w:color="auto"/>
            </w:tcBorders>
            <w:vAlign w:val="center"/>
            <w:hideMark/>
          </w:tcPr>
          <w:p w14:paraId="3742B94A"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Envoyer une(les) copies du (des) diplômes</w:t>
            </w:r>
          </w:p>
        </w:tc>
        <w:tc>
          <w:tcPr>
            <w:tcW w:w="1462" w:type="dxa"/>
            <w:tcBorders>
              <w:top w:val="nil"/>
              <w:left w:val="nil"/>
              <w:bottom w:val="single" w:sz="4" w:space="0" w:color="auto"/>
              <w:right w:val="single" w:sz="4" w:space="0" w:color="auto"/>
            </w:tcBorders>
            <w:vAlign w:val="center"/>
            <w:hideMark/>
          </w:tcPr>
          <w:p w14:paraId="15CB1D8F"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w:t>
            </w:r>
          </w:p>
        </w:tc>
      </w:tr>
      <w:tr w:rsidR="0017676D" w:rsidRPr="000E5F0F" w14:paraId="78973679" w14:textId="77777777" w:rsidTr="009C5182">
        <w:trPr>
          <w:trHeight w:val="306"/>
        </w:trPr>
        <w:tc>
          <w:tcPr>
            <w:tcW w:w="1701" w:type="dxa"/>
            <w:vMerge/>
            <w:tcBorders>
              <w:top w:val="nil"/>
              <w:left w:val="single" w:sz="4" w:space="0" w:color="auto"/>
              <w:bottom w:val="single" w:sz="4" w:space="0" w:color="auto"/>
              <w:right w:val="single" w:sz="4" w:space="0" w:color="auto"/>
            </w:tcBorders>
            <w:vAlign w:val="center"/>
            <w:hideMark/>
          </w:tcPr>
          <w:p w14:paraId="3B3AAA0C"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1769" w:type="dxa"/>
            <w:tcBorders>
              <w:top w:val="nil"/>
              <w:left w:val="nil"/>
              <w:bottom w:val="single" w:sz="4" w:space="0" w:color="auto"/>
              <w:right w:val="single" w:sz="4" w:space="0" w:color="auto"/>
            </w:tcBorders>
            <w:vAlign w:val="center"/>
            <w:hideMark/>
          </w:tcPr>
          <w:p w14:paraId="549A5A1C"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Preuve de missions similaires réalisées</w:t>
            </w:r>
          </w:p>
        </w:tc>
        <w:tc>
          <w:tcPr>
            <w:tcW w:w="4693" w:type="dxa"/>
            <w:tcBorders>
              <w:top w:val="nil"/>
              <w:left w:val="nil"/>
              <w:bottom w:val="single" w:sz="4" w:space="0" w:color="auto"/>
              <w:right w:val="single" w:sz="4" w:space="0" w:color="auto"/>
            </w:tcBorders>
            <w:vAlign w:val="center"/>
            <w:hideMark/>
          </w:tcPr>
          <w:p w14:paraId="407FD683"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Fournir les attestations de bonne fin d’exécution ou tout autre document prouvant l’exécution de missions similaires</w:t>
            </w:r>
          </w:p>
        </w:tc>
        <w:tc>
          <w:tcPr>
            <w:tcW w:w="1462" w:type="dxa"/>
            <w:tcBorders>
              <w:top w:val="nil"/>
              <w:left w:val="nil"/>
              <w:bottom w:val="single" w:sz="4" w:space="0" w:color="auto"/>
              <w:right w:val="single" w:sz="4" w:space="0" w:color="auto"/>
            </w:tcBorders>
            <w:vAlign w:val="center"/>
          </w:tcPr>
          <w:p w14:paraId="0355407A"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r>
      <w:tr w:rsidR="0017676D" w:rsidRPr="000E5F0F" w14:paraId="44125100" w14:textId="77777777" w:rsidTr="009C5182">
        <w:trPr>
          <w:trHeight w:val="400"/>
        </w:trPr>
        <w:tc>
          <w:tcPr>
            <w:tcW w:w="1701" w:type="dxa"/>
            <w:tcBorders>
              <w:top w:val="nil"/>
              <w:left w:val="single" w:sz="4" w:space="0" w:color="auto"/>
              <w:bottom w:val="single" w:sz="4" w:space="0" w:color="auto"/>
              <w:right w:val="single" w:sz="4" w:space="0" w:color="auto"/>
            </w:tcBorders>
            <w:vAlign w:val="center"/>
            <w:hideMark/>
          </w:tcPr>
          <w:p w14:paraId="5C11BBF7" w14:textId="77777777" w:rsidR="008D7C72" w:rsidRPr="000E5F0F" w:rsidRDefault="008D7C72"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Proposition financière (Fichier 2/Enveloppe 2</w:t>
            </w:r>
          </w:p>
          <w:p w14:paraId="2F64D4D0" w14:textId="39BD1EAC"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1769" w:type="dxa"/>
            <w:tcBorders>
              <w:top w:val="nil"/>
              <w:left w:val="nil"/>
              <w:bottom w:val="single" w:sz="4" w:space="0" w:color="auto"/>
              <w:right w:val="single" w:sz="4" w:space="0" w:color="auto"/>
            </w:tcBorders>
            <w:vAlign w:val="center"/>
            <w:hideMark/>
          </w:tcPr>
          <w:p w14:paraId="4A45007C" w14:textId="77777777" w:rsidR="00687D06" w:rsidRPr="000E5F0F" w:rsidRDefault="00687D06"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Tableau des coûts</w:t>
            </w:r>
          </w:p>
        </w:tc>
        <w:tc>
          <w:tcPr>
            <w:tcW w:w="4693" w:type="dxa"/>
            <w:tcBorders>
              <w:top w:val="nil"/>
              <w:left w:val="nil"/>
              <w:bottom w:val="single" w:sz="4" w:space="0" w:color="auto"/>
              <w:right w:val="single" w:sz="4" w:space="0" w:color="auto"/>
            </w:tcBorders>
            <w:vAlign w:val="center"/>
            <w:hideMark/>
          </w:tcPr>
          <w:p w14:paraId="5430757B" w14:textId="77777777" w:rsidR="00687D06" w:rsidRPr="000E5F0F" w:rsidRDefault="008D7C72"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Faire la proposition financière suivant le Tableau des coûts.</w:t>
            </w:r>
            <w:r w:rsidR="00F51B82" w:rsidRPr="000E5F0F">
              <w:rPr>
                <w:rFonts w:asciiTheme="minorHAnsi" w:eastAsia="Times New Roman" w:hAnsiTheme="minorHAnsi" w:cstheme="minorHAnsi"/>
                <w:color w:val="auto"/>
                <w:sz w:val="21"/>
                <w:szCs w:val="21"/>
                <w:lang w:eastAsia="rw-RW"/>
              </w:rPr>
              <w:t xml:space="preserve"> P</w:t>
            </w:r>
            <w:r w:rsidRPr="000E5F0F">
              <w:rPr>
                <w:rFonts w:asciiTheme="minorHAnsi" w:eastAsia="Times New Roman" w:hAnsiTheme="minorHAnsi" w:cstheme="minorHAnsi"/>
                <w:color w:val="auto"/>
                <w:sz w:val="21"/>
                <w:szCs w:val="21"/>
                <w:lang w:eastAsia="rw-RW"/>
              </w:rPr>
              <w:t>roposer un montant forfaitaire et présenter dans le Tableau des coûts la ventilation de ce montant forfaitaire.</w:t>
            </w:r>
            <w:r w:rsidR="00F51B82" w:rsidRPr="000E5F0F">
              <w:rPr>
                <w:rFonts w:asciiTheme="minorHAnsi" w:eastAsia="Times New Roman" w:hAnsiTheme="minorHAnsi" w:cstheme="minorHAnsi"/>
                <w:color w:val="auto"/>
                <w:sz w:val="21"/>
                <w:szCs w:val="21"/>
                <w:lang w:eastAsia="rw-RW"/>
              </w:rPr>
              <w:t xml:space="preserve"> </w:t>
            </w:r>
          </w:p>
          <w:tbl>
            <w:tblPr>
              <w:tblW w:w="0" w:type="auto"/>
              <w:tblBorders>
                <w:top w:val="nil"/>
                <w:left w:val="nil"/>
                <w:bottom w:val="nil"/>
                <w:right w:val="nil"/>
              </w:tblBorders>
              <w:tblLook w:val="0000" w:firstRow="0" w:lastRow="0" w:firstColumn="0" w:lastColumn="0" w:noHBand="0" w:noVBand="0"/>
            </w:tblPr>
            <w:tblGrid>
              <w:gridCol w:w="4553"/>
            </w:tblGrid>
            <w:tr w:rsidR="0017676D" w:rsidRPr="000E5F0F" w14:paraId="444A9A7C" w14:textId="77777777">
              <w:trPr>
                <w:trHeight w:val="705"/>
              </w:trPr>
              <w:tc>
                <w:tcPr>
                  <w:tcW w:w="0" w:type="auto"/>
                </w:tcPr>
                <w:p w14:paraId="6217C0C1" w14:textId="77777777" w:rsidR="00F51B82" w:rsidRPr="000E5F0F" w:rsidRDefault="00F51B82" w:rsidP="000E5F0F">
                  <w:pPr>
                    <w:autoSpaceDE w:val="0"/>
                    <w:autoSpaceDN w:val="0"/>
                    <w:adjustRightInd w:val="0"/>
                    <w:spacing w:before="120" w:after="120" w:line="240"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La proposition précise les modalités de paiement sur la base de produits/livrables précis et mesurables (qualitatifs et quantitatifs) même si les paiements seront effectués par tranches ou en une seule fois à l'achèvement total du contrat. Elle doit être libellée en dollars US.</w:t>
                  </w:r>
                </w:p>
              </w:tc>
            </w:tr>
          </w:tbl>
          <w:p w14:paraId="7D154FE0" w14:textId="77777777" w:rsidR="00F51B82" w:rsidRPr="000E5F0F" w:rsidRDefault="00F51B82" w:rsidP="000E5F0F">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p>
        </w:tc>
        <w:tc>
          <w:tcPr>
            <w:tcW w:w="1462" w:type="dxa"/>
            <w:tcBorders>
              <w:top w:val="nil"/>
              <w:left w:val="nil"/>
              <w:bottom w:val="single" w:sz="4" w:space="0" w:color="auto"/>
              <w:right w:val="single" w:sz="4" w:space="0" w:color="auto"/>
            </w:tcBorders>
            <w:vAlign w:val="center"/>
            <w:hideMark/>
          </w:tcPr>
          <w:p w14:paraId="35A6337F" w14:textId="77777777" w:rsidR="00687D06" w:rsidRPr="000E5F0F" w:rsidRDefault="00F51B82" w:rsidP="000E5F0F">
            <w:pPr>
              <w:autoSpaceDE w:val="0"/>
              <w:autoSpaceDN w:val="0"/>
              <w:adjustRightInd w:val="0"/>
              <w:spacing w:before="120" w:after="12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Annexe 3</w:t>
            </w:r>
          </w:p>
        </w:tc>
      </w:tr>
    </w:tbl>
    <w:p w14:paraId="0DBA39E1" w14:textId="77777777" w:rsidR="00687D06" w:rsidRPr="000E5F0F" w:rsidRDefault="00687D06" w:rsidP="00687D06">
      <w:pPr>
        <w:autoSpaceDE w:val="0"/>
        <w:autoSpaceDN w:val="0"/>
        <w:adjustRightInd w:val="0"/>
        <w:spacing w:after="0" w:line="240" w:lineRule="auto"/>
        <w:rPr>
          <w:rFonts w:asciiTheme="minorHAnsi" w:hAnsiTheme="minorHAnsi" w:cstheme="minorHAnsi"/>
          <w:b/>
          <w:color w:val="auto"/>
          <w:sz w:val="22"/>
        </w:rPr>
      </w:pPr>
    </w:p>
    <w:p w14:paraId="2B365799" w14:textId="572783BF" w:rsidR="00C8124E" w:rsidRPr="000E5F0F" w:rsidRDefault="00C8124E" w:rsidP="00B61CDD">
      <w:pPr>
        <w:pStyle w:val="Paragraphedeliste"/>
        <w:numPr>
          <w:ilvl w:val="1"/>
          <w:numId w:val="21"/>
        </w:numPr>
        <w:rPr>
          <w:rFonts w:asciiTheme="minorHAnsi" w:eastAsia="Times New Roman" w:hAnsiTheme="minorHAnsi" w:cstheme="minorHAnsi"/>
          <w:b/>
          <w:szCs w:val="24"/>
          <w:highlight w:val="lightGray"/>
          <w:lang w:eastAsia="rw-RW"/>
        </w:rPr>
      </w:pPr>
      <w:r w:rsidRPr="000E5F0F">
        <w:rPr>
          <w:rFonts w:asciiTheme="minorHAnsi" w:eastAsia="Times New Roman" w:hAnsiTheme="minorHAnsi" w:cstheme="minorHAnsi"/>
          <w:b/>
          <w:szCs w:val="24"/>
          <w:highlight w:val="lightGray"/>
          <w:lang w:eastAsia="rw-RW"/>
        </w:rPr>
        <w:t>Une proposition financière</w:t>
      </w:r>
      <w:r w:rsidRPr="000E5F0F">
        <w:rPr>
          <w:rFonts w:asciiTheme="minorHAnsi" w:hAnsiTheme="minorHAnsi" w:cstheme="minorHAnsi"/>
          <w:b/>
          <w:szCs w:val="24"/>
          <w:highlight w:val="lightGray"/>
        </w:rPr>
        <w:t xml:space="preserve"> (Fichier 2/Enveloppe 2)</w:t>
      </w:r>
    </w:p>
    <w:p w14:paraId="33EFD556" w14:textId="77777777" w:rsidR="000E5F0F" w:rsidRPr="000E5F0F" w:rsidRDefault="000E5F0F" w:rsidP="00687D06">
      <w:pPr>
        <w:pStyle w:val="Titre1"/>
        <w:spacing w:line="240" w:lineRule="auto"/>
        <w:rPr>
          <w:rFonts w:asciiTheme="minorHAnsi" w:hAnsiTheme="minorHAnsi" w:cstheme="minorHAnsi"/>
          <w:color w:val="auto"/>
          <w:szCs w:val="24"/>
        </w:rPr>
      </w:pPr>
    </w:p>
    <w:p w14:paraId="478599E8" w14:textId="77777777" w:rsidR="000E5F0F" w:rsidRPr="000E5F0F" w:rsidRDefault="000E5F0F" w:rsidP="000E5F0F">
      <w:pPr>
        <w:spacing w:after="0" w:line="240" w:lineRule="auto"/>
        <w:ind w:left="0" w:firstLine="0"/>
        <w:rPr>
          <w:rFonts w:asciiTheme="minorHAnsi" w:eastAsia="Times New Roman" w:hAnsiTheme="minorHAnsi" w:cstheme="minorHAnsi"/>
          <w:bCs/>
          <w:color w:val="auto"/>
          <w:sz w:val="21"/>
          <w:szCs w:val="21"/>
          <w:lang w:eastAsia="rw-RW"/>
        </w:rPr>
      </w:pPr>
      <w:r w:rsidRPr="000E5F0F">
        <w:rPr>
          <w:rFonts w:asciiTheme="minorHAnsi" w:eastAsia="Times New Roman" w:hAnsiTheme="minorHAnsi" w:cstheme="minorHAnsi"/>
          <w:bCs/>
          <w:color w:val="auto"/>
          <w:sz w:val="21"/>
          <w:szCs w:val="21"/>
          <w:lang w:eastAsia="rw-RW"/>
        </w:rPr>
        <w:t>Le/la Consultant (e) fait sa proposition financière suivant le Tableau des coûts. Il doit proposer un montant forfaitaire et présenter dans le Tableau des coûts la ventilation de ce montant forfaitaire.</w:t>
      </w:r>
    </w:p>
    <w:p w14:paraId="6B6E215C" w14:textId="77777777" w:rsidR="000E5F0F" w:rsidRPr="000E5F0F" w:rsidRDefault="000E5F0F" w:rsidP="000E5F0F">
      <w:pPr>
        <w:spacing w:after="0" w:line="240" w:lineRule="auto"/>
        <w:ind w:left="0" w:firstLine="0"/>
        <w:rPr>
          <w:rFonts w:asciiTheme="minorHAnsi" w:eastAsia="Times New Roman" w:hAnsiTheme="minorHAnsi" w:cstheme="minorHAnsi"/>
          <w:bCs/>
          <w:color w:val="auto"/>
          <w:sz w:val="21"/>
          <w:szCs w:val="21"/>
          <w:lang w:eastAsia="rw-RW"/>
        </w:rPr>
      </w:pPr>
    </w:p>
    <w:p w14:paraId="7B02BC95" w14:textId="77777777" w:rsidR="000E5F0F" w:rsidRPr="000E5F0F" w:rsidRDefault="000E5F0F" w:rsidP="000E5F0F">
      <w:pPr>
        <w:spacing w:after="200" w:line="240" w:lineRule="auto"/>
        <w:ind w:left="0" w:firstLine="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Dans une deuxième étape du processus d’évaluation, les enveloppes financières seront ouvertes et les offres financières comparées ; une note financière sera calculée pour chaque proposition sur la base de la formule :</w:t>
      </w:r>
    </w:p>
    <w:p w14:paraId="33098B34" w14:textId="77777777" w:rsidR="000E5F0F" w:rsidRPr="000E5F0F" w:rsidRDefault="000E5F0F" w:rsidP="000E5F0F">
      <w:pPr>
        <w:spacing w:after="200" w:line="240" w:lineRule="auto"/>
        <w:ind w:left="0" w:firstLine="0"/>
        <w:rPr>
          <w:rFonts w:asciiTheme="minorHAnsi" w:eastAsia="Times New Roman" w:hAnsiTheme="minorHAnsi" w:cstheme="minorHAnsi"/>
          <w:b/>
          <w:i/>
          <w:color w:val="auto"/>
          <w:sz w:val="21"/>
          <w:szCs w:val="21"/>
          <w:lang w:eastAsia="rw-RW"/>
        </w:rPr>
      </w:pPr>
      <w:r w:rsidRPr="000E5F0F">
        <w:rPr>
          <w:rFonts w:asciiTheme="minorHAnsi" w:eastAsia="Times New Roman" w:hAnsiTheme="minorHAnsi" w:cstheme="minorHAnsi"/>
          <w:b/>
          <w:i/>
          <w:color w:val="auto"/>
          <w:sz w:val="21"/>
          <w:szCs w:val="21"/>
          <w:lang w:eastAsia="rw-RW"/>
        </w:rPr>
        <w:t>Note financière A = [(Offre financière la moins disante) /Offre financière de A] x 30</w:t>
      </w:r>
    </w:p>
    <w:p w14:paraId="102E1319" w14:textId="77777777" w:rsidR="000E5F0F" w:rsidRPr="000E5F0F" w:rsidRDefault="000E5F0F" w:rsidP="000E5F0F">
      <w:pPr>
        <w:spacing w:after="200" w:line="240" w:lineRule="auto"/>
        <w:ind w:left="0" w:firstLine="0"/>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Le/la Consultant (e) avec le cumul de notes (Technique pondérée + Financière) le plus élevé sera retenu pour le contrat.</w:t>
      </w:r>
    </w:p>
    <w:p w14:paraId="094E8E90" w14:textId="77777777" w:rsidR="000E5F0F" w:rsidRPr="000E5F0F" w:rsidRDefault="000E5F0F" w:rsidP="00687D06">
      <w:pPr>
        <w:pStyle w:val="Titre1"/>
        <w:spacing w:line="240" w:lineRule="auto"/>
        <w:rPr>
          <w:rFonts w:asciiTheme="minorHAnsi" w:hAnsiTheme="minorHAnsi" w:cstheme="minorHAnsi"/>
          <w:color w:val="auto"/>
          <w:szCs w:val="24"/>
        </w:rPr>
      </w:pPr>
    </w:p>
    <w:p w14:paraId="4B30F120" w14:textId="77777777" w:rsidR="000E5F0F" w:rsidRPr="000E5F0F" w:rsidRDefault="000E5F0F" w:rsidP="00687D06">
      <w:pPr>
        <w:pStyle w:val="Titre1"/>
        <w:spacing w:line="240" w:lineRule="auto"/>
        <w:rPr>
          <w:rFonts w:asciiTheme="minorHAnsi" w:hAnsiTheme="minorHAnsi" w:cstheme="minorHAnsi"/>
          <w:color w:val="auto"/>
          <w:szCs w:val="24"/>
        </w:rPr>
      </w:pPr>
    </w:p>
    <w:p w14:paraId="6EEE6E9D" w14:textId="25BFD3E6" w:rsidR="00687D06" w:rsidRPr="000E5F0F" w:rsidRDefault="00687D06" w:rsidP="00687D06">
      <w:pPr>
        <w:pStyle w:val="Titre1"/>
        <w:spacing w:line="240" w:lineRule="auto"/>
        <w:rPr>
          <w:rFonts w:asciiTheme="minorHAnsi" w:hAnsiTheme="minorHAnsi" w:cstheme="minorHAnsi"/>
          <w:color w:val="auto"/>
          <w:szCs w:val="24"/>
        </w:rPr>
      </w:pPr>
      <w:r w:rsidRPr="000E5F0F">
        <w:rPr>
          <w:rFonts w:asciiTheme="minorHAnsi" w:hAnsiTheme="minorHAnsi" w:cstheme="minorHAnsi"/>
          <w:color w:val="auto"/>
          <w:szCs w:val="24"/>
        </w:rPr>
        <w:t>X</w:t>
      </w:r>
      <w:r w:rsidR="00571E6F" w:rsidRPr="000E5F0F">
        <w:rPr>
          <w:rFonts w:asciiTheme="minorHAnsi" w:hAnsiTheme="minorHAnsi" w:cstheme="minorHAnsi"/>
          <w:color w:val="auto"/>
          <w:szCs w:val="24"/>
        </w:rPr>
        <w:t>- GRILLE</w:t>
      </w:r>
      <w:r w:rsidRPr="000E5F0F">
        <w:rPr>
          <w:rFonts w:asciiTheme="minorHAnsi" w:hAnsiTheme="minorHAnsi" w:cstheme="minorHAnsi"/>
          <w:color w:val="auto"/>
          <w:szCs w:val="24"/>
        </w:rPr>
        <w:t xml:space="preserve"> D’EVALUATION</w:t>
      </w:r>
    </w:p>
    <w:p w14:paraId="4C166569" w14:textId="77777777" w:rsidR="00687D06" w:rsidRPr="000E5F0F" w:rsidRDefault="00571E6F" w:rsidP="00687D06">
      <w:pPr>
        <w:autoSpaceDE w:val="0"/>
        <w:autoSpaceDN w:val="0"/>
        <w:adjustRightInd w:val="0"/>
        <w:spacing w:before="360" w:after="120" w:line="240" w:lineRule="auto"/>
        <w:rPr>
          <w:rFonts w:asciiTheme="minorHAnsi" w:hAnsiTheme="minorHAnsi" w:cstheme="minorHAnsi"/>
          <w:b/>
          <w:bCs/>
          <w:color w:val="auto"/>
          <w:szCs w:val="24"/>
        </w:rPr>
      </w:pPr>
      <w:r w:rsidRPr="000E5F0F">
        <w:rPr>
          <w:rFonts w:asciiTheme="minorHAnsi" w:hAnsiTheme="minorHAnsi" w:cstheme="minorHAnsi"/>
          <w:b/>
          <w:bCs/>
          <w:color w:val="auto"/>
          <w:szCs w:val="24"/>
        </w:rPr>
        <w:t>10</w:t>
      </w:r>
      <w:r w:rsidR="00687D06" w:rsidRPr="000E5F0F">
        <w:rPr>
          <w:rFonts w:asciiTheme="minorHAnsi" w:hAnsiTheme="minorHAnsi" w:cstheme="minorHAnsi"/>
          <w:b/>
          <w:bCs/>
          <w:color w:val="auto"/>
          <w:szCs w:val="24"/>
        </w:rPr>
        <w:t>.1</w:t>
      </w:r>
      <w:r w:rsidR="00EA6246" w:rsidRPr="000E5F0F">
        <w:rPr>
          <w:rFonts w:asciiTheme="minorHAnsi" w:hAnsiTheme="minorHAnsi" w:cstheme="minorHAnsi"/>
          <w:b/>
          <w:bCs/>
          <w:color w:val="auto"/>
          <w:szCs w:val="24"/>
        </w:rPr>
        <w:t>.</w:t>
      </w:r>
      <w:r w:rsidR="00687D06" w:rsidRPr="000E5F0F">
        <w:rPr>
          <w:rFonts w:asciiTheme="minorHAnsi" w:hAnsiTheme="minorHAnsi" w:cstheme="minorHAnsi"/>
          <w:b/>
          <w:bCs/>
          <w:color w:val="auto"/>
          <w:szCs w:val="24"/>
        </w:rPr>
        <w:t xml:space="preserve"> Cadre de coopération</w:t>
      </w:r>
    </w:p>
    <w:p w14:paraId="123D4809" w14:textId="77777777" w:rsidR="00687D06" w:rsidRPr="000E5F0F" w:rsidRDefault="00687D06" w:rsidP="000E5F0F">
      <w:pPr>
        <w:spacing w:after="0" w:line="240" w:lineRule="auto"/>
        <w:ind w:left="0" w:firstLine="0"/>
        <w:rPr>
          <w:rFonts w:asciiTheme="minorHAnsi" w:eastAsia="Times New Roman" w:hAnsiTheme="minorHAnsi" w:cstheme="minorHAnsi"/>
          <w:bCs/>
          <w:color w:val="auto"/>
          <w:sz w:val="21"/>
          <w:szCs w:val="21"/>
          <w:lang w:eastAsia="rw-RW"/>
        </w:rPr>
      </w:pPr>
      <w:r w:rsidRPr="000E5F0F">
        <w:rPr>
          <w:rFonts w:asciiTheme="minorHAnsi" w:eastAsia="Times New Roman" w:hAnsiTheme="minorHAnsi" w:cstheme="minorHAnsi"/>
          <w:bCs/>
          <w:color w:val="auto"/>
          <w:sz w:val="21"/>
          <w:szCs w:val="21"/>
          <w:lang w:eastAsia="rw-RW"/>
        </w:rPr>
        <w:t>Les offres resteront valables pour un délai de 90 jours. Les offres sont soumises aux conditions générales du PNUD applicables aux contrats individuels (IC).</w:t>
      </w:r>
    </w:p>
    <w:p w14:paraId="48E4D5F8" w14:textId="03C4F374" w:rsidR="000E5F0F" w:rsidRPr="000E5F0F" w:rsidRDefault="00571E6F" w:rsidP="000E5F0F">
      <w:pPr>
        <w:autoSpaceDE w:val="0"/>
        <w:autoSpaceDN w:val="0"/>
        <w:adjustRightInd w:val="0"/>
        <w:spacing w:before="360" w:after="120" w:line="240" w:lineRule="auto"/>
        <w:ind w:left="142" w:firstLine="0"/>
        <w:rPr>
          <w:rFonts w:asciiTheme="minorHAnsi" w:hAnsiTheme="minorHAnsi" w:cstheme="minorHAnsi"/>
          <w:b/>
          <w:bCs/>
          <w:color w:val="auto"/>
          <w:szCs w:val="24"/>
        </w:rPr>
      </w:pPr>
      <w:r w:rsidRPr="000E5F0F">
        <w:rPr>
          <w:rFonts w:asciiTheme="minorHAnsi" w:hAnsiTheme="minorHAnsi" w:cstheme="minorHAnsi"/>
          <w:b/>
          <w:bCs/>
          <w:color w:val="auto"/>
          <w:szCs w:val="24"/>
        </w:rPr>
        <w:t>10</w:t>
      </w:r>
      <w:r w:rsidR="00687D06" w:rsidRPr="000E5F0F">
        <w:rPr>
          <w:rFonts w:asciiTheme="minorHAnsi" w:hAnsiTheme="minorHAnsi" w:cstheme="minorHAnsi"/>
          <w:b/>
          <w:bCs/>
          <w:color w:val="auto"/>
          <w:szCs w:val="24"/>
        </w:rPr>
        <w:t>.2 Evaluation</w:t>
      </w:r>
    </w:p>
    <w:p w14:paraId="4F371F34" w14:textId="77777777" w:rsidR="00687D06" w:rsidRPr="000E5F0F" w:rsidRDefault="00687D06" w:rsidP="000E5F0F">
      <w:pPr>
        <w:spacing w:after="0" w:line="240" w:lineRule="auto"/>
        <w:ind w:left="0" w:firstLine="0"/>
        <w:rPr>
          <w:rFonts w:asciiTheme="minorHAnsi" w:eastAsia="Times New Roman" w:hAnsiTheme="minorHAnsi" w:cstheme="minorHAnsi"/>
          <w:bCs/>
          <w:color w:val="auto"/>
          <w:sz w:val="21"/>
          <w:szCs w:val="21"/>
          <w:lang w:eastAsia="rw-RW"/>
        </w:rPr>
      </w:pPr>
      <w:r w:rsidRPr="000E5F0F">
        <w:rPr>
          <w:rFonts w:asciiTheme="minorHAnsi" w:eastAsia="Times New Roman" w:hAnsiTheme="minorHAnsi" w:cstheme="minorHAnsi"/>
          <w:bCs/>
          <w:color w:val="auto"/>
          <w:sz w:val="21"/>
          <w:szCs w:val="21"/>
          <w:lang w:eastAsia="rw-RW"/>
        </w:rPr>
        <w:lastRenderedPageBreak/>
        <w:t xml:space="preserve">L’évaluation des offres se déroule en deux temps. L’évaluation des propositions techniques sera faite avant l’ouverture et la comparaison des propositions financières des candidats qualifiés. </w:t>
      </w:r>
    </w:p>
    <w:p w14:paraId="1962617B" w14:textId="77777777" w:rsidR="000E5F0F" w:rsidRPr="000E5F0F" w:rsidRDefault="000E5F0F" w:rsidP="000E5F0F">
      <w:pPr>
        <w:tabs>
          <w:tab w:val="left" w:pos="720"/>
        </w:tabs>
        <w:spacing w:after="0" w:line="240" w:lineRule="auto"/>
        <w:ind w:left="0" w:firstLine="0"/>
        <w:rPr>
          <w:rFonts w:asciiTheme="minorHAnsi" w:hAnsiTheme="minorHAnsi" w:cstheme="minorHAnsi"/>
          <w:b/>
          <w:color w:val="auto"/>
          <w:sz w:val="21"/>
          <w:szCs w:val="21"/>
          <w:lang w:eastAsia="en-US"/>
        </w:rPr>
      </w:pPr>
      <w:r w:rsidRPr="000E5F0F">
        <w:rPr>
          <w:rFonts w:asciiTheme="minorHAnsi" w:hAnsiTheme="minorHAnsi" w:cstheme="minorHAnsi"/>
          <w:b/>
          <w:color w:val="auto"/>
          <w:sz w:val="21"/>
          <w:szCs w:val="21"/>
          <w:lang w:eastAsia="en-US"/>
        </w:rPr>
        <w:t xml:space="preserve">Analyse Cumulative (Note pondérée) </w:t>
      </w:r>
    </w:p>
    <w:p w14:paraId="6E426C92"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p>
    <w:p w14:paraId="054C026C"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Le contrat sera attribué au/à la consultant(e) dont l'offre aura été évaluée et déterminée comme suit :</w:t>
      </w:r>
    </w:p>
    <w:p w14:paraId="50059391"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w:t>
      </w:r>
      <w:r w:rsidRPr="000E5F0F">
        <w:rPr>
          <w:rFonts w:asciiTheme="minorHAnsi" w:hAnsiTheme="minorHAnsi" w:cstheme="minorHAnsi"/>
          <w:color w:val="auto"/>
          <w:sz w:val="21"/>
          <w:szCs w:val="21"/>
          <w:lang w:eastAsia="en-US"/>
        </w:rPr>
        <w:tab/>
        <w:t xml:space="preserve">Conforme/éligible/acceptable, et </w:t>
      </w:r>
    </w:p>
    <w:p w14:paraId="00FB1392"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w:t>
      </w:r>
      <w:r w:rsidRPr="000E5F0F">
        <w:rPr>
          <w:rFonts w:asciiTheme="minorHAnsi" w:hAnsiTheme="minorHAnsi" w:cstheme="minorHAnsi"/>
          <w:color w:val="auto"/>
          <w:sz w:val="21"/>
          <w:szCs w:val="21"/>
          <w:lang w:eastAsia="en-US"/>
        </w:rPr>
        <w:tab/>
        <w:t xml:space="preserve">Ayant reçu la note la plus élevée sur l’ensemble préétabli des critères pondérés technique et financier spécifiques à cette invitation. </w:t>
      </w:r>
    </w:p>
    <w:p w14:paraId="3B2A7F1D"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p>
    <w:p w14:paraId="685B426B"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Pondération : la pondération retenue, pour l’évaluation des offres, est la suivante :</w:t>
      </w:r>
    </w:p>
    <w:p w14:paraId="100FE1BC"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 Total/Max Note de l’offre technique : 70%</w:t>
      </w:r>
    </w:p>
    <w:p w14:paraId="4C539B20"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 xml:space="preserve">* Total/Max Note de l’offre financière : 30% </w:t>
      </w:r>
    </w:p>
    <w:p w14:paraId="3E72EC72"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p>
    <w:p w14:paraId="59E5B8BD"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 xml:space="preserve">Seuls les candidats ayant obtenu un minimum des 49 points seront pris en considération pour l'évaluation financière. </w:t>
      </w:r>
    </w:p>
    <w:p w14:paraId="5CED1701"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p>
    <w:p w14:paraId="0E98743B"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 xml:space="preserve">Après vérification de l'adéquation entre les propositions financière et technique, chaque offre financière (F) recevra une note financière (NF) calculée par comparaison avec la proposition financière la moins disante (Fm) de la manière suivante : [30 Points] x [prix le plus bas F CFA] / [prix en F CFA offert par un autre cabinet] = points attribués au prix de l’autre soumissionnaire. </w:t>
      </w:r>
    </w:p>
    <w:p w14:paraId="09AFC05F"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 xml:space="preserve">Pour finir, les propositions seront classées en fonction de leurs notes technique (Nt) et financière (Nf) combinées/pondérées pour aboutir à une note globale (NG). </w:t>
      </w:r>
    </w:p>
    <w:p w14:paraId="3673B42F"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p>
    <w:p w14:paraId="0FD44758" w14:textId="77777777" w:rsidR="000E5F0F" w:rsidRPr="000E5F0F" w:rsidRDefault="000E5F0F" w:rsidP="000E5F0F">
      <w:pPr>
        <w:tabs>
          <w:tab w:val="left" w:pos="720"/>
        </w:tabs>
        <w:spacing w:after="0" w:line="240" w:lineRule="auto"/>
        <w:ind w:left="0" w:firstLine="0"/>
        <w:rPr>
          <w:rFonts w:asciiTheme="minorHAnsi" w:hAnsiTheme="minorHAnsi" w:cstheme="minorHAnsi"/>
          <w:color w:val="auto"/>
          <w:sz w:val="21"/>
          <w:szCs w:val="21"/>
          <w:lang w:eastAsia="en-US"/>
        </w:rPr>
      </w:pPr>
      <w:r w:rsidRPr="000E5F0F">
        <w:rPr>
          <w:rFonts w:asciiTheme="minorHAnsi" w:hAnsiTheme="minorHAnsi" w:cstheme="minorHAnsi"/>
          <w:color w:val="auto"/>
          <w:sz w:val="21"/>
          <w:szCs w:val="21"/>
          <w:lang w:eastAsia="en-US"/>
        </w:rPr>
        <w:t>L’Offre sera adjugée à l’égard de la soumission ayant obtenu la note totale pondérée la plus élevée tout en tenant compte des principes généraux du PNUD (coût et efficacité). Le PNUD ne s’engage en aucun cas à choisir forcément le Consultant offrant le plus bas prix.</w:t>
      </w:r>
    </w:p>
    <w:p w14:paraId="10B4E15D" w14:textId="77777777" w:rsidR="00687D06" w:rsidRPr="000E5F0F" w:rsidRDefault="00687D06" w:rsidP="00687D06">
      <w:pPr>
        <w:spacing w:after="0" w:line="240" w:lineRule="auto"/>
        <w:rPr>
          <w:rFonts w:asciiTheme="minorHAnsi" w:eastAsia="Times New Roman" w:hAnsiTheme="minorHAnsi" w:cstheme="minorHAnsi"/>
          <w:bCs/>
          <w:color w:val="auto"/>
          <w:szCs w:val="24"/>
          <w:lang w:eastAsia="rw-RW"/>
        </w:rPr>
      </w:pPr>
    </w:p>
    <w:p w14:paraId="06366D9A" w14:textId="77777777" w:rsidR="00687D06" w:rsidRPr="000E5F0F" w:rsidRDefault="00687D06" w:rsidP="00586878">
      <w:pPr>
        <w:pStyle w:val="Paragraphedeliste"/>
        <w:numPr>
          <w:ilvl w:val="0"/>
          <w:numId w:val="16"/>
        </w:numPr>
        <w:autoSpaceDE w:val="0"/>
        <w:autoSpaceDN w:val="0"/>
        <w:adjustRightInd w:val="0"/>
        <w:spacing w:after="0" w:line="240" w:lineRule="auto"/>
        <w:rPr>
          <w:rFonts w:asciiTheme="minorHAnsi" w:hAnsiTheme="minorHAnsi" w:cstheme="minorHAnsi"/>
          <w:b/>
          <w:bCs/>
          <w:i/>
          <w:szCs w:val="24"/>
        </w:rPr>
      </w:pPr>
      <w:r w:rsidRPr="000E5F0F">
        <w:rPr>
          <w:rFonts w:asciiTheme="minorHAnsi" w:hAnsiTheme="minorHAnsi" w:cstheme="minorHAnsi"/>
          <w:b/>
          <w:bCs/>
          <w:i/>
          <w:szCs w:val="24"/>
        </w:rPr>
        <w:t>Evaluation technique</w:t>
      </w:r>
    </w:p>
    <w:p w14:paraId="711764FD" w14:textId="77777777" w:rsidR="00687D06" w:rsidRPr="000E5F0F" w:rsidRDefault="00687D06" w:rsidP="00687D06">
      <w:pPr>
        <w:spacing w:after="0" w:line="240" w:lineRule="auto"/>
        <w:rPr>
          <w:rFonts w:asciiTheme="minorHAnsi" w:eastAsia="Times New Roman" w:hAnsiTheme="minorHAnsi" w:cstheme="minorHAnsi"/>
          <w:bCs/>
          <w:i/>
          <w:color w:val="auto"/>
          <w:szCs w:val="24"/>
          <w:u w:val="single"/>
          <w:lang w:eastAsia="rw-RW"/>
        </w:rPr>
      </w:pPr>
    </w:p>
    <w:p w14:paraId="298A3905" w14:textId="1D01AEC5" w:rsidR="00687D06" w:rsidRPr="000E5F0F" w:rsidRDefault="00687D06" w:rsidP="00687D06">
      <w:pPr>
        <w:autoSpaceDE w:val="0"/>
        <w:autoSpaceDN w:val="0"/>
        <w:adjustRightInd w:val="0"/>
        <w:spacing w:before="120" w:after="120" w:line="240" w:lineRule="auto"/>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Les consultants seront évalués conformément à la grille ci-dessous. Seuls les candidats ayant obtenu au moins 70% des points à l’issue de l’évaluation technique seront pris en compte pour l’évaluation financière. </w:t>
      </w:r>
    </w:p>
    <w:p w14:paraId="649A6A65" w14:textId="77777777" w:rsidR="003F4657" w:rsidRPr="000E5F0F" w:rsidRDefault="003F4657" w:rsidP="00687D06">
      <w:pPr>
        <w:autoSpaceDE w:val="0"/>
        <w:autoSpaceDN w:val="0"/>
        <w:adjustRightInd w:val="0"/>
        <w:spacing w:before="120" w:after="120" w:line="240" w:lineRule="auto"/>
        <w:rPr>
          <w:rFonts w:asciiTheme="minorHAnsi" w:hAnsiTheme="minorHAnsi" w:cstheme="minorHAnsi"/>
          <w:color w:val="auto"/>
          <w:szCs w:val="24"/>
        </w:rPr>
      </w:pPr>
    </w:p>
    <w:tbl>
      <w:tblPr>
        <w:tblStyle w:val="Grilledutableau"/>
        <w:tblW w:w="9351" w:type="dxa"/>
        <w:tblInd w:w="0" w:type="dxa"/>
        <w:tblLook w:val="04A0" w:firstRow="1" w:lastRow="0" w:firstColumn="1" w:lastColumn="0" w:noHBand="0" w:noVBand="1"/>
      </w:tblPr>
      <w:tblGrid>
        <w:gridCol w:w="1288"/>
        <w:gridCol w:w="6477"/>
        <w:gridCol w:w="1586"/>
      </w:tblGrid>
      <w:tr w:rsidR="0017676D" w:rsidRPr="000E5F0F" w14:paraId="73E1CA7B" w14:textId="77777777" w:rsidTr="000E5F0F">
        <w:tc>
          <w:tcPr>
            <w:tcW w:w="7765" w:type="dxa"/>
            <w:gridSpan w:val="2"/>
            <w:tcBorders>
              <w:top w:val="single" w:sz="4" w:space="0" w:color="auto"/>
              <w:left w:val="single" w:sz="4" w:space="0" w:color="auto"/>
              <w:bottom w:val="single" w:sz="4" w:space="0" w:color="auto"/>
              <w:right w:val="single" w:sz="4" w:space="0" w:color="auto"/>
            </w:tcBorders>
            <w:hideMark/>
          </w:tcPr>
          <w:p w14:paraId="212C79F3" w14:textId="5E3E9B81"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lastRenderedPageBreak/>
              <w:t>Critères</w:t>
            </w:r>
          </w:p>
        </w:tc>
        <w:tc>
          <w:tcPr>
            <w:tcW w:w="1586" w:type="dxa"/>
            <w:tcBorders>
              <w:top w:val="single" w:sz="4" w:space="0" w:color="auto"/>
              <w:left w:val="single" w:sz="4" w:space="0" w:color="auto"/>
              <w:bottom w:val="single" w:sz="4" w:space="0" w:color="auto"/>
              <w:right w:val="single" w:sz="4" w:space="0" w:color="auto"/>
            </w:tcBorders>
            <w:hideMark/>
          </w:tcPr>
          <w:p w14:paraId="424F3645"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POINTS</w:t>
            </w:r>
          </w:p>
        </w:tc>
      </w:tr>
      <w:tr w:rsidR="000E5F0F" w:rsidRPr="000E5F0F" w14:paraId="5227DC63" w14:textId="77777777" w:rsidTr="00F85280">
        <w:tc>
          <w:tcPr>
            <w:tcW w:w="9351" w:type="dxa"/>
            <w:gridSpan w:val="3"/>
            <w:tcBorders>
              <w:top w:val="single" w:sz="4" w:space="0" w:color="auto"/>
              <w:left w:val="single" w:sz="4" w:space="0" w:color="auto"/>
              <w:bottom w:val="single" w:sz="4" w:space="0" w:color="auto"/>
              <w:right w:val="single" w:sz="4" w:space="0" w:color="auto"/>
            </w:tcBorders>
          </w:tcPr>
          <w:p w14:paraId="78222D11" w14:textId="78FFDB75" w:rsidR="000E5F0F" w:rsidRPr="000E5F0F" w:rsidRDefault="000E5F0F" w:rsidP="000E5F0F">
            <w:pPr>
              <w:keepNext/>
              <w:keepLines/>
              <w:spacing w:after="0" w:line="240" w:lineRule="auto"/>
              <w:jc w:val="center"/>
              <w:outlineLvl w:val="0"/>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CRITERE D’ELIGIBILITE</w:t>
            </w:r>
            <w:r w:rsidR="000C1051">
              <w:rPr>
                <w:rFonts w:asciiTheme="minorHAnsi" w:eastAsia="Times New Roman" w:hAnsiTheme="minorHAnsi" w:cstheme="minorHAnsi"/>
                <w:b/>
                <w:color w:val="auto"/>
                <w:sz w:val="21"/>
                <w:szCs w:val="21"/>
                <w:lang w:eastAsia="rw-RW"/>
              </w:rPr>
              <w:t xml:space="preserve"> Oui/Non</w:t>
            </w:r>
          </w:p>
        </w:tc>
      </w:tr>
      <w:tr w:rsidR="0017676D" w:rsidRPr="000E5F0F" w14:paraId="7C5D4B28" w14:textId="77777777" w:rsidTr="000E5F0F">
        <w:tc>
          <w:tcPr>
            <w:tcW w:w="1288" w:type="dxa"/>
            <w:tcBorders>
              <w:top w:val="single" w:sz="4" w:space="0" w:color="auto"/>
              <w:left w:val="single" w:sz="4" w:space="0" w:color="auto"/>
              <w:bottom w:val="single" w:sz="4" w:space="0" w:color="auto"/>
              <w:right w:val="single" w:sz="4" w:space="0" w:color="auto"/>
            </w:tcBorders>
          </w:tcPr>
          <w:p w14:paraId="3821D396"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p w14:paraId="04BEE18F"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Education</w:t>
            </w:r>
          </w:p>
        </w:tc>
        <w:tc>
          <w:tcPr>
            <w:tcW w:w="6477" w:type="dxa"/>
            <w:tcBorders>
              <w:top w:val="single" w:sz="4" w:space="0" w:color="auto"/>
              <w:left w:val="single" w:sz="4" w:space="0" w:color="auto"/>
              <w:bottom w:val="single" w:sz="4" w:space="0" w:color="auto"/>
              <w:right w:val="single" w:sz="4" w:space="0" w:color="auto"/>
            </w:tcBorders>
          </w:tcPr>
          <w:p w14:paraId="29DFEA0A"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Etre titulaire d’un </w:t>
            </w:r>
            <w:bookmarkStart w:id="9" w:name="_Hlk528215982"/>
            <w:r w:rsidRPr="000E5F0F">
              <w:rPr>
                <w:rFonts w:asciiTheme="minorHAnsi" w:eastAsia="Times New Roman" w:hAnsiTheme="minorHAnsi" w:cstheme="minorHAnsi"/>
                <w:color w:val="auto"/>
                <w:sz w:val="21"/>
                <w:szCs w:val="21"/>
                <w:lang w:eastAsia="rw-RW"/>
              </w:rPr>
              <w:t xml:space="preserve">diplôme de niveau Bac+5 ou Doctorat en sciences politiques, juridiques, sciences sociales, administration publique, Décentralisation et Gouvernance locale, Economie, gestion publique ou d’un diplôme </w:t>
            </w:r>
            <w:bookmarkEnd w:id="9"/>
            <w:r w:rsidR="00BA644A" w:rsidRPr="000E5F0F">
              <w:rPr>
                <w:rFonts w:asciiTheme="minorHAnsi" w:eastAsia="Times New Roman" w:hAnsiTheme="minorHAnsi" w:cstheme="minorHAnsi"/>
                <w:color w:val="auto"/>
                <w:sz w:val="21"/>
                <w:szCs w:val="21"/>
                <w:lang w:eastAsia="rw-RW"/>
              </w:rPr>
              <w:t>équivalent ;</w:t>
            </w:r>
            <w:r w:rsidRPr="000E5F0F">
              <w:rPr>
                <w:rFonts w:asciiTheme="minorHAnsi" w:eastAsia="Times New Roman" w:hAnsiTheme="minorHAnsi" w:cstheme="minorHAnsi"/>
                <w:color w:val="auto"/>
                <w:sz w:val="21"/>
                <w:szCs w:val="21"/>
                <w:lang w:eastAsia="rw-RW"/>
              </w:rPr>
              <w:t xml:space="preserve"> </w:t>
            </w:r>
          </w:p>
          <w:p w14:paraId="0E22593A"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tc>
        <w:tc>
          <w:tcPr>
            <w:tcW w:w="1586" w:type="dxa"/>
            <w:tcBorders>
              <w:top w:val="single" w:sz="4" w:space="0" w:color="auto"/>
              <w:left w:val="single" w:sz="4" w:space="0" w:color="auto"/>
              <w:bottom w:val="single" w:sz="4" w:space="0" w:color="auto"/>
              <w:right w:val="single" w:sz="4" w:space="0" w:color="auto"/>
            </w:tcBorders>
            <w:hideMark/>
          </w:tcPr>
          <w:p w14:paraId="56C5C682" w14:textId="1C7A3228" w:rsidR="00687D06" w:rsidRPr="000E5F0F" w:rsidRDefault="000E5F0F"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FF0000"/>
                <w:sz w:val="21"/>
                <w:szCs w:val="21"/>
                <w:lang w:eastAsia="rw-RW"/>
              </w:rPr>
              <w:t>0</w:t>
            </w:r>
          </w:p>
        </w:tc>
      </w:tr>
      <w:tr w:rsidR="000E5F0F" w:rsidRPr="000E5F0F" w14:paraId="2DFF0D09" w14:textId="77777777" w:rsidTr="001175E2">
        <w:tc>
          <w:tcPr>
            <w:tcW w:w="9351" w:type="dxa"/>
            <w:gridSpan w:val="3"/>
            <w:tcBorders>
              <w:top w:val="single" w:sz="4" w:space="0" w:color="auto"/>
              <w:left w:val="single" w:sz="4" w:space="0" w:color="auto"/>
              <w:bottom w:val="single" w:sz="4" w:space="0" w:color="auto"/>
              <w:right w:val="single" w:sz="4" w:space="0" w:color="auto"/>
            </w:tcBorders>
          </w:tcPr>
          <w:p w14:paraId="7E1CB2AA" w14:textId="1BC0ADD2" w:rsidR="000E5F0F" w:rsidRPr="000E5F0F" w:rsidRDefault="000E5F0F" w:rsidP="000E5F0F">
            <w:pPr>
              <w:keepNext/>
              <w:keepLines/>
              <w:spacing w:after="0" w:line="240" w:lineRule="auto"/>
              <w:jc w:val="center"/>
              <w:outlineLvl w:val="0"/>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CRITERE TECHNIQUES</w:t>
            </w:r>
          </w:p>
        </w:tc>
      </w:tr>
      <w:tr w:rsidR="0017676D" w:rsidRPr="000E5F0F" w14:paraId="52326662" w14:textId="77777777" w:rsidTr="000E5F0F">
        <w:trPr>
          <w:trHeight w:val="1560"/>
        </w:trPr>
        <w:tc>
          <w:tcPr>
            <w:tcW w:w="1288" w:type="dxa"/>
            <w:vMerge w:val="restart"/>
            <w:tcBorders>
              <w:top w:val="single" w:sz="4" w:space="0" w:color="auto"/>
              <w:left w:val="single" w:sz="4" w:space="0" w:color="auto"/>
              <w:bottom w:val="single" w:sz="4" w:space="0" w:color="auto"/>
              <w:right w:val="single" w:sz="4" w:space="0" w:color="auto"/>
            </w:tcBorders>
          </w:tcPr>
          <w:p w14:paraId="221926E2"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p w14:paraId="39F56E90"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p w14:paraId="179F6893"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Expérience</w:t>
            </w:r>
          </w:p>
        </w:tc>
        <w:tc>
          <w:tcPr>
            <w:tcW w:w="6477" w:type="dxa"/>
            <w:tcBorders>
              <w:top w:val="single" w:sz="4" w:space="0" w:color="auto"/>
              <w:left w:val="single" w:sz="4" w:space="0" w:color="auto"/>
              <w:bottom w:val="single" w:sz="4" w:space="0" w:color="auto"/>
              <w:right w:val="single" w:sz="4" w:space="0" w:color="auto"/>
            </w:tcBorders>
          </w:tcPr>
          <w:p w14:paraId="597B9635"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Avoir au moins dix (10) ans d’expérience professionnelle en matière de conception, de formulation et de pilotage des politiques publiques dans le domaine de la décentralisation, de la gouvernance locale </w:t>
            </w:r>
            <w:r w:rsidR="00BA644A" w:rsidRPr="000E5F0F">
              <w:rPr>
                <w:rFonts w:asciiTheme="minorHAnsi" w:eastAsia="Times New Roman" w:hAnsiTheme="minorHAnsi" w:cstheme="minorHAnsi"/>
                <w:color w:val="auto"/>
                <w:sz w:val="21"/>
                <w:szCs w:val="21"/>
                <w:lang w:eastAsia="rw-RW"/>
              </w:rPr>
              <w:t>et des</w:t>
            </w:r>
            <w:r w:rsidRPr="000E5F0F">
              <w:rPr>
                <w:rFonts w:asciiTheme="minorHAnsi" w:eastAsia="Times New Roman" w:hAnsiTheme="minorHAnsi" w:cstheme="minorHAnsi"/>
                <w:color w:val="auto"/>
                <w:sz w:val="21"/>
                <w:szCs w:val="21"/>
                <w:lang w:eastAsia="rw-RW"/>
              </w:rPr>
              <w:t xml:space="preserve"> réformes administratives </w:t>
            </w:r>
          </w:p>
          <w:p w14:paraId="753E620B"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tc>
        <w:tc>
          <w:tcPr>
            <w:tcW w:w="1586" w:type="dxa"/>
            <w:tcBorders>
              <w:top w:val="single" w:sz="4" w:space="0" w:color="auto"/>
              <w:left w:val="single" w:sz="4" w:space="0" w:color="auto"/>
              <w:bottom w:val="single" w:sz="4" w:space="0" w:color="auto"/>
              <w:right w:val="single" w:sz="4" w:space="0" w:color="auto"/>
            </w:tcBorders>
            <w:hideMark/>
          </w:tcPr>
          <w:p w14:paraId="75442452" w14:textId="479477C6" w:rsidR="00687D06" w:rsidRPr="000E5F0F" w:rsidRDefault="000E5F0F"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4</w:t>
            </w:r>
            <w:r w:rsidR="00687D06" w:rsidRPr="000E5F0F">
              <w:rPr>
                <w:rFonts w:asciiTheme="minorHAnsi" w:eastAsia="Times New Roman" w:hAnsiTheme="minorHAnsi" w:cstheme="minorHAnsi"/>
                <w:color w:val="auto"/>
                <w:sz w:val="21"/>
                <w:szCs w:val="21"/>
                <w:lang w:eastAsia="rw-RW"/>
              </w:rPr>
              <w:t>0</w:t>
            </w:r>
          </w:p>
        </w:tc>
      </w:tr>
      <w:tr w:rsidR="0017676D" w:rsidRPr="000E5F0F" w14:paraId="639271D3" w14:textId="77777777" w:rsidTr="000E5F0F">
        <w:trPr>
          <w:trHeight w:val="127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28E9C88"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tc>
        <w:tc>
          <w:tcPr>
            <w:tcW w:w="6477" w:type="dxa"/>
            <w:tcBorders>
              <w:top w:val="single" w:sz="4" w:space="0" w:color="auto"/>
              <w:left w:val="single" w:sz="4" w:space="0" w:color="auto"/>
              <w:bottom w:val="single" w:sz="4" w:space="0" w:color="auto"/>
              <w:right w:val="single" w:sz="4" w:space="0" w:color="auto"/>
            </w:tcBorders>
            <w:hideMark/>
          </w:tcPr>
          <w:p w14:paraId="641812ED"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Au moins </w:t>
            </w:r>
            <w:r w:rsidR="00BA644A" w:rsidRPr="000E5F0F">
              <w:rPr>
                <w:rFonts w:asciiTheme="minorHAnsi" w:eastAsia="Times New Roman" w:hAnsiTheme="minorHAnsi" w:cstheme="minorHAnsi"/>
                <w:color w:val="auto"/>
                <w:sz w:val="21"/>
                <w:szCs w:val="21"/>
                <w:lang w:eastAsia="rw-RW"/>
              </w:rPr>
              <w:t xml:space="preserve">une </w:t>
            </w:r>
            <w:r w:rsidRPr="000E5F0F">
              <w:rPr>
                <w:rFonts w:asciiTheme="minorHAnsi" w:eastAsia="Times New Roman" w:hAnsiTheme="minorHAnsi" w:cstheme="minorHAnsi"/>
                <w:color w:val="auto"/>
                <w:sz w:val="21"/>
                <w:szCs w:val="21"/>
                <w:lang w:eastAsia="rw-RW"/>
              </w:rPr>
              <w:t xml:space="preserve">référence de formulation et de pilotage d’outils d’appui à la décentralisation et aux collectivités locales ; </w:t>
            </w:r>
          </w:p>
          <w:p w14:paraId="0A9B0251"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Au moins une référence de poste de responsabilité dans le domaine de la décentralisation et de la gouvernance territoriale</w:t>
            </w:r>
          </w:p>
        </w:tc>
        <w:tc>
          <w:tcPr>
            <w:tcW w:w="1586" w:type="dxa"/>
            <w:tcBorders>
              <w:top w:val="single" w:sz="4" w:space="0" w:color="auto"/>
              <w:left w:val="single" w:sz="4" w:space="0" w:color="auto"/>
              <w:bottom w:val="single" w:sz="4" w:space="0" w:color="auto"/>
              <w:right w:val="single" w:sz="4" w:space="0" w:color="auto"/>
            </w:tcBorders>
            <w:hideMark/>
          </w:tcPr>
          <w:p w14:paraId="77B48655"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20</w:t>
            </w:r>
          </w:p>
        </w:tc>
      </w:tr>
      <w:tr w:rsidR="0017676D" w:rsidRPr="000E5F0F" w14:paraId="57B7C99D" w14:textId="77777777" w:rsidTr="000E5F0F">
        <w:tc>
          <w:tcPr>
            <w:tcW w:w="1288" w:type="dxa"/>
            <w:tcBorders>
              <w:top w:val="single" w:sz="4" w:space="0" w:color="auto"/>
              <w:left w:val="single" w:sz="4" w:space="0" w:color="auto"/>
              <w:bottom w:val="single" w:sz="4" w:space="0" w:color="auto"/>
              <w:right w:val="single" w:sz="4" w:space="0" w:color="auto"/>
            </w:tcBorders>
            <w:hideMark/>
          </w:tcPr>
          <w:p w14:paraId="04258ABE"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Offre technique</w:t>
            </w:r>
          </w:p>
        </w:tc>
        <w:tc>
          <w:tcPr>
            <w:tcW w:w="6477" w:type="dxa"/>
            <w:tcBorders>
              <w:top w:val="single" w:sz="4" w:space="0" w:color="auto"/>
              <w:left w:val="single" w:sz="4" w:space="0" w:color="auto"/>
              <w:bottom w:val="single" w:sz="4" w:space="0" w:color="auto"/>
              <w:right w:val="single" w:sz="4" w:space="0" w:color="auto"/>
            </w:tcBorders>
            <w:hideMark/>
          </w:tcPr>
          <w:p w14:paraId="2F483B65"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Approche méthodologique pertinente 5 pages maximum au regard des exigences du PNUD en termes d’identification des outils appropriés :  </w:t>
            </w:r>
          </w:p>
          <w:p w14:paraId="011B5727"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Compréhension de la mission (10 points)</w:t>
            </w:r>
          </w:p>
          <w:p w14:paraId="10EB3542"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Principales étapes et outils pour aboutir à une maîtrise de la problématique (10)</w:t>
            </w:r>
          </w:p>
          <w:p w14:paraId="2A66E066"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Méthodologie proposée (10 points)</w:t>
            </w:r>
          </w:p>
          <w:p w14:paraId="47BB699B"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Chronogramme de réalisation de la mission (10</w:t>
            </w:r>
            <w:r w:rsidR="007F1FD8" w:rsidRPr="000E5F0F">
              <w:rPr>
                <w:rFonts w:asciiTheme="minorHAnsi" w:eastAsia="Times New Roman" w:hAnsiTheme="minorHAnsi" w:cstheme="minorHAnsi"/>
                <w:color w:val="auto"/>
                <w:sz w:val="21"/>
                <w:szCs w:val="21"/>
                <w:lang w:eastAsia="rw-RW"/>
              </w:rPr>
              <w:t>).</w:t>
            </w:r>
            <w:r w:rsidRPr="000E5F0F">
              <w:rPr>
                <w:rFonts w:asciiTheme="minorHAnsi" w:eastAsia="Times New Roman" w:hAnsiTheme="minorHAnsi" w:cstheme="minorHAnsi"/>
                <w:color w:val="auto"/>
                <w:sz w:val="21"/>
                <w:szCs w:val="21"/>
                <w:lang w:eastAsia="rw-RW"/>
              </w:rPr>
              <w:t xml:space="preserve"> </w:t>
            </w:r>
          </w:p>
        </w:tc>
        <w:tc>
          <w:tcPr>
            <w:tcW w:w="1586" w:type="dxa"/>
            <w:tcBorders>
              <w:top w:val="single" w:sz="4" w:space="0" w:color="auto"/>
              <w:left w:val="single" w:sz="4" w:space="0" w:color="auto"/>
              <w:bottom w:val="single" w:sz="4" w:space="0" w:color="auto"/>
              <w:right w:val="single" w:sz="4" w:space="0" w:color="auto"/>
            </w:tcBorders>
            <w:hideMark/>
          </w:tcPr>
          <w:p w14:paraId="7BCF3882"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40</w:t>
            </w:r>
          </w:p>
        </w:tc>
      </w:tr>
      <w:tr w:rsidR="00687D06" w:rsidRPr="000E5F0F" w14:paraId="658F422F" w14:textId="77777777" w:rsidTr="000E5F0F">
        <w:tc>
          <w:tcPr>
            <w:tcW w:w="7765" w:type="dxa"/>
            <w:gridSpan w:val="2"/>
            <w:tcBorders>
              <w:top w:val="single" w:sz="4" w:space="0" w:color="auto"/>
              <w:left w:val="single" w:sz="4" w:space="0" w:color="auto"/>
              <w:bottom w:val="single" w:sz="4" w:space="0" w:color="auto"/>
              <w:right w:val="single" w:sz="4" w:space="0" w:color="auto"/>
            </w:tcBorders>
            <w:hideMark/>
          </w:tcPr>
          <w:p w14:paraId="40BE6593"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Total </w:t>
            </w:r>
          </w:p>
        </w:tc>
        <w:tc>
          <w:tcPr>
            <w:tcW w:w="1586" w:type="dxa"/>
            <w:tcBorders>
              <w:top w:val="single" w:sz="4" w:space="0" w:color="auto"/>
              <w:left w:val="single" w:sz="4" w:space="0" w:color="auto"/>
              <w:bottom w:val="single" w:sz="4" w:space="0" w:color="auto"/>
              <w:right w:val="single" w:sz="4" w:space="0" w:color="auto"/>
            </w:tcBorders>
            <w:hideMark/>
          </w:tcPr>
          <w:p w14:paraId="634B9490"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100 </w:t>
            </w:r>
          </w:p>
        </w:tc>
      </w:tr>
    </w:tbl>
    <w:p w14:paraId="43EAF82A" w14:textId="77777777"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p>
    <w:p w14:paraId="283F3D19" w14:textId="62175499" w:rsidR="00687D06" w:rsidRPr="000E5F0F" w:rsidRDefault="00687D06" w:rsidP="000E5F0F">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Seront jugées qualifiées, les propositions techniques qui obtiendront 70% de la note maximale de 100 point</w:t>
      </w:r>
      <w:r w:rsidR="007F1FD8" w:rsidRPr="000E5F0F">
        <w:rPr>
          <w:rFonts w:asciiTheme="minorHAnsi" w:eastAsia="Times New Roman" w:hAnsiTheme="minorHAnsi" w:cstheme="minorHAnsi"/>
          <w:color w:val="auto"/>
          <w:sz w:val="21"/>
          <w:szCs w:val="21"/>
          <w:lang w:eastAsia="rw-RW"/>
        </w:rPr>
        <w:t>s</w:t>
      </w:r>
      <w:r w:rsidRPr="000E5F0F">
        <w:rPr>
          <w:rFonts w:asciiTheme="minorHAnsi" w:eastAsia="Times New Roman" w:hAnsiTheme="minorHAnsi" w:cstheme="minorHAnsi"/>
          <w:color w:val="auto"/>
          <w:sz w:val="21"/>
          <w:szCs w:val="21"/>
          <w:lang w:eastAsia="rw-RW"/>
        </w:rPr>
        <w:t xml:space="preserve"> ; cette note technique sera pondérée </w:t>
      </w:r>
      <w:r w:rsidR="0011771C" w:rsidRPr="000E5F0F">
        <w:rPr>
          <w:rFonts w:asciiTheme="minorHAnsi" w:eastAsia="Times New Roman" w:hAnsiTheme="minorHAnsi" w:cstheme="minorHAnsi"/>
          <w:color w:val="auto"/>
          <w:sz w:val="21"/>
          <w:szCs w:val="21"/>
          <w:lang w:eastAsia="rw-RW"/>
        </w:rPr>
        <w:t>à</w:t>
      </w:r>
      <w:r w:rsidRPr="000E5F0F">
        <w:rPr>
          <w:rFonts w:asciiTheme="minorHAnsi" w:eastAsia="Times New Roman" w:hAnsiTheme="minorHAnsi" w:cstheme="minorHAnsi"/>
          <w:color w:val="auto"/>
          <w:sz w:val="21"/>
          <w:szCs w:val="21"/>
          <w:lang w:eastAsia="rw-RW"/>
        </w:rPr>
        <w:t xml:space="preserve"> 70%.</w:t>
      </w:r>
    </w:p>
    <w:p w14:paraId="1D17B9C2" w14:textId="25C3D201" w:rsidR="00687D06" w:rsidRDefault="00687D06" w:rsidP="00687D06">
      <w:pPr>
        <w:spacing w:after="0" w:line="240" w:lineRule="auto"/>
        <w:rPr>
          <w:rFonts w:asciiTheme="minorHAnsi" w:eastAsia="Times New Roman" w:hAnsiTheme="minorHAnsi" w:cstheme="minorHAnsi"/>
          <w:bCs/>
          <w:color w:val="auto"/>
          <w:szCs w:val="24"/>
          <w:lang w:eastAsia="rw-RW"/>
        </w:rPr>
      </w:pPr>
    </w:p>
    <w:p w14:paraId="645C397E" w14:textId="41167B67" w:rsidR="000E5F0F" w:rsidRDefault="000E5F0F" w:rsidP="00687D06">
      <w:pPr>
        <w:spacing w:after="0" w:line="240" w:lineRule="auto"/>
        <w:rPr>
          <w:rFonts w:asciiTheme="minorHAnsi" w:eastAsia="Times New Roman" w:hAnsiTheme="minorHAnsi" w:cstheme="minorHAnsi"/>
          <w:bCs/>
          <w:color w:val="auto"/>
          <w:szCs w:val="24"/>
          <w:lang w:eastAsia="rw-RW"/>
        </w:rPr>
      </w:pPr>
    </w:p>
    <w:p w14:paraId="1688F616" w14:textId="1F557167" w:rsidR="000E5F0F" w:rsidRDefault="000E5F0F" w:rsidP="00687D06">
      <w:pPr>
        <w:spacing w:after="0" w:line="240" w:lineRule="auto"/>
        <w:rPr>
          <w:rFonts w:asciiTheme="minorHAnsi" w:eastAsia="Times New Roman" w:hAnsiTheme="minorHAnsi" w:cstheme="minorHAnsi"/>
          <w:bCs/>
          <w:color w:val="auto"/>
          <w:szCs w:val="24"/>
          <w:lang w:eastAsia="rw-RW"/>
        </w:rPr>
      </w:pPr>
    </w:p>
    <w:p w14:paraId="2BEC33DE" w14:textId="1F8E8F03" w:rsidR="000E5F0F" w:rsidRDefault="000E5F0F" w:rsidP="00687D06">
      <w:pPr>
        <w:spacing w:after="0" w:line="240" w:lineRule="auto"/>
        <w:rPr>
          <w:rFonts w:asciiTheme="minorHAnsi" w:eastAsia="Times New Roman" w:hAnsiTheme="minorHAnsi" w:cstheme="minorHAnsi"/>
          <w:bCs/>
          <w:color w:val="auto"/>
          <w:szCs w:val="24"/>
          <w:lang w:eastAsia="rw-RW"/>
        </w:rPr>
      </w:pPr>
    </w:p>
    <w:p w14:paraId="3B1124E1" w14:textId="77777777" w:rsidR="000E5F0F" w:rsidRPr="000E5F0F" w:rsidRDefault="000E5F0F" w:rsidP="00687D06">
      <w:pPr>
        <w:spacing w:after="0" w:line="240" w:lineRule="auto"/>
        <w:rPr>
          <w:rFonts w:asciiTheme="minorHAnsi" w:eastAsia="Times New Roman" w:hAnsiTheme="minorHAnsi" w:cstheme="minorHAnsi"/>
          <w:bCs/>
          <w:color w:val="auto"/>
          <w:szCs w:val="24"/>
          <w:lang w:eastAsia="rw-RW"/>
        </w:rPr>
      </w:pPr>
    </w:p>
    <w:p w14:paraId="323DFA81" w14:textId="77777777" w:rsidR="00EA6246" w:rsidRPr="000E5F0F" w:rsidRDefault="00EA6246" w:rsidP="00C8124E">
      <w:pPr>
        <w:pStyle w:val="Paragraphedeliste"/>
        <w:numPr>
          <w:ilvl w:val="0"/>
          <w:numId w:val="16"/>
        </w:numPr>
        <w:spacing w:line="240" w:lineRule="auto"/>
        <w:rPr>
          <w:rFonts w:asciiTheme="minorHAnsi" w:eastAsia="Times New Roman" w:hAnsiTheme="minorHAnsi" w:cstheme="minorHAnsi"/>
          <w:b/>
          <w:i/>
          <w:szCs w:val="24"/>
          <w:lang w:eastAsia="rw-RW"/>
        </w:rPr>
      </w:pPr>
      <w:r w:rsidRPr="000E5F0F">
        <w:rPr>
          <w:rFonts w:asciiTheme="minorHAnsi" w:eastAsia="Times New Roman" w:hAnsiTheme="minorHAnsi" w:cstheme="minorHAnsi"/>
          <w:b/>
          <w:i/>
          <w:szCs w:val="24"/>
          <w:lang w:eastAsia="rw-RW"/>
        </w:rPr>
        <w:t>Evaluation financière</w:t>
      </w:r>
    </w:p>
    <w:p w14:paraId="0EBFF517" w14:textId="77777777" w:rsidR="00EA6246" w:rsidRPr="000E5F0F" w:rsidRDefault="00EA6246" w:rsidP="00EA6246">
      <w:pPr>
        <w:keepNext/>
        <w:keepLines/>
        <w:spacing w:after="0" w:line="240" w:lineRule="auto"/>
        <w:outlineLvl w:val="0"/>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Dans une deuxième étape du processus d’évaluation, les enveloppes financières seront ouvertes et les offres financières comparées ; une note financière sera calculée pour chaque proposition sur la base de la formule :</w:t>
      </w:r>
    </w:p>
    <w:p w14:paraId="752A3F1B" w14:textId="77777777" w:rsidR="00687D06" w:rsidRPr="000E5F0F" w:rsidRDefault="00687D06" w:rsidP="00EA6246">
      <w:pPr>
        <w:spacing w:line="240" w:lineRule="auto"/>
        <w:ind w:left="0" w:firstLine="0"/>
        <w:rPr>
          <w:rFonts w:asciiTheme="minorHAnsi" w:eastAsia="Times New Roman" w:hAnsiTheme="minorHAnsi" w:cstheme="minorHAnsi"/>
          <w:b/>
          <w:i/>
          <w:color w:val="auto"/>
          <w:szCs w:val="24"/>
          <w:lang w:eastAsia="rw-RW"/>
        </w:rPr>
      </w:pPr>
      <w:r w:rsidRPr="000E5F0F">
        <w:rPr>
          <w:rFonts w:asciiTheme="minorHAnsi" w:eastAsia="Times New Roman" w:hAnsiTheme="minorHAnsi" w:cstheme="minorHAnsi"/>
          <w:b/>
          <w:i/>
          <w:color w:val="auto"/>
          <w:szCs w:val="24"/>
          <w:lang w:eastAsia="rw-RW"/>
        </w:rPr>
        <w:t>Note financière A = (Offre financière la moins disante) /Offre financière de A] x 30</w:t>
      </w:r>
    </w:p>
    <w:p w14:paraId="70C3E126" w14:textId="77777777" w:rsidR="00687D06" w:rsidRPr="000E5F0F" w:rsidRDefault="00687D06" w:rsidP="00687D06">
      <w:pPr>
        <w:spacing w:line="240" w:lineRule="auto"/>
        <w:rPr>
          <w:rFonts w:asciiTheme="minorHAnsi" w:eastAsia="Times New Roman" w:hAnsiTheme="minorHAnsi" w:cstheme="minorHAnsi"/>
          <w:b/>
          <w:color w:val="auto"/>
          <w:szCs w:val="24"/>
          <w:lang w:eastAsia="rw-RW"/>
        </w:rPr>
      </w:pPr>
      <w:r w:rsidRPr="000E5F0F">
        <w:rPr>
          <w:rFonts w:asciiTheme="minorHAnsi" w:eastAsia="Times New Roman" w:hAnsiTheme="minorHAnsi" w:cstheme="minorHAnsi"/>
          <w:b/>
          <w:color w:val="auto"/>
          <w:szCs w:val="24"/>
          <w:lang w:eastAsia="rw-RW"/>
        </w:rPr>
        <w:t>Le/la Consultant (e) avec le cumul de notes (Technique pondérée + Financière) le plus élevé sera retenu pour le contrat.</w:t>
      </w:r>
    </w:p>
    <w:p w14:paraId="25A14FD7" w14:textId="77777777" w:rsidR="00326670" w:rsidRPr="000E5F0F" w:rsidRDefault="00326670" w:rsidP="00687D06">
      <w:pPr>
        <w:spacing w:line="240" w:lineRule="auto"/>
        <w:rPr>
          <w:rFonts w:asciiTheme="minorHAnsi" w:eastAsia="Times New Roman" w:hAnsiTheme="minorHAnsi" w:cstheme="minorHAnsi"/>
          <w:b/>
          <w:color w:val="auto"/>
          <w:szCs w:val="24"/>
          <w:lang w:eastAsia="rw-RW"/>
        </w:rPr>
      </w:pPr>
    </w:p>
    <w:p w14:paraId="7D4739A1" w14:textId="77777777" w:rsidR="00687D06" w:rsidRPr="000E5F0F" w:rsidRDefault="00687D06" w:rsidP="00687D06">
      <w:pPr>
        <w:autoSpaceDE w:val="0"/>
        <w:autoSpaceDN w:val="0"/>
        <w:adjustRightInd w:val="0"/>
        <w:spacing w:after="0" w:line="240" w:lineRule="auto"/>
        <w:rPr>
          <w:rFonts w:asciiTheme="minorHAnsi" w:eastAsia="Times New Roman" w:hAnsiTheme="minorHAnsi" w:cstheme="minorHAnsi"/>
          <w:b/>
          <w:color w:val="auto"/>
          <w:szCs w:val="24"/>
          <w:u w:val="single"/>
          <w:lang w:eastAsia="rw-RW"/>
        </w:rPr>
      </w:pPr>
    </w:p>
    <w:p w14:paraId="307ABE04" w14:textId="77777777" w:rsidR="00687D06" w:rsidRPr="000E5F0F" w:rsidRDefault="00687D06" w:rsidP="00687D06">
      <w:pPr>
        <w:spacing w:after="0" w:line="240" w:lineRule="auto"/>
        <w:rPr>
          <w:rFonts w:asciiTheme="minorHAnsi" w:eastAsia="Times New Roman" w:hAnsiTheme="minorHAnsi" w:cstheme="minorHAnsi"/>
          <w:b/>
          <w:i/>
          <w:color w:val="auto"/>
          <w:sz w:val="21"/>
          <w:szCs w:val="21"/>
          <w:u w:val="single"/>
          <w:lang w:eastAsia="rw-RW"/>
        </w:rPr>
      </w:pPr>
      <w:r w:rsidRPr="000E5F0F">
        <w:rPr>
          <w:rFonts w:asciiTheme="minorHAnsi" w:eastAsia="Times New Roman" w:hAnsiTheme="minorHAnsi" w:cstheme="minorHAnsi"/>
          <w:b/>
          <w:i/>
          <w:color w:val="auto"/>
          <w:sz w:val="21"/>
          <w:szCs w:val="21"/>
          <w:u w:val="single"/>
          <w:lang w:eastAsia="rw-RW"/>
        </w:rPr>
        <w:t>N.B. </w:t>
      </w:r>
    </w:p>
    <w:p w14:paraId="6FD861E9" w14:textId="77777777" w:rsidR="00687D06" w:rsidRPr="000E5F0F" w:rsidRDefault="00687D06" w:rsidP="00687D06">
      <w:pPr>
        <w:spacing w:after="0" w:line="240" w:lineRule="auto"/>
        <w:ind w:left="851"/>
        <w:rPr>
          <w:rFonts w:asciiTheme="minorHAnsi" w:eastAsia="Times New Roman" w:hAnsiTheme="minorHAnsi" w:cstheme="minorHAnsi"/>
          <w:color w:val="auto"/>
          <w:sz w:val="21"/>
          <w:szCs w:val="21"/>
          <w:lang w:eastAsia="rw-RW"/>
        </w:rPr>
      </w:pPr>
      <w:r w:rsidRPr="000E5F0F">
        <w:rPr>
          <w:rFonts w:asciiTheme="minorHAnsi" w:eastAsia="Times New Roman" w:hAnsiTheme="minorHAnsi" w:cstheme="minorHAnsi"/>
          <w:color w:val="auto"/>
          <w:sz w:val="21"/>
          <w:szCs w:val="21"/>
          <w:lang w:eastAsia="rw-RW"/>
        </w:rPr>
        <w:t xml:space="preserve">Les candidat (e)s sont tenus de se renseigner sur les </w:t>
      </w:r>
      <w:hyperlink r:id="rId10" w:history="1">
        <w:r w:rsidRPr="000E5F0F">
          <w:rPr>
            <w:rStyle w:val="Lienhypertexte"/>
            <w:rFonts w:asciiTheme="minorHAnsi" w:eastAsia="Times New Roman" w:hAnsiTheme="minorHAnsi" w:cstheme="minorHAnsi"/>
            <w:b/>
            <w:color w:val="auto"/>
            <w:sz w:val="21"/>
            <w:szCs w:val="21"/>
            <w:lang w:eastAsia="rw-RW"/>
          </w:rPr>
          <w:t>Conditions Générales des Contrats Individuels</w:t>
        </w:r>
      </w:hyperlink>
      <w:r w:rsidRPr="000E5F0F">
        <w:rPr>
          <w:rFonts w:asciiTheme="minorHAnsi" w:eastAsia="Times New Roman" w:hAnsiTheme="minorHAnsi" w:cstheme="minorHAnsi"/>
          <w:b/>
          <w:color w:val="auto"/>
          <w:sz w:val="21"/>
          <w:szCs w:val="21"/>
          <w:u w:val="single"/>
          <w:lang w:eastAsia="rw-RW"/>
        </w:rPr>
        <w:t xml:space="preserve"> (annexe 2)</w:t>
      </w:r>
      <w:r w:rsidRPr="000E5F0F">
        <w:rPr>
          <w:rFonts w:asciiTheme="minorHAnsi" w:eastAsia="Times New Roman" w:hAnsiTheme="minorHAnsi" w:cstheme="minorHAnsi"/>
          <w:color w:val="auto"/>
          <w:sz w:val="21"/>
          <w:szCs w:val="21"/>
          <w:lang w:eastAsia="rw-RW"/>
        </w:rPr>
        <w:t xml:space="preserve">. </w:t>
      </w:r>
    </w:p>
    <w:p w14:paraId="5B312C44" w14:textId="77777777" w:rsidR="00687D06" w:rsidRPr="000E5F0F" w:rsidRDefault="00687D06" w:rsidP="00687D06">
      <w:pPr>
        <w:spacing w:after="0" w:line="240" w:lineRule="auto"/>
        <w:rPr>
          <w:rFonts w:asciiTheme="minorHAnsi" w:hAnsiTheme="minorHAnsi" w:cstheme="minorHAnsi"/>
          <w:color w:val="auto"/>
          <w:sz w:val="21"/>
          <w:szCs w:val="21"/>
        </w:rPr>
      </w:pPr>
    </w:p>
    <w:p w14:paraId="087C1A07" w14:textId="77777777" w:rsidR="00687D06" w:rsidRPr="000E5F0F" w:rsidRDefault="00687D06" w:rsidP="00687D06">
      <w:pPr>
        <w:spacing w:line="240" w:lineRule="auto"/>
        <w:rPr>
          <w:rFonts w:asciiTheme="minorHAnsi" w:eastAsia="Times New Roman" w:hAnsiTheme="minorHAnsi" w:cstheme="minorHAnsi"/>
          <w:b/>
          <w:color w:val="auto"/>
          <w:sz w:val="21"/>
          <w:szCs w:val="21"/>
          <w:u w:val="single"/>
          <w:lang w:eastAsia="rw-RW"/>
        </w:rPr>
      </w:pPr>
      <w:r w:rsidRPr="000E5F0F">
        <w:rPr>
          <w:rFonts w:asciiTheme="minorHAnsi" w:eastAsia="Times New Roman" w:hAnsiTheme="minorHAnsi" w:cstheme="minorHAnsi"/>
          <w:b/>
          <w:color w:val="auto"/>
          <w:sz w:val="21"/>
          <w:szCs w:val="21"/>
          <w:u w:val="single"/>
          <w:lang w:eastAsia="rw-RW"/>
        </w:rPr>
        <w:t>ANNEXES</w:t>
      </w:r>
    </w:p>
    <w:p w14:paraId="1BFF328C"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 xml:space="preserve">Annexe 1 - Terme de Références de la mission </w:t>
      </w:r>
      <w:r w:rsidRPr="000E5F0F">
        <w:rPr>
          <w:rFonts w:asciiTheme="minorHAnsi" w:eastAsia="Times New Roman" w:hAnsiTheme="minorHAnsi" w:cstheme="minorHAnsi"/>
          <w:color w:val="auto"/>
          <w:sz w:val="21"/>
          <w:szCs w:val="21"/>
          <w:lang w:eastAsia="rw-RW"/>
        </w:rPr>
        <w:t>(voir plus haut)</w:t>
      </w:r>
    </w:p>
    <w:p w14:paraId="2842DA96"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Annexe 2 - Conditions générales des Contrats Individuels </w:t>
      </w:r>
    </w:p>
    <w:p w14:paraId="27C86909"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object w:dxaOrig="1530" w:dyaOrig="990" w14:anchorId="19550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03466098" r:id="rId12">
            <o:FieldCodes>\s</o:FieldCodes>
          </o:OLEObject>
        </w:object>
      </w:r>
    </w:p>
    <w:p w14:paraId="4E724F1E"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 xml:space="preserve">Annexe 3- Tableau des coûts </w:t>
      </w:r>
    </w:p>
    <w:p w14:paraId="12520B5E" w14:textId="77777777" w:rsidR="00687D06" w:rsidRPr="000E5F0F" w:rsidRDefault="003469FE" w:rsidP="00687D06">
      <w:pPr>
        <w:spacing w:line="240" w:lineRule="auto"/>
        <w:rPr>
          <w:rFonts w:asciiTheme="minorHAnsi" w:eastAsia="Times New Roman" w:hAnsiTheme="minorHAnsi" w:cstheme="minorHAnsi"/>
          <w:b/>
          <w:color w:val="auto"/>
          <w:sz w:val="21"/>
          <w:szCs w:val="21"/>
          <w:lang w:eastAsia="rw-RW"/>
        </w:rPr>
      </w:pPr>
      <w:r>
        <w:rPr>
          <w:rFonts w:asciiTheme="minorHAnsi" w:hAnsiTheme="minorHAnsi" w:cstheme="minorHAnsi"/>
          <w:color w:val="auto"/>
        </w:rPr>
        <w:object w:dxaOrig="1440" w:dyaOrig="1440" w14:anchorId="6E546163">
          <v:shape id="_x0000_s1026" type="#_x0000_t75" style="position:absolute;left:0;text-align:left;margin-left:0;margin-top:.5pt;width:85.7pt;height:55.55pt;z-index:251659264;mso-position-horizontal:left;mso-position-horizontal-relative:text;mso-position-vertical-relative:text">
            <v:imagedata r:id="rId13" o:title=""/>
            <w10:wrap type="square" side="right"/>
          </v:shape>
          <o:OLEObject Type="Embed" ProgID="Word.Document.12" ShapeID="_x0000_s1026" DrawAspect="Icon" ObjectID="_1603466101" r:id="rId14">
            <o:FieldCodes>\s</o:FieldCodes>
          </o:OLEObject>
        </w:object>
      </w:r>
    </w:p>
    <w:p w14:paraId="708AC3FA"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bookmarkStart w:id="10" w:name="_MON_1440321653"/>
      <w:bookmarkEnd w:id="10"/>
      <w:r w:rsidRPr="000E5F0F">
        <w:rPr>
          <w:rFonts w:asciiTheme="minorHAnsi" w:eastAsia="Times New Roman" w:hAnsiTheme="minorHAnsi" w:cstheme="minorHAnsi"/>
          <w:b/>
          <w:color w:val="auto"/>
          <w:sz w:val="21"/>
          <w:szCs w:val="21"/>
          <w:lang w:eastAsia="rw-RW"/>
        </w:rPr>
        <w:br w:type="textWrapping" w:clear="all"/>
        <w:t xml:space="preserve">Annexe 4 – P11 (SC &amp; IC) </w:t>
      </w:r>
    </w:p>
    <w:p w14:paraId="168D3BD1"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object w:dxaOrig="1530" w:dyaOrig="990" w14:anchorId="36290CCD">
          <v:shape id="_x0000_i1027" type="#_x0000_t75" style="width:76.5pt;height:49.5pt" o:ole="">
            <v:imagedata r:id="rId15" o:title=""/>
          </v:shape>
          <o:OLEObject Type="Embed" ProgID="Word.Document.8" ShapeID="_x0000_i1027" DrawAspect="Icon" ObjectID="_1603466099" r:id="rId16">
            <o:FieldCodes>\s</o:FieldCodes>
          </o:OLEObject>
        </w:object>
      </w:r>
    </w:p>
    <w:p w14:paraId="433C8D47"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eastAsia="Times New Roman" w:hAnsiTheme="minorHAnsi" w:cstheme="minorHAnsi"/>
          <w:b/>
          <w:color w:val="auto"/>
          <w:sz w:val="21"/>
          <w:szCs w:val="21"/>
          <w:lang w:eastAsia="rw-RW"/>
        </w:rPr>
        <w:t>Annexe 5- Type de contrat</w:t>
      </w:r>
    </w:p>
    <w:p w14:paraId="0504BA28" w14:textId="77777777" w:rsidR="00687D06" w:rsidRPr="000E5F0F" w:rsidRDefault="00687D06" w:rsidP="00687D06">
      <w:pPr>
        <w:spacing w:line="240" w:lineRule="auto"/>
        <w:rPr>
          <w:rFonts w:asciiTheme="minorHAnsi" w:eastAsia="Times New Roman" w:hAnsiTheme="minorHAnsi" w:cstheme="minorHAnsi"/>
          <w:b/>
          <w:color w:val="auto"/>
          <w:sz w:val="21"/>
          <w:szCs w:val="21"/>
          <w:lang w:eastAsia="rw-RW"/>
        </w:rPr>
      </w:pPr>
      <w:r w:rsidRPr="000E5F0F">
        <w:rPr>
          <w:rFonts w:asciiTheme="minorHAnsi" w:hAnsiTheme="minorHAnsi" w:cstheme="minorHAnsi"/>
          <w:color w:val="auto"/>
          <w:sz w:val="21"/>
          <w:szCs w:val="21"/>
        </w:rPr>
        <w:object w:dxaOrig="1035" w:dyaOrig="675" w14:anchorId="5FDCD56F">
          <v:shape id="_x0000_i1028" type="#_x0000_t75" style="width:51.75pt;height:33.75pt" o:ole="">
            <v:imagedata r:id="rId17" o:title=""/>
          </v:shape>
          <o:OLEObject Type="Embed" ProgID="Word.Document.8" ShapeID="_x0000_i1028" DrawAspect="Icon" ObjectID="_1603466100" r:id="rId18">
            <o:FieldCodes>\s</o:FieldCodes>
          </o:OLEObject>
        </w:object>
      </w:r>
    </w:p>
    <w:p w14:paraId="21665073" w14:textId="77777777" w:rsidR="00687D06" w:rsidRPr="000E5F0F" w:rsidRDefault="00687D06" w:rsidP="00687D06">
      <w:pPr>
        <w:rPr>
          <w:rFonts w:asciiTheme="minorHAnsi" w:hAnsiTheme="minorHAnsi" w:cstheme="minorHAnsi"/>
          <w:color w:val="auto"/>
          <w:szCs w:val="24"/>
        </w:rPr>
      </w:pPr>
    </w:p>
    <w:p w14:paraId="6D28FCEE" w14:textId="77777777" w:rsidR="00687D06" w:rsidRPr="000E5F0F" w:rsidRDefault="00687D06" w:rsidP="00687D06">
      <w:pPr>
        <w:rPr>
          <w:rFonts w:asciiTheme="minorHAnsi" w:hAnsiTheme="minorHAnsi" w:cstheme="minorHAnsi"/>
          <w:b/>
          <w:color w:val="auto"/>
          <w:szCs w:val="24"/>
        </w:rPr>
      </w:pPr>
      <w:r w:rsidRPr="000E5F0F">
        <w:rPr>
          <w:rFonts w:asciiTheme="minorHAnsi" w:hAnsiTheme="minorHAnsi" w:cstheme="minorHAnsi"/>
          <w:b/>
          <w:color w:val="auto"/>
          <w:szCs w:val="24"/>
        </w:rPr>
        <w:t>Annexe 6 : LISTE DES DOCUMENTS A CONSULTER (à titre indicatif)</w:t>
      </w:r>
    </w:p>
    <w:p w14:paraId="587C164B" w14:textId="77777777" w:rsidR="00687D06" w:rsidRPr="000E5F0F" w:rsidRDefault="00687D06" w:rsidP="00687D06">
      <w:pPr>
        <w:rPr>
          <w:rFonts w:asciiTheme="minorHAnsi" w:hAnsiTheme="minorHAnsi" w:cstheme="minorHAnsi"/>
          <w:color w:val="auto"/>
          <w:szCs w:val="24"/>
        </w:rPr>
      </w:pPr>
    </w:p>
    <w:p w14:paraId="2B702160"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loi n°2018-003 du 31 janvier 2018 portant modification de la loi n° 2007-011 du 13 mars 2007 relative à la décentralisation et aux libertés locales ;</w:t>
      </w:r>
    </w:p>
    <w:p w14:paraId="07BD2975" w14:textId="77777777" w:rsidR="00687D06" w:rsidRPr="000E5F0F" w:rsidRDefault="00687D06" w:rsidP="00687D06">
      <w:pPr>
        <w:pStyle w:val="Paragraphedeliste"/>
        <w:numPr>
          <w:ilvl w:val="0"/>
          <w:numId w:val="12"/>
        </w:numPr>
        <w:spacing w:after="0"/>
        <w:ind w:left="357" w:hanging="357"/>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La loi n°2016-010 du 07 juin 2016 portant création de préfectures ;</w:t>
      </w:r>
    </w:p>
    <w:p w14:paraId="7EEC2F36" w14:textId="77777777" w:rsidR="00687D06" w:rsidRPr="000E5F0F" w:rsidRDefault="00687D06" w:rsidP="00687D06">
      <w:pPr>
        <w:pStyle w:val="Paragraphedeliste"/>
        <w:numPr>
          <w:ilvl w:val="0"/>
          <w:numId w:val="12"/>
        </w:numPr>
        <w:spacing w:after="0"/>
        <w:ind w:left="357" w:hanging="357"/>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La loi n°2017-008 du 29 juin 2017 portant création de communes ;</w:t>
      </w:r>
    </w:p>
    <w:p w14:paraId="45DC3649"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loi n° 2007-001 relative à l’organisation de l’administration territoriale déconcentrée au Togo ;</w:t>
      </w:r>
    </w:p>
    <w:p w14:paraId="2C1B582D"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La loi n° 2007-011 du 13 mars 2007 relative à la décentralisation et aux libertés locales ;</w:t>
      </w:r>
    </w:p>
    <w:p w14:paraId="30127F08"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La loi n° 2008-006 du 11 juin 2008 portant statut des agents des collectivités territoriales ;</w:t>
      </w:r>
    </w:p>
    <w:p w14:paraId="50A010B9"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La loi n° 2008-007 du 11 juin 2008 relative aux modes de gestion des services publics locaux ;</w:t>
      </w:r>
    </w:p>
    <w:p w14:paraId="27AE799A"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La loi n° 2008-010 du 27 juin 2008 portant coopération entre les collectivités territoriales ;</w:t>
      </w:r>
    </w:p>
    <w:p w14:paraId="6B7BCE1A" w14:textId="77777777" w:rsidR="00687D06" w:rsidRPr="000E5F0F" w:rsidRDefault="00687D06" w:rsidP="00687D06">
      <w:pPr>
        <w:pStyle w:val="Paragraphedeliste"/>
        <w:numPr>
          <w:ilvl w:val="0"/>
          <w:numId w:val="12"/>
        </w:numPr>
        <w:tabs>
          <w:tab w:val="num" w:pos="567"/>
        </w:tabs>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 xml:space="preserve">La loi n° 2007-002 du 08 janvier 2007 relative à la chefferie traditionnelle et au statut des chefs traditionnels au Togo ; </w:t>
      </w:r>
    </w:p>
    <w:p w14:paraId="079EAE64"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 xml:space="preserve">La loi n° 2009-010 du 11 juin 2009 relative à l’organisation de l’état civil au Togo ; </w:t>
      </w:r>
    </w:p>
    <w:p w14:paraId="6D94D804" w14:textId="77777777" w:rsidR="00687D06" w:rsidRPr="000E5F0F" w:rsidRDefault="00687D06" w:rsidP="00687D06">
      <w:pPr>
        <w:pStyle w:val="Paragraphedeliste"/>
        <w:numPr>
          <w:ilvl w:val="0"/>
          <w:numId w:val="12"/>
        </w:numPr>
        <w:spacing w:after="0"/>
        <w:ind w:left="357" w:hanging="357"/>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Les décrets : décret n°2017-141 du 20 décembre 2017 fixant le ressort territorial et chef-lieu des communes des régions des plateaux, centrale et de la Kara ; décret n°2017-144 du 22 décembre 2017 fixant le ressort territorial et chef-lieu des communes des régions maritime et des savanes ; décret relatif au nombre de conseillers et des adjoints au maire par commune.</w:t>
      </w:r>
    </w:p>
    <w:p w14:paraId="022FF94F"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 décret portant création du CNSD ;</w:t>
      </w:r>
    </w:p>
    <w:p w14:paraId="057BF5E3"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 décret portant nomination des membres du CNSD ;</w:t>
      </w:r>
    </w:p>
    <w:p w14:paraId="7F94C30E"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Le décret n° 2011-122/PR du 13 juillet 2011 portant organisation de la fonction de gouverneur et de préfet ;</w:t>
      </w:r>
    </w:p>
    <w:p w14:paraId="090BECC3"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lastRenderedPageBreak/>
        <w:t>Le décret n° 2016-028/PR du 11 mars 2016 portant modalités d'application de la loi n° 2007-002 du 08 janvier 2007 relative à la chefferie traditionnelle et au statut des chefs traditionnels au Togo.</w:t>
      </w:r>
    </w:p>
    <w:p w14:paraId="2986A2C6" w14:textId="77777777" w:rsidR="00687D06" w:rsidRPr="000E5F0F" w:rsidRDefault="00687D06" w:rsidP="00687D06">
      <w:pPr>
        <w:pStyle w:val="Paragraphedeliste"/>
        <w:numPr>
          <w:ilvl w:val="0"/>
          <w:numId w:val="12"/>
        </w:numPr>
        <w:autoSpaceDE w:val="0"/>
        <w:autoSpaceDN w:val="0"/>
        <w:adjustRightInd w:val="0"/>
        <w:spacing w:after="0"/>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Le décret n°2011-179/PR du 14 novembre 2011 fixant les modalités d’organisation et de fonctionnement du Fonds d’Appui aux Collectivités Territoriales.</w:t>
      </w:r>
    </w:p>
    <w:p w14:paraId="2D1F46AB"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Les actes de l’atelier national sur la décentralisation au Togo ;</w:t>
      </w:r>
    </w:p>
    <w:p w14:paraId="23E6E590"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 rapport de l’étude sur la communalisation ;</w:t>
      </w:r>
    </w:p>
    <w:p w14:paraId="6C019E2D"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loi de finance de 2018 ;</w:t>
      </w:r>
    </w:p>
    <w:p w14:paraId="151E0E86"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 code général des impôts ;</w:t>
      </w:r>
    </w:p>
    <w:p w14:paraId="3D1FECFE" w14:textId="77777777" w:rsidR="00687D06" w:rsidRPr="000E5F0F" w:rsidRDefault="00687D06" w:rsidP="00687D06">
      <w:pPr>
        <w:pStyle w:val="Paragraphedeliste"/>
        <w:numPr>
          <w:ilvl w:val="0"/>
          <w:numId w:val="12"/>
        </w:numPr>
        <w:spacing w:after="0"/>
        <w:ind w:left="357" w:hanging="357"/>
        <w:jc w:val="both"/>
        <w:rPr>
          <w:rFonts w:asciiTheme="minorHAnsi" w:eastAsia="Calibri" w:hAnsiTheme="minorHAnsi" w:cstheme="minorHAnsi"/>
          <w:sz w:val="24"/>
          <w:szCs w:val="24"/>
          <w:lang w:eastAsia="fr-FR"/>
        </w:rPr>
      </w:pPr>
      <w:r w:rsidRPr="000E5F0F">
        <w:rPr>
          <w:rFonts w:asciiTheme="minorHAnsi" w:eastAsia="Calibri" w:hAnsiTheme="minorHAnsi" w:cstheme="minorHAnsi"/>
          <w:sz w:val="24"/>
          <w:szCs w:val="24"/>
          <w:lang w:eastAsia="fr-FR"/>
        </w:rPr>
        <w:t>Lettre de politique sectorielle sur la décentralisation au Togo (2004) ;</w:t>
      </w:r>
    </w:p>
    <w:p w14:paraId="0CD39C9A"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Les rapports des différents séminaires - ateliers sur la décentralisation ;</w:t>
      </w:r>
    </w:p>
    <w:p w14:paraId="2D2B68A2"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 Programme National de Renforcement des capacités et de modernisation de l’Etat pour un Développement Durable (PNRCME-DD) ;</w:t>
      </w:r>
    </w:p>
    <w:p w14:paraId="7559DA87"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feuille de route de la décentralisation ;</w:t>
      </w:r>
    </w:p>
    <w:p w14:paraId="1321586B"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 rapport de l’atelier sur la décentralisation au Togo (décembre 2016) ;</w:t>
      </w:r>
    </w:p>
    <w:p w14:paraId="0149BF97"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politique nationale d'aménagement du territoire et la loi N° 2016 - 002 portant loi-cadre sur l’aménagement du territoire ;</w:t>
      </w:r>
    </w:p>
    <w:p w14:paraId="0547B89C"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politique nationale de développement à la base ;</w:t>
      </w:r>
    </w:p>
    <w:p w14:paraId="2B81E75B"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stratégie de communication sur la décentralisation ;</w:t>
      </w:r>
    </w:p>
    <w:p w14:paraId="31955340"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stratégie de croissance accélérée et de promotion de l'emploi (SCAPE) ;</w:t>
      </w:r>
    </w:p>
    <w:p w14:paraId="48A799DA"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Les documents disponibles sur l’élaboration du Plan national de développement (PND) ;</w:t>
      </w:r>
    </w:p>
    <w:p w14:paraId="60C608FD"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La stratégie des réformes ;</w:t>
      </w:r>
    </w:p>
    <w:p w14:paraId="2853AA54" w14:textId="77777777" w:rsidR="00687D06" w:rsidRPr="000E5F0F" w:rsidRDefault="00687D06" w:rsidP="00687D06">
      <w:pPr>
        <w:numPr>
          <w:ilvl w:val="0"/>
          <w:numId w:val="12"/>
        </w:numPr>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Les résultats de l’atelier du HCRRUN de juillet 2016 sur les réformes institutionnelles et constitutionnelles ;</w:t>
      </w:r>
    </w:p>
    <w:p w14:paraId="2CBA18E1" w14:textId="77777777" w:rsidR="00687D06" w:rsidRPr="000E5F0F" w:rsidRDefault="00687D06" w:rsidP="00687D06">
      <w:pPr>
        <w:numPr>
          <w:ilvl w:val="0"/>
          <w:numId w:val="12"/>
        </w:numPr>
        <w:tabs>
          <w:tab w:val="left" w:pos="0"/>
        </w:tabs>
        <w:autoSpaceDE w:val="0"/>
        <w:autoSpaceDN w:val="0"/>
        <w:adjustRightInd w:val="0"/>
        <w:spacing w:after="0" w:line="276" w:lineRule="auto"/>
        <w:ind w:left="357" w:hanging="357"/>
        <w:rPr>
          <w:rFonts w:asciiTheme="minorHAnsi" w:hAnsiTheme="minorHAnsi" w:cstheme="minorHAnsi"/>
          <w:color w:val="auto"/>
          <w:szCs w:val="24"/>
        </w:rPr>
      </w:pPr>
      <w:r w:rsidRPr="000E5F0F">
        <w:rPr>
          <w:rFonts w:asciiTheme="minorHAnsi" w:hAnsiTheme="minorHAnsi" w:cstheme="minorHAnsi"/>
          <w:color w:val="auto"/>
          <w:szCs w:val="24"/>
        </w:rPr>
        <w:t>Tout autre document utile disponible.</w:t>
      </w:r>
    </w:p>
    <w:p w14:paraId="7A594AB3" w14:textId="77777777" w:rsidR="00687D06" w:rsidRPr="000E5F0F" w:rsidRDefault="00687D06" w:rsidP="00687D06">
      <w:pPr>
        <w:spacing w:after="0" w:line="240" w:lineRule="auto"/>
        <w:rPr>
          <w:rFonts w:asciiTheme="minorHAnsi" w:hAnsiTheme="minorHAnsi" w:cstheme="minorHAnsi"/>
          <w:color w:val="auto"/>
          <w:sz w:val="28"/>
          <w:szCs w:val="28"/>
        </w:rPr>
      </w:pPr>
    </w:p>
    <w:p w14:paraId="4E93A27F" w14:textId="77777777" w:rsidR="00687D06" w:rsidRPr="000E5F0F" w:rsidRDefault="00687D06" w:rsidP="00687D06">
      <w:pPr>
        <w:spacing w:after="0" w:line="240" w:lineRule="auto"/>
        <w:rPr>
          <w:rFonts w:asciiTheme="minorHAnsi" w:hAnsiTheme="minorHAnsi" w:cstheme="minorHAnsi"/>
          <w:color w:val="auto"/>
          <w:sz w:val="28"/>
          <w:szCs w:val="28"/>
        </w:rPr>
      </w:pPr>
    </w:p>
    <w:p w14:paraId="10CDCA84" w14:textId="77777777" w:rsidR="00687D06" w:rsidRPr="000E5F0F" w:rsidRDefault="00687D06" w:rsidP="00687D06">
      <w:pPr>
        <w:spacing w:after="0" w:line="240" w:lineRule="auto"/>
        <w:rPr>
          <w:rFonts w:asciiTheme="minorHAnsi" w:hAnsiTheme="minorHAnsi" w:cstheme="minorHAnsi"/>
          <w:color w:val="auto"/>
          <w:sz w:val="28"/>
          <w:szCs w:val="28"/>
        </w:rPr>
      </w:pPr>
    </w:p>
    <w:p w14:paraId="41DEDE67" w14:textId="77777777" w:rsidR="00687D06" w:rsidRPr="000E5F0F" w:rsidRDefault="00687D06" w:rsidP="00687D06">
      <w:pPr>
        <w:spacing w:after="0" w:line="240" w:lineRule="auto"/>
        <w:rPr>
          <w:rFonts w:asciiTheme="minorHAnsi" w:hAnsiTheme="minorHAnsi" w:cstheme="minorHAnsi"/>
          <w:color w:val="auto"/>
          <w:sz w:val="28"/>
          <w:szCs w:val="28"/>
        </w:rPr>
      </w:pPr>
    </w:p>
    <w:p w14:paraId="1E06F4F4" w14:textId="77777777" w:rsidR="00687D06" w:rsidRPr="000E5F0F" w:rsidRDefault="00687D06" w:rsidP="00687D06">
      <w:pPr>
        <w:spacing w:after="0" w:line="240" w:lineRule="auto"/>
        <w:rPr>
          <w:rFonts w:asciiTheme="minorHAnsi" w:hAnsiTheme="minorHAnsi" w:cstheme="minorHAnsi"/>
          <w:color w:val="auto"/>
          <w:sz w:val="28"/>
          <w:szCs w:val="28"/>
        </w:rPr>
      </w:pPr>
    </w:p>
    <w:p w14:paraId="0BEFFED3" w14:textId="77777777" w:rsidR="00687D06" w:rsidRPr="000E5F0F" w:rsidRDefault="00687D06" w:rsidP="00687D06">
      <w:pPr>
        <w:spacing w:after="0" w:line="240" w:lineRule="auto"/>
        <w:rPr>
          <w:rFonts w:asciiTheme="minorHAnsi" w:hAnsiTheme="minorHAnsi" w:cstheme="minorHAnsi"/>
          <w:color w:val="auto"/>
          <w:sz w:val="28"/>
          <w:szCs w:val="28"/>
        </w:rPr>
      </w:pPr>
    </w:p>
    <w:p w14:paraId="110F9163" w14:textId="77777777" w:rsidR="00687D06" w:rsidRPr="000E5F0F" w:rsidRDefault="00687D06" w:rsidP="00687D06">
      <w:pPr>
        <w:rPr>
          <w:rFonts w:asciiTheme="minorHAnsi" w:hAnsiTheme="minorHAnsi" w:cstheme="minorHAnsi"/>
          <w:color w:val="auto"/>
          <w:szCs w:val="24"/>
        </w:rPr>
      </w:pPr>
    </w:p>
    <w:p w14:paraId="1D49474D" w14:textId="77777777" w:rsidR="00687D06" w:rsidRPr="000E5F0F" w:rsidRDefault="00687D06" w:rsidP="00BD7292">
      <w:pPr>
        <w:pStyle w:val="Commentaire"/>
        <w:rPr>
          <w:rFonts w:asciiTheme="minorHAnsi" w:hAnsiTheme="minorHAnsi" w:cstheme="minorHAnsi"/>
          <w:color w:val="auto"/>
        </w:rPr>
      </w:pPr>
      <w:r w:rsidRPr="000E5F0F">
        <w:rPr>
          <w:rStyle w:val="Marquedecommentaire"/>
          <w:rFonts w:asciiTheme="minorHAnsi" w:hAnsiTheme="minorHAnsi" w:cstheme="minorHAnsi"/>
          <w:color w:val="auto"/>
        </w:rPr>
        <w:annotationRef/>
      </w:r>
      <w:r w:rsidR="00BD7292" w:rsidRPr="000E5F0F">
        <w:rPr>
          <w:rFonts w:asciiTheme="minorHAnsi" w:hAnsiTheme="minorHAnsi" w:cstheme="minorHAnsi"/>
          <w:color w:val="auto"/>
        </w:rPr>
        <w:t xml:space="preserve"> </w:t>
      </w:r>
    </w:p>
    <w:p w14:paraId="1F4121A0" w14:textId="77777777" w:rsidR="00687D06" w:rsidRPr="000E5F0F" w:rsidRDefault="00687D06">
      <w:pPr>
        <w:rPr>
          <w:rFonts w:asciiTheme="minorHAnsi" w:hAnsiTheme="minorHAnsi" w:cstheme="minorHAnsi"/>
          <w:color w:val="auto"/>
        </w:rPr>
      </w:pPr>
    </w:p>
    <w:sectPr w:rsidR="00687D06" w:rsidRPr="000E5F0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USER" w:date="2018-11-02T07:33:00Z" w:initials="U">
    <w:p w14:paraId="4770E011" w14:textId="5050C0D8" w:rsidR="005B3D04" w:rsidRDefault="005B3D04" w:rsidP="006F7969">
      <w:pPr>
        <w:pStyle w:val="Tit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0E0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0E011" w16cid:durableId="1F867C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51FD6F"/>
    <w:multiLevelType w:val="hybridMultilevel"/>
    <w:tmpl w:val="6802F3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64994"/>
    <w:multiLevelType w:val="hybridMultilevel"/>
    <w:tmpl w:val="00B69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160EB"/>
    <w:multiLevelType w:val="hybridMultilevel"/>
    <w:tmpl w:val="AEEAFB58"/>
    <w:lvl w:ilvl="0" w:tplc="040C0019">
      <w:start w:val="1"/>
      <w:numFmt w:val="lowerLetter"/>
      <w:lvlText w:val="%1."/>
      <w:lvlJc w:val="left"/>
      <w:pPr>
        <w:ind w:left="370" w:hanging="360"/>
      </w:p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start w:val="1"/>
      <w:numFmt w:val="decimal"/>
      <w:lvlText w:val="%4."/>
      <w:lvlJc w:val="left"/>
      <w:pPr>
        <w:ind w:left="2530" w:hanging="360"/>
      </w:pPr>
    </w:lvl>
    <w:lvl w:ilvl="4" w:tplc="040C0019">
      <w:start w:val="1"/>
      <w:numFmt w:val="lowerLetter"/>
      <w:lvlText w:val="%5."/>
      <w:lvlJc w:val="left"/>
      <w:pPr>
        <w:ind w:left="3250" w:hanging="360"/>
      </w:pPr>
    </w:lvl>
    <w:lvl w:ilvl="5" w:tplc="040C001B">
      <w:start w:val="1"/>
      <w:numFmt w:val="lowerRoman"/>
      <w:lvlText w:val="%6."/>
      <w:lvlJc w:val="right"/>
      <w:pPr>
        <w:ind w:left="3970" w:hanging="180"/>
      </w:pPr>
    </w:lvl>
    <w:lvl w:ilvl="6" w:tplc="040C000F">
      <w:start w:val="1"/>
      <w:numFmt w:val="decimal"/>
      <w:lvlText w:val="%7."/>
      <w:lvlJc w:val="left"/>
      <w:pPr>
        <w:ind w:left="4690" w:hanging="360"/>
      </w:pPr>
    </w:lvl>
    <w:lvl w:ilvl="7" w:tplc="040C0019">
      <w:start w:val="1"/>
      <w:numFmt w:val="lowerLetter"/>
      <w:lvlText w:val="%8."/>
      <w:lvlJc w:val="left"/>
      <w:pPr>
        <w:ind w:left="5410" w:hanging="360"/>
      </w:pPr>
    </w:lvl>
    <w:lvl w:ilvl="8" w:tplc="040C001B">
      <w:start w:val="1"/>
      <w:numFmt w:val="lowerRoman"/>
      <w:lvlText w:val="%9."/>
      <w:lvlJc w:val="right"/>
      <w:pPr>
        <w:ind w:left="6130" w:hanging="180"/>
      </w:pPr>
    </w:lvl>
  </w:abstractNum>
  <w:abstractNum w:abstractNumId="3" w15:restartNumberingAfterBreak="0">
    <w:nsid w:val="0823BF19"/>
    <w:multiLevelType w:val="hybridMultilevel"/>
    <w:tmpl w:val="CF1DD1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3F44A1"/>
    <w:multiLevelType w:val="hybridMultilevel"/>
    <w:tmpl w:val="35D8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62E92"/>
    <w:multiLevelType w:val="hybridMultilevel"/>
    <w:tmpl w:val="A550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67860"/>
    <w:multiLevelType w:val="hybridMultilevel"/>
    <w:tmpl w:val="A24CC5CC"/>
    <w:lvl w:ilvl="0" w:tplc="040C0019">
      <w:start w:val="1"/>
      <w:numFmt w:val="lowerLetter"/>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2319292D"/>
    <w:multiLevelType w:val="hybridMultilevel"/>
    <w:tmpl w:val="62F0FECE"/>
    <w:lvl w:ilvl="0" w:tplc="7E18F0E2">
      <w:start w:val="2"/>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E21B4"/>
    <w:multiLevelType w:val="hybridMultilevel"/>
    <w:tmpl w:val="71B0CF7C"/>
    <w:lvl w:ilvl="0" w:tplc="040C0001">
      <w:start w:val="1"/>
      <w:numFmt w:val="bullet"/>
      <w:lvlText w:val=""/>
      <w:lvlJc w:val="left"/>
      <w:pPr>
        <w:ind w:left="34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start w:val="1"/>
      <w:numFmt w:val="bullet"/>
      <w:lvlText w:val=""/>
      <w:lvlJc w:val="left"/>
      <w:pPr>
        <w:ind w:left="2145" w:hanging="360"/>
      </w:pPr>
      <w:rPr>
        <w:rFonts w:ascii="Wingdings" w:hAnsi="Wingdings" w:hint="default"/>
      </w:rPr>
    </w:lvl>
    <w:lvl w:ilvl="3" w:tplc="040C0001">
      <w:start w:val="1"/>
      <w:numFmt w:val="bullet"/>
      <w:lvlText w:val=""/>
      <w:lvlJc w:val="left"/>
      <w:pPr>
        <w:ind w:left="2865" w:hanging="360"/>
      </w:pPr>
      <w:rPr>
        <w:rFonts w:ascii="Symbol" w:hAnsi="Symbol" w:hint="default"/>
      </w:rPr>
    </w:lvl>
    <w:lvl w:ilvl="4" w:tplc="040C0003">
      <w:start w:val="1"/>
      <w:numFmt w:val="bullet"/>
      <w:lvlText w:val="o"/>
      <w:lvlJc w:val="left"/>
      <w:pPr>
        <w:ind w:left="3585" w:hanging="360"/>
      </w:pPr>
      <w:rPr>
        <w:rFonts w:ascii="Courier New" w:hAnsi="Courier New" w:cs="Courier New" w:hint="default"/>
      </w:rPr>
    </w:lvl>
    <w:lvl w:ilvl="5" w:tplc="040C0005">
      <w:start w:val="1"/>
      <w:numFmt w:val="bullet"/>
      <w:lvlText w:val=""/>
      <w:lvlJc w:val="left"/>
      <w:pPr>
        <w:ind w:left="4305" w:hanging="360"/>
      </w:pPr>
      <w:rPr>
        <w:rFonts w:ascii="Wingdings" w:hAnsi="Wingdings" w:hint="default"/>
      </w:rPr>
    </w:lvl>
    <w:lvl w:ilvl="6" w:tplc="040C0001">
      <w:start w:val="1"/>
      <w:numFmt w:val="bullet"/>
      <w:lvlText w:val=""/>
      <w:lvlJc w:val="left"/>
      <w:pPr>
        <w:ind w:left="5025" w:hanging="360"/>
      </w:pPr>
      <w:rPr>
        <w:rFonts w:ascii="Symbol" w:hAnsi="Symbol" w:hint="default"/>
      </w:rPr>
    </w:lvl>
    <w:lvl w:ilvl="7" w:tplc="040C0003">
      <w:start w:val="1"/>
      <w:numFmt w:val="bullet"/>
      <w:lvlText w:val="o"/>
      <w:lvlJc w:val="left"/>
      <w:pPr>
        <w:ind w:left="5745" w:hanging="360"/>
      </w:pPr>
      <w:rPr>
        <w:rFonts w:ascii="Courier New" w:hAnsi="Courier New" w:cs="Courier New" w:hint="default"/>
      </w:rPr>
    </w:lvl>
    <w:lvl w:ilvl="8" w:tplc="040C0005">
      <w:start w:val="1"/>
      <w:numFmt w:val="bullet"/>
      <w:lvlText w:val=""/>
      <w:lvlJc w:val="left"/>
      <w:pPr>
        <w:ind w:left="6465" w:hanging="360"/>
      </w:pPr>
      <w:rPr>
        <w:rFonts w:ascii="Wingdings" w:hAnsi="Wingdings" w:hint="default"/>
      </w:rPr>
    </w:lvl>
  </w:abstractNum>
  <w:abstractNum w:abstractNumId="9" w15:restartNumberingAfterBreak="0">
    <w:nsid w:val="2B7C7338"/>
    <w:multiLevelType w:val="multilevel"/>
    <w:tmpl w:val="FACC28D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F72468"/>
    <w:multiLevelType w:val="hybridMultilevel"/>
    <w:tmpl w:val="FCC6DB98"/>
    <w:lvl w:ilvl="0" w:tplc="276240B0">
      <w:start w:val="4"/>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3AAB6834"/>
    <w:multiLevelType w:val="hybridMultilevel"/>
    <w:tmpl w:val="B10464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1A55E5"/>
    <w:multiLevelType w:val="hybridMultilevel"/>
    <w:tmpl w:val="E0F4882C"/>
    <w:lvl w:ilvl="0" w:tplc="5F92FD46">
      <w:start w:val="1"/>
      <w:numFmt w:val="lowerLetter"/>
      <w:lvlText w:val="%1)"/>
      <w:lvlJc w:val="left"/>
      <w:pPr>
        <w:ind w:left="720" w:hanging="360"/>
      </w:pPr>
      <w:rPr>
        <w:rFonts w:eastAsia="Calibr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2E69B7"/>
    <w:multiLevelType w:val="hybridMultilevel"/>
    <w:tmpl w:val="AC68A14E"/>
    <w:lvl w:ilvl="0" w:tplc="040C0019">
      <w:start w:val="1"/>
      <w:numFmt w:val="lowerLetter"/>
      <w:lvlText w:val="%1."/>
      <w:lvlJc w:val="left"/>
      <w:pPr>
        <w:ind w:left="370" w:hanging="360"/>
      </w:p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start w:val="1"/>
      <w:numFmt w:val="decimal"/>
      <w:lvlText w:val="%4."/>
      <w:lvlJc w:val="left"/>
      <w:pPr>
        <w:ind w:left="2530" w:hanging="360"/>
      </w:pPr>
    </w:lvl>
    <w:lvl w:ilvl="4" w:tplc="040C0019">
      <w:start w:val="1"/>
      <w:numFmt w:val="lowerLetter"/>
      <w:lvlText w:val="%5."/>
      <w:lvlJc w:val="left"/>
      <w:pPr>
        <w:ind w:left="3250" w:hanging="360"/>
      </w:pPr>
    </w:lvl>
    <w:lvl w:ilvl="5" w:tplc="040C001B">
      <w:start w:val="1"/>
      <w:numFmt w:val="lowerRoman"/>
      <w:lvlText w:val="%6."/>
      <w:lvlJc w:val="right"/>
      <w:pPr>
        <w:ind w:left="3970" w:hanging="180"/>
      </w:pPr>
    </w:lvl>
    <w:lvl w:ilvl="6" w:tplc="040C000F">
      <w:start w:val="1"/>
      <w:numFmt w:val="decimal"/>
      <w:lvlText w:val="%7."/>
      <w:lvlJc w:val="left"/>
      <w:pPr>
        <w:ind w:left="4690" w:hanging="360"/>
      </w:pPr>
    </w:lvl>
    <w:lvl w:ilvl="7" w:tplc="040C0019">
      <w:start w:val="1"/>
      <w:numFmt w:val="lowerLetter"/>
      <w:lvlText w:val="%8."/>
      <w:lvlJc w:val="left"/>
      <w:pPr>
        <w:ind w:left="5410" w:hanging="360"/>
      </w:pPr>
    </w:lvl>
    <w:lvl w:ilvl="8" w:tplc="040C001B">
      <w:start w:val="1"/>
      <w:numFmt w:val="lowerRoman"/>
      <w:lvlText w:val="%9."/>
      <w:lvlJc w:val="right"/>
      <w:pPr>
        <w:ind w:left="6130" w:hanging="180"/>
      </w:pPr>
    </w:lvl>
  </w:abstractNum>
  <w:abstractNum w:abstractNumId="14" w15:restartNumberingAfterBreak="0">
    <w:nsid w:val="4CD55017"/>
    <w:multiLevelType w:val="hybridMultilevel"/>
    <w:tmpl w:val="AD74B456"/>
    <w:lvl w:ilvl="0" w:tplc="89D63D72">
      <w:start w:val="1"/>
      <w:numFmt w:val="bullet"/>
      <w:lvlText w:val=""/>
      <w:lvlJc w:val="left"/>
      <w:pPr>
        <w:ind w:left="644" w:hanging="360"/>
      </w:pPr>
      <w:rPr>
        <w:rFonts w:ascii="Wingdings" w:eastAsia="Wingdings" w:hAnsi="Wingdings" w:cs="Wingdings" w:hint="default"/>
        <w:b w:val="0"/>
        <w:i w:val="0"/>
        <w:strike w:val="0"/>
        <w:dstrike w:val="0"/>
        <w:color w:val="000000"/>
        <w:sz w:val="24"/>
        <w:szCs w:val="24"/>
        <w:u w:val="none" w:color="000000"/>
        <w:effect w:val="none"/>
        <w:bdr w:val="none" w:sz="0" w:space="0" w:color="auto" w:frame="1"/>
        <w:vertAlign w:val="baseli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53621E40"/>
    <w:multiLevelType w:val="hybridMultilevel"/>
    <w:tmpl w:val="1780D4CC"/>
    <w:lvl w:ilvl="0" w:tplc="18AE1A8E">
      <w:start w:val="1"/>
      <w:numFmt w:val="upperRoman"/>
      <w:lvlText w:val="%1-"/>
      <w:lvlJc w:val="left"/>
      <w:pPr>
        <w:ind w:left="705" w:hanging="72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6" w15:restartNumberingAfterBreak="0">
    <w:nsid w:val="5ACE675E"/>
    <w:multiLevelType w:val="hybridMultilevel"/>
    <w:tmpl w:val="8D14C34E"/>
    <w:lvl w:ilvl="0" w:tplc="4EE8857C">
      <w:start w:val="1"/>
      <w:numFmt w:val="lowerLetter"/>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abstractNum w:abstractNumId="17" w15:restartNumberingAfterBreak="0">
    <w:nsid w:val="69E72022"/>
    <w:multiLevelType w:val="hybridMultilevel"/>
    <w:tmpl w:val="61D49CE4"/>
    <w:lvl w:ilvl="0" w:tplc="5B0C4A60">
      <w:start w:val="1"/>
      <w:numFmt w:val="decimal"/>
      <w:lvlText w:val="%1)"/>
      <w:lvlJc w:val="left"/>
      <w:pPr>
        <w:ind w:left="360" w:hanging="360"/>
      </w:pPr>
      <w:rPr>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6B904BF9"/>
    <w:multiLevelType w:val="hybridMultilevel"/>
    <w:tmpl w:val="7C7E5CEC"/>
    <w:lvl w:ilvl="0" w:tplc="4A46CCCC">
      <w:start w:val="1"/>
      <w:numFmt w:val="decimal"/>
      <w:lvlText w:val="%1."/>
      <w:lvlJc w:val="left"/>
      <w:pPr>
        <w:ind w:left="360" w:hanging="360"/>
      </w:pPr>
      <w:rPr>
        <w:color w:val="7F7F7F" w:themeColor="text1" w:themeTint="8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6D4672DD"/>
    <w:multiLevelType w:val="hybridMultilevel"/>
    <w:tmpl w:val="D0DC47B8"/>
    <w:lvl w:ilvl="0" w:tplc="040C0011">
      <w:start w:val="1"/>
      <w:numFmt w:val="decimal"/>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74B17464"/>
    <w:multiLevelType w:val="hybridMultilevel"/>
    <w:tmpl w:val="DDDAA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AC1350"/>
    <w:multiLevelType w:val="multilevel"/>
    <w:tmpl w:val="33EC300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61855B9"/>
    <w:multiLevelType w:val="multilevel"/>
    <w:tmpl w:val="C0F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4634F"/>
    <w:multiLevelType w:val="multilevel"/>
    <w:tmpl w:val="9AFE6C30"/>
    <w:lvl w:ilvl="0">
      <w:start w:val="1"/>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2"/>
  </w:num>
  <w:num w:numId="14">
    <w:abstractNumId w:val="0"/>
  </w:num>
  <w:num w:numId="15">
    <w:abstractNumId w:val="3"/>
  </w:num>
  <w:num w:numId="16">
    <w:abstractNumId w:val="12"/>
  </w:num>
  <w:num w:numId="17">
    <w:abstractNumId w:val="2"/>
  </w:num>
  <w:num w:numId="18">
    <w:abstractNumId w:val="10"/>
  </w:num>
  <w:num w:numId="19">
    <w:abstractNumId w:val="19"/>
  </w:num>
  <w:num w:numId="20">
    <w:abstractNumId w:val="21"/>
  </w:num>
  <w:num w:numId="21">
    <w:abstractNumId w:val="9"/>
  </w:num>
  <w:num w:numId="22">
    <w:abstractNumId w:val="6"/>
  </w:num>
  <w:num w:numId="23">
    <w:abstractNumId w:val="4"/>
  </w:num>
  <w:num w:numId="24">
    <w:abstractNumId w:val="20"/>
  </w:num>
  <w:num w:numId="25">
    <w:abstractNumId w:val="11"/>
  </w:num>
  <w:num w:numId="26">
    <w:abstractNumId w:val="5"/>
  </w:num>
  <w:num w:numId="27">
    <w:abstractNumId w:val="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06"/>
    <w:rsid w:val="000112B6"/>
    <w:rsid w:val="0002346D"/>
    <w:rsid w:val="000256FD"/>
    <w:rsid w:val="00027054"/>
    <w:rsid w:val="00032622"/>
    <w:rsid w:val="00046228"/>
    <w:rsid w:val="00083EED"/>
    <w:rsid w:val="000B31DA"/>
    <w:rsid w:val="000B3991"/>
    <w:rsid w:val="000B7987"/>
    <w:rsid w:val="000C1051"/>
    <w:rsid w:val="000C2EA0"/>
    <w:rsid w:val="000E5F0F"/>
    <w:rsid w:val="000F0151"/>
    <w:rsid w:val="000F3F36"/>
    <w:rsid w:val="000F7510"/>
    <w:rsid w:val="001039FA"/>
    <w:rsid w:val="0011771C"/>
    <w:rsid w:val="00171D8A"/>
    <w:rsid w:val="0017676D"/>
    <w:rsid w:val="0018171E"/>
    <w:rsid w:val="001A550A"/>
    <w:rsid w:val="001C32B9"/>
    <w:rsid w:val="00220512"/>
    <w:rsid w:val="00233BAC"/>
    <w:rsid w:val="00246750"/>
    <w:rsid w:val="002515DF"/>
    <w:rsid w:val="00257263"/>
    <w:rsid w:val="00287AF7"/>
    <w:rsid w:val="002A0259"/>
    <w:rsid w:val="002C43DC"/>
    <w:rsid w:val="002D637F"/>
    <w:rsid w:val="002E2E04"/>
    <w:rsid w:val="002F473F"/>
    <w:rsid w:val="00326670"/>
    <w:rsid w:val="00341AE4"/>
    <w:rsid w:val="003469FE"/>
    <w:rsid w:val="003B66BA"/>
    <w:rsid w:val="003D5184"/>
    <w:rsid w:val="003F4657"/>
    <w:rsid w:val="00404827"/>
    <w:rsid w:val="00446146"/>
    <w:rsid w:val="00454675"/>
    <w:rsid w:val="00461585"/>
    <w:rsid w:val="0047446A"/>
    <w:rsid w:val="004C0799"/>
    <w:rsid w:val="00515E2B"/>
    <w:rsid w:val="00517748"/>
    <w:rsid w:val="00541656"/>
    <w:rsid w:val="00544A97"/>
    <w:rsid w:val="00564DD7"/>
    <w:rsid w:val="00571E6F"/>
    <w:rsid w:val="00586878"/>
    <w:rsid w:val="005A2690"/>
    <w:rsid w:val="005B3D04"/>
    <w:rsid w:val="005F5CF9"/>
    <w:rsid w:val="00606FC6"/>
    <w:rsid w:val="0062210D"/>
    <w:rsid w:val="00636E84"/>
    <w:rsid w:val="00684BBC"/>
    <w:rsid w:val="00687D06"/>
    <w:rsid w:val="00692DE3"/>
    <w:rsid w:val="006A60BC"/>
    <w:rsid w:val="006F7969"/>
    <w:rsid w:val="007441B3"/>
    <w:rsid w:val="00751B1F"/>
    <w:rsid w:val="00772F30"/>
    <w:rsid w:val="007878E3"/>
    <w:rsid w:val="007A2696"/>
    <w:rsid w:val="007C7E91"/>
    <w:rsid w:val="007F1FD8"/>
    <w:rsid w:val="00822C86"/>
    <w:rsid w:val="00843CA9"/>
    <w:rsid w:val="008462FD"/>
    <w:rsid w:val="008967D5"/>
    <w:rsid w:val="00896AB0"/>
    <w:rsid w:val="008D0FCB"/>
    <w:rsid w:val="008D7C72"/>
    <w:rsid w:val="009070BB"/>
    <w:rsid w:val="009468C3"/>
    <w:rsid w:val="00961ED1"/>
    <w:rsid w:val="00976E79"/>
    <w:rsid w:val="00984848"/>
    <w:rsid w:val="00987B40"/>
    <w:rsid w:val="009B01F0"/>
    <w:rsid w:val="009C1E45"/>
    <w:rsid w:val="009C5182"/>
    <w:rsid w:val="009E09D9"/>
    <w:rsid w:val="009F2D53"/>
    <w:rsid w:val="00A94BCB"/>
    <w:rsid w:val="00A952CC"/>
    <w:rsid w:val="00AD213A"/>
    <w:rsid w:val="00AE6103"/>
    <w:rsid w:val="00B02423"/>
    <w:rsid w:val="00B10935"/>
    <w:rsid w:val="00B15650"/>
    <w:rsid w:val="00B46EE4"/>
    <w:rsid w:val="00B61CDD"/>
    <w:rsid w:val="00BA356E"/>
    <w:rsid w:val="00BA644A"/>
    <w:rsid w:val="00BC3465"/>
    <w:rsid w:val="00BD7292"/>
    <w:rsid w:val="00C36706"/>
    <w:rsid w:val="00C52E8F"/>
    <w:rsid w:val="00C8124E"/>
    <w:rsid w:val="00D640A5"/>
    <w:rsid w:val="00DB7F0A"/>
    <w:rsid w:val="00DE0DBD"/>
    <w:rsid w:val="00DF2557"/>
    <w:rsid w:val="00E12857"/>
    <w:rsid w:val="00E226EE"/>
    <w:rsid w:val="00E32208"/>
    <w:rsid w:val="00EA6246"/>
    <w:rsid w:val="00EC154F"/>
    <w:rsid w:val="00EF4C17"/>
    <w:rsid w:val="00EF5793"/>
    <w:rsid w:val="00EF7925"/>
    <w:rsid w:val="00F02112"/>
    <w:rsid w:val="00F160C5"/>
    <w:rsid w:val="00F51B82"/>
    <w:rsid w:val="00F6004A"/>
    <w:rsid w:val="00FB20FD"/>
    <w:rsid w:val="00FD092F"/>
    <w:rsid w:val="00FD48F7"/>
    <w:rsid w:val="00FE3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DB558"/>
  <w15:chartTrackingRefBased/>
  <w15:docId w15:val="{1AF6F758-3EE5-4413-9E1F-E3F67A67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06"/>
    <w:pPr>
      <w:spacing w:after="5" w:line="249" w:lineRule="auto"/>
      <w:ind w:left="10" w:hanging="10"/>
      <w:jc w:val="both"/>
    </w:pPr>
    <w:rPr>
      <w:rFonts w:ascii="Calibri" w:eastAsia="Calibri" w:hAnsi="Calibri" w:cs="Calibri"/>
      <w:color w:val="000000"/>
      <w:sz w:val="24"/>
      <w:lang w:eastAsia="fr-FR"/>
    </w:rPr>
  </w:style>
  <w:style w:type="paragraph" w:styleId="Titre1">
    <w:name w:val="heading 1"/>
    <w:next w:val="Normal"/>
    <w:link w:val="Titre1Car"/>
    <w:uiPriority w:val="9"/>
    <w:qFormat/>
    <w:rsid w:val="00687D06"/>
    <w:pPr>
      <w:keepNext/>
      <w:keepLines/>
      <w:spacing w:after="0" w:line="256" w:lineRule="auto"/>
      <w:ind w:left="10" w:hanging="10"/>
      <w:outlineLvl w:val="0"/>
    </w:pPr>
    <w:rPr>
      <w:rFonts w:ascii="Calibri" w:eastAsia="Calibri" w:hAnsi="Calibri" w:cs="Calibri"/>
      <w:b/>
      <w:i/>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D06"/>
    <w:rPr>
      <w:rFonts w:ascii="Calibri" w:eastAsia="Calibri" w:hAnsi="Calibri" w:cs="Calibri"/>
      <w:b/>
      <w:i/>
      <w:color w:val="000000"/>
      <w:sz w:val="24"/>
      <w:lang w:eastAsia="fr-FR"/>
    </w:rPr>
  </w:style>
  <w:style w:type="character" w:styleId="Lienhypertexte">
    <w:name w:val="Hyperlink"/>
    <w:basedOn w:val="Policepardfaut"/>
    <w:uiPriority w:val="99"/>
    <w:semiHidden/>
    <w:unhideWhenUsed/>
    <w:rsid w:val="00687D06"/>
    <w:rPr>
      <w:color w:val="0563C1" w:themeColor="hyperlink"/>
      <w:u w:val="single"/>
    </w:rPr>
  </w:style>
  <w:style w:type="paragraph" w:styleId="NormalWeb">
    <w:name w:val="Normal (Web)"/>
    <w:basedOn w:val="Normal"/>
    <w:uiPriority w:val="99"/>
    <w:semiHidden/>
    <w:unhideWhenUsed/>
    <w:rsid w:val="00687D0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Commentaire">
    <w:name w:val="annotation text"/>
    <w:basedOn w:val="Normal"/>
    <w:link w:val="CommentaireCar"/>
    <w:uiPriority w:val="99"/>
    <w:unhideWhenUsed/>
    <w:rsid w:val="00687D06"/>
    <w:pPr>
      <w:spacing w:line="240" w:lineRule="auto"/>
    </w:pPr>
    <w:rPr>
      <w:sz w:val="20"/>
      <w:szCs w:val="20"/>
    </w:rPr>
  </w:style>
  <w:style w:type="character" w:customStyle="1" w:styleId="CommentaireCar">
    <w:name w:val="Commentaire Car"/>
    <w:basedOn w:val="Policepardfaut"/>
    <w:link w:val="Commentaire"/>
    <w:uiPriority w:val="99"/>
    <w:rsid w:val="00687D06"/>
    <w:rPr>
      <w:rFonts w:ascii="Calibri" w:eastAsia="Calibri" w:hAnsi="Calibri" w:cs="Calibri"/>
      <w:color w:val="000000"/>
      <w:sz w:val="20"/>
      <w:szCs w:val="20"/>
      <w:lang w:eastAsia="fr-FR"/>
    </w:rPr>
  </w:style>
  <w:style w:type="paragraph" w:styleId="En-tte">
    <w:name w:val="header"/>
    <w:basedOn w:val="Normal"/>
    <w:link w:val="En-tteCar"/>
    <w:uiPriority w:val="99"/>
    <w:semiHidden/>
    <w:unhideWhenUsed/>
    <w:rsid w:val="00687D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7D06"/>
    <w:rPr>
      <w:rFonts w:ascii="Calibri" w:eastAsia="Calibri" w:hAnsi="Calibri" w:cs="Calibri"/>
      <w:color w:val="000000"/>
      <w:sz w:val="24"/>
      <w:lang w:eastAsia="fr-FR"/>
    </w:rPr>
  </w:style>
  <w:style w:type="character" w:customStyle="1" w:styleId="ParagraphedelisteCar">
    <w:name w:val="Paragraphe de liste Car"/>
    <w:aliases w:val="References Car,Bullets Car,List Paragraph (numbered (a)) Car,WB Para Car,List Paragraph1 Car,Lapis Bulleted List Car,Dot pt Car,F5 List Paragraph Car,No Spacing1 Car,List Paragraph Char Char Char Car,Indicator Text Car"/>
    <w:link w:val="Paragraphedeliste"/>
    <w:uiPriority w:val="34"/>
    <w:locked/>
    <w:rsid w:val="00687D06"/>
    <w:rPr>
      <w:rFonts w:ascii="Calibri" w:hAnsi="Calibri" w:cs="Calibri"/>
    </w:rPr>
  </w:style>
  <w:style w:type="paragraph" w:styleId="Paragraphedeliste">
    <w:name w:val="List Paragraph"/>
    <w:aliases w:val="References,Bullets,List Paragraph (numbered (a)),WB Para,List Paragraph1,Lapis Bulleted List,Dot pt,F5 List Paragraph,No Spacing1,List Paragraph Char Char Char,Indicator Text,Numbered Para 1,Bullet 1,List Paragraph12,Bullet Points"/>
    <w:basedOn w:val="Normal"/>
    <w:link w:val="ParagraphedelisteCar"/>
    <w:uiPriority w:val="34"/>
    <w:qFormat/>
    <w:rsid w:val="00687D06"/>
    <w:pPr>
      <w:spacing w:after="200" w:line="276" w:lineRule="auto"/>
      <w:ind w:left="720" w:firstLine="0"/>
      <w:contextualSpacing/>
      <w:jc w:val="left"/>
    </w:pPr>
    <w:rPr>
      <w:rFonts w:eastAsiaTheme="minorHAnsi"/>
      <w:color w:val="auto"/>
      <w:sz w:val="22"/>
      <w:lang w:eastAsia="en-US"/>
    </w:rPr>
  </w:style>
  <w:style w:type="character" w:styleId="Marquedecommentaire">
    <w:name w:val="annotation reference"/>
    <w:basedOn w:val="Policepardfaut"/>
    <w:uiPriority w:val="99"/>
    <w:semiHidden/>
    <w:unhideWhenUsed/>
    <w:rsid w:val="00687D06"/>
    <w:rPr>
      <w:sz w:val="16"/>
      <w:szCs w:val="16"/>
    </w:rPr>
  </w:style>
  <w:style w:type="table" w:styleId="Grilledutableau">
    <w:name w:val="Table Grid"/>
    <w:basedOn w:val="TableauNormal"/>
    <w:uiPriority w:val="59"/>
    <w:rsid w:val="00687D06"/>
    <w:pPr>
      <w:spacing w:after="0" w:line="240" w:lineRule="auto"/>
    </w:pPr>
    <w:rPr>
      <w:rFonts w:eastAsiaTheme="minorEastAsia"/>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26670"/>
    <w:rPr>
      <w:b/>
      <w:bCs/>
    </w:rPr>
  </w:style>
  <w:style w:type="character" w:customStyle="1" w:styleId="ObjetducommentaireCar">
    <w:name w:val="Objet du commentaire Car"/>
    <w:basedOn w:val="CommentaireCar"/>
    <w:link w:val="Objetducommentaire"/>
    <w:uiPriority w:val="99"/>
    <w:semiHidden/>
    <w:rsid w:val="00326670"/>
    <w:rPr>
      <w:rFonts w:ascii="Calibri" w:eastAsia="Calibri" w:hAnsi="Calibri" w:cs="Calibri"/>
      <w:b/>
      <w:bCs/>
      <w:color w:val="000000"/>
      <w:sz w:val="20"/>
      <w:szCs w:val="20"/>
      <w:lang w:eastAsia="fr-FR"/>
    </w:rPr>
  </w:style>
  <w:style w:type="paragraph" w:styleId="Textedebulles">
    <w:name w:val="Balloon Text"/>
    <w:basedOn w:val="Normal"/>
    <w:link w:val="TextedebullesCar"/>
    <w:uiPriority w:val="99"/>
    <w:semiHidden/>
    <w:unhideWhenUsed/>
    <w:rsid w:val="003266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670"/>
    <w:rPr>
      <w:rFonts w:ascii="Segoe UI" w:eastAsia="Calibri" w:hAnsi="Segoe UI" w:cs="Segoe UI"/>
      <w:color w:val="000000"/>
      <w:sz w:val="18"/>
      <w:szCs w:val="18"/>
      <w:lang w:eastAsia="fr-FR"/>
    </w:rPr>
  </w:style>
  <w:style w:type="paragraph" w:styleId="Titre">
    <w:name w:val="Title"/>
    <w:basedOn w:val="Normal"/>
    <w:next w:val="Normal"/>
    <w:link w:val="TitreCar"/>
    <w:uiPriority w:val="10"/>
    <w:qFormat/>
    <w:rsid w:val="006F796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F7969"/>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3776">
      <w:bodyDiv w:val="1"/>
      <w:marLeft w:val="0"/>
      <w:marRight w:val="0"/>
      <w:marTop w:val="0"/>
      <w:marBottom w:val="0"/>
      <w:divBdr>
        <w:top w:val="none" w:sz="0" w:space="0" w:color="auto"/>
        <w:left w:val="none" w:sz="0" w:space="0" w:color="auto"/>
        <w:bottom w:val="none" w:sz="0" w:space="0" w:color="auto"/>
        <w:right w:val="none" w:sz="0" w:space="0" w:color="auto"/>
      </w:divBdr>
    </w:div>
    <w:div w:id="218054425">
      <w:bodyDiv w:val="1"/>
      <w:marLeft w:val="0"/>
      <w:marRight w:val="0"/>
      <w:marTop w:val="0"/>
      <w:marBottom w:val="0"/>
      <w:divBdr>
        <w:top w:val="none" w:sz="0" w:space="0" w:color="auto"/>
        <w:left w:val="none" w:sz="0" w:space="0" w:color="auto"/>
        <w:bottom w:val="none" w:sz="0" w:space="0" w:color="auto"/>
        <w:right w:val="none" w:sz="0" w:space="0" w:color="auto"/>
      </w:divBdr>
    </w:div>
    <w:div w:id="998271461">
      <w:bodyDiv w:val="1"/>
      <w:marLeft w:val="0"/>
      <w:marRight w:val="0"/>
      <w:marTop w:val="0"/>
      <w:marBottom w:val="0"/>
      <w:divBdr>
        <w:top w:val="none" w:sz="0" w:space="0" w:color="auto"/>
        <w:left w:val="none" w:sz="0" w:space="0" w:color="auto"/>
        <w:bottom w:val="none" w:sz="0" w:space="0" w:color="auto"/>
        <w:right w:val="none" w:sz="0" w:space="0" w:color="auto"/>
      </w:divBdr>
    </w:div>
    <w:div w:id="1133332871">
      <w:bodyDiv w:val="1"/>
      <w:marLeft w:val="0"/>
      <w:marRight w:val="0"/>
      <w:marTop w:val="0"/>
      <w:marBottom w:val="0"/>
      <w:divBdr>
        <w:top w:val="none" w:sz="0" w:space="0" w:color="auto"/>
        <w:left w:val="none" w:sz="0" w:space="0" w:color="auto"/>
        <w:bottom w:val="none" w:sz="0" w:space="0" w:color="auto"/>
        <w:right w:val="none" w:sz="0" w:space="0" w:color="auto"/>
      </w:divBdr>
    </w:div>
    <w:div w:id="1657147794">
      <w:bodyDiv w:val="1"/>
      <w:marLeft w:val="0"/>
      <w:marRight w:val="0"/>
      <w:marTop w:val="0"/>
      <w:marBottom w:val="0"/>
      <w:divBdr>
        <w:top w:val="none" w:sz="0" w:space="0" w:color="auto"/>
        <w:left w:val="none" w:sz="0" w:space="0" w:color="auto"/>
        <w:bottom w:val="none" w:sz="0" w:space="0" w:color="auto"/>
        <w:right w:val="none" w:sz="0" w:space="0" w:color="auto"/>
      </w:divBdr>
      <w:divsChild>
        <w:div w:id="1242719929">
          <w:marLeft w:val="0"/>
          <w:marRight w:val="0"/>
          <w:marTop w:val="0"/>
          <w:marBottom w:val="0"/>
          <w:divBdr>
            <w:top w:val="none" w:sz="0" w:space="0" w:color="auto"/>
            <w:left w:val="none" w:sz="0" w:space="0" w:color="auto"/>
            <w:bottom w:val="none" w:sz="0" w:space="0" w:color="auto"/>
            <w:right w:val="none" w:sz="0" w:space="0" w:color="auto"/>
          </w:divBdr>
          <w:divsChild>
            <w:div w:id="1776555091">
              <w:marLeft w:val="0"/>
              <w:marRight w:val="0"/>
              <w:marTop w:val="0"/>
              <w:marBottom w:val="0"/>
              <w:divBdr>
                <w:top w:val="none" w:sz="0" w:space="0" w:color="auto"/>
                <w:left w:val="none" w:sz="0" w:space="0" w:color="auto"/>
                <w:bottom w:val="none" w:sz="0" w:space="0" w:color="auto"/>
                <w:right w:val="none" w:sz="0" w:space="0" w:color="auto"/>
              </w:divBdr>
            </w:div>
            <w:div w:id="1334796023">
              <w:marLeft w:val="0"/>
              <w:marRight w:val="0"/>
              <w:marTop w:val="0"/>
              <w:marBottom w:val="0"/>
              <w:divBdr>
                <w:top w:val="none" w:sz="0" w:space="0" w:color="auto"/>
                <w:left w:val="none" w:sz="0" w:space="0" w:color="auto"/>
                <w:bottom w:val="none" w:sz="0" w:space="0" w:color="auto"/>
                <w:right w:val="none" w:sz="0" w:space="0" w:color="auto"/>
              </w:divBdr>
            </w:div>
            <w:div w:id="12982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procurement.tg@undp.org"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cd.undp.org/hr/Conditions_G&#233;n&#233;rales_IC.pdf"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package" Target="embeddings/Microsoft_Word_Document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DB1B-1577-4751-AAE7-ECD8F5FE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4392</Words>
  <Characters>24158</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Aline Kayihura</cp:lastModifiedBy>
  <cp:revision>2</cp:revision>
  <dcterms:created xsi:type="dcterms:W3CDTF">2018-11-11T18:29:00Z</dcterms:created>
  <dcterms:modified xsi:type="dcterms:W3CDTF">2018-11-11T18:29:00Z</dcterms:modified>
</cp:coreProperties>
</file>