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4B7E" w14:textId="77777777" w:rsidR="00867646" w:rsidRPr="00867646" w:rsidRDefault="00867646" w:rsidP="00867646">
      <w:r w:rsidRPr="00867646">
        <w:rPr>
          <w:b/>
        </w:rPr>
        <w:t>Annex 1. Macro Assessment Checklist</w:t>
      </w:r>
      <w:r w:rsidRPr="00867646">
        <w:rPr>
          <w:b/>
          <w:i/>
        </w:rPr>
        <w:t xml:space="preserve"> </w:t>
      </w:r>
    </w:p>
    <w:p w14:paraId="6358E420" w14:textId="065AE39A" w:rsidR="00867646" w:rsidRPr="00867646" w:rsidRDefault="00867646" w:rsidP="00867646">
      <w:pPr>
        <w:rPr>
          <w:b/>
        </w:rPr>
      </w:pPr>
      <w:r w:rsidRPr="00867646">
        <w:rPr>
          <w:b/>
          <w:i/>
        </w:rPr>
        <w:t xml:space="preserve"> </w:t>
      </w:r>
      <w:r w:rsidRPr="00867646">
        <w:rPr>
          <w:b/>
        </w:rPr>
        <w:t xml:space="preserve">General Overview of Macro Assessment </w:t>
      </w:r>
    </w:p>
    <w:tbl>
      <w:tblPr>
        <w:tblW w:w="9496" w:type="dxa"/>
        <w:tblInd w:w="5" w:type="dxa"/>
        <w:tblCellMar>
          <w:top w:w="79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5074"/>
        <w:gridCol w:w="4422"/>
      </w:tblGrid>
      <w:tr w:rsidR="00867646" w:rsidRPr="00867646" w14:paraId="7D8339E4" w14:textId="77777777" w:rsidTr="007D5B87">
        <w:trPr>
          <w:trHeight w:val="5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EA3" w14:textId="48E920AD" w:rsidR="00867646" w:rsidRPr="00867646" w:rsidRDefault="00867646" w:rsidP="00867646">
            <w:r w:rsidRPr="00867646">
              <w:rPr>
                <w:b/>
              </w:rPr>
              <w:t xml:space="preserve"> Country being macro assessed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8C09" w14:textId="77777777" w:rsidR="00867646" w:rsidRPr="00867646" w:rsidRDefault="00867646" w:rsidP="00867646">
            <w:r w:rsidRPr="00867646">
              <w:t xml:space="preserve"> </w:t>
            </w:r>
          </w:p>
        </w:tc>
      </w:tr>
      <w:tr w:rsidR="00867646" w:rsidRPr="00867646" w14:paraId="2964FE95" w14:textId="77777777" w:rsidTr="007D5B87">
        <w:trPr>
          <w:trHeight w:val="5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CD26" w14:textId="77777777" w:rsidR="00867646" w:rsidRPr="00867646" w:rsidRDefault="00867646" w:rsidP="00867646">
            <w:r w:rsidRPr="00867646">
              <w:rPr>
                <w:b/>
              </w:rPr>
              <w:t xml:space="preserve">Agencies utilizing HACT framework in country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053E" w14:textId="77777777" w:rsidR="00867646" w:rsidRPr="00867646" w:rsidRDefault="00867646" w:rsidP="00867646">
            <w:r w:rsidRPr="00867646">
              <w:t xml:space="preserve"> </w:t>
            </w:r>
          </w:p>
        </w:tc>
      </w:tr>
      <w:tr w:rsidR="00867646" w:rsidRPr="00867646" w14:paraId="0EB50B24" w14:textId="77777777" w:rsidTr="007D5B87">
        <w:trPr>
          <w:trHeight w:val="528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52B4" w14:textId="77777777" w:rsidR="00867646" w:rsidRPr="00867646" w:rsidRDefault="00867646" w:rsidP="00867646">
            <w:r w:rsidRPr="00867646">
              <w:rPr>
                <w:b/>
              </w:rPr>
              <w:t xml:space="preserve">Agency contact person(s)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7C30" w14:textId="77777777" w:rsidR="00867646" w:rsidRPr="00867646" w:rsidRDefault="00867646" w:rsidP="00867646">
            <w:r w:rsidRPr="00867646">
              <w:t xml:space="preserve"> </w:t>
            </w:r>
          </w:p>
        </w:tc>
      </w:tr>
      <w:tr w:rsidR="00867646" w:rsidRPr="00867646" w14:paraId="07206724" w14:textId="77777777" w:rsidTr="007D5B87">
        <w:trPr>
          <w:trHeight w:val="80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256A" w14:textId="77777777" w:rsidR="00867646" w:rsidRPr="00867646" w:rsidRDefault="00867646" w:rsidP="00867646">
            <w:r w:rsidRPr="00867646">
              <w:rPr>
                <w:b/>
              </w:rPr>
              <w:t>Start/end date of macro assessment (</w:t>
            </w:r>
            <w:proofErr w:type="spellStart"/>
            <w:r w:rsidRPr="00867646">
              <w:rPr>
                <w:b/>
              </w:rPr>
              <w:t>dd</w:t>
            </w:r>
            <w:proofErr w:type="spellEnd"/>
            <w:r w:rsidRPr="00867646">
              <w:rPr>
                <w:b/>
              </w:rPr>
              <w:t>/mm/</w:t>
            </w:r>
            <w:proofErr w:type="spellStart"/>
            <w:r w:rsidRPr="00867646">
              <w:rPr>
                <w:b/>
              </w:rPr>
              <w:t>yyyy</w:t>
            </w:r>
            <w:proofErr w:type="spellEnd"/>
            <w:r w:rsidRPr="00867646">
              <w:rPr>
                <w:b/>
              </w:rPr>
              <w:t xml:space="preserve"> – </w:t>
            </w:r>
            <w:proofErr w:type="spellStart"/>
            <w:r w:rsidRPr="00867646">
              <w:rPr>
                <w:b/>
              </w:rPr>
              <w:t>dd</w:t>
            </w:r>
            <w:proofErr w:type="spellEnd"/>
            <w:r w:rsidRPr="00867646">
              <w:rPr>
                <w:b/>
              </w:rPr>
              <w:t>/mm/</w:t>
            </w:r>
            <w:proofErr w:type="spellStart"/>
            <w:r w:rsidRPr="00867646">
              <w:rPr>
                <w:b/>
              </w:rPr>
              <w:t>yyyy</w:t>
            </w:r>
            <w:proofErr w:type="spellEnd"/>
            <w:r w:rsidRPr="00867646">
              <w:rPr>
                <w:b/>
              </w:rPr>
              <w:t xml:space="preserve">)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3C56" w14:textId="77777777" w:rsidR="00867646" w:rsidRPr="00867646" w:rsidRDefault="00867646" w:rsidP="00867646">
            <w:r w:rsidRPr="00867646">
              <w:t xml:space="preserve"> </w:t>
            </w:r>
          </w:p>
        </w:tc>
      </w:tr>
      <w:tr w:rsidR="00867646" w:rsidRPr="00867646" w14:paraId="072D6529" w14:textId="77777777" w:rsidTr="007D5B87">
        <w:trPr>
          <w:trHeight w:val="80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96E4" w14:textId="77777777" w:rsidR="00867646" w:rsidRPr="00867646" w:rsidRDefault="00867646" w:rsidP="00867646">
            <w:r w:rsidRPr="00867646">
              <w:rPr>
                <w:b/>
              </w:rPr>
              <w:t xml:space="preserve">Has a macro assessment been performed for this country previously (by any organization)?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4EE5" w14:textId="77777777" w:rsidR="00867646" w:rsidRPr="00867646" w:rsidRDefault="00867646" w:rsidP="00867646">
            <w:r w:rsidRPr="00867646">
              <w:t xml:space="preserve"> </w:t>
            </w:r>
          </w:p>
        </w:tc>
      </w:tr>
      <w:tr w:rsidR="00867646" w:rsidRPr="00867646" w14:paraId="184854C8" w14:textId="77777777" w:rsidTr="007D5B87">
        <w:trPr>
          <w:trHeight w:val="90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9D2F" w14:textId="77777777" w:rsidR="00867646" w:rsidRPr="00867646" w:rsidRDefault="00867646" w:rsidP="00867646">
            <w:r w:rsidRPr="00867646">
              <w:rPr>
                <w:b/>
              </w:rPr>
              <w:t xml:space="preserve">Member(s) of the macro assessment team </w:t>
            </w:r>
          </w:p>
          <w:p w14:paraId="413109FC" w14:textId="77777777" w:rsidR="00867646" w:rsidRPr="00867646" w:rsidRDefault="00867646" w:rsidP="00867646">
            <w:r w:rsidRPr="00867646">
              <w:rPr>
                <w:b/>
              </w:rPr>
              <w:t xml:space="preserve">(Name, designation, section/organization)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D74D" w14:textId="77777777" w:rsidR="00867646" w:rsidRPr="00867646" w:rsidRDefault="00867646" w:rsidP="00867646">
            <w:r w:rsidRPr="00867646">
              <w:t xml:space="preserve"> </w:t>
            </w:r>
          </w:p>
        </w:tc>
      </w:tr>
      <w:tr w:rsidR="00867646" w:rsidRPr="00867646" w14:paraId="7DDE73E8" w14:textId="77777777" w:rsidTr="007D5B87">
        <w:trPr>
          <w:trHeight w:val="80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2BCA" w14:textId="77777777" w:rsidR="00867646" w:rsidRPr="00867646" w:rsidRDefault="00867646" w:rsidP="00867646">
            <w:r w:rsidRPr="00867646">
              <w:rPr>
                <w:b/>
              </w:rPr>
              <w:t xml:space="preserve">Sources of information used in assessment (title, date published, source, etc.)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A186" w14:textId="77777777" w:rsidR="00867646" w:rsidRPr="00867646" w:rsidRDefault="00867646" w:rsidP="00867646">
            <w:r w:rsidRPr="00867646">
              <w:t xml:space="preserve"> </w:t>
            </w:r>
          </w:p>
        </w:tc>
      </w:tr>
    </w:tbl>
    <w:p w14:paraId="5A119094" w14:textId="77777777" w:rsidR="00867646" w:rsidRPr="00867646" w:rsidRDefault="00867646" w:rsidP="00867646">
      <w:r w:rsidRPr="00867646">
        <w:t xml:space="preserve"> </w:t>
      </w:r>
    </w:p>
    <w:p w14:paraId="6EE45CFF" w14:textId="77777777" w:rsidR="00867646" w:rsidRPr="00867646" w:rsidRDefault="00867646" w:rsidP="00867646">
      <w:r w:rsidRPr="00867646">
        <w:t xml:space="preserve"> </w:t>
      </w:r>
    </w:p>
    <w:p w14:paraId="49D09DAB" w14:textId="77777777" w:rsidR="00867646" w:rsidRPr="00867646" w:rsidRDefault="00867646" w:rsidP="00867646"/>
    <w:p w14:paraId="633D8CD9" w14:textId="77777777" w:rsidR="00867646" w:rsidRDefault="00867646" w:rsidP="00867646"/>
    <w:p w14:paraId="4B5157F8" w14:textId="77777777" w:rsidR="00071DE2" w:rsidRDefault="00071DE2" w:rsidP="00867646"/>
    <w:p w14:paraId="0AA89798" w14:textId="77777777" w:rsidR="00071DE2" w:rsidRDefault="00071DE2" w:rsidP="00867646"/>
    <w:p w14:paraId="00CC552D" w14:textId="77777777" w:rsidR="00071DE2" w:rsidRDefault="00071DE2" w:rsidP="00867646"/>
    <w:p w14:paraId="39EC403E" w14:textId="77777777" w:rsidR="00071DE2" w:rsidRDefault="00071DE2" w:rsidP="00867646"/>
    <w:p w14:paraId="37695A66" w14:textId="77777777" w:rsidR="00071DE2" w:rsidRDefault="00071DE2" w:rsidP="00867646"/>
    <w:p w14:paraId="5FBDD21F" w14:textId="77777777" w:rsidR="00071DE2" w:rsidRDefault="00071DE2" w:rsidP="00867646">
      <w:pPr>
        <w:sectPr w:rsidR="00071D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27" w:right="1292" w:bottom="1775" w:left="1440" w:header="723" w:footer="622" w:gutter="0"/>
          <w:cols w:space="720"/>
          <w:titlePg/>
        </w:sectPr>
      </w:pPr>
    </w:p>
    <w:p w14:paraId="1032CBA7" w14:textId="77777777" w:rsidR="00071DE2" w:rsidRPr="00071DE2" w:rsidRDefault="00071DE2" w:rsidP="00071DE2">
      <w:pPr>
        <w:rPr>
          <w:b/>
        </w:rPr>
      </w:pPr>
      <w:r w:rsidRPr="00071DE2">
        <w:rPr>
          <w:b/>
        </w:rPr>
        <w:lastRenderedPageBreak/>
        <w:t xml:space="preserve">Annex 2.  Risk consideration checklist </w:t>
      </w:r>
    </w:p>
    <w:tbl>
      <w:tblPr>
        <w:tblW w:w="13771" w:type="dxa"/>
        <w:tblInd w:w="-426" w:type="dxa"/>
        <w:tblCellMar>
          <w:top w:w="31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525"/>
        <w:gridCol w:w="2170"/>
        <w:gridCol w:w="1990"/>
        <w:gridCol w:w="1937"/>
        <w:gridCol w:w="1762"/>
        <w:gridCol w:w="2246"/>
        <w:gridCol w:w="1169"/>
        <w:gridCol w:w="1972"/>
      </w:tblGrid>
      <w:tr w:rsidR="00071DE2" w:rsidRPr="00071DE2" w14:paraId="0F71510A" w14:textId="77777777" w:rsidTr="007D5B87">
        <w:trPr>
          <w:trHeight w:val="31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07BB77B9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3DECB492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3CD82001" w14:textId="77777777" w:rsidR="00071DE2" w:rsidRPr="00071DE2" w:rsidRDefault="00071DE2" w:rsidP="00071DE2">
            <w:r w:rsidRPr="00071DE2">
              <w:rPr>
                <w:b/>
              </w:rPr>
              <w:t xml:space="preserve">Risk Consideration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4A508D78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0F501CE6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</w:tr>
      <w:tr w:rsidR="00071DE2" w:rsidRPr="00071DE2" w14:paraId="09111772" w14:textId="77777777" w:rsidTr="007D5B87">
        <w:trPr>
          <w:trHeight w:val="57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3EA9EE" w14:textId="77777777" w:rsidR="00071DE2" w:rsidRPr="00071DE2" w:rsidRDefault="00071DE2" w:rsidP="00071DE2">
            <w:r w:rsidRPr="00071DE2">
              <w:rPr>
                <w:b/>
              </w:rPr>
              <w:t xml:space="preserve">No.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09B2E7" w14:textId="77777777" w:rsidR="00071DE2" w:rsidRPr="00071DE2" w:rsidRDefault="00071DE2" w:rsidP="00071DE2">
            <w:r w:rsidRPr="00071DE2">
              <w:rPr>
                <w:b/>
              </w:rPr>
              <w:t xml:space="preserve">Indicator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211E89" w14:textId="77777777" w:rsidR="00071DE2" w:rsidRPr="00071DE2" w:rsidRDefault="00071DE2" w:rsidP="00071DE2">
            <w:r w:rsidRPr="00071DE2">
              <w:rPr>
                <w:b/>
              </w:rPr>
              <w:t xml:space="preserve">High risk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9D46B5" w14:textId="77777777" w:rsidR="00071DE2" w:rsidRPr="00071DE2" w:rsidRDefault="00071DE2" w:rsidP="00071DE2">
            <w:r w:rsidRPr="00071DE2">
              <w:rPr>
                <w:b/>
              </w:rPr>
              <w:t xml:space="preserve">Significant risk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AE7EE5" w14:textId="77777777" w:rsidR="00071DE2" w:rsidRPr="00071DE2" w:rsidRDefault="00071DE2" w:rsidP="00071DE2">
            <w:r w:rsidRPr="00071DE2">
              <w:rPr>
                <w:b/>
              </w:rPr>
              <w:t xml:space="preserve">Moderate risk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46FBAB" w14:textId="77777777" w:rsidR="00071DE2" w:rsidRPr="00071DE2" w:rsidRDefault="00071DE2" w:rsidP="00071DE2">
            <w:r w:rsidRPr="00071DE2">
              <w:rPr>
                <w:b/>
              </w:rPr>
              <w:t xml:space="preserve">Low risk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31BF49" w14:textId="77777777" w:rsidR="00071DE2" w:rsidRPr="00071DE2" w:rsidRDefault="00071DE2" w:rsidP="00071DE2">
            <w:r w:rsidRPr="00071DE2">
              <w:rPr>
                <w:b/>
              </w:rPr>
              <w:t xml:space="preserve">Indicator risk level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845080" w14:textId="77777777" w:rsidR="00071DE2" w:rsidRPr="00071DE2" w:rsidRDefault="00071DE2" w:rsidP="00071DE2">
            <w:r w:rsidRPr="00071DE2">
              <w:rPr>
                <w:b/>
              </w:rPr>
              <w:t xml:space="preserve">Comment </w:t>
            </w:r>
          </w:p>
        </w:tc>
      </w:tr>
      <w:tr w:rsidR="00071DE2" w:rsidRPr="00071DE2" w14:paraId="024860FA" w14:textId="77777777" w:rsidTr="007D5B87">
        <w:trPr>
          <w:trHeight w:val="14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14D4" w14:textId="77777777" w:rsidR="00071DE2" w:rsidRPr="00071DE2" w:rsidRDefault="00071DE2" w:rsidP="00071DE2">
            <w:r w:rsidRPr="00071DE2">
              <w:rPr>
                <w:b/>
              </w:rPr>
              <w:t xml:space="preserve">1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ED7F" w14:textId="77777777" w:rsidR="00071DE2" w:rsidRPr="00071DE2" w:rsidRDefault="00071DE2" w:rsidP="00071DE2">
            <w:r w:rsidRPr="00071DE2">
              <w:rPr>
                <w:b/>
              </w:rPr>
              <w:t xml:space="preserve">The annual budget </w:t>
            </w:r>
          </w:p>
          <w:p w14:paraId="5AA7EAF1" w14:textId="77777777" w:rsidR="00071DE2" w:rsidRPr="00071DE2" w:rsidRDefault="00071DE2" w:rsidP="00071DE2">
            <w:r w:rsidRPr="00071DE2">
              <w:rPr>
                <w:b/>
              </w:rPr>
              <w:t xml:space="preserve">contains all significant </w:t>
            </w:r>
          </w:p>
          <w:p w14:paraId="76ECF62A" w14:textId="77777777" w:rsidR="00071DE2" w:rsidRPr="00071DE2" w:rsidRDefault="00071DE2" w:rsidP="00071DE2">
            <w:r w:rsidRPr="00071DE2">
              <w:rPr>
                <w:b/>
              </w:rPr>
              <w:t xml:space="preserve">government expenditures, including relevant donor contributions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A88F" w14:textId="77777777" w:rsidR="00071DE2" w:rsidRPr="00071DE2" w:rsidRDefault="00071DE2" w:rsidP="00071DE2">
            <w:r w:rsidRPr="00071DE2">
              <w:t xml:space="preserve">No </w:t>
            </w:r>
          </w:p>
        </w:tc>
        <w:tc>
          <w:tcPr>
            <w:tcW w:w="1937" w:type="dxa"/>
            <w:tcBorders>
              <w:top w:val="single" w:sz="1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29CB672B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762" w:type="dxa"/>
            <w:tcBorders>
              <w:top w:val="single" w:sz="1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7B41A1C7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423C" w14:textId="77777777" w:rsidR="00071DE2" w:rsidRPr="00071DE2" w:rsidRDefault="00071DE2" w:rsidP="00071DE2">
            <w:r w:rsidRPr="00071DE2">
              <w:t xml:space="preserve">Yes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C3DA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43AE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5968C344" w14:textId="77777777" w:rsidTr="007D5B87">
        <w:trPr>
          <w:trHeight w:val="19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068D" w14:textId="77777777" w:rsidR="00071DE2" w:rsidRPr="00071DE2" w:rsidRDefault="00071DE2" w:rsidP="00071DE2">
            <w:r w:rsidRPr="00071DE2">
              <w:rPr>
                <w:b/>
              </w:rPr>
              <w:t xml:space="preserve">2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1DC0" w14:textId="77777777" w:rsidR="00071DE2" w:rsidRPr="00071DE2" w:rsidRDefault="00071DE2" w:rsidP="00071DE2">
            <w:r w:rsidRPr="00071DE2">
              <w:rPr>
                <w:b/>
              </w:rPr>
              <w:t xml:space="preserve">Budget and performance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2703" w14:textId="77777777" w:rsidR="00071DE2" w:rsidRPr="00071DE2" w:rsidRDefault="00071DE2" w:rsidP="00071DE2">
            <w:r w:rsidRPr="00071DE2">
              <w:t xml:space="preserve">Budget decisions are only nominally debated. Little consideration of previous performance is taken into account when setting future budgets. 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56189D3E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095536CF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4A2A" w14:textId="77777777" w:rsidR="00071DE2" w:rsidRPr="00071DE2" w:rsidRDefault="00071DE2" w:rsidP="00071DE2">
            <w:r w:rsidRPr="00071DE2">
              <w:t xml:space="preserve">Budget decisions are fully debated with assistance from expert committees. Full consideration of previous performance is taken into account when setting future budgets.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F21D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3FF6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0641421D" w14:textId="77777777" w:rsidTr="007D5B87">
        <w:trPr>
          <w:trHeight w:val="149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EE22" w14:textId="77777777" w:rsidR="00071DE2" w:rsidRPr="00071DE2" w:rsidRDefault="00071DE2" w:rsidP="00071DE2">
            <w:r w:rsidRPr="00071DE2">
              <w:rPr>
                <w:b/>
              </w:rPr>
              <w:t xml:space="preserve">3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4D70" w14:textId="77777777" w:rsidR="00071DE2" w:rsidRPr="00071DE2" w:rsidRDefault="00071DE2" w:rsidP="00071DE2">
            <w:r w:rsidRPr="00071DE2">
              <w:rPr>
                <w:b/>
              </w:rPr>
              <w:t xml:space="preserve">Budget execution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BFA4" w14:textId="77777777" w:rsidR="00071DE2" w:rsidRPr="00071DE2" w:rsidRDefault="00071DE2" w:rsidP="00071DE2">
            <w:r w:rsidRPr="00071DE2">
              <w:t xml:space="preserve">Government </w:t>
            </w:r>
          </w:p>
          <w:p w14:paraId="417EDD61" w14:textId="77777777" w:rsidR="00071DE2" w:rsidRPr="00071DE2" w:rsidRDefault="00071DE2" w:rsidP="00071DE2">
            <w:r w:rsidRPr="00071DE2">
              <w:t xml:space="preserve">historically does not execute budgets as planned. 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B42C" w14:textId="77777777" w:rsidR="00071DE2" w:rsidRPr="00071DE2" w:rsidRDefault="00071DE2" w:rsidP="00071DE2">
            <w:r w:rsidRPr="00071DE2">
              <w:t xml:space="preserve">Government </w:t>
            </w:r>
          </w:p>
          <w:p w14:paraId="7EAFBEF7" w14:textId="77777777" w:rsidR="00071DE2" w:rsidRPr="00071DE2" w:rsidRDefault="00071DE2" w:rsidP="00071DE2">
            <w:r w:rsidRPr="00071DE2">
              <w:t xml:space="preserve">historically executes budgets as planned, but there are </w:t>
            </w:r>
            <w:r w:rsidRPr="00071DE2">
              <w:lastRenderedPageBreak/>
              <w:t xml:space="preserve">significant exceptions. 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18C5" w14:textId="77777777" w:rsidR="00071DE2" w:rsidRPr="00071DE2" w:rsidRDefault="00071DE2" w:rsidP="00071DE2">
            <w:r w:rsidRPr="00071DE2">
              <w:lastRenderedPageBreak/>
              <w:t xml:space="preserve">Government </w:t>
            </w:r>
          </w:p>
          <w:p w14:paraId="64490DF6" w14:textId="77777777" w:rsidR="00071DE2" w:rsidRPr="00071DE2" w:rsidRDefault="00071DE2" w:rsidP="00071DE2">
            <w:r w:rsidRPr="00071DE2">
              <w:t xml:space="preserve">historically executes budgets as planned with limited exceptions.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92BF" w14:textId="77777777" w:rsidR="00071DE2" w:rsidRPr="00071DE2" w:rsidRDefault="00071DE2" w:rsidP="00071DE2">
            <w:r w:rsidRPr="00071DE2">
              <w:t xml:space="preserve">Government historically executes budgets as planned without exceptions.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974F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7715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7E557E7F" w14:textId="77777777" w:rsidTr="007D5B87">
        <w:trPr>
          <w:trHeight w:val="21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1227" w14:textId="77777777" w:rsidR="00071DE2" w:rsidRPr="00071DE2" w:rsidRDefault="00071DE2" w:rsidP="00071DE2">
            <w:r w:rsidRPr="00071DE2">
              <w:rPr>
                <w:b/>
              </w:rPr>
              <w:t xml:space="preserve">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1DCF" w14:textId="77777777" w:rsidR="00071DE2" w:rsidRPr="00071DE2" w:rsidRDefault="00071DE2" w:rsidP="00071DE2">
            <w:r w:rsidRPr="00071DE2">
              <w:rPr>
                <w:b/>
              </w:rPr>
              <w:t xml:space="preserve">To what extent are internal controls and financial procedures adhered to?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7E83" w14:textId="77777777" w:rsidR="00071DE2" w:rsidRPr="00071DE2" w:rsidRDefault="00071DE2" w:rsidP="00071DE2">
            <w:r w:rsidRPr="00071DE2">
              <w:t xml:space="preserve">Procedures are frequently overridden or ignored.  Emergency procedures are routinely used.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7281" w14:textId="77777777" w:rsidR="00071DE2" w:rsidRPr="00071DE2" w:rsidRDefault="00071DE2" w:rsidP="00071DE2">
            <w:r w:rsidRPr="00071DE2">
              <w:t xml:space="preserve">Procedures are generally followed, but there are significant exceptions. Doubt exists as to whether or not the internal control system can be relied upon.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614" w14:textId="77777777" w:rsidR="00071DE2" w:rsidRPr="00071DE2" w:rsidRDefault="00071DE2" w:rsidP="00071DE2">
            <w:r w:rsidRPr="00071DE2">
              <w:t xml:space="preserve">Procedures are generally followed. While exceptions exist, they are not frequent enough to prevent reliance on the internal control system.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D072" w14:textId="77777777" w:rsidR="00071DE2" w:rsidRPr="00071DE2" w:rsidRDefault="00071DE2" w:rsidP="00071DE2">
            <w:r w:rsidRPr="00071DE2">
              <w:t xml:space="preserve">Always.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5B37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107E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5106F33B" w14:textId="77777777" w:rsidTr="007D5B87">
        <w:trPr>
          <w:trHeight w:val="102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CE57" w14:textId="77777777" w:rsidR="00071DE2" w:rsidRPr="00071DE2" w:rsidRDefault="00071DE2" w:rsidP="00071DE2">
            <w:r w:rsidRPr="00071DE2">
              <w:rPr>
                <w:b/>
              </w:rPr>
              <w:t xml:space="preserve">5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B15B" w14:textId="77777777" w:rsidR="00071DE2" w:rsidRPr="00071DE2" w:rsidRDefault="00071DE2" w:rsidP="00071DE2">
            <w:r w:rsidRPr="00071DE2">
              <w:rPr>
                <w:b/>
              </w:rPr>
              <w:t xml:space="preserve">Bank reconciliations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AA0D" w14:textId="77777777" w:rsidR="00071DE2" w:rsidRPr="00071DE2" w:rsidRDefault="00071DE2" w:rsidP="00071DE2">
            <w:r w:rsidRPr="00071DE2">
              <w:t xml:space="preserve">Many accounts are not reconciled monthly.  </w:t>
            </w:r>
          </w:p>
          <w:p w14:paraId="0FCAA531" w14:textId="77777777" w:rsidR="00071DE2" w:rsidRPr="00071DE2" w:rsidRDefault="00071DE2" w:rsidP="00071DE2">
            <w:r w:rsidRPr="00071DE2">
              <w:t xml:space="preserve">Reconciliations are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14ED" w14:textId="77777777" w:rsidR="00071DE2" w:rsidRPr="00071DE2" w:rsidRDefault="00071DE2" w:rsidP="00071DE2">
            <w:r w:rsidRPr="00071DE2">
              <w:t xml:space="preserve">A number of significant accounts are not reconciled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B6EC" w14:textId="77777777" w:rsidR="00071DE2" w:rsidRPr="00071DE2" w:rsidRDefault="00071DE2" w:rsidP="00071DE2">
            <w:proofErr w:type="gramStart"/>
            <w:r w:rsidRPr="00071DE2">
              <w:t>Generally</w:t>
            </w:r>
            <w:proofErr w:type="gramEnd"/>
            <w:r w:rsidRPr="00071DE2">
              <w:t xml:space="preserve"> banks are properly reconciled each month. 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1BA" w14:textId="77777777" w:rsidR="00071DE2" w:rsidRPr="00071DE2" w:rsidRDefault="00071DE2" w:rsidP="00071DE2">
            <w:r w:rsidRPr="00071DE2">
              <w:t xml:space="preserve">Performed to a high standard for all bank accounts at least once a month.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9391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07F5" w14:textId="77777777" w:rsidR="00071DE2" w:rsidRPr="00071DE2" w:rsidRDefault="00071DE2" w:rsidP="00071DE2">
            <w:r w:rsidRPr="00071DE2">
              <w:t xml:space="preserve"> </w:t>
            </w:r>
          </w:p>
        </w:tc>
      </w:tr>
    </w:tbl>
    <w:p w14:paraId="12AE053D" w14:textId="77777777" w:rsidR="00071DE2" w:rsidRPr="00071DE2" w:rsidRDefault="00071DE2" w:rsidP="00071DE2"/>
    <w:tbl>
      <w:tblPr>
        <w:tblW w:w="13771" w:type="dxa"/>
        <w:tblInd w:w="-426" w:type="dxa"/>
        <w:tblCellMar>
          <w:top w:w="25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525"/>
        <w:gridCol w:w="2170"/>
        <w:gridCol w:w="1990"/>
        <w:gridCol w:w="1937"/>
        <w:gridCol w:w="1762"/>
        <w:gridCol w:w="2246"/>
        <w:gridCol w:w="1169"/>
        <w:gridCol w:w="1972"/>
      </w:tblGrid>
      <w:tr w:rsidR="00071DE2" w:rsidRPr="00071DE2" w14:paraId="49ED01CD" w14:textId="77777777" w:rsidTr="007D5B87">
        <w:trPr>
          <w:trHeight w:val="32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390BB0BB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1087B8EC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41CDF80C" w14:textId="77777777" w:rsidR="00071DE2" w:rsidRPr="00071DE2" w:rsidRDefault="00071DE2" w:rsidP="00071DE2">
            <w:r w:rsidRPr="00071DE2">
              <w:rPr>
                <w:b/>
              </w:rPr>
              <w:t xml:space="preserve">Risk Consideration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15B1B4AF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5D6D6C9F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</w:tr>
      <w:tr w:rsidR="00071DE2" w:rsidRPr="00071DE2" w14:paraId="3A634ABA" w14:textId="77777777" w:rsidTr="007D5B87">
        <w:trPr>
          <w:trHeight w:val="5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6B00D9" w14:textId="77777777" w:rsidR="00071DE2" w:rsidRPr="00071DE2" w:rsidRDefault="00071DE2" w:rsidP="00071DE2">
            <w:r w:rsidRPr="00071DE2">
              <w:rPr>
                <w:b/>
              </w:rPr>
              <w:t xml:space="preserve">No.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0C4379" w14:textId="77777777" w:rsidR="00071DE2" w:rsidRPr="00071DE2" w:rsidRDefault="00071DE2" w:rsidP="00071DE2">
            <w:r w:rsidRPr="00071DE2">
              <w:rPr>
                <w:b/>
              </w:rPr>
              <w:t xml:space="preserve">Indicator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854D1A" w14:textId="77777777" w:rsidR="00071DE2" w:rsidRPr="00071DE2" w:rsidRDefault="00071DE2" w:rsidP="00071DE2">
            <w:r w:rsidRPr="00071DE2">
              <w:rPr>
                <w:b/>
              </w:rPr>
              <w:t xml:space="preserve">High risk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EBB79D" w14:textId="77777777" w:rsidR="00071DE2" w:rsidRPr="00071DE2" w:rsidRDefault="00071DE2" w:rsidP="00071DE2">
            <w:r w:rsidRPr="00071DE2">
              <w:rPr>
                <w:b/>
              </w:rPr>
              <w:t xml:space="preserve">Significant risk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EFBB5C" w14:textId="77777777" w:rsidR="00071DE2" w:rsidRPr="00071DE2" w:rsidRDefault="00071DE2" w:rsidP="00071DE2">
            <w:r w:rsidRPr="00071DE2">
              <w:rPr>
                <w:b/>
              </w:rPr>
              <w:t xml:space="preserve">Moderate risk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F36A2D" w14:textId="77777777" w:rsidR="00071DE2" w:rsidRPr="00071DE2" w:rsidRDefault="00071DE2" w:rsidP="00071DE2">
            <w:r w:rsidRPr="00071DE2">
              <w:rPr>
                <w:b/>
              </w:rPr>
              <w:t xml:space="preserve">Low risk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3D0B34" w14:textId="77777777" w:rsidR="00071DE2" w:rsidRPr="00071DE2" w:rsidRDefault="00071DE2" w:rsidP="00071DE2">
            <w:r w:rsidRPr="00071DE2">
              <w:rPr>
                <w:b/>
              </w:rPr>
              <w:t xml:space="preserve">Indicator risk level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E3A5FA" w14:textId="77777777" w:rsidR="00071DE2" w:rsidRPr="00071DE2" w:rsidRDefault="00071DE2" w:rsidP="00071DE2">
            <w:r w:rsidRPr="00071DE2">
              <w:rPr>
                <w:b/>
              </w:rPr>
              <w:t xml:space="preserve">Comment </w:t>
            </w:r>
          </w:p>
        </w:tc>
      </w:tr>
      <w:tr w:rsidR="00071DE2" w:rsidRPr="00071DE2" w14:paraId="447B4197" w14:textId="77777777" w:rsidTr="007D5B87">
        <w:trPr>
          <w:trHeight w:val="104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926C" w14:textId="77777777" w:rsidR="00071DE2" w:rsidRPr="00071DE2" w:rsidRDefault="00071DE2" w:rsidP="00071DE2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EC55" w14:textId="77777777" w:rsidR="00071DE2" w:rsidRPr="00071DE2" w:rsidRDefault="00071DE2" w:rsidP="00071DE2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7470" w14:textId="77777777" w:rsidR="00071DE2" w:rsidRPr="00071DE2" w:rsidRDefault="00071DE2" w:rsidP="00071DE2">
            <w:r w:rsidRPr="00071DE2">
              <w:t xml:space="preserve">often poorly performed.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B452" w14:textId="77777777" w:rsidR="00071DE2" w:rsidRPr="00071DE2" w:rsidRDefault="00071DE2" w:rsidP="00071DE2">
            <w:r w:rsidRPr="00071DE2">
              <w:t xml:space="preserve">monthly. Quality is sometimes poor.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7A25" w14:textId="77777777" w:rsidR="00071DE2" w:rsidRPr="00071DE2" w:rsidRDefault="00071DE2" w:rsidP="00071DE2">
            <w:r w:rsidRPr="00071DE2">
              <w:t xml:space="preserve">Exceptions exist but appropriate follow-up action </w:t>
            </w:r>
            <w:r w:rsidRPr="00071DE2">
              <w:lastRenderedPageBreak/>
              <w:t xml:space="preserve">is taken in all cases.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946F" w14:textId="77777777" w:rsidR="00071DE2" w:rsidRPr="00071DE2" w:rsidRDefault="00071DE2" w:rsidP="00071DE2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72F7" w14:textId="77777777" w:rsidR="00071DE2" w:rsidRPr="00071DE2" w:rsidRDefault="00071DE2" w:rsidP="00071DE2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4553" w14:textId="77777777" w:rsidR="00071DE2" w:rsidRPr="00071DE2" w:rsidRDefault="00071DE2" w:rsidP="00071DE2"/>
        </w:tc>
      </w:tr>
      <w:tr w:rsidR="00071DE2" w:rsidRPr="00071DE2" w14:paraId="35809A17" w14:textId="77777777" w:rsidTr="007D5B87">
        <w:trPr>
          <w:trHeight w:val="14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1FC9" w14:textId="77777777" w:rsidR="00071DE2" w:rsidRPr="00071DE2" w:rsidRDefault="00071DE2" w:rsidP="00071DE2">
            <w:r w:rsidRPr="00071DE2">
              <w:rPr>
                <w:b/>
              </w:rPr>
              <w:t xml:space="preserve">6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4B5D" w14:textId="77777777" w:rsidR="00071DE2" w:rsidRPr="00071DE2" w:rsidRDefault="00071DE2" w:rsidP="00071DE2">
            <w:r w:rsidRPr="00071DE2">
              <w:rPr>
                <w:b/>
              </w:rPr>
              <w:t xml:space="preserve">Transfer of cash resources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D4" w14:textId="77777777" w:rsidR="00071DE2" w:rsidRPr="00071DE2" w:rsidRDefault="00071DE2" w:rsidP="00071DE2">
            <w:r w:rsidRPr="00071DE2">
              <w:t xml:space="preserve">Cash transfers from central/regional levels to project level take more than one month.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1268980E" w14:textId="77777777" w:rsidR="00071DE2" w:rsidRPr="00071DE2" w:rsidRDefault="00071DE2" w:rsidP="00071DE2">
            <w:r w:rsidRPr="00071DE2">
              <w:t xml:space="preserve">Cash transfers from central/regional levels to project level take two to four weeks.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E00BD" w14:textId="77777777" w:rsidR="00071DE2" w:rsidRPr="00071DE2" w:rsidRDefault="00071DE2" w:rsidP="00071DE2">
            <w:r w:rsidRPr="00071DE2">
              <w:t xml:space="preserve">Cash transfers from </w:t>
            </w:r>
          </w:p>
          <w:p w14:paraId="358F4095" w14:textId="77777777" w:rsidR="00071DE2" w:rsidRPr="00071DE2" w:rsidRDefault="00071DE2" w:rsidP="00071DE2">
            <w:r w:rsidRPr="00071DE2">
              <w:t xml:space="preserve">central/regional levels to project level take one to two weeks.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5983" w14:textId="77777777" w:rsidR="00071DE2" w:rsidRPr="00071DE2" w:rsidRDefault="00071DE2" w:rsidP="00071DE2">
            <w:r w:rsidRPr="00071DE2">
              <w:t xml:space="preserve">Cash transfers from central/regional levels to project level take a week or less.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D812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1071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6739239C" w14:textId="77777777" w:rsidTr="007D5B87">
        <w:trPr>
          <w:trHeight w:val="123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326F" w14:textId="77777777" w:rsidR="00071DE2" w:rsidRPr="00071DE2" w:rsidRDefault="00071DE2" w:rsidP="00071DE2">
            <w:r w:rsidRPr="00071DE2">
              <w:rPr>
                <w:b/>
              </w:rPr>
              <w:t xml:space="preserve">7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8A24" w14:textId="77777777" w:rsidR="00071DE2" w:rsidRPr="00071DE2" w:rsidRDefault="00071DE2" w:rsidP="00071DE2">
            <w:r w:rsidRPr="00071DE2">
              <w:rPr>
                <w:b/>
              </w:rPr>
              <w:t xml:space="preserve">Reporting of cash and asset position to government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5B4C" w14:textId="77777777" w:rsidR="00071DE2" w:rsidRPr="00071DE2" w:rsidRDefault="00071DE2" w:rsidP="00071DE2">
            <w:r w:rsidRPr="00071DE2">
              <w:t xml:space="preserve">Analysis of cash and asset position made to government contains significant omissions. </w:t>
            </w:r>
          </w:p>
        </w:tc>
        <w:tc>
          <w:tcPr>
            <w:tcW w:w="1937" w:type="dxa"/>
            <w:tcBorders>
              <w:top w:val="single" w:sz="1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646252BE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2B0D1E96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38FC" w14:textId="77777777" w:rsidR="00071DE2" w:rsidRPr="00071DE2" w:rsidRDefault="00071DE2" w:rsidP="00071DE2">
            <w:r w:rsidRPr="00071DE2">
              <w:t xml:space="preserve">Full analysis of cash and asset position is made to government.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E2E2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A894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02EEF5C7" w14:textId="77777777" w:rsidTr="007D5B87">
        <w:trPr>
          <w:trHeight w:val="18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FC74" w14:textId="77777777" w:rsidR="00071DE2" w:rsidRPr="00071DE2" w:rsidRDefault="00071DE2" w:rsidP="00071DE2">
            <w:r w:rsidRPr="00071DE2">
              <w:rPr>
                <w:b/>
              </w:rPr>
              <w:t xml:space="preserve">8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AD62" w14:textId="77777777" w:rsidR="00071DE2" w:rsidRPr="00071DE2" w:rsidRDefault="00071DE2" w:rsidP="00071DE2">
            <w:r w:rsidRPr="00071DE2">
              <w:rPr>
                <w:b/>
              </w:rPr>
              <w:t xml:space="preserve">Financial audit / SAI auditor general </w:t>
            </w:r>
          </w:p>
          <w:p w14:paraId="7FD447C3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  <w:p w14:paraId="0DD208C4" w14:textId="77777777" w:rsidR="00071DE2" w:rsidRPr="00071DE2" w:rsidRDefault="00071DE2" w:rsidP="00071DE2">
            <w:r w:rsidRPr="00071DE2">
              <w:rPr>
                <w:i/>
              </w:rPr>
              <w:t xml:space="preserve">*For decentralized governments, consider consolidated audit coverage, if available. </w:t>
            </w:r>
            <w:r w:rsidRPr="00071DE2"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03AB" w14:textId="77777777" w:rsidR="00071DE2" w:rsidRPr="00071DE2" w:rsidRDefault="00071DE2" w:rsidP="00071DE2">
            <w:r w:rsidRPr="00071DE2">
              <w:t xml:space="preserve">External audit covers less than 80% of central government expenditures. 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1B44A75E" w14:textId="77777777" w:rsidR="00071DE2" w:rsidRPr="00071DE2" w:rsidRDefault="00071DE2" w:rsidP="00071DE2">
            <w:r w:rsidRPr="00071DE2">
              <w:t xml:space="preserve">External audit covers 80% to 90% of central government expenditures 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33D5785F" w14:textId="77777777" w:rsidR="00071DE2" w:rsidRPr="00071DE2" w:rsidRDefault="00071DE2" w:rsidP="00071DE2">
            <w:r w:rsidRPr="00071DE2">
              <w:t xml:space="preserve">External audit covers 90% of central government expenditures.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A955" w14:textId="77777777" w:rsidR="00071DE2" w:rsidRPr="00071DE2" w:rsidRDefault="00071DE2" w:rsidP="00071DE2">
            <w:r w:rsidRPr="00071DE2">
              <w:t xml:space="preserve">External audit covers all central government expenditures.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ED08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2CDD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61E76A1F" w14:textId="77777777" w:rsidTr="007D5B87">
        <w:trPr>
          <w:trHeight w:val="7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7E74" w14:textId="77777777" w:rsidR="00071DE2" w:rsidRPr="00071DE2" w:rsidRDefault="00071DE2" w:rsidP="00071DE2">
            <w:r w:rsidRPr="00071DE2">
              <w:rPr>
                <w:b/>
              </w:rPr>
              <w:t xml:space="preserve">9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F398" w14:textId="77777777" w:rsidR="00071DE2" w:rsidRPr="00071DE2" w:rsidRDefault="00071DE2" w:rsidP="00071DE2">
            <w:r w:rsidRPr="00071DE2">
              <w:rPr>
                <w:b/>
              </w:rPr>
              <w:t xml:space="preserve">SAI independence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FBB1" w14:textId="77777777" w:rsidR="00071DE2" w:rsidRPr="00071DE2" w:rsidRDefault="00071DE2" w:rsidP="00071DE2">
            <w:r w:rsidRPr="00071DE2">
              <w:t xml:space="preserve">SAI reports to government agency. </w:t>
            </w:r>
          </w:p>
        </w:tc>
        <w:tc>
          <w:tcPr>
            <w:tcW w:w="1937" w:type="dxa"/>
            <w:tcBorders>
              <w:top w:val="single" w:sz="1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52E7773D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762" w:type="dxa"/>
            <w:tcBorders>
              <w:top w:val="single" w:sz="1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14D63302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9104" w14:textId="77777777" w:rsidR="00071DE2" w:rsidRPr="00071DE2" w:rsidRDefault="00071DE2" w:rsidP="00071DE2">
            <w:r w:rsidRPr="00071DE2">
              <w:t xml:space="preserve">SAI reports to legislature (or equivalent justice system).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369E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4875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06E7AD39" w14:textId="77777777" w:rsidTr="007D5B87">
        <w:trPr>
          <w:trHeight w:val="170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1B41" w14:textId="77777777" w:rsidR="00071DE2" w:rsidRPr="00071DE2" w:rsidRDefault="00071DE2" w:rsidP="00071DE2">
            <w:r w:rsidRPr="00071DE2">
              <w:rPr>
                <w:b/>
              </w:rPr>
              <w:lastRenderedPageBreak/>
              <w:t xml:space="preserve">10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46FB" w14:textId="77777777" w:rsidR="00071DE2" w:rsidRPr="00071DE2" w:rsidRDefault="00071DE2" w:rsidP="00071DE2">
            <w:r w:rsidRPr="00071DE2">
              <w:rPr>
                <w:b/>
              </w:rPr>
              <w:t xml:space="preserve">Audit standards applied by the SAI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F821" w14:textId="77777777" w:rsidR="00071DE2" w:rsidRPr="00071DE2" w:rsidRDefault="00071DE2" w:rsidP="00071DE2">
            <w:r w:rsidRPr="00071DE2">
              <w:t xml:space="preserve">SAI applies national audit standards, which are significantly inconsistent with international standards. 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000000"/>
          </w:tcPr>
          <w:p w14:paraId="4BDBE7DF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46B4" w14:textId="77777777" w:rsidR="00071DE2" w:rsidRPr="00071DE2" w:rsidRDefault="00071DE2" w:rsidP="00071DE2">
            <w:r w:rsidRPr="00071DE2">
              <w:t xml:space="preserve">SAI applies national audit standards, which comply with international standards.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486D" w14:textId="77777777" w:rsidR="00071DE2" w:rsidRPr="00071DE2" w:rsidRDefault="00071DE2" w:rsidP="00071DE2">
            <w:r w:rsidRPr="00071DE2">
              <w:t xml:space="preserve">SAI applies international audit standard.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39B2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08B4" w14:textId="77777777" w:rsidR="00071DE2" w:rsidRPr="00071DE2" w:rsidRDefault="00071DE2" w:rsidP="00071DE2">
            <w:r w:rsidRPr="00071DE2">
              <w:t xml:space="preserve"> </w:t>
            </w:r>
          </w:p>
        </w:tc>
      </w:tr>
    </w:tbl>
    <w:p w14:paraId="00ED104B" w14:textId="77777777" w:rsidR="00071DE2" w:rsidRPr="00071DE2" w:rsidRDefault="00071DE2" w:rsidP="00071DE2"/>
    <w:tbl>
      <w:tblPr>
        <w:tblW w:w="13771" w:type="dxa"/>
        <w:tblInd w:w="-426" w:type="dxa"/>
        <w:tblCellMar>
          <w:top w:w="26" w:type="dxa"/>
          <w:left w:w="114" w:type="dxa"/>
          <w:right w:w="37" w:type="dxa"/>
        </w:tblCellMar>
        <w:tblLook w:val="04A0" w:firstRow="1" w:lastRow="0" w:firstColumn="1" w:lastColumn="0" w:noHBand="0" w:noVBand="1"/>
      </w:tblPr>
      <w:tblGrid>
        <w:gridCol w:w="525"/>
        <w:gridCol w:w="2170"/>
        <w:gridCol w:w="1990"/>
        <w:gridCol w:w="1937"/>
        <w:gridCol w:w="1762"/>
        <w:gridCol w:w="2246"/>
        <w:gridCol w:w="1169"/>
        <w:gridCol w:w="1972"/>
      </w:tblGrid>
      <w:tr w:rsidR="00071DE2" w:rsidRPr="00071DE2" w14:paraId="640884B6" w14:textId="77777777" w:rsidTr="007D5B87">
        <w:trPr>
          <w:trHeight w:val="32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2196C3A5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2FDC65D6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353BA05E" w14:textId="77777777" w:rsidR="00071DE2" w:rsidRPr="00071DE2" w:rsidRDefault="00071DE2" w:rsidP="00071DE2">
            <w:r w:rsidRPr="00071DE2">
              <w:rPr>
                <w:b/>
              </w:rPr>
              <w:t xml:space="preserve">Risk Consideration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4B83FB45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214B6258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</w:tr>
      <w:tr w:rsidR="00071DE2" w:rsidRPr="00071DE2" w14:paraId="02709F54" w14:textId="77777777" w:rsidTr="007D5B87">
        <w:trPr>
          <w:trHeight w:val="5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D8238B" w14:textId="77777777" w:rsidR="00071DE2" w:rsidRPr="00071DE2" w:rsidRDefault="00071DE2" w:rsidP="00071DE2">
            <w:r w:rsidRPr="00071DE2">
              <w:rPr>
                <w:b/>
              </w:rPr>
              <w:t xml:space="preserve">No.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D854C7" w14:textId="77777777" w:rsidR="00071DE2" w:rsidRPr="00071DE2" w:rsidRDefault="00071DE2" w:rsidP="00071DE2">
            <w:r w:rsidRPr="00071DE2">
              <w:rPr>
                <w:b/>
              </w:rPr>
              <w:t xml:space="preserve">Indicator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39227E" w14:textId="77777777" w:rsidR="00071DE2" w:rsidRPr="00071DE2" w:rsidRDefault="00071DE2" w:rsidP="00071DE2">
            <w:r w:rsidRPr="00071DE2">
              <w:rPr>
                <w:b/>
              </w:rPr>
              <w:t xml:space="preserve">High risk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ED318F" w14:textId="77777777" w:rsidR="00071DE2" w:rsidRPr="00071DE2" w:rsidRDefault="00071DE2" w:rsidP="00071DE2">
            <w:r w:rsidRPr="00071DE2">
              <w:rPr>
                <w:b/>
              </w:rPr>
              <w:t xml:space="preserve">Significant risk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932978" w14:textId="77777777" w:rsidR="00071DE2" w:rsidRPr="00071DE2" w:rsidRDefault="00071DE2" w:rsidP="00071DE2">
            <w:r w:rsidRPr="00071DE2">
              <w:rPr>
                <w:b/>
              </w:rPr>
              <w:t xml:space="preserve">Moderate risk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AAB75B" w14:textId="77777777" w:rsidR="00071DE2" w:rsidRPr="00071DE2" w:rsidRDefault="00071DE2" w:rsidP="00071DE2">
            <w:r w:rsidRPr="00071DE2">
              <w:rPr>
                <w:b/>
              </w:rPr>
              <w:t xml:space="preserve">Low risk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492B4D" w14:textId="77777777" w:rsidR="00071DE2" w:rsidRPr="00071DE2" w:rsidRDefault="00071DE2" w:rsidP="00071DE2">
            <w:r w:rsidRPr="00071DE2">
              <w:rPr>
                <w:b/>
              </w:rPr>
              <w:t xml:space="preserve">Indicator risk level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0EEB96" w14:textId="77777777" w:rsidR="00071DE2" w:rsidRPr="00071DE2" w:rsidRDefault="00071DE2" w:rsidP="00071DE2">
            <w:r w:rsidRPr="00071DE2">
              <w:rPr>
                <w:b/>
              </w:rPr>
              <w:t xml:space="preserve">Comment </w:t>
            </w:r>
          </w:p>
        </w:tc>
      </w:tr>
      <w:tr w:rsidR="00071DE2" w:rsidRPr="00071DE2" w14:paraId="1EAB89AA" w14:textId="77777777" w:rsidTr="007D5B87">
        <w:trPr>
          <w:trHeight w:val="17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1815" w14:textId="77777777" w:rsidR="00071DE2" w:rsidRPr="00071DE2" w:rsidRDefault="00071DE2" w:rsidP="00071DE2">
            <w:r w:rsidRPr="00071DE2">
              <w:rPr>
                <w:b/>
              </w:rPr>
              <w:t xml:space="preserve">11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AACE" w14:textId="77777777" w:rsidR="00071DE2" w:rsidRPr="00071DE2" w:rsidRDefault="00071DE2" w:rsidP="00071DE2">
            <w:r w:rsidRPr="00071DE2">
              <w:rPr>
                <w:b/>
              </w:rPr>
              <w:t xml:space="preserve">Follow-up action to audit reports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9520" w14:textId="77777777" w:rsidR="00071DE2" w:rsidRPr="00071DE2" w:rsidRDefault="00071DE2" w:rsidP="00071DE2">
            <w:r w:rsidRPr="00071DE2">
              <w:t xml:space="preserve">Points raised by external audit are infrequently followed up.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1D4FC2DF" w14:textId="77777777" w:rsidR="00071DE2" w:rsidRPr="00071DE2" w:rsidRDefault="00071DE2" w:rsidP="00071DE2">
            <w:r w:rsidRPr="00071DE2">
              <w:t xml:space="preserve">Points raised by external audit are usually but not always followed up.  A significant number of points recur in following years.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39B1D" w14:textId="77777777" w:rsidR="00071DE2" w:rsidRPr="00071DE2" w:rsidRDefault="00071DE2" w:rsidP="00071DE2">
            <w:r w:rsidRPr="00071DE2">
              <w:t xml:space="preserve">Points raised by external audit are always followed up. In a few cases points recur in following years.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608D" w14:textId="77777777" w:rsidR="00071DE2" w:rsidRPr="00071DE2" w:rsidRDefault="00071DE2" w:rsidP="00071DE2">
            <w:r w:rsidRPr="00071DE2">
              <w:t xml:space="preserve">Points raised by external audit are always properly followed up.  Points generally do not recur in following years.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0A31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D524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55A8B5A8" w14:textId="77777777" w:rsidTr="007D5B87">
        <w:trPr>
          <w:trHeight w:val="77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1274" w14:textId="77777777" w:rsidR="00071DE2" w:rsidRPr="00071DE2" w:rsidRDefault="00071DE2" w:rsidP="00071DE2">
            <w:r w:rsidRPr="00071DE2">
              <w:rPr>
                <w:b/>
              </w:rPr>
              <w:t xml:space="preserve">12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C1DD" w14:textId="77777777" w:rsidR="00071DE2" w:rsidRPr="00071DE2" w:rsidRDefault="00071DE2" w:rsidP="00071DE2">
            <w:r w:rsidRPr="00071DE2">
              <w:rPr>
                <w:b/>
              </w:rPr>
              <w:t xml:space="preserve">Country has a national procurement framework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E6F9" w14:textId="77777777" w:rsidR="00071DE2" w:rsidRPr="00071DE2" w:rsidRDefault="00071DE2" w:rsidP="00071DE2">
            <w:r w:rsidRPr="00071DE2">
              <w:t xml:space="preserve">No </w:t>
            </w:r>
          </w:p>
        </w:tc>
        <w:tc>
          <w:tcPr>
            <w:tcW w:w="1937" w:type="dxa"/>
            <w:tcBorders>
              <w:top w:val="single" w:sz="1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020F8DF7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29C5F65A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A853" w14:textId="77777777" w:rsidR="00071DE2" w:rsidRPr="00071DE2" w:rsidRDefault="00071DE2" w:rsidP="00071DE2">
            <w:r w:rsidRPr="00071DE2">
              <w:t xml:space="preserve">Yes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4986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7D8F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37D7C51E" w14:textId="77777777" w:rsidTr="007D5B87">
        <w:trPr>
          <w:trHeight w:val="195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DEA6" w14:textId="77777777" w:rsidR="00071DE2" w:rsidRPr="00071DE2" w:rsidRDefault="00071DE2" w:rsidP="00071DE2">
            <w:r w:rsidRPr="00071DE2">
              <w:rPr>
                <w:b/>
              </w:rPr>
              <w:lastRenderedPageBreak/>
              <w:t xml:space="preserve">13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605E" w14:textId="77777777" w:rsidR="00071DE2" w:rsidRPr="00071DE2" w:rsidRDefault="00071DE2" w:rsidP="00071DE2">
            <w:r w:rsidRPr="00071DE2">
              <w:rPr>
                <w:b/>
              </w:rPr>
              <w:t xml:space="preserve">Transparency of audit process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DCB9" w14:textId="77777777" w:rsidR="00071DE2" w:rsidRPr="00071DE2" w:rsidRDefault="00071DE2" w:rsidP="00071DE2">
            <w:r w:rsidRPr="00071DE2">
              <w:t xml:space="preserve">Statutory external audit reports are infrequently published. They are rarely debated in the media, even when of public interest. 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98AD" w14:textId="77777777" w:rsidR="00071DE2" w:rsidRPr="00071DE2" w:rsidRDefault="00071DE2" w:rsidP="00071DE2">
            <w:r w:rsidRPr="00071DE2">
              <w:t xml:space="preserve">Most statutory external audit reports are published. They are sometimes debated in the media when of public interest. 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D4CD" w14:textId="77777777" w:rsidR="00071DE2" w:rsidRPr="00071DE2" w:rsidRDefault="00071DE2" w:rsidP="00071DE2">
            <w:r w:rsidRPr="00071DE2">
              <w:t xml:space="preserve">All statutory external audit reports are published. They are usually debated in the media when of public interest.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9FE8" w14:textId="77777777" w:rsidR="00071DE2" w:rsidRPr="00071DE2" w:rsidRDefault="00071DE2" w:rsidP="00071DE2">
            <w:r w:rsidRPr="00071DE2">
              <w:t xml:space="preserve">All statutory external audit reports are published. They are debated in the media when of public interest.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3C2E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93B1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39808F77" w14:textId="77777777" w:rsidTr="007D5B87">
        <w:trPr>
          <w:trHeight w:val="217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E53D" w14:textId="77777777" w:rsidR="00071DE2" w:rsidRPr="00071DE2" w:rsidRDefault="00071DE2" w:rsidP="00071DE2">
            <w:r w:rsidRPr="00071DE2">
              <w:rPr>
                <w:b/>
              </w:rPr>
              <w:t xml:space="preserve">14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5118" w14:textId="77777777" w:rsidR="00071DE2" w:rsidRPr="00071DE2" w:rsidRDefault="00071DE2" w:rsidP="00071DE2">
            <w:r w:rsidRPr="00071DE2">
              <w:rPr>
                <w:b/>
              </w:rPr>
              <w:t xml:space="preserve">Staff qualifications and skills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C9FA" w14:textId="77777777" w:rsidR="00071DE2" w:rsidRPr="00071DE2" w:rsidRDefault="00071DE2" w:rsidP="00071DE2">
            <w:r w:rsidRPr="00071DE2">
              <w:t xml:space="preserve">It is often unclear whether staff have the skills and qualifications necessary to discharge their duties.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67DE" w14:textId="77777777" w:rsidR="00071DE2" w:rsidRPr="00071DE2" w:rsidRDefault="00071DE2" w:rsidP="00071DE2">
            <w:r w:rsidRPr="00071DE2">
              <w:t xml:space="preserve">In some cases it is unclear whether </w:t>
            </w:r>
            <w:proofErr w:type="gramStart"/>
            <w:r w:rsidRPr="00071DE2">
              <w:t>staff  have</w:t>
            </w:r>
            <w:proofErr w:type="gramEnd"/>
            <w:r w:rsidRPr="00071DE2">
              <w:t xml:space="preserve"> the skills and qualifications necessary to discharge their duties.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86CA" w14:textId="77777777" w:rsidR="00071DE2" w:rsidRPr="00071DE2" w:rsidRDefault="00071DE2" w:rsidP="00071DE2">
            <w:r w:rsidRPr="00071DE2">
              <w:t xml:space="preserve">In only some isolated cases is it unclear whether staff have the skills and qualifications necessary to discharge their duties.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D6BD" w14:textId="77777777" w:rsidR="00071DE2" w:rsidRPr="00071DE2" w:rsidRDefault="00071DE2" w:rsidP="00071DE2">
            <w:r w:rsidRPr="00071DE2">
              <w:t xml:space="preserve">It is always clear that all staff have the skills and qualifications necessary to discharge their duties.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E4F4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4BBE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7C46365F" w14:textId="77777777" w:rsidTr="007D5B87">
        <w:trPr>
          <w:trHeight w:val="167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A119" w14:textId="77777777" w:rsidR="00071DE2" w:rsidRPr="00071DE2" w:rsidRDefault="00071DE2" w:rsidP="00071DE2">
            <w:r w:rsidRPr="00071DE2">
              <w:rPr>
                <w:b/>
              </w:rPr>
              <w:t xml:space="preserve">15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FE4" w14:textId="77777777" w:rsidR="00071DE2" w:rsidRPr="00071DE2" w:rsidRDefault="00071DE2" w:rsidP="00071DE2">
            <w:r w:rsidRPr="00071DE2">
              <w:rPr>
                <w:b/>
              </w:rPr>
              <w:t xml:space="preserve">Financial systems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B66E" w14:textId="77777777" w:rsidR="00071DE2" w:rsidRPr="00071DE2" w:rsidRDefault="00071DE2" w:rsidP="00071DE2">
            <w:r w:rsidRPr="00071DE2">
              <w:t xml:space="preserve">Financial systems only capture and report on the most basic financial data, and this is frequently unreliable. System maintenance and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6350" w14:textId="77777777" w:rsidR="00071DE2" w:rsidRPr="00071DE2" w:rsidRDefault="00071DE2" w:rsidP="00071DE2">
            <w:r w:rsidRPr="00071DE2">
              <w:t xml:space="preserve">Financial systems only capture and report on the most basic financial data.  While there are system maintenance and performance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ED99" w14:textId="77777777" w:rsidR="00071DE2" w:rsidRPr="00071DE2" w:rsidRDefault="00071DE2" w:rsidP="00071DE2">
            <w:r w:rsidRPr="00071DE2">
              <w:t xml:space="preserve">Financial systems are adequate for most but not all data capture and reporting needs.  They are reliable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D1E3" w14:textId="77777777" w:rsidR="00071DE2" w:rsidRPr="00071DE2" w:rsidRDefault="00071DE2" w:rsidP="00071DE2">
            <w:r w:rsidRPr="00071DE2">
              <w:t xml:space="preserve">Financial systems are adequate for data capture and reporting needs. They are reliable and properly maintained.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B9FF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EE3" w14:textId="77777777" w:rsidR="00071DE2" w:rsidRPr="00071DE2" w:rsidRDefault="00071DE2" w:rsidP="00071DE2">
            <w:r w:rsidRPr="00071DE2">
              <w:t xml:space="preserve"> </w:t>
            </w:r>
          </w:p>
        </w:tc>
      </w:tr>
    </w:tbl>
    <w:p w14:paraId="2CA0C54A" w14:textId="77777777" w:rsidR="00071DE2" w:rsidRPr="00071DE2" w:rsidRDefault="00071DE2" w:rsidP="00071DE2"/>
    <w:tbl>
      <w:tblPr>
        <w:tblW w:w="13771" w:type="dxa"/>
        <w:tblInd w:w="-426" w:type="dxa"/>
        <w:tblCellMar>
          <w:top w:w="25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525"/>
        <w:gridCol w:w="2170"/>
        <w:gridCol w:w="1990"/>
        <w:gridCol w:w="1937"/>
        <w:gridCol w:w="1762"/>
        <w:gridCol w:w="2246"/>
        <w:gridCol w:w="1169"/>
        <w:gridCol w:w="1972"/>
      </w:tblGrid>
      <w:tr w:rsidR="00071DE2" w:rsidRPr="00071DE2" w14:paraId="4239D8E3" w14:textId="77777777" w:rsidTr="007D5B87">
        <w:trPr>
          <w:trHeight w:val="32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2EBD639A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32A2DBDE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2CD9B415" w14:textId="77777777" w:rsidR="00071DE2" w:rsidRPr="00071DE2" w:rsidRDefault="00071DE2" w:rsidP="00071DE2">
            <w:r w:rsidRPr="00071DE2">
              <w:rPr>
                <w:b/>
              </w:rPr>
              <w:t xml:space="preserve">Risk Consideration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36DE5AB4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66AA"/>
          </w:tcPr>
          <w:p w14:paraId="0B4A7366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</w:tc>
      </w:tr>
      <w:tr w:rsidR="00071DE2" w:rsidRPr="00071DE2" w14:paraId="10F63194" w14:textId="77777777" w:rsidTr="007D5B87">
        <w:trPr>
          <w:trHeight w:val="5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424538" w14:textId="77777777" w:rsidR="00071DE2" w:rsidRPr="00071DE2" w:rsidRDefault="00071DE2" w:rsidP="00071DE2">
            <w:r w:rsidRPr="00071DE2">
              <w:rPr>
                <w:b/>
              </w:rPr>
              <w:lastRenderedPageBreak/>
              <w:t xml:space="preserve">No.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665D7E" w14:textId="77777777" w:rsidR="00071DE2" w:rsidRPr="00071DE2" w:rsidRDefault="00071DE2" w:rsidP="00071DE2">
            <w:r w:rsidRPr="00071DE2">
              <w:rPr>
                <w:b/>
              </w:rPr>
              <w:t xml:space="preserve">Indicator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1D970B" w14:textId="77777777" w:rsidR="00071DE2" w:rsidRPr="00071DE2" w:rsidRDefault="00071DE2" w:rsidP="00071DE2">
            <w:r w:rsidRPr="00071DE2">
              <w:rPr>
                <w:b/>
              </w:rPr>
              <w:t xml:space="preserve">High risk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386CE5" w14:textId="77777777" w:rsidR="00071DE2" w:rsidRPr="00071DE2" w:rsidRDefault="00071DE2" w:rsidP="00071DE2">
            <w:r w:rsidRPr="00071DE2">
              <w:rPr>
                <w:b/>
              </w:rPr>
              <w:t xml:space="preserve">Significant risk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B65640" w14:textId="77777777" w:rsidR="00071DE2" w:rsidRPr="00071DE2" w:rsidRDefault="00071DE2" w:rsidP="00071DE2">
            <w:r w:rsidRPr="00071DE2">
              <w:rPr>
                <w:b/>
              </w:rPr>
              <w:t xml:space="preserve">Moderate risk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178C8D" w14:textId="77777777" w:rsidR="00071DE2" w:rsidRPr="00071DE2" w:rsidRDefault="00071DE2" w:rsidP="00071DE2">
            <w:r w:rsidRPr="00071DE2">
              <w:rPr>
                <w:b/>
              </w:rPr>
              <w:t xml:space="preserve">Low risk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77B2A6" w14:textId="77777777" w:rsidR="00071DE2" w:rsidRPr="00071DE2" w:rsidRDefault="00071DE2" w:rsidP="00071DE2">
            <w:r w:rsidRPr="00071DE2">
              <w:rPr>
                <w:b/>
              </w:rPr>
              <w:t xml:space="preserve">Indicator risk level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0D5156" w14:textId="77777777" w:rsidR="00071DE2" w:rsidRPr="00071DE2" w:rsidRDefault="00071DE2" w:rsidP="00071DE2">
            <w:r w:rsidRPr="00071DE2">
              <w:rPr>
                <w:b/>
              </w:rPr>
              <w:t xml:space="preserve">Comment </w:t>
            </w:r>
          </w:p>
        </w:tc>
      </w:tr>
      <w:tr w:rsidR="00071DE2" w:rsidRPr="00071DE2" w14:paraId="337126D8" w14:textId="77777777" w:rsidTr="007D5B87">
        <w:trPr>
          <w:trHeight w:val="5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AC5E" w14:textId="77777777" w:rsidR="00071DE2" w:rsidRPr="00071DE2" w:rsidRDefault="00071DE2" w:rsidP="00071DE2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756E" w14:textId="77777777" w:rsidR="00071DE2" w:rsidRPr="00071DE2" w:rsidRDefault="00071DE2" w:rsidP="00071DE2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CA49" w14:textId="77777777" w:rsidR="00071DE2" w:rsidRPr="00071DE2" w:rsidRDefault="00071DE2" w:rsidP="00071DE2">
            <w:r w:rsidRPr="00071DE2">
              <w:t xml:space="preserve">performance is generally poor.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602F3DBE" w14:textId="77777777" w:rsidR="00071DE2" w:rsidRPr="00071DE2" w:rsidRDefault="00071DE2" w:rsidP="00071DE2">
            <w:r w:rsidRPr="00071DE2">
              <w:t xml:space="preserve">problems, generally the system is stable.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0F60792B" w14:textId="77777777" w:rsidR="00071DE2" w:rsidRPr="00071DE2" w:rsidRDefault="00071DE2" w:rsidP="00071DE2">
            <w:r w:rsidRPr="00071DE2">
              <w:t xml:space="preserve">and properly maintained.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239E" w14:textId="77777777" w:rsidR="00071DE2" w:rsidRPr="00071DE2" w:rsidRDefault="00071DE2" w:rsidP="00071DE2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1254" w14:textId="77777777" w:rsidR="00071DE2" w:rsidRPr="00071DE2" w:rsidRDefault="00071DE2" w:rsidP="00071DE2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007A0" w14:textId="77777777" w:rsidR="00071DE2" w:rsidRPr="00071DE2" w:rsidRDefault="00071DE2" w:rsidP="00071DE2"/>
        </w:tc>
      </w:tr>
      <w:tr w:rsidR="00071DE2" w:rsidRPr="00071DE2" w14:paraId="13CC0F58" w14:textId="77777777" w:rsidTr="007D5B87">
        <w:trPr>
          <w:trHeight w:val="123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C46" w14:textId="77777777" w:rsidR="00071DE2" w:rsidRPr="00071DE2" w:rsidRDefault="00071DE2" w:rsidP="00071DE2">
            <w:r w:rsidRPr="00071DE2">
              <w:rPr>
                <w:b/>
              </w:rPr>
              <w:t xml:space="preserve">16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B615" w14:textId="77777777" w:rsidR="00071DE2" w:rsidRPr="00071DE2" w:rsidRDefault="00071DE2" w:rsidP="00071DE2">
            <w:r w:rsidRPr="00071DE2">
              <w:rPr>
                <w:b/>
              </w:rPr>
              <w:t xml:space="preserve">Environmental conditions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4DB9" w14:textId="77777777" w:rsidR="00071DE2" w:rsidRPr="00071DE2" w:rsidRDefault="00071DE2" w:rsidP="00071DE2">
            <w:r w:rsidRPr="00071DE2">
              <w:t xml:space="preserve">Natural disasters or significant events regularly occur that displace citizens and resources. </w:t>
            </w:r>
          </w:p>
        </w:tc>
        <w:tc>
          <w:tcPr>
            <w:tcW w:w="1937" w:type="dxa"/>
            <w:tcBorders>
              <w:top w:val="single" w:sz="1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0FB1830F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762" w:type="dxa"/>
            <w:tcBorders>
              <w:top w:val="single" w:sz="1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27FD898D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BB6B" w14:textId="77777777" w:rsidR="00071DE2" w:rsidRPr="00071DE2" w:rsidRDefault="00071DE2" w:rsidP="00071DE2">
            <w:r w:rsidRPr="00071DE2">
              <w:t xml:space="preserve">Natural disasters or significant events that displace citizens and resources rarely or never occur.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BF81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8436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7F345E9F" w14:textId="77777777" w:rsidTr="007D5B87">
        <w:trPr>
          <w:trHeight w:val="19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309" w14:textId="77777777" w:rsidR="00071DE2" w:rsidRPr="00071DE2" w:rsidRDefault="00071DE2" w:rsidP="00071DE2">
            <w:r w:rsidRPr="00071DE2">
              <w:rPr>
                <w:b/>
              </w:rPr>
              <w:t xml:space="preserve">17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0F5C" w14:textId="77777777" w:rsidR="00071DE2" w:rsidRPr="00071DE2" w:rsidRDefault="00071DE2" w:rsidP="00071DE2">
            <w:r w:rsidRPr="00071DE2">
              <w:rPr>
                <w:b/>
              </w:rPr>
              <w:t xml:space="preserve">Exchange rate volatility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1404" w14:textId="77777777" w:rsidR="00071DE2" w:rsidRPr="00071DE2" w:rsidRDefault="00071DE2" w:rsidP="00071DE2">
            <w:r w:rsidRPr="00071DE2">
              <w:t xml:space="preserve">Foreign exchange rates fluctuate significantly on a daily basis. 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DE4" w14:textId="77777777" w:rsidR="00071DE2" w:rsidRPr="00071DE2" w:rsidRDefault="00071DE2" w:rsidP="00071DE2">
            <w:r w:rsidRPr="00071DE2">
              <w:t xml:space="preserve">Foreign exchange rates fluctuate significantly on a weekly or monthly basis. 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5C3" w14:textId="77777777" w:rsidR="00071DE2" w:rsidRPr="00071DE2" w:rsidRDefault="00071DE2" w:rsidP="00071DE2">
            <w:r w:rsidRPr="00071DE2">
              <w:t xml:space="preserve">Foreign exchange </w:t>
            </w:r>
          </w:p>
          <w:p w14:paraId="0A109CD4" w14:textId="77777777" w:rsidR="00071DE2" w:rsidRPr="00071DE2" w:rsidRDefault="00071DE2" w:rsidP="00071DE2">
            <w:r w:rsidRPr="00071DE2">
              <w:t xml:space="preserve">rates have remained relatively consistent, with the exception of significant one-off fluctuations.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3354" w14:textId="77777777" w:rsidR="00071DE2" w:rsidRPr="00071DE2" w:rsidRDefault="00071DE2" w:rsidP="00071DE2">
            <w:r w:rsidRPr="00071DE2">
              <w:t xml:space="preserve">Foreign exchange rates </w:t>
            </w:r>
          </w:p>
          <w:p w14:paraId="2486EDD7" w14:textId="77777777" w:rsidR="00071DE2" w:rsidRPr="00071DE2" w:rsidRDefault="00071DE2" w:rsidP="00071DE2">
            <w:r w:rsidRPr="00071DE2">
              <w:t xml:space="preserve">do not fluctuate significantly.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2027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6A35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57D01D13" w14:textId="77777777" w:rsidTr="007D5B87">
        <w:trPr>
          <w:trHeight w:val="194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0522" w14:textId="77777777" w:rsidR="00071DE2" w:rsidRPr="00071DE2" w:rsidRDefault="00071DE2" w:rsidP="00071DE2">
            <w:r w:rsidRPr="00071DE2">
              <w:rPr>
                <w:b/>
              </w:rPr>
              <w:t xml:space="preserve">18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9723" w14:textId="77777777" w:rsidR="00071DE2" w:rsidRPr="00071DE2" w:rsidRDefault="00071DE2" w:rsidP="00071DE2">
            <w:r w:rsidRPr="00071DE2">
              <w:rPr>
                <w:b/>
              </w:rPr>
              <w:t xml:space="preserve">Existence of a black market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CC84" w14:textId="77777777" w:rsidR="00071DE2" w:rsidRPr="00071DE2" w:rsidRDefault="00071DE2" w:rsidP="00071DE2">
            <w:r w:rsidRPr="00071DE2">
              <w:t xml:space="preserve">Black market is prevalent and influential in the country.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C3A4" w14:textId="77777777" w:rsidR="00071DE2" w:rsidRPr="00071DE2" w:rsidRDefault="00071DE2" w:rsidP="00071DE2">
            <w:r w:rsidRPr="00071DE2">
              <w:t xml:space="preserve">Black market exists and has significant influence in the country.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1C55" w14:textId="77777777" w:rsidR="00071DE2" w:rsidRPr="00071DE2" w:rsidRDefault="00071DE2" w:rsidP="00071DE2">
            <w:r w:rsidRPr="00071DE2">
              <w:t xml:space="preserve">Black market exists in the country, but effective actions are being taken to eliminate or limit its influence in the country.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B3BC" w14:textId="77777777" w:rsidR="00071DE2" w:rsidRPr="00071DE2" w:rsidRDefault="00071DE2" w:rsidP="00071DE2">
            <w:r w:rsidRPr="00071DE2">
              <w:t xml:space="preserve">Black market may exist but does not have an influence in the country.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0F62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0583" w14:textId="77777777" w:rsidR="00071DE2" w:rsidRPr="00071DE2" w:rsidRDefault="00071DE2" w:rsidP="00071DE2">
            <w:r w:rsidRPr="00071DE2">
              <w:t xml:space="preserve"> </w:t>
            </w:r>
          </w:p>
        </w:tc>
      </w:tr>
      <w:tr w:rsidR="00071DE2" w:rsidRPr="00071DE2" w14:paraId="727E752B" w14:textId="77777777" w:rsidTr="007D5B87">
        <w:trPr>
          <w:trHeight w:val="27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3B5D" w14:textId="77777777" w:rsidR="00071DE2" w:rsidRPr="00071DE2" w:rsidRDefault="00071DE2" w:rsidP="00071DE2">
            <w:r w:rsidRPr="00071DE2">
              <w:rPr>
                <w:b/>
              </w:rPr>
              <w:lastRenderedPageBreak/>
              <w:t xml:space="preserve">19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5A57" w14:textId="77777777" w:rsidR="00071DE2" w:rsidRPr="00071DE2" w:rsidRDefault="00071DE2" w:rsidP="00071DE2">
            <w:r w:rsidRPr="00071DE2">
              <w:rPr>
                <w:b/>
              </w:rPr>
              <w:t xml:space="preserve">&lt;Any other specific items identified by </w:t>
            </w:r>
          </w:p>
          <w:p w14:paraId="4B38A99A" w14:textId="77777777" w:rsidR="00071DE2" w:rsidRPr="00071DE2" w:rsidRDefault="00071DE2" w:rsidP="00071DE2">
            <w:r w:rsidRPr="00071DE2">
              <w:rPr>
                <w:b/>
              </w:rPr>
              <w:t xml:space="preserve">agency&gt; </w:t>
            </w:r>
          </w:p>
          <w:p w14:paraId="57CF454C" w14:textId="77777777" w:rsidR="00071DE2" w:rsidRPr="00071DE2" w:rsidRDefault="00071DE2" w:rsidP="00071DE2">
            <w:r w:rsidRPr="00071DE2">
              <w:rPr>
                <w:b/>
              </w:rPr>
              <w:t xml:space="preserve"> </w:t>
            </w:r>
          </w:p>
          <w:p w14:paraId="45A251F8" w14:textId="77777777" w:rsidR="00071DE2" w:rsidRPr="00071DE2" w:rsidRDefault="00071DE2" w:rsidP="00071DE2">
            <w:r w:rsidRPr="00071DE2">
              <w:rPr>
                <w:i/>
              </w:rPr>
              <w:t xml:space="preserve">Examples: Inflation, </w:t>
            </w:r>
          </w:p>
          <w:p w14:paraId="7F2F7D5E" w14:textId="77777777" w:rsidR="00071DE2" w:rsidRPr="00071DE2" w:rsidRDefault="00071DE2" w:rsidP="00071DE2">
            <w:r w:rsidRPr="00071DE2">
              <w:rPr>
                <w:i/>
              </w:rPr>
              <w:t xml:space="preserve">reliability of statistics </w:t>
            </w:r>
          </w:p>
          <w:p w14:paraId="5BE97D07" w14:textId="77777777" w:rsidR="00071DE2" w:rsidRPr="00071DE2" w:rsidRDefault="00071DE2" w:rsidP="00071DE2">
            <w:r w:rsidRPr="00071DE2">
              <w:rPr>
                <w:i/>
              </w:rPr>
              <w:t xml:space="preserve">bureau, parliamentarian control, unemployment rate, transparency of information collection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5561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29ED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5212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68BC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D93A" w14:textId="77777777" w:rsidR="00071DE2" w:rsidRPr="00071DE2" w:rsidRDefault="00071DE2" w:rsidP="00071DE2">
            <w:r w:rsidRPr="00071DE2"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533F" w14:textId="77777777" w:rsidR="00071DE2" w:rsidRPr="00071DE2" w:rsidRDefault="00071DE2" w:rsidP="00071DE2">
            <w:r w:rsidRPr="00071DE2">
              <w:t xml:space="preserve"> </w:t>
            </w:r>
          </w:p>
        </w:tc>
      </w:tr>
    </w:tbl>
    <w:p w14:paraId="617F30E2" w14:textId="77777777" w:rsidR="00071DE2" w:rsidRPr="00867646" w:rsidRDefault="00071DE2" w:rsidP="00867646">
      <w:pPr>
        <w:sectPr w:rsidR="00071DE2" w:rsidRPr="00867646" w:rsidSect="00280D6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927" w:bottom="1292" w:left="1775" w:header="723" w:footer="622" w:gutter="0"/>
          <w:cols w:space="720"/>
          <w:titlePg/>
          <w:docGrid w:linePitch="299"/>
        </w:sectPr>
      </w:pPr>
    </w:p>
    <w:p w14:paraId="67832DA2" w14:textId="77777777" w:rsidR="00867646" w:rsidRDefault="00867646" w:rsidP="002947D1">
      <w:bookmarkStart w:id="0" w:name="_GoBack"/>
      <w:bookmarkEnd w:id="0"/>
    </w:p>
    <w:sectPr w:rsidR="00867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4768" w14:textId="77777777" w:rsidR="00DF6CFC" w:rsidRDefault="00DF6CFC" w:rsidP="00425243">
      <w:pPr>
        <w:spacing w:after="0" w:line="240" w:lineRule="auto"/>
      </w:pPr>
      <w:r>
        <w:separator/>
      </w:r>
    </w:p>
  </w:endnote>
  <w:endnote w:type="continuationSeparator" w:id="0">
    <w:p w14:paraId="7EF08AE3" w14:textId="77777777" w:rsidR="00DF6CFC" w:rsidRDefault="00DF6CFC" w:rsidP="0042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91EE" w14:textId="77777777" w:rsidR="007C7CEC" w:rsidRDefault="00DF6CFC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A99A6" w14:textId="77777777" w:rsidR="007C7CEC" w:rsidRDefault="00DF6CFC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7670" w14:textId="77777777" w:rsidR="007C7CEC" w:rsidRDefault="00DF6CFC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E152" w14:textId="77777777" w:rsidR="00071DE2" w:rsidRDefault="00071DE2">
    <w:pPr>
      <w:spacing w:after="0"/>
      <w:ind w:left="1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51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62B7" w14:textId="77777777" w:rsidR="00071DE2" w:rsidRDefault="00071DE2">
    <w:pPr>
      <w:spacing w:after="0"/>
      <w:ind w:left="1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51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B207" w14:textId="77777777" w:rsidR="00071DE2" w:rsidRDefault="00071DE2">
    <w:pPr>
      <w:spacing w:after="0"/>
      <w:ind w:left="1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51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D17E" w14:textId="77777777" w:rsidR="00DF6CFC" w:rsidRDefault="00DF6CFC" w:rsidP="00425243">
      <w:pPr>
        <w:spacing w:after="0" w:line="240" w:lineRule="auto"/>
      </w:pPr>
      <w:r>
        <w:separator/>
      </w:r>
    </w:p>
  </w:footnote>
  <w:footnote w:type="continuationSeparator" w:id="0">
    <w:p w14:paraId="2E73CAAC" w14:textId="77777777" w:rsidR="00DF6CFC" w:rsidRDefault="00DF6CFC" w:rsidP="0042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FC87" w14:textId="77777777" w:rsidR="007C7CEC" w:rsidRDefault="00DF6CFC">
    <w:pPr>
      <w:spacing w:after="0" w:line="231" w:lineRule="auto"/>
      <w:ind w:left="6488" w:right="4"/>
      <w:jc w:val="right"/>
    </w:pPr>
    <w:r>
      <w:rPr>
        <w:sz w:val="18"/>
      </w:rPr>
      <w:t>2014 UNDG HACT Framework</w:t>
    </w:r>
    <w:r>
      <w:rPr>
        <w:rFonts w:ascii="Times New Roman" w:eastAsia="Times New Roman" w:hAnsi="Times New Roman" w:cs="Times New Roman"/>
        <w:i/>
        <w:sz w:val="18"/>
      </w:rPr>
      <w:t xml:space="preserve"> Appendix I – Macro assessment TOR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0BC8" w14:textId="77777777" w:rsidR="007C7CEC" w:rsidRDefault="005228A2">
    <w:pPr>
      <w:spacing w:after="0" w:line="231" w:lineRule="auto"/>
      <w:ind w:left="6488" w:right="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B1A1" w14:textId="77777777" w:rsidR="007C7CEC" w:rsidRDefault="005228A2">
    <w:pPr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3DFA" w14:textId="77777777" w:rsidR="00071DE2" w:rsidRDefault="00071DE2">
    <w:pPr>
      <w:spacing w:after="0" w:line="231" w:lineRule="auto"/>
      <w:ind w:left="10429" w:right="-145" w:firstLine="341"/>
    </w:pPr>
    <w:r>
      <w:rPr>
        <w:sz w:val="18"/>
      </w:rPr>
      <w:t>2014 UNDG HACT Framework</w:t>
    </w:r>
    <w:r>
      <w:rPr>
        <w:rFonts w:ascii="Times New Roman" w:eastAsia="Times New Roman" w:hAnsi="Times New Roman" w:cs="Times New Roman"/>
        <w:i/>
        <w:sz w:val="18"/>
      </w:rPr>
      <w:t xml:space="preserve"> Appendix I – Macro assessment TOR</w:t>
    </w: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ED5A" w14:textId="77777777" w:rsidR="00071DE2" w:rsidRDefault="00071DE2">
    <w:pPr>
      <w:spacing w:after="0" w:line="231" w:lineRule="auto"/>
      <w:ind w:left="10429" w:right="-145" w:firstLine="34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4CCB" w14:textId="77777777" w:rsidR="00071DE2" w:rsidRDefault="00071DE2">
    <w:pPr>
      <w:spacing w:after="0" w:line="231" w:lineRule="auto"/>
      <w:ind w:left="10429" w:right="-145" w:firstLine="3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094"/>
    <w:multiLevelType w:val="hybridMultilevel"/>
    <w:tmpl w:val="042434A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186B"/>
    <w:multiLevelType w:val="hybridMultilevel"/>
    <w:tmpl w:val="9E02240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7211"/>
    <w:multiLevelType w:val="hybridMultilevel"/>
    <w:tmpl w:val="401602F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4E88"/>
    <w:multiLevelType w:val="hybridMultilevel"/>
    <w:tmpl w:val="49BE5DD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CD"/>
    <w:rsid w:val="00067A43"/>
    <w:rsid w:val="00071DE2"/>
    <w:rsid w:val="00151D86"/>
    <w:rsid w:val="001626AB"/>
    <w:rsid w:val="001F4728"/>
    <w:rsid w:val="00211791"/>
    <w:rsid w:val="00280D60"/>
    <w:rsid w:val="002947D1"/>
    <w:rsid w:val="003041E6"/>
    <w:rsid w:val="00336010"/>
    <w:rsid w:val="00342927"/>
    <w:rsid w:val="00361F58"/>
    <w:rsid w:val="00425243"/>
    <w:rsid w:val="004420A3"/>
    <w:rsid w:val="004603B2"/>
    <w:rsid w:val="005228A2"/>
    <w:rsid w:val="006C5669"/>
    <w:rsid w:val="00754AAB"/>
    <w:rsid w:val="00867646"/>
    <w:rsid w:val="009C50CD"/>
    <w:rsid w:val="00A80430"/>
    <w:rsid w:val="00C80456"/>
    <w:rsid w:val="00D14DD3"/>
    <w:rsid w:val="00DF6CFC"/>
    <w:rsid w:val="00ED6B9D"/>
    <w:rsid w:val="00F914B2"/>
    <w:rsid w:val="00F97393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5E82"/>
  <w15:chartTrackingRefBased/>
  <w15:docId w15:val="{76B36337-A7D3-40CF-8E68-871249FD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Shirley</dc:creator>
  <cp:keywords/>
  <dc:description/>
  <cp:lastModifiedBy>Kenisha Thom</cp:lastModifiedBy>
  <cp:revision>2</cp:revision>
  <dcterms:created xsi:type="dcterms:W3CDTF">2018-11-21T01:43:00Z</dcterms:created>
  <dcterms:modified xsi:type="dcterms:W3CDTF">2018-11-21T01:43:00Z</dcterms:modified>
</cp:coreProperties>
</file>