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9E2B22" w:rsidRPr="00DE1432" w:rsidRDefault="009E2B22" w:rsidP="00DB77DD">
      <w:pPr>
        <w:tabs>
          <w:tab w:val="left" w:pos="1410"/>
        </w:tabs>
      </w:pPr>
      <w:r>
        <w:t xml:space="preserve">                           </w:t>
      </w:r>
    </w:p>
    <w:p w:rsidR="009E2B22" w:rsidRDefault="009E2B22" w:rsidP="009E2B22">
      <w:pPr>
        <w:tabs>
          <w:tab w:val="left" w:pos="1410"/>
        </w:tabs>
      </w:pPr>
      <w:r>
        <w:t xml:space="preserve">                                                                                                                                   </w:t>
      </w:r>
      <w:r w:rsidR="00086485">
        <w:t xml:space="preserve">              </w:t>
      </w:r>
      <w:r w:rsidR="005469CC">
        <w:t>Date: 30/01/2019</w:t>
      </w:r>
      <w:r>
        <w:t xml:space="preserve">                                        </w:t>
      </w:r>
    </w:p>
    <w:p w:rsidR="009E2B22" w:rsidRPr="009E2B22" w:rsidRDefault="00EE539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91D9D2"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65710B" w:rsidRPr="009E2B22" w:rsidRDefault="0065710B" w:rsidP="0065710B">
      <w:pPr>
        <w:tabs>
          <w:tab w:val="left" w:pos="1410"/>
        </w:tabs>
        <w:rPr>
          <w:b/>
        </w:rPr>
      </w:pPr>
      <w:r w:rsidRPr="009E2B22">
        <w:rPr>
          <w:b/>
        </w:rPr>
        <w:t>Country:</w:t>
      </w:r>
      <w:r w:rsidR="00413AE8">
        <w:rPr>
          <w:b/>
        </w:rPr>
        <w:t xml:space="preserve"> </w:t>
      </w:r>
      <w:r w:rsidR="005469CC">
        <w:rPr>
          <w:b/>
        </w:rPr>
        <w:t>NIGERIA</w:t>
      </w:r>
    </w:p>
    <w:p w:rsidR="00413AE8" w:rsidRDefault="0065710B" w:rsidP="0065710B">
      <w:pPr>
        <w:tabs>
          <w:tab w:val="left" w:pos="1410"/>
        </w:tabs>
        <w:rPr>
          <w:b/>
        </w:rPr>
      </w:pPr>
      <w:r>
        <w:rPr>
          <w:b/>
        </w:rPr>
        <w:t>Description of the assignment</w:t>
      </w:r>
      <w:r w:rsidRPr="009E2B22">
        <w:rPr>
          <w:b/>
        </w:rPr>
        <w:t>:</w:t>
      </w:r>
      <w:r w:rsidR="005469CC">
        <w:rPr>
          <w:b/>
        </w:rPr>
        <w:t xml:space="preserve"> </w:t>
      </w:r>
      <w:r w:rsidR="00413AE8">
        <w:rPr>
          <w:b/>
        </w:rPr>
        <w:t xml:space="preserve"> </w:t>
      </w:r>
      <w:r w:rsidR="005469CC">
        <w:rPr>
          <w:b/>
        </w:rPr>
        <w:t>DESIGN AND IMPLEMENT TRAINING FOR</w:t>
      </w:r>
      <w:r w:rsidR="005469CC" w:rsidRPr="00413AE8">
        <w:rPr>
          <w:b/>
        </w:rPr>
        <w:t xml:space="preserve"> STAKEHOLDERS UNDER THE ENVIRONMENTALLY SOUND MANAGEMENT AND DISPOSAL OF PCBS PROJECT IN NIGERIA</w:t>
      </w:r>
    </w:p>
    <w:p w:rsidR="0065710B" w:rsidRPr="009E2B22" w:rsidRDefault="00413AE8" w:rsidP="0065710B">
      <w:pPr>
        <w:tabs>
          <w:tab w:val="left" w:pos="1410"/>
        </w:tabs>
        <w:rPr>
          <w:b/>
        </w:rPr>
      </w:pPr>
      <w:r w:rsidRPr="009E2B22">
        <w:rPr>
          <w:b/>
        </w:rPr>
        <w:t>Project Name:</w:t>
      </w:r>
      <w:r>
        <w:rPr>
          <w:b/>
        </w:rPr>
        <w:t xml:space="preserve"> </w:t>
      </w:r>
      <w:r w:rsidR="00F75D47" w:rsidRPr="00F75D47">
        <w:rPr>
          <w:b/>
        </w:rPr>
        <w:t>SOUND MANAGEMENT OF PCBs IN NIGERIA</w:t>
      </w:r>
    </w:p>
    <w:p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B40654">
        <w:rPr>
          <w:b/>
        </w:rPr>
        <w:t xml:space="preserve"> </w:t>
      </w:r>
      <w:r w:rsidR="005469CC">
        <w:rPr>
          <w:b/>
        </w:rPr>
        <w:t>FORTY (40) DAYS</w:t>
      </w:r>
    </w:p>
    <w:p w:rsidR="0065710B" w:rsidRDefault="0065710B" w:rsidP="0065710B">
      <w:pPr>
        <w:tabs>
          <w:tab w:val="left" w:pos="1410"/>
        </w:tabs>
      </w:pPr>
      <w:r>
        <w:t>Proposal should be submitted at the following address</w:t>
      </w:r>
      <w:r w:rsidR="0045515F">
        <w:t xml:space="preserve"> </w:t>
      </w:r>
      <w:hyperlink r:id="rId13" w:history="1">
        <w:r w:rsidR="0045515F" w:rsidRPr="00833EA3">
          <w:rPr>
            <w:rStyle w:val="Hyperlink"/>
          </w:rPr>
          <w:t>icrecruitments.ng@undp.org</w:t>
        </w:r>
      </w:hyperlink>
      <w:r w:rsidR="0045515F">
        <w:t xml:space="preserve"> </w:t>
      </w:r>
      <w:r>
        <w:t xml:space="preserve"> </w:t>
      </w:r>
      <w:r w:rsidR="0045515F">
        <w:t xml:space="preserve"> </w:t>
      </w:r>
      <w:r>
        <w:t xml:space="preserve">no later than </w:t>
      </w:r>
      <w:r w:rsidR="0090365F">
        <w:t>15</w:t>
      </w:r>
      <w:r w:rsidR="0045515F" w:rsidRPr="0045515F">
        <w:rPr>
          <w:vertAlign w:val="superscript"/>
        </w:rPr>
        <w:t>th</w:t>
      </w:r>
      <w:r w:rsidR="00413AE8">
        <w:t xml:space="preserve"> February 2019</w:t>
      </w:r>
    </w:p>
    <w:p w:rsidR="0065710B" w:rsidRDefault="0065710B" w:rsidP="0065710B">
      <w:pPr>
        <w:tabs>
          <w:tab w:val="left" w:pos="1410"/>
        </w:tabs>
      </w:pPr>
      <w:r>
        <w:t>Any request for clarification must be sent in writing, or by standard electronic communication to the addr</w:t>
      </w:r>
      <w:r w:rsidR="0045515F">
        <w:t xml:space="preserve">ess or e-mail indicated above. UNDP </w:t>
      </w:r>
      <w:r>
        <w:t>will respond in writing or by standard electronic mail and will send written copies of the response, including an explanation of the query without identifying the source of inquiry, to all consultants.</w:t>
      </w:r>
    </w:p>
    <w:p w:rsidR="009E2B22" w:rsidRDefault="00EE539E" w:rsidP="009E2B22">
      <w:pPr>
        <w:tabs>
          <w:tab w:val="left" w:pos="141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1D8E7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rsidTr="0065710B">
        <w:tc>
          <w:tcPr>
            <w:tcW w:w="9576" w:type="dxa"/>
          </w:tcPr>
          <w:p w:rsidR="00413AE8" w:rsidRDefault="00413AE8" w:rsidP="00413AE8">
            <w:pPr>
              <w:jc w:val="both"/>
            </w:pPr>
            <w:bookmarkStart w:id="0" w:name="_GoBack"/>
            <w:r>
              <w:t>The Environmentally Sound Management and Disposal of Polychlorinated Biphenyls (PCBs) project is a five-year program initiated in July 2018. The project is being funded with grant from the Global Environment Facility (GEF) with the United Nations Development Programme (UNDP) being the Implementing Agency. The project consists of five (5) major components;</w:t>
            </w:r>
          </w:p>
          <w:p w:rsidR="00413AE8" w:rsidRDefault="00413AE8" w:rsidP="00413AE8">
            <w:pPr>
              <w:jc w:val="both"/>
            </w:pPr>
          </w:p>
          <w:p w:rsidR="00413AE8" w:rsidRDefault="00413AE8" w:rsidP="00413AE8">
            <w:pPr>
              <w:jc w:val="both"/>
            </w:pPr>
            <w:r>
              <w:t>i.</w:t>
            </w:r>
            <w:r>
              <w:tab/>
              <w:t>Institutional capacity and training on PCBs.</w:t>
            </w:r>
          </w:p>
          <w:p w:rsidR="00413AE8" w:rsidRDefault="00413AE8" w:rsidP="00413AE8">
            <w:pPr>
              <w:jc w:val="both"/>
            </w:pPr>
            <w:r>
              <w:t>ii.</w:t>
            </w:r>
            <w:r>
              <w:tab/>
              <w:t>Inventory of PCBs in 22 states not previously covered by previous inventory.</w:t>
            </w:r>
          </w:p>
          <w:p w:rsidR="00413AE8" w:rsidRDefault="00413AE8" w:rsidP="00413AE8">
            <w:pPr>
              <w:jc w:val="both"/>
            </w:pPr>
            <w:r>
              <w:t>iii.</w:t>
            </w:r>
            <w:r>
              <w:tab/>
              <w:t>Establishment of PCB collection and treatment centers.</w:t>
            </w:r>
          </w:p>
          <w:p w:rsidR="00413AE8" w:rsidRDefault="00413AE8" w:rsidP="00413AE8">
            <w:pPr>
              <w:jc w:val="both"/>
            </w:pPr>
            <w:r>
              <w:t>iv.</w:t>
            </w:r>
            <w:r>
              <w:tab/>
              <w:t>Environmentally sound disposal of identified PCBs.</w:t>
            </w:r>
          </w:p>
          <w:p w:rsidR="00413AE8" w:rsidRDefault="00413AE8" w:rsidP="00413AE8">
            <w:pPr>
              <w:jc w:val="both"/>
            </w:pPr>
            <w:r>
              <w:t>v.</w:t>
            </w:r>
            <w:r>
              <w:tab/>
              <w:t>Project monitoring and evaluation</w:t>
            </w:r>
          </w:p>
          <w:p w:rsidR="0065710B" w:rsidRPr="00A55CB5" w:rsidRDefault="00413AE8" w:rsidP="00413AE8">
            <w:pPr>
              <w:tabs>
                <w:tab w:val="left" w:pos="1410"/>
              </w:tabs>
            </w:pPr>
            <w:r>
              <w:t>Under the Environmentally Sound Management and Disposal of PCBs Project, the Project Management Unit (PMU) intends to train all stakeholders on Basic PCB Management Practices and Understanding of PCB issues in Electrical Equipment and the Work Place as well as the associated health and environmental impact.</w:t>
            </w:r>
          </w:p>
          <w:bookmarkEnd w:id="0"/>
          <w:p w:rsidR="0065710B" w:rsidRPr="0065710B" w:rsidRDefault="0065710B" w:rsidP="0065710B">
            <w:pPr>
              <w:tabs>
                <w:tab w:val="left" w:pos="1410"/>
              </w:tabs>
            </w:pPr>
          </w:p>
        </w:tc>
      </w:tr>
    </w:tbl>
    <w:p w:rsidR="00A24134" w:rsidRDefault="00A24134" w:rsidP="009E2B22">
      <w:pPr>
        <w:tabs>
          <w:tab w:val="left" w:pos="1410"/>
        </w:tabs>
        <w:rPr>
          <w:b/>
        </w:rPr>
      </w:pPr>
    </w:p>
    <w:p w:rsidR="00944F40" w:rsidRDefault="00944F40" w:rsidP="00A24134">
      <w:pPr>
        <w:rPr>
          <w:b/>
        </w:rPr>
      </w:pPr>
      <w:r>
        <w:rPr>
          <w:b/>
        </w:rPr>
        <w:lastRenderedPageBreak/>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Tr="0065710B">
        <w:tc>
          <w:tcPr>
            <w:tcW w:w="9576" w:type="dxa"/>
          </w:tcPr>
          <w:p w:rsidR="00413AE8" w:rsidRPr="00413AE8" w:rsidRDefault="00413AE8" w:rsidP="00413AE8">
            <w:pPr>
              <w:jc w:val="both"/>
              <w:rPr>
                <w:rFonts w:cstheme="minorHAnsi"/>
              </w:rPr>
            </w:pPr>
            <w:r w:rsidRPr="00413AE8">
              <w:rPr>
                <w:rFonts w:cstheme="minorHAnsi"/>
              </w:rPr>
              <w:t>The consulting firm shall develop a detail training plan and cost implication for the following;</w:t>
            </w:r>
          </w:p>
          <w:p w:rsidR="00413AE8" w:rsidRPr="00413AE8" w:rsidRDefault="00413AE8" w:rsidP="00413AE8">
            <w:pPr>
              <w:widowControl w:val="0"/>
              <w:numPr>
                <w:ilvl w:val="0"/>
                <w:numId w:val="16"/>
              </w:numPr>
              <w:contextualSpacing/>
              <w:jc w:val="both"/>
              <w:rPr>
                <w:rFonts w:cstheme="minorHAnsi"/>
              </w:rPr>
            </w:pPr>
            <w:r w:rsidRPr="00413AE8">
              <w:rPr>
                <w:rFonts w:cstheme="minorHAnsi"/>
              </w:rPr>
              <w:t>Training for government officials in Abuja</w:t>
            </w:r>
          </w:p>
          <w:p w:rsidR="00413AE8" w:rsidRPr="00413AE8" w:rsidRDefault="00413AE8" w:rsidP="00413AE8">
            <w:pPr>
              <w:widowControl w:val="0"/>
              <w:numPr>
                <w:ilvl w:val="0"/>
                <w:numId w:val="16"/>
              </w:numPr>
              <w:contextualSpacing/>
              <w:jc w:val="both"/>
              <w:rPr>
                <w:rFonts w:cstheme="minorHAnsi"/>
              </w:rPr>
            </w:pPr>
            <w:r w:rsidRPr="00413AE8">
              <w:rPr>
                <w:rFonts w:cstheme="minorHAnsi"/>
              </w:rPr>
              <w:t>Train-the-trainer on PCB management in Abuja, Enugu and Lagos.</w:t>
            </w:r>
          </w:p>
          <w:p w:rsidR="00413AE8" w:rsidRPr="00413AE8" w:rsidRDefault="00413AE8" w:rsidP="00413AE8">
            <w:pPr>
              <w:jc w:val="both"/>
              <w:rPr>
                <w:rFonts w:cstheme="minorHAnsi"/>
              </w:rPr>
            </w:pPr>
            <w:r w:rsidRPr="00413AE8">
              <w:rPr>
                <w:rFonts w:cstheme="minorHAnsi"/>
              </w:rPr>
              <w:t>The participants for the above trainings will be pulled from the various stakeholders listed in the table below;</w:t>
            </w:r>
          </w:p>
          <w:p w:rsidR="00413AE8" w:rsidRPr="00413AE8" w:rsidRDefault="00413AE8" w:rsidP="00413AE8">
            <w:pPr>
              <w:rPr>
                <w:rFonts w:cstheme="minorHAnsi"/>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146"/>
              <w:gridCol w:w="2944"/>
              <w:gridCol w:w="3022"/>
            </w:tblGrid>
            <w:tr w:rsidR="00413AE8" w:rsidRPr="00413AE8" w:rsidTr="00CE3568">
              <w:tc>
                <w:tcPr>
                  <w:tcW w:w="1428" w:type="dxa"/>
                </w:tcPr>
                <w:p w:rsidR="00413AE8" w:rsidRPr="00413AE8" w:rsidRDefault="00413AE8" w:rsidP="00413AE8">
                  <w:pPr>
                    <w:rPr>
                      <w:rFonts w:cstheme="minorHAnsi"/>
                      <w:b/>
                      <w:color w:val="002060"/>
                    </w:rPr>
                  </w:pPr>
                  <w:r w:rsidRPr="00413AE8">
                    <w:rPr>
                      <w:rFonts w:cstheme="minorHAnsi"/>
                      <w:b/>
                      <w:color w:val="002060"/>
                    </w:rPr>
                    <w:t>Stakeholders</w:t>
                  </w:r>
                </w:p>
              </w:tc>
              <w:tc>
                <w:tcPr>
                  <w:tcW w:w="2146" w:type="dxa"/>
                </w:tcPr>
                <w:p w:rsidR="00413AE8" w:rsidRPr="00413AE8" w:rsidRDefault="00413AE8" w:rsidP="00413AE8">
                  <w:pPr>
                    <w:rPr>
                      <w:rFonts w:cstheme="minorHAnsi"/>
                      <w:b/>
                      <w:color w:val="002060"/>
                    </w:rPr>
                  </w:pPr>
                  <w:r w:rsidRPr="00413AE8">
                    <w:rPr>
                      <w:rFonts w:cstheme="minorHAnsi"/>
                      <w:b/>
                      <w:color w:val="002060"/>
                    </w:rPr>
                    <w:t>Training Outcomes</w:t>
                  </w:r>
                </w:p>
              </w:tc>
              <w:tc>
                <w:tcPr>
                  <w:tcW w:w="2944" w:type="dxa"/>
                </w:tcPr>
                <w:p w:rsidR="00413AE8" w:rsidRPr="00413AE8" w:rsidRDefault="00413AE8" w:rsidP="00413AE8">
                  <w:pPr>
                    <w:rPr>
                      <w:rFonts w:cstheme="minorHAnsi"/>
                      <w:b/>
                      <w:color w:val="002060"/>
                    </w:rPr>
                  </w:pPr>
                  <w:r w:rsidRPr="00413AE8">
                    <w:rPr>
                      <w:rFonts w:cstheme="minorHAnsi"/>
                      <w:b/>
                      <w:color w:val="002060"/>
                    </w:rPr>
                    <w:t>Training Materials</w:t>
                  </w:r>
                </w:p>
              </w:tc>
              <w:tc>
                <w:tcPr>
                  <w:tcW w:w="3022" w:type="dxa"/>
                </w:tcPr>
                <w:p w:rsidR="00413AE8" w:rsidRPr="00413AE8" w:rsidRDefault="00413AE8" w:rsidP="00413AE8">
                  <w:pPr>
                    <w:rPr>
                      <w:rFonts w:cstheme="minorHAnsi"/>
                      <w:b/>
                      <w:color w:val="002060"/>
                    </w:rPr>
                  </w:pPr>
                  <w:r w:rsidRPr="00413AE8">
                    <w:rPr>
                      <w:rFonts w:cstheme="minorHAnsi"/>
                      <w:b/>
                      <w:color w:val="002060"/>
                    </w:rPr>
                    <w:t>Participants</w:t>
                  </w:r>
                </w:p>
              </w:tc>
            </w:tr>
            <w:tr w:rsidR="00413AE8" w:rsidRPr="00413AE8" w:rsidTr="00CE3568">
              <w:tc>
                <w:tcPr>
                  <w:tcW w:w="1428" w:type="dxa"/>
                </w:tcPr>
                <w:p w:rsidR="00413AE8" w:rsidRPr="00413AE8" w:rsidRDefault="00413AE8" w:rsidP="00413AE8">
                  <w:pPr>
                    <w:rPr>
                      <w:rFonts w:cstheme="minorHAnsi"/>
                      <w:b/>
                      <w:color w:val="002060"/>
                    </w:rPr>
                  </w:pPr>
                  <w:r w:rsidRPr="00413AE8">
                    <w:rPr>
                      <w:rFonts w:cstheme="minorHAnsi"/>
                    </w:rPr>
                    <w:t>Training for Government agencies involved in PCB management</w:t>
                  </w:r>
                </w:p>
              </w:tc>
              <w:tc>
                <w:tcPr>
                  <w:tcW w:w="2146" w:type="dxa"/>
                </w:tcPr>
                <w:p w:rsidR="00413AE8" w:rsidRPr="00413AE8" w:rsidRDefault="00413AE8" w:rsidP="00413AE8">
                  <w:pPr>
                    <w:rPr>
                      <w:rFonts w:cstheme="minorHAnsi"/>
                      <w:b/>
                      <w:color w:val="002060"/>
                    </w:rPr>
                  </w:pPr>
                  <w:r w:rsidRPr="00413AE8">
                    <w:rPr>
                      <w:rFonts w:cstheme="minorHAnsi"/>
                    </w:rPr>
                    <w:t>To understand PCB impacts to environment and human health and be able to enforce the national PCB policy and Regulations</w:t>
                  </w:r>
                </w:p>
              </w:tc>
              <w:tc>
                <w:tcPr>
                  <w:tcW w:w="2944" w:type="dxa"/>
                </w:tcPr>
                <w:p w:rsidR="00413AE8" w:rsidRPr="00413AE8" w:rsidRDefault="00413AE8" w:rsidP="00413AE8">
                  <w:pPr>
                    <w:rPr>
                      <w:rFonts w:cstheme="minorHAnsi"/>
                      <w:b/>
                      <w:color w:val="002060"/>
                    </w:rPr>
                  </w:pPr>
                  <w:r w:rsidRPr="00413AE8">
                    <w:rPr>
                      <w:rFonts w:cstheme="minorHAnsi"/>
                    </w:rPr>
                    <w:t>Participants’ Handouts and PCB Awareness Brochure</w:t>
                  </w:r>
                </w:p>
              </w:tc>
              <w:tc>
                <w:tcPr>
                  <w:tcW w:w="3022" w:type="dxa"/>
                </w:tcPr>
                <w:p w:rsidR="00413AE8" w:rsidRPr="00413AE8" w:rsidRDefault="00413AE8" w:rsidP="00413AE8">
                  <w:pPr>
                    <w:rPr>
                      <w:rFonts w:cstheme="minorHAnsi"/>
                    </w:rPr>
                  </w:pPr>
                  <w:r w:rsidRPr="00413AE8">
                    <w:rPr>
                      <w:rFonts w:cstheme="minorHAnsi"/>
                    </w:rPr>
                    <w:t xml:space="preserve">100 participants from the relevant government agencies and the 36 State Ministries of Environment and the AEPB. </w:t>
                  </w:r>
                </w:p>
                <w:p w:rsidR="00413AE8" w:rsidRPr="00413AE8" w:rsidRDefault="00413AE8" w:rsidP="00413AE8">
                  <w:pPr>
                    <w:rPr>
                      <w:rFonts w:cstheme="minorHAnsi"/>
                      <w:b/>
                      <w:color w:val="002060"/>
                    </w:rPr>
                  </w:pPr>
                </w:p>
              </w:tc>
            </w:tr>
            <w:tr w:rsidR="00413AE8" w:rsidRPr="00413AE8" w:rsidTr="00CE3568">
              <w:trPr>
                <w:trHeight w:val="6946"/>
              </w:trPr>
              <w:tc>
                <w:tcPr>
                  <w:tcW w:w="1428" w:type="dxa"/>
                </w:tcPr>
                <w:p w:rsidR="00413AE8" w:rsidRPr="00413AE8" w:rsidRDefault="00413AE8" w:rsidP="00413AE8">
                  <w:pPr>
                    <w:rPr>
                      <w:rFonts w:cstheme="minorHAnsi"/>
                    </w:rPr>
                  </w:pPr>
                  <w:r w:rsidRPr="00413AE8">
                    <w:rPr>
                      <w:rFonts w:cstheme="minorHAnsi"/>
                    </w:rPr>
                    <w:t xml:space="preserve">Train-the trainer on PCBs Management for </w:t>
                  </w:r>
                </w:p>
                <w:p w:rsidR="00413AE8" w:rsidRPr="00413AE8" w:rsidRDefault="00413AE8" w:rsidP="00413AE8">
                  <w:pPr>
                    <w:rPr>
                      <w:rFonts w:cstheme="minorHAnsi"/>
                    </w:rPr>
                  </w:pPr>
                  <w:r w:rsidRPr="00413AE8">
                    <w:rPr>
                      <w:rFonts w:cstheme="minorHAnsi"/>
                    </w:rPr>
                    <w:t>Technical personnel and managers of potential PCB equipment users, and service shops</w:t>
                  </w:r>
                </w:p>
                <w:p w:rsidR="00413AE8" w:rsidRPr="00413AE8" w:rsidRDefault="00413AE8" w:rsidP="00413AE8">
                  <w:pPr>
                    <w:rPr>
                      <w:rFonts w:cstheme="minorHAnsi"/>
                    </w:rPr>
                  </w:pPr>
                </w:p>
              </w:tc>
              <w:tc>
                <w:tcPr>
                  <w:tcW w:w="2146" w:type="dxa"/>
                </w:tcPr>
                <w:p w:rsidR="00413AE8" w:rsidRPr="00413AE8" w:rsidRDefault="00413AE8" w:rsidP="00413AE8">
                  <w:pPr>
                    <w:rPr>
                      <w:rFonts w:cstheme="minorHAnsi"/>
                    </w:rPr>
                  </w:pPr>
                  <w:r w:rsidRPr="00413AE8">
                    <w:rPr>
                      <w:rFonts w:cstheme="minorHAnsi"/>
                    </w:rPr>
                    <w:t>To understand PCB impacts to environment and human health and be able to safely identify, handle, label, package, transport, and store PCB waste, and decontaminate PCB transformers as needed</w:t>
                  </w: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p w:rsidR="00413AE8" w:rsidRPr="00413AE8" w:rsidRDefault="00413AE8" w:rsidP="00413AE8">
                  <w:pPr>
                    <w:rPr>
                      <w:rFonts w:cstheme="minorHAnsi"/>
                    </w:rPr>
                  </w:pPr>
                </w:p>
              </w:tc>
              <w:tc>
                <w:tcPr>
                  <w:tcW w:w="2944" w:type="dxa"/>
                </w:tcPr>
                <w:p w:rsidR="00413AE8" w:rsidRPr="00413AE8" w:rsidRDefault="00413AE8" w:rsidP="00413AE8">
                  <w:pPr>
                    <w:rPr>
                      <w:rFonts w:cstheme="minorHAnsi"/>
                    </w:rPr>
                  </w:pPr>
                  <w:r w:rsidRPr="00413AE8">
                    <w:rPr>
                      <w:rFonts w:cstheme="minorHAnsi"/>
                    </w:rPr>
                    <w:lastRenderedPageBreak/>
                    <w:t>Participants’ Handouts, PCB Awareness Brochure, Chlor-N 50 and L2000 Manuals</w:t>
                  </w:r>
                </w:p>
                <w:p w:rsidR="00413AE8" w:rsidRPr="00413AE8" w:rsidRDefault="00413AE8" w:rsidP="00413AE8">
                  <w:pPr>
                    <w:rPr>
                      <w:rFonts w:cstheme="minorHAnsi"/>
                    </w:rPr>
                  </w:pPr>
                </w:p>
              </w:tc>
              <w:tc>
                <w:tcPr>
                  <w:tcW w:w="3022" w:type="dxa"/>
                </w:tcPr>
                <w:p w:rsidR="00413AE8" w:rsidRPr="00413AE8" w:rsidRDefault="00413AE8" w:rsidP="00413AE8">
                  <w:pPr>
                    <w:rPr>
                      <w:rFonts w:cstheme="minorHAnsi"/>
                    </w:rPr>
                  </w:pPr>
                  <w:r w:rsidRPr="00413AE8">
                    <w:rPr>
                      <w:rFonts w:cstheme="minorHAnsi"/>
                    </w:rPr>
                    <w:t>50 participants for each venue (Abuja, Enugu and Lagos). Participants will be drawn from the following organizations:</w:t>
                  </w:r>
                </w:p>
                <w:p w:rsidR="00413AE8" w:rsidRPr="00413AE8" w:rsidRDefault="00413AE8" w:rsidP="00413AE8">
                  <w:pPr>
                    <w:rPr>
                      <w:rFonts w:cstheme="minorHAnsi"/>
                    </w:rPr>
                  </w:pPr>
                  <w:r w:rsidRPr="00413AE8">
                    <w:rPr>
                      <w:rFonts w:cstheme="minorHAnsi"/>
                    </w:rPr>
                    <w:t>i. Power Generation, Transmission and Distribution companies</w:t>
                  </w:r>
                </w:p>
                <w:p w:rsidR="00413AE8" w:rsidRPr="00413AE8" w:rsidRDefault="00413AE8" w:rsidP="00413AE8">
                  <w:pPr>
                    <w:rPr>
                      <w:rFonts w:cstheme="minorHAnsi"/>
                    </w:rPr>
                  </w:pPr>
                  <w:r w:rsidRPr="00413AE8">
                    <w:rPr>
                      <w:rFonts w:cstheme="minorHAnsi"/>
                    </w:rPr>
                    <w:t>ii. Independent power producers</w:t>
                  </w:r>
                </w:p>
                <w:p w:rsidR="00413AE8" w:rsidRPr="00413AE8" w:rsidRDefault="00413AE8" w:rsidP="00413AE8">
                  <w:pPr>
                    <w:rPr>
                      <w:rFonts w:cstheme="minorHAnsi"/>
                    </w:rPr>
                  </w:pPr>
                  <w:r w:rsidRPr="00413AE8">
                    <w:rPr>
                      <w:rFonts w:cstheme="minorHAnsi"/>
                    </w:rPr>
                    <w:t xml:space="preserve">iii. Organizations with PCBs and PCB containing equipment </w:t>
                  </w:r>
                </w:p>
                <w:p w:rsidR="00413AE8" w:rsidRPr="00413AE8" w:rsidRDefault="00413AE8" w:rsidP="00413AE8">
                  <w:pPr>
                    <w:rPr>
                      <w:rFonts w:cstheme="minorHAnsi"/>
                    </w:rPr>
                  </w:pPr>
                </w:p>
                <w:p w:rsidR="00413AE8" w:rsidRPr="00413AE8" w:rsidRDefault="00413AE8" w:rsidP="00413AE8">
                  <w:pPr>
                    <w:rPr>
                      <w:rFonts w:cstheme="minorHAnsi"/>
                    </w:rPr>
                  </w:pPr>
                  <w:r w:rsidRPr="00413AE8">
                    <w:rPr>
                      <w:rFonts w:cstheme="minorHAnsi"/>
                      <w:b/>
                      <w:i/>
                    </w:rPr>
                    <w:t>the following Government regulatory agencies will also be included</w:t>
                  </w:r>
                  <w:r w:rsidRPr="00413AE8">
                    <w:rPr>
                      <w:rFonts w:cstheme="minorHAnsi"/>
                    </w:rPr>
                    <w:t>;</w:t>
                  </w:r>
                </w:p>
                <w:p w:rsidR="00413AE8" w:rsidRPr="00413AE8" w:rsidRDefault="00413AE8" w:rsidP="00413AE8">
                  <w:pPr>
                    <w:rPr>
                      <w:rFonts w:cstheme="minorHAnsi"/>
                    </w:rPr>
                  </w:pPr>
                  <w:r w:rsidRPr="00413AE8">
                    <w:rPr>
                      <w:rFonts w:cstheme="minorHAnsi"/>
                    </w:rPr>
                    <w:t>- National Environmental Standards &amp; Regulations Enforcement Agency (NESREA)</w:t>
                  </w:r>
                </w:p>
                <w:p w:rsidR="00413AE8" w:rsidRPr="00413AE8" w:rsidRDefault="00413AE8" w:rsidP="00413AE8">
                  <w:pPr>
                    <w:rPr>
                      <w:rFonts w:cstheme="minorHAnsi"/>
                    </w:rPr>
                  </w:pPr>
                  <w:r w:rsidRPr="00413AE8">
                    <w:rPr>
                      <w:rFonts w:cstheme="minorHAnsi"/>
                    </w:rPr>
                    <w:t>- Nigerian Electricity Regulatory Commission (NERC)</w:t>
                  </w:r>
                </w:p>
                <w:p w:rsidR="00413AE8" w:rsidRPr="00413AE8" w:rsidRDefault="00413AE8" w:rsidP="00413AE8">
                  <w:pPr>
                    <w:rPr>
                      <w:rFonts w:cstheme="minorHAnsi"/>
                    </w:rPr>
                  </w:pPr>
                  <w:r w:rsidRPr="00413AE8">
                    <w:rPr>
                      <w:rFonts w:cstheme="minorHAnsi"/>
                    </w:rPr>
                    <w:t>- Nigerian Customs Service</w:t>
                  </w:r>
                </w:p>
                <w:p w:rsidR="00413AE8" w:rsidRPr="00413AE8" w:rsidRDefault="00413AE8" w:rsidP="00413AE8">
                  <w:pPr>
                    <w:rPr>
                      <w:rFonts w:cstheme="minorHAnsi"/>
                    </w:rPr>
                  </w:pPr>
                  <w:r w:rsidRPr="00413AE8">
                    <w:rPr>
                      <w:rFonts w:cstheme="minorHAnsi"/>
                    </w:rPr>
                    <w:lastRenderedPageBreak/>
                    <w:t>- Lagos State Environmental Protection Agency (LASEPA)</w:t>
                  </w:r>
                </w:p>
                <w:p w:rsidR="00413AE8" w:rsidRPr="00413AE8" w:rsidRDefault="00413AE8" w:rsidP="00413AE8">
                  <w:pPr>
                    <w:rPr>
                      <w:rFonts w:cstheme="minorHAnsi"/>
                    </w:rPr>
                  </w:pPr>
                  <w:r w:rsidRPr="00413AE8">
                    <w:rPr>
                      <w:rFonts w:cstheme="minorHAnsi"/>
                    </w:rPr>
                    <w:t>- Enugu State Waste Management Agency (ESWAMA)</w:t>
                  </w:r>
                </w:p>
                <w:p w:rsidR="00413AE8" w:rsidRPr="00413AE8" w:rsidRDefault="00413AE8" w:rsidP="00413AE8">
                  <w:pPr>
                    <w:rPr>
                      <w:rFonts w:cstheme="minorHAnsi"/>
                    </w:rPr>
                  </w:pPr>
                  <w:r w:rsidRPr="00413AE8">
                    <w:rPr>
                      <w:rFonts w:cstheme="minorHAnsi"/>
                    </w:rPr>
                    <w:t>- Abuja Environmental Protection Board (AEPB).</w:t>
                  </w:r>
                </w:p>
              </w:tc>
            </w:tr>
          </w:tbl>
          <w:p w:rsidR="00413AE8" w:rsidRPr="00413AE8" w:rsidRDefault="00413AE8" w:rsidP="00413AE8">
            <w:pPr>
              <w:rPr>
                <w:rFonts w:cstheme="minorHAnsi"/>
              </w:rPr>
            </w:pPr>
          </w:p>
          <w:p w:rsidR="00413AE8" w:rsidRPr="00413AE8" w:rsidRDefault="00413AE8" w:rsidP="00413AE8">
            <w:pPr>
              <w:jc w:val="both"/>
              <w:rPr>
                <w:rFonts w:cstheme="minorHAnsi"/>
              </w:rPr>
            </w:pPr>
            <w:r w:rsidRPr="00413AE8">
              <w:rPr>
                <w:rFonts w:cstheme="minorHAnsi"/>
              </w:rPr>
              <w:t>The course contents shall include but not be limited to:</w:t>
            </w:r>
          </w:p>
          <w:p w:rsidR="00413AE8" w:rsidRPr="00413AE8" w:rsidRDefault="00413AE8" w:rsidP="00413AE8">
            <w:pPr>
              <w:jc w:val="both"/>
              <w:rPr>
                <w:rFonts w:cstheme="minorHAnsi"/>
              </w:rPr>
            </w:pPr>
          </w:p>
          <w:p w:rsidR="00413AE8" w:rsidRPr="00413AE8" w:rsidRDefault="00413AE8" w:rsidP="00413AE8">
            <w:pPr>
              <w:pStyle w:val="ListParagraph"/>
              <w:numPr>
                <w:ilvl w:val="0"/>
                <w:numId w:val="15"/>
              </w:numPr>
              <w:jc w:val="both"/>
              <w:rPr>
                <w:rFonts w:cstheme="minorHAnsi"/>
              </w:rPr>
            </w:pPr>
            <w:r w:rsidRPr="00413AE8">
              <w:rPr>
                <w:rFonts w:cstheme="minorHAnsi"/>
              </w:rPr>
              <w:t>Background knowledge, history, and composition of PCBs;</w:t>
            </w:r>
          </w:p>
          <w:p w:rsidR="00413AE8" w:rsidRPr="00413AE8" w:rsidRDefault="00413AE8" w:rsidP="00413AE8">
            <w:pPr>
              <w:pStyle w:val="ListParagraph"/>
              <w:numPr>
                <w:ilvl w:val="0"/>
                <w:numId w:val="15"/>
              </w:numPr>
              <w:jc w:val="both"/>
              <w:rPr>
                <w:rFonts w:cstheme="minorHAnsi"/>
              </w:rPr>
            </w:pPr>
            <w:r w:rsidRPr="00413AE8">
              <w:rPr>
                <w:rFonts w:cstheme="minorHAnsi"/>
              </w:rPr>
              <w:t>Closed and open PCB Applications;</w:t>
            </w:r>
          </w:p>
          <w:p w:rsidR="00413AE8" w:rsidRPr="00413AE8" w:rsidRDefault="00413AE8" w:rsidP="00413AE8">
            <w:pPr>
              <w:numPr>
                <w:ilvl w:val="0"/>
                <w:numId w:val="15"/>
              </w:numPr>
              <w:contextualSpacing/>
              <w:jc w:val="both"/>
              <w:rPr>
                <w:rFonts w:cstheme="minorHAnsi"/>
              </w:rPr>
            </w:pPr>
            <w:r w:rsidRPr="00413AE8">
              <w:rPr>
                <w:rFonts w:cstheme="minorHAnsi"/>
              </w:rPr>
              <w:t>Health effects of PCBs;</w:t>
            </w:r>
          </w:p>
          <w:p w:rsidR="00413AE8" w:rsidRPr="00413AE8" w:rsidRDefault="00413AE8" w:rsidP="00413AE8">
            <w:pPr>
              <w:numPr>
                <w:ilvl w:val="0"/>
                <w:numId w:val="15"/>
              </w:numPr>
              <w:contextualSpacing/>
              <w:jc w:val="both"/>
              <w:rPr>
                <w:rFonts w:cstheme="minorHAnsi"/>
              </w:rPr>
            </w:pPr>
            <w:r w:rsidRPr="00413AE8">
              <w:rPr>
                <w:rFonts w:cstheme="minorHAnsi"/>
              </w:rPr>
              <w:t>Sampling of dielectric fluids in electrical equipment and different types of packaging;</w:t>
            </w:r>
          </w:p>
          <w:p w:rsidR="00413AE8" w:rsidRPr="00413AE8" w:rsidRDefault="00413AE8" w:rsidP="00413AE8">
            <w:pPr>
              <w:numPr>
                <w:ilvl w:val="0"/>
                <w:numId w:val="15"/>
              </w:numPr>
              <w:contextualSpacing/>
              <w:jc w:val="both"/>
              <w:rPr>
                <w:rFonts w:cstheme="minorHAnsi"/>
              </w:rPr>
            </w:pPr>
            <w:r w:rsidRPr="00413AE8">
              <w:rPr>
                <w:rFonts w:cstheme="minorHAnsi"/>
              </w:rPr>
              <w:t xml:space="preserve">Testing of oil samples by appropriate screening methods; brief information about  PCB laboratory analysis; </w:t>
            </w:r>
          </w:p>
          <w:p w:rsidR="00413AE8" w:rsidRPr="00413AE8" w:rsidRDefault="00413AE8" w:rsidP="00413AE8">
            <w:pPr>
              <w:numPr>
                <w:ilvl w:val="0"/>
                <w:numId w:val="15"/>
              </w:numPr>
              <w:tabs>
                <w:tab w:val="left" w:pos="426"/>
              </w:tabs>
              <w:jc w:val="both"/>
              <w:rPr>
                <w:rFonts w:cstheme="minorHAnsi"/>
              </w:rPr>
            </w:pPr>
            <w:r w:rsidRPr="00413AE8">
              <w:rPr>
                <w:rFonts w:cstheme="minorHAnsi"/>
              </w:rPr>
              <w:t>Sampling of soil, Testing of soil samples by appropriate screening methods;</w:t>
            </w:r>
          </w:p>
          <w:p w:rsidR="00413AE8" w:rsidRPr="00413AE8" w:rsidRDefault="00413AE8" w:rsidP="00413AE8">
            <w:pPr>
              <w:numPr>
                <w:ilvl w:val="0"/>
                <w:numId w:val="15"/>
              </w:numPr>
              <w:contextualSpacing/>
              <w:jc w:val="both"/>
              <w:rPr>
                <w:rFonts w:cstheme="minorHAnsi"/>
              </w:rPr>
            </w:pPr>
            <w:r w:rsidRPr="00413AE8">
              <w:rPr>
                <w:rFonts w:cstheme="minorHAnsi"/>
              </w:rPr>
              <w:t>Water sampling – Techniques for water sampling;</w:t>
            </w:r>
          </w:p>
          <w:p w:rsidR="00413AE8" w:rsidRPr="00413AE8" w:rsidRDefault="00413AE8" w:rsidP="00413AE8">
            <w:pPr>
              <w:numPr>
                <w:ilvl w:val="0"/>
                <w:numId w:val="15"/>
              </w:numPr>
              <w:contextualSpacing/>
              <w:jc w:val="both"/>
              <w:rPr>
                <w:rFonts w:cstheme="minorHAnsi"/>
              </w:rPr>
            </w:pPr>
            <w:r w:rsidRPr="00413AE8">
              <w:rPr>
                <w:rFonts w:cstheme="minorHAnsi"/>
              </w:rPr>
              <w:t>Handling of PCB containing electrical equipment;</w:t>
            </w:r>
          </w:p>
          <w:p w:rsidR="00413AE8" w:rsidRPr="00413AE8" w:rsidRDefault="00413AE8" w:rsidP="00413AE8">
            <w:pPr>
              <w:numPr>
                <w:ilvl w:val="0"/>
                <w:numId w:val="15"/>
              </w:numPr>
              <w:contextualSpacing/>
              <w:jc w:val="both"/>
              <w:rPr>
                <w:rFonts w:cstheme="minorHAnsi"/>
              </w:rPr>
            </w:pPr>
            <w:r w:rsidRPr="00413AE8">
              <w:rPr>
                <w:rFonts w:cstheme="minorHAnsi"/>
              </w:rPr>
              <w:t xml:space="preserve">Handling of PCB contaminated non-liquids; </w:t>
            </w:r>
          </w:p>
          <w:p w:rsidR="00413AE8" w:rsidRPr="00413AE8" w:rsidRDefault="00413AE8" w:rsidP="00413AE8">
            <w:pPr>
              <w:numPr>
                <w:ilvl w:val="0"/>
                <w:numId w:val="15"/>
              </w:numPr>
              <w:contextualSpacing/>
              <w:jc w:val="both"/>
              <w:rPr>
                <w:rFonts w:cstheme="minorHAnsi"/>
              </w:rPr>
            </w:pPr>
            <w:r w:rsidRPr="00413AE8">
              <w:rPr>
                <w:rFonts w:cstheme="minorHAnsi"/>
              </w:rPr>
              <w:t>Dangers and Prevention of PCB Cross Contamination;</w:t>
            </w:r>
          </w:p>
          <w:p w:rsidR="00413AE8" w:rsidRPr="00413AE8" w:rsidRDefault="00413AE8" w:rsidP="00413AE8">
            <w:pPr>
              <w:numPr>
                <w:ilvl w:val="0"/>
                <w:numId w:val="15"/>
              </w:numPr>
              <w:contextualSpacing/>
              <w:jc w:val="both"/>
              <w:rPr>
                <w:rFonts w:cstheme="minorHAnsi"/>
              </w:rPr>
            </w:pPr>
            <w:r w:rsidRPr="00413AE8">
              <w:rPr>
                <w:rFonts w:cstheme="minorHAnsi"/>
              </w:rPr>
              <w:t>Handling of PCB-containing Capacitors;</w:t>
            </w:r>
          </w:p>
          <w:p w:rsidR="00413AE8" w:rsidRPr="00413AE8" w:rsidRDefault="00413AE8" w:rsidP="00413AE8">
            <w:pPr>
              <w:numPr>
                <w:ilvl w:val="0"/>
                <w:numId w:val="15"/>
              </w:numPr>
              <w:contextualSpacing/>
              <w:jc w:val="both"/>
              <w:rPr>
                <w:rFonts w:cstheme="minorHAnsi"/>
              </w:rPr>
            </w:pPr>
            <w:r w:rsidRPr="00413AE8">
              <w:rPr>
                <w:rFonts w:cstheme="minorHAnsi"/>
              </w:rPr>
              <w:t>Labeling of PCB containing electrical equipment;</w:t>
            </w:r>
          </w:p>
          <w:p w:rsidR="00413AE8" w:rsidRPr="00413AE8" w:rsidRDefault="00413AE8" w:rsidP="00413AE8">
            <w:pPr>
              <w:numPr>
                <w:ilvl w:val="0"/>
                <w:numId w:val="15"/>
              </w:numPr>
              <w:contextualSpacing/>
              <w:jc w:val="both"/>
              <w:rPr>
                <w:rFonts w:cstheme="minorHAnsi"/>
              </w:rPr>
            </w:pPr>
            <w:r w:rsidRPr="00413AE8">
              <w:rPr>
                <w:rFonts w:cstheme="minorHAnsi"/>
              </w:rPr>
              <w:t xml:space="preserve">Temporary storage of PCB containing electrical equipment; </w:t>
            </w:r>
          </w:p>
          <w:p w:rsidR="00413AE8" w:rsidRPr="00413AE8" w:rsidRDefault="00413AE8" w:rsidP="00413AE8">
            <w:pPr>
              <w:numPr>
                <w:ilvl w:val="0"/>
                <w:numId w:val="15"/>
              </w:numPr>
              <w:contextualSpacing/>
              <w:jc w:val="both"/>
              <w:rPr>
                <w:rFonts w:cstheme="minorHAnsi"/>
              </w:rPr>
            </w:pPr>
            <w:r w:rsidRPr="00413AE8">
              <w:rPr>
                <w:rFonts w:cstheme="minorHAnsi"/>
              </w:rPr>
              <w:t>Packaging of PCB containing Waste (UN-approved);</w:t>
            </w:r>
          </w:p>
          <w:p w:rsidR="00413AE8" w:rsidRPr="00413AE8" w:rsidRDefault="00413AE8" w:rsidP="00413AE8">
            <w:pPr>
              <w:numPr>
                <w:ilvl w:val="0"/>
                <w:numId w:val="15"/>
              </w:numPr>
              <w:contextualSpacing/>
              <w:jc w:val="both"/>
              <w:rPr>
                <w:rFonts w:cstheme="minorHAnsi"/>
              </w:rPr>
            </w:pPr>
            <w:r w:rsidRPr="00413AE8">
              <w:rPr>
                <w:rFonts w:cstheme="minorHAnsi"/>
              </w:rPr>
              <w:t>Transportation of PCB containing electrical equipment;</w:t>
            </w:r>
          </w:p>
          <w:p w:rsidR="00413AE8" w:rsidRPr="00413AE8" w:rsidRDefault="00413AE8" w:rsidP="00413AE8">
            <w:pPr>
              <w:numPr>
                <w:ilvl w:val="0"/>
                <w:numId w:val="15"/>
              </w:numPr>
              <w:contextualSpacing/>
              <w:jc w:val="both"/>
              <w:rPr>
                <w:rFonts w:cstheme="minorHAnsi"/>
              </w:rPr>
            </w:pPr>
            <w:r w:rsidRPr="00413AE8">
              <w:rPr>
                <w:rFonts w:cstheme="minorHAnsi"/>
              </w:rPr>
              <w:t>Disposal and Treatment options;</w:t>
            </w:r>
          </w:p>
          <w:p w:rsidR="00413AE8" w:rsidRPr="00413AE8" w:rsidRDefault="00413AE8" w:rsidP="00413AE8">
            <w:pPr>
              <w:numPr>
                <w:ilvl w:val="0"/>
                <w:numId w:val="15"/>
              </w:numPr>
              <w:contextualSpacing/>
              <w:jc w:val="both"/>
              <w:rPr>
                <w:rFonts w:cstheme="minorHAnsi"/>
              </w:rPr>
            </w:pPr>
            <w:r w:rsidRPr="00413AE8">
              <w:rPr>
                <w:rFonts w:cstheme="minorHAnsi"/>
              </w:rPr>
              <w:t>Emergency Management and Response Requirements (Emergence Action Procedure);</w:t>
            </w:r>
          </w:p>
          <w:p w:rsidR="00413AE8" w:rsidRPr="00413AE8" w:rsidRDefault="00413AE8" w:rsidP="00413AE8">
            <w:pPr>
              <w:numPr>
                <w:ilvl w:val="0"/>
                <w:numId w:val="15"/>
              </w:numPr>
              <w:contextualSpacing/>
              <w:jc w:val="both"/>
              <w:rPr>
                <w:rFonts w:cstheme="minorHAnsi"/>
              </w:rPr>
            </w:pPr>
            <w:r w:rsidRPr="00413AE8">
              <w:rPr>
                <w:rFonts w:cstheme="minorHAnsi"/>
              </w:rPr>
              <w:t>Housekeeping of PCB electrical equipment;</w:t>
            </w:r>
          </w:p>
          <w:p w:rsidR="00413AE8" w:rsidRPr="00413AE8" w:rsidRDefault="00413AE8" w:rsidP="00413AE8">
            <w:pPr>
              <w:numPr>
                <w:ilvl w:val="0"/>
                <w:numId w:val="15"/>
              </w:numPr>
              <w:contextualSpacing/>
              <w:jc w:val="both"/>
              <w:rPr>
                <w:rFonts w:cstheme="minorHAnsi"/>
              </w:rPr>
            </w:pPr>
            <w:r w:rsidRPr="00413AE8">
              <w:rPr>
                <w:rFonts w:cstheme="minorHAnsi"/>
              </w:rPr>
              <w:t>Record Keeping Advices;</w:t>
            </w:r>
          </w:p>
          <w:p w:rsidR="00413AE8" w:rsidRPr="00413AE8" w:rsidRDefault="00413AE8" w:rsidP="00413AE8">
            <w:pPr>
              <w:numPr>
                <w:ilvl w:val="0"/>
                <w:numId w:val="15"/>
              </w:numPr>
              <w:contextualSpacing/>
              <w:jc w:val="both"/>
              <w:rPr>
                <w:rFonts w:cstheme="minorHAnsi"/>
              </w:rPr>
            </w:pPr>
            <w:r w:rsidRPr="00413AE8">
              <w:rPr>
                <w:rFonts w:cstheme="minorHAnsi"/>
              </w:rPr>
              <w:lastRenderedPageBreak/>
              <w:t>Personal Protective Equipment;</w:t>
            </w:r>
          </w:p>
          <w:p w:rsidR="0065710B" w:rsidRDefault="00413AE8" w:rsidP="00413AE8">
            <w:pPr>
              <w:numPr>
                <w:ilvl w:val="0"/>
                <w:numId w:val="15"/>
              </w:numPr>
              <w:contextualSpacing/>
              <w:jc w:val="both"/>
              <w:rPr>
                <w:rFonts w:cstheme="minorHAnsi"/>
              </w:rPr>
            </w:pPr>
            <w:r w:rsidRPr="00413AE8">
              <w:rPr>
                <w:rFonts w:cstheme="minorHAnsi"/>
              </w:rPr>
              <w:t>Health and Environmental Monitoring Procedures.</w:t>
            </w:r>
          </w:p>
          <w:p w:rsidR="00386620" w:rsidRDefault="00386620" w:rsidP="00386620">
            <w:pPr>
              <w:contextualSpacing/>
              <w:jc w:val="both"/>
              <w:rPr>
                <w:rFonts w:cstheme="minorHAnsi"/>
              </w:rPr>
            </w:pPr>
          </w:p>
          <w:p w:rsidR="00386620" w:rsidRPr="00386620" w:rsidRDefault="00386620" w:rsidP="00386620">
            <w:pPr>
              <w:pStyle w:val="Heading1"/>
              <w:outlineLvl w:val="0"/>
              <w:rPr>
                <w:rFonts w:asciiTheme="minorHAnsi" w:hAnsiTheme="minorHAnsi" w:cstheme="minorHAnsi"/>
                <w:b/>
                <w:color w:val="auto"/>
                <w:sz w:val="22"/>
                <w:szCs w:val="22"/>
              </w:rPr>
            </w:pPr>
            <w:r w:rsidRPr="00386620">
              <w:rPr>
                <w:rFonts w:asciiTheme="minorHAnsi" w:hAnsiTheme="minorHAnsi" w:cstheme="minorHAnsi"/>
                <w:b/>
                <w:color w:val="auto"/>
                <w:sz w:val="22"/>
                <w:szCs w:val="22"/>
              </w:rPr>
              <w:t>Expected Output</w:t>
            </w:r>
          </w:p>
          <w:p w:rsidR="00386620" w:rsidRPr="00386620" w:rsidRDefault="00386620" w:rsidP="00386620">
            <w:pPr>
              <w:jc w:val="both"/>
              <w:rPr>
                <w:rFonts w:cstheme="minorHAnsi"/>
              </w:rPr>
            </w:pPr>
            <w:r w:rsidRPr="00386620">
              <w:rPr>
                <w:rFonts w:cstheme="minorHAnsi"/>
              </w:rPr>
              <w:t>The consulting firm is expected to produce the following;</w:t>
            </w:r>
          </w:p>
          <w:p w:rsidR="00386620" w:rsidRPr="00386620" w:rsidRDefault="00386620" w:rsidP="00386620">
            <w:pPr>
              <w:pStyle w:val="ListParagraph"/>
              <w:numPr>
                <w:ilvl w:val="0"/>
                <w:numId w:val="19"/>
              </w:numPr>
              <w:autoSpaceDE w:val="0"/>
              <w:autoSpaceDN w:val="0"/>
              <w:adjustRightInd w:val="0"/>
              <w:contextualSpacing w:val="0"/>
              <w:jc w:val="both"/>
              <w:rPr>
                <w:rFonts w:cstheme="minorHAnsi"/>
              </w:rPr>
            </w:pPr>
            <w:r w:rsidRPr="00386620">
              <w:rPr>
                <w:rFonts w:cstheme="minorHAnsi"/>
              </w:rPr>
              <w:t xml:space="preserve">PCBs Management Handbook and Factsheets; </w:t>
            </w:r>
          </w:p>
          <w:p w:rsidR="00386620" w:rsidRPr="00386620" w:rsidRDefault="00386620" w:rsidP="00386620">
            <w:pPr>
              <w:pStyle w:val="ListParagraph"/>
              <w:numPr>
                <w:ilvl w:val="0"/>
                <w:numId w:val="19"/>
              </w:numPr>
              <w:autoSpaceDE w:val="0"/>
              <w:autoSpaceDN w:val="0"/>
              <w:adjustRightInd w:val="0"/>
              <w:contextualSpacing w:val="0"/>
              <w:jc w:val="both"/>
              <w:rPr>
                <w:rFonts w:cstheme="minorHAnsi"/>
              </w:rPr>
            </w:pPr>
            <w:r w:rsidRPr="00386620">
              <w:rPr>
                <w:rFonts w:cstheme="minorHAnsi"/>
              </w:rPr>
              <w:t>Participants’ Handouts, Chlor N-50 and L2000 DX Manuals. Factsheets for transformer and   capacitors inventory;</w:t>
            </w:r>
          </w:p>
          <w:p w:rsidR="00386620" w:rsidRPr="00386620" w:rsidRDefault="00386620" w:rsidP="00386620">
            <w:pPr>
              <w:pStyle w:val="ListParagraph"/>
              <w:numPr>
                <w:ilvl w:val="0"/>
                <w:numId w:val="19"/>
              </w:numPr>
              <w:autoSpaceDE w:val="0"/>
              <w:autoSpaceDN w:val="0"/>
              <w:adjustRightInd w:val="0"/>
              <w:contextualSpacing w:val="0"/>
              <w:jc w:val="both"/>
              <w:rPr>
                <w:rFonts w:cstheme="minorHAnsi"/>
              </w:rPr>
            </w:pPr>
            <w:r w:rsidRPr="00386620">
              <w:rPr>
                <w:rFonts w:cstheme="minorHAnsi"/>
              </w:rPr>
              <w:t>Power Point Presentations;</w:t>
            </w:r>
          </w:p>
          <w:p w:rsidR="00386620" w:rsidRPr="00386620" w:rsidRDefault="00386620" w:rsidP="00386620">
            <w:pPr>
              <w:pStyle w:val="ListParagraph"/>
              <w:numPr>
                <w:ilvl w:val="0"/>
                <w:numId w:val="19"/>
              </w:numPr>
              <w:autoSpaceDE w:val="0"/>
              <w:autoSpaceDN w:val="0"/>
              <w:adjustRightInd w:val="0"/>
              <w:contextualSpacing w:val="0"/>
              <w:jc w:val="both"/>
              <w:rPr>
                <w:rFonts w:cstheme="minorHAnsi"/>
              </w:rPr>
            </w:pPr>
            <w:r w:rsidRPr="00386620">
              <w:rPr>
                <w:rFonts w:cstheme="minorHAnsi"/>
              </w:rPr>
              <w:t>Other Graphic materials that can be displayed at the training venue (posters);</w:t>
            </w:r>
          </w:p>
          <w:p w:rsidR="00386620" w:rsidRPr="00386620" w:rsidRDefault="00386620" w:rsidP="00386620">
            <w:pPr>
              <w:pStyle w:val="ListParagraph"/>
              <w:numPr>
                <w:ilvl w:val="0"/>
                <w:numId w:val="19"/>
              </w:numPr>
              <w:autoSpaceDE w:val="0"/>
              <w:autoSpaceDN w:val="0"/>
              <w:adjustRightInd w:val="0"/>
              <w:contextualSpacing w:val="0"/>
              <w:jc w:val="both"/>
              <w:rPr>
                <w:rFonts w:cstheme="minorHAnsi"/>
              </w:rPr>
            </w:pPr>
            <w:r w:rsidRPr="00386620">
              <w:rPr>
                <w:rFonts w:cstheme="minorHAnsi"/>
              </w:rPr>
              <w:t>Participants tests and Course Certificate;</w:t>
            </w:r>
          </w:p>
          <w:p w:rsidR="00386620" w:rsidRPr="00386620" w:rsidRDefault="00386620" w:rsidP="00386620">
            <w:pPr>
              <w:pStyle w:val="ListParagraph"/>
              <w:numPr>
                <w:ilvl w:val="0"/>
                <w:numId w:val="19"/>
              </w:numPr>
              <w:autoSpaceDE w:val="0"/>
              <w:autoSpaceDN w:val="0"/>
              <w:adjustRightInd w:val="0"/>
              <w:contextualSpacing w:val="0"/>
              <w:jc w:val="both"/>
              <w:rPr>
                <w:rFonts w:cstheme="minorHAnsi"/>
              </w:rPr>
            </w:pPr>
            <w:r w:rsidRPr="00386620">
              <w:rPr>
                <w:rFonts w:cstheme="minorHAnsi"/>
              </w:rPr>
              <w:t>Report of the trainings which include:</w:t>
            </w:r>
          </w:p>
          <w:p w:rsidR="00386620" w:rsidRPr="00386620" w:rsidRDefault="00386620" w:rsidP="00386620">
            <w:pPr>
              <w:pStyle w:val="ListParagraph"/>
              <w:numPr>
                <w:ilvl w:val="0"/>
                <w:numId w:val="20"/>
              </w:numPr>
              <w:autoSpaceDE w:val="0"/>
              <w:autoSpaceDN w:val="0"/>
              <w:adjustRightInd w:val="0"/>
              <w:contextualSpacing w:val="0"/>
              <w:jc w:val="both"/>
              <w:rPr>
                <w:rFonts w:cstheme="minorHAnsi"/>
              </w:rPr>
            </w:pPr>
            <w:r w:rsidRPr="00386620">
              <w:rPr>
                <w:rFonts w:eastAsiaTheme="minorEastAsia" w:cstheme="minorHAnsi"/>
              </w:rPr>
              <w:t>Report on PCB Management Workshop for Policy Makers in Abuja.</w:t>
            </w:r>
          </w:p>
          <w:p w:rsidR="00386620" w:rsidRPr="00386620" w:rsidRDefault="00386620" w:rsidP="00386620">
            <w:pPr>
              <w:pStyle w:val="ListParagraph"/>
              <w:numPr>
                <w:ilvl w:val="0"/>
                <w:numId w:val="20"/>
              </w:numPr>
              <w:autoSpaceDE w:val="0"/>
              <w:autoSpaceDN w:val="0"/>
              <w:adjustRightInd w:val="0"/>
              <w:contextualSpacing w:val="0"/>
              <w:jc w:val="both"/>
              <w:rPr>
                <w:rFonts w:cstheme="minorHAnsi"/>
              </w:rPr>
            </w:pPr>
            <w:r w:rsidRPr="00386620">
              <w:rPr>
                <w:rFonts w:eastAsiaTheme="minorEastAsia" w:cstheme="minorHAnsi"/>
              </w:rPr>
              <w:t>Report on PCB Inventory and Environmental Sound Management Training in Abuja.</w:t>
            </w:r>
          </w:p>
          <w:p w:rsidR="00386620" w:rsidRPr="00386620" w:rsidRDefault="00386620" w:rsidP="00386620">
            <w:pPr>
              <w:pStyle w:val="ListParagraph"/>
              <w:numPr>
                <w:ilvl w:val="0"/>
                <w:numId w:val="20"/>
              </w:numPr>
              <w:autoSpaceDE w:val="0"/>
              <w:autoSpaceDN w:val="0"/>
              <w:adjustRightInd w:val="0"/>
              <w:contextualSpacing w:val="0"/>
              <w:jc w:val="both"/>
              <w:rPr>
                <w:rFonts w:cstheme="minorHAnsi"/>
              </w:rPr>
            </w:pPr>
            <w:r w:rsidRPr="00386620">
              <w:rPr>
                <w:rFonts w:eastAsiaTheme="minorEastAsia" w:cstheme="minorHAnsi"/>
              </w:rPr>
              <w:t>Report on PCB Inventory and Environmental Sound Management Training in Enugu.</w:t>
            </w:r>
          </w:p>
          <w:p w:rsidR="00386620" w:rsidRPr="00386620" w:rsidRDefault="00386620" w:rsidP="00386620">
            <w:pPr>
              <w:pStyle w:val="ListParagraph"/>
              <w:numPr>
                <w:ilvl w:val="0"/>
                <w:numId w:val="20"/>
              </w:numPr>
              <w:autoSpaceDE w:val="0"/>
              <w:autoSpaceDN w:val="0"/>
              <w:adjustRightInd w:val="0"/>
              <w:contextualSpacing w:val="0"/>
              <w:jc w:val="both"/>
              <w:rPr>
                <w:rFonts w:cstheme="minorHAnsi"/>
              </w:rPr>
            </w:pPr>
            <w:r w:rsidRPr="00386620">
              <w:rPr>
                <w:rFonts w:eastAsiaTheme="minorEastAsia" w:cstheme="minorHAnsi"/>
              </w:rPr>
              <w:t>Report on PCB Inventory and Environmental Sound Management Training in Lagos.</w:t>
            </w:r>
          </w:p>
          <w:p w:rsidR="00386620" w:rsidRPr="00386620" w:rsidRDefault="00386620" w:rsidP="00386620">
            <w:pPr>
              <w:pStyle w:val="ListParagraph"/>
              <w:widowControl w:val="0"/>
              <w:numPr>
                <w:ilvl w:val="0"/>
                <w:numId w:val="19"/>
              </w:numPr>
              <w:autoSpaceDE w:val="0"/>
              <w:autoSpaceDN w:val="0"/>
              <w:adjustRightInd w:val="0"/>
              <w:contextualSpacing w:val="0"/>
              <w:jc w:val="both"/>
              <w:rPr>
                <w:rFonts w:eastAsiaTheme="minorEastAsia" w:cstheme="minorHAnsi"/>
              </w:rPr>
            </w:pPr>
            <w:r w:rsidRPr="00386620">
              <w:rPr>
                <w:rFonts w:eastAsiaTheme="minorEastAsia" w:cstheme="minorHAnsi"/>
              </w:rPr>
              <w:t>Development of PCB Management Guideline. The document should include amongst others:</w:t>
            </w:r>
          </w:p>
          <w:p w:rsidR="00386620" w:rsidRPr="00386620" w:rsidRDefault="00386620" w:rsidP="00386620">
            <w:pPr>
              <w:pStyle w:val="ListParagraph"/>
              <w:widowControl w:val="0"/>
              <w:numPr>
                <w:ilvl w:val="1"/>
                <w:numId w:val="21"/>
              </w:numPr>
              <w:autoSpaceDE w:val="0"/>
              <w:autoSpaceDN w:val="0"/>
              <w:adjustRightInd w:val="0"/>
              <w:contextualSpacing w:val="0"/>
              <w:jc w:val="both"/>
              <w:rPr>
                <w:rFonts w:eastAsiaTheme="minorEastAsia" w:cstheme="minorHAnsi"/>
              </w:rPr>
            </w:pPr>
            <w:r w:rsidRPr="00386620">
              <w:rPr>
                <w:rFonts w:eastAsiaTheme="minorEastAsia" w:cstheme="minorHAnsi"/>
              </w:rPr>
              <w:t>Chapters on “General Information and International Conventions “</w:t>
            </w:r>
          </w:p>
          <w:p w:rsidR="00386620" w:rsidRPr="00386620" w:rsidRDefault="00386620" w:rsidP="00386620">
            <w:pPr>
              <w:pStyle w:val="ListParagraph"/>
              <w:widowControl w:val="0"/>
              <w:numPr>
                <w:ilvl w:val="1"/>
                <w:numId w:val="21"/>
              </w:numPr>
              <w:autoSpaceDE w:val="0"/>
              <w:autoSpaceDN w:val="0"/>
              <w:adjustRightInd w:val="0"/>
              <w:contextualSpacing w:val="0"/>
              <w:jc w:val="both"/>
              <w:rPr>
                <w:rFonts w:eastAsiaTheme="minorEastAsia" w:cstheme="minorHAnsi"/>
              </w:rPr>
            </w:pPr>
            <w:r w:rsidRPr="00386620">
              <w:rPr>
                <w:rFonts w:eastAsiaTheme="minorEastAsia" w:cstheme="minorHAnsi"/>
              </w:rPr>
              <w:t>Chapters on “Identification, Environmentally Sound Management and Maintenance of Equipment containing PCBs “</w:t>
            </w:r>
          </w:p>
          <w:p w:rsidR="00386620" w:rsidRPr="00386620" w:rsidRDefault="00386620" w:rsidP="00386620">
            <w:pPr>
              <w:pStyle w:val="ListParagraph"/>
              <w:widowControl w:val="0"/>
              <w:numPr>
                <w:ilvl w:val="1"/>
                <w:numId w:val="21"/>
              </w:numPr>
              <w:autoSpaceDE w:val="0"/>
              <w:autoSpaceDN w:val="0"/>
              <w:adjustRightInd w:val="0"/>
              <w:contextualSpacing w:val="0"/>
              <w:jc w:val="both"/>
              <w:rPr>
                <w:rFonts w:eastAsiaTheme="minorEastAsia" w:cstheme="minorHAnsi"/>
              </w:rPr>
            </w:pPr>
            <w:r w:rsidRPr="00386620">
              <w:rPr>
                <w:rFonts w:eastAsiaTheme="minorEastAsia" w:cstheme="minorHAnsi"/>
              </w:rPr>
              <w:t xml:space="preserve">Chapters on “Safety and Emergency Actions “ </w:t>
            </w:r>
          </w:p>
          <w:p w:rsidR="00386620" w:rsidRPr="00386620" w:rsidRDefault="00386620" w:rsidP="00386620">
            <w:pPr>
              <w:pStyle w:val="ListParagraph"/>
              <w:widowControl w:val="0"/>
              <w:numPr>
                <w:ilvl w:val="1"/>
                <w:numId w:val="21"/>
              </w:numPr>
              <w:autoSpaceDE w:val="0"/>
              <w:autoSpaceDN w:val="0"/>
              <w:adjustRightInd w:val="0"/>
              <w:contextualSpacing w:val="0"/>
              <w:jc w:val="both"/>
              <w:rPr>
                <w:rFonts w:eastAsiaTheme="minorEastAsia" w:cstheme="minorHAnsi"/>
              </w:rPr>
            </w:pPr>
            <w:r w:rsidRPr="00386620">
              <w:rPr>
                <w:rFonts w:eastAsiaTheme="minorEastAsia" w:cstheme="minorHAnsi"/>
              </w:rPr>
              <w:t xml:space="preserve">Chapters on “Phase-out, Packing, Storage and Transport of PCB Wastes “ </w:t>
            </w:r>
          </w:p>
          <w:p w:rsidR="00386620" w:rsidRPr="00386620" w:rsidRDefault="00386620" w:rsidP="00386620">
            <w:pPr>
              <w:pStyle w:val="ListParagraph"/>
              <w:widowControl w:val="0"/>
              <w:numPr>
                <w:ilvl w:val="1"/>
                <w:numId w:val="21"/>
              </w:numPr>
              <w:autoSpaceDE w:val="0"/>
              <w:autoSpaceDN w:val="0"/>
              <w:adjustRightInd w:val="0"/>
              <w:contextualSpacing w:val="0"/>
              <w:jc w:val="both"/>
              <w:rPr>
                <w:rFonts w:eastAsiaTheme="minorEastAsia" w:cstheme="minorHAnsi"/>
              </w:rPr>
            </w:pPr>
            <w:r w:rsidRPr="00386620">
              <w:rPr>
                <w:rFonts w:eastAsiaTheme="minorEastAsia" w:cstheme="minorHAnsi"/>
              </w:rPr>
              <w:t xml:space="preserve">Chapters on “Treatment and Disposal Options “ </w:t>
            </w:r>
          </w:p>
          <w:p w:rsidR="00386620" w:rsidRPr="00386620" w:rsidRDefault="00386620" w:rsidP="00386620">
            <w:pPr>
              <w:pStyle w:val="ListParagraph"/>
              <w:widowControl w:val="0"/>
              <w:autoSpaceDE w:val="0"/>
              <w:autoSpaceDN w:val="0"/>
              <w:adjustRightInd w:val="0"/>
              <w:ind w:left="1440"/>
              <w:jc w:val="both"/>
              <w:rPr>
                <w:rFonts w:eastAsiaTheme="minorEastAsia" w:cstheme="minorHAnsi"/>
              </w:rPr>
            </w:pPr>
          </w:p>
          <w:p w:rsidR="00386620" w:rsidRPr="00386620" w:rsidRDefault="00386620" w:rsidP="00386620">
            <w:pPr>
              <w:pStyle w:val="Heading1"/>
              <w:outlineLvl w:val="0"/>
              <w:rPr>
                <w:rFonts w:asciiTheme="minorHAnsi" w:hAnsiTheme="minorHAnsi" w:cstheme="minorHAnsi"/>
                <w:b/>
                <w:color w:val="auto"/>
                <w:sz w:val="22"/>
                <w:szCs w:val="22"/>
              </w:rPr>
            </w:pPr>
            <w:r w:rsidRPr="00386620">
              <w:rPr>
                <w:rFonts w:asciiTheme="minorHAnsi" w:hAnsiTheme="minorHAnsi" w:cstheme="minorHAnsi"/>
                <w:b/>
                <w:color w:val="auto"/>
                <w:sz w:val="22"/>
                <w:szCs w:val="22"/>
              </w:rPr>
              <w:t>Reporting</w:t>
            </w:r>
          </w:p>
          <w:p w:rsidR="00386620" w:rsidRPr="00386620" w:rsidRDefault="00386620" w:rsidP="00386620">
            <w:pPr>
              <w:autoSpaceDE w:val="0"/>
              <w:autoSpaceDN w:val="0"/>
              <w:adjustRightInd w:val="0"/>
              <w:jc w:val="both"/>
              <w:rPr>
                <w:rFonts w:cstheme="minorHAnsi"/>
              </w:rPr>
            </w:pPr>
            <w:r w:rsidRPr="00386620">
              <w:rPr>
                <w:rFonts w:cstheme="minorHAnsi"/>
              </w:rPr>
              <w:t>The firm will be reporting to the Project Coordinator Environmentally Sound Management and Disposal of PCBs Project and shall:</w:t>
            </w:r>
          </w:p>
          <w:p w:rsidR="00386620" w:rsidRPr="00386620" w:rsidRDefault="00386620" w:rsidP="00386620">
            <w:pPr>
              <w:autoSpaceDE w:val="0"/>
              <w:autoSpaceDN w:val="0"/>
              <w:adjustRightInd w:val="0"/>
              <w:jc w:val="both"/>
              <w:rPr>
                <w:rFonts w:cstheme="minorHAnsi"/>
              </w:rPr>
            </w:pPr>
          </w:p>
          <w:p w:rsidR="00386620" w:rsidRPr="00386620" w:rsidRDefault="00386620" w:rsidP="00386620">
            <w:pPr>
              <w:numPr>
                <w:ilvl w:val="0"/>
                <w:numId w:val="17"/>
              </w:numPr>
              <w:autoSpaceDE w:val="0"/>
              <w:autoSpaceDN w:val="0"/>
              <w:adjustRightInd w:val="0"/>
              <w:jc w:val="both"/>
              <w:rPr>
                <w:rFonts w:cstheme="minorHAnsi"/>
              </w:rPr>
            </w:pPr>
            <w:r w:rsidRPr="00386620">
              <w:rPr>
                <w:rFonts w:cstheme="minorHAnsi"/>
              </w:rPr>
              <w:t>Submit a report for each training completed in electronic form to the Project.</w:t>
            </w:r>
          </w:p>
          <w:p w:rsidR="00386620" w:rsidRPr="00386620" w:rsidRDefault="00386620" w:rsidP="00386620">
            <w:pPr>
              <w:numPr>
                <w:ilvl w:val="0"/>
                <w:numId w:val="17"/>
              </w:numPr>
              <w:autoSpaceDE w:val="0"/>
              <w:autoSpaceDN w:val="0"/>
              <w:adjustRightInd w:val="0"/>
              <w:jc w:val="both"/>
              <w:rPr>
                <w:rFonts w:cstheme="minorHAnsi"/>
              </w:rPr>
            </w:pPr>
            <w:r w:rsidRPr="00386620">
              <w:rPr>
                <w:rFonts w:cstheme="minorHAnsi"/>
              </w:rPr>
              <w:t>The PCB Management Guideline shall be submitted to the Project Coordinator for review, approval and distributed to the Stakeholders.</w:t>
            </w:r>
          </w:p>
          <w:p w:rsidR="00386620" w:rsidRPr="00386620" w:rsidRDefault="00386620" w:rsidP="00386620">
            <w:pPr>
              <w:numPr>
                <w:ilvl w:val="0"/>
                <w:numId w:val="17"/>
              </w:numPr>
              <w:autoSpaceDE w:val="0"/>
              <w:autoSpaceDN w:val="0"/>
              <w:adjustRightInd w:val="0"/>
              <w:jc w:val="both"/>
              <w:rPr>
                <w:rFonts w:cstheme="minorHAnsi"/>
              </w:rPr>
            </w:pPr>
            <w:r w:rsidRPr="00386620">
              <w:rPr>
                <w:rFonts w:cstheme="minorHAnsi"/>
              </w:rPr>
              <w:t xml:space="preserve"> The PCB Factsheets shall be submitted to the Project Coordinator for review, approval and distributed to the Stakeholders.</w:t>
            </w:r>
          </w:p>
          <w:p w:rsidR="00386620" w:rsidRPr="00386620" w:rsidRDefault="00386620" w:rsidP="00386620">
            <w:pPr>
              <w:numPr>
                <w:ilvl w:val="0"/>
                <w:numId w:val="17"/>
              </w:numPr>
              <w:autoSpaceDE w:val="0"/>
              <w:autoSpaceDN w:val="0"/>
              <w:adjustRightInd w:val="0"/>
              <w:jc w:val="both"/>
              <w:rPr>
                <w:rFonts w:cstheme="minorHAnsi"/>
              </w:rPr>
            </w:pPr>
            <w:r w:rsidRPr="00386620">
              <w:rPr>
                <w:rFonts w:cstheme="minorHAnsi"/>
              </w:rPr>
              <w:t>The final report after approval by the Project Coordinator shall be delivered in electronic form and 3 hard copies.</w:t>
            </w:r>
          </w:p>
          <w:p w:rsidR="00386620" w:rsidRPr="00413AE8" w:rsidRDefault="00386620" w:rsidP="00386620">
            <w:pPr>
              <w:contextualSpacing/>
              <w:jc w:val="both"/>
              <w:rPr>
                <w:rFonts w:cstheme="minorHAnsi"/>
              </w:rPr>
            </w:pPr>
          </w:p>
        </w:tc>
      </w:tr>
    </w:tbl>
    <w:p w:rsidR="00DA646F" w:rsidRDefault="00DA646F" w:rsidP="00A24134">
      <w:pPr>
        <w:rPr>
          <w:b/>
        </w:rPr>
      </w:pPr>
    </w:p>
    <w:p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rsidR="007E5D3F" w:rsidRPr="007E5D3F" w:rsidRDefault="007E5D3F" w:rsidP="007E5D3F">
            <w:pPr>
              <w:pStyle w:val="ListParagraph"/>
              <w:numPr>
                <w:ilvl w:val="0"/>
                <w:numId w:val="23"/>
              </w:numPr>
              <w:rPr>
                <w:rFonts w:ascii="Calibri" w:hAnsi="Calibri" w:cs="Arial"/>
              </w:rPr>
            </w:pPr>
            <w:r w:rsidRPr="007E5D3F">
              <w:rPr>
                <w:rFonts w:ascii="Calibri" w:hAnsi="Calibri" w:cs="Arial"/>
              </w:rPr>
              <w:t>The team leader must have a minimum of master’s degree in Environmental Management or related field, good knowledge of hazardous waste management, POPs and PCBs, with minimum of 8 years specific working experience</w:t>
            </w:r>
          </w:p>
          <w:p w:rsidR="007E5D3F" w:rsidRDefault="007E5D3F" w:rsidP="00F75D47">
            <w:pPr>
              <w:spacing w:before="120" w:after="120" w:line="288" w:lineRule="auto"/>
              <w:jc w:val="both"/>
              <w:rPr>
                <w:rFonts w:ascii="Calibri" w:hAnsi="Calibri" w:cs="Arial"/>
                <w:u w:val="single"/>
              </w:rPr>
            </w:pPr>
          </w:p>
          <w:p w:rsidR="0065710B" w:rsidRPr="00F75D47" w:rsidRDefault="0065710B" w:rsidP="00F75D47">
            <w:pPr>
              <w:spacing w:before="120" w:after="120" w:line="288" w:lineRule="auto"/>
              <w:jc w:val="both"/>
              <w:rPr>
                <w:rFonts w:ascii="Calibri" w:hAnsi="Calibri" w:cs="Arial"/>
                <w:u w:val="single"/>
              </w:rPr>
            </w:pPr>
            <w:r w:rsidRPr="00F75D47">
              <w:rPr>
                <w:rFonts w:ascii="Calibri" w:hAnsi="Calibri" w:cs="Arial"/>
                <w:u w:val="single"/>
              </w:rPr>
              <w:t>II. Years of experience:</w:t>
            </w:r>
          </w:p>
          <w:p w:rsidR="007E5D3F" w:rsidRDefault="007E5D3F" w:rsidP="007E5D3F">
            <w:pPr>
              <w:pStyle w:val="ListParagraph"/>
              <w:numPr>
                <w:ilvl w:val="0"/>
                <w:numId w:val="23"/>
              </w:numPr>
              <w:spacing w:before="120" w:after="120" w:line="288" w:lineRule="auto"/>
              <w:jc w:val="both"/>
              <w:rPr>
                <w:rFonts w:cs="Times New Roman"/>
              </w:rPr>
            </w:pPr>
            <w:r w:rsidRPr="007E5D3F">
              <w:rPr>
                <w:rFonts w:cs="Times New Roman"/>
              </w:rPr>
              <w:t>Minimum five years working in development countries</w:t>
            </w:r>
          </w:p>
          <w:p w:rsidR="007E5D3F" w:rsidRPr="007E5D3F" w:rsidRDefault="007E5D3F" w:rsidP="007E5D3F">
            <w:pPr>
              <w:pStyle w:val="ListParagraph"/>
              <w:numPr>
                <w:ilvl w:val="0"/>
                <w:numId w:val="23"/>
              </w:numPr>
              <w:spacing w:before="120" w:after="120" w:line="288" w:lineRule="auto"/>
              <w:jc w:val="both"/>
              <w:rPr>
                <w:rFonts w:cs="Times New Roman"/>
              </w:rPr>
            </w:pPr>
            <w:r w:rsidRPr="007E5D3F">
              <w:rPr>
                <w:rFonts w:cs="Times New Roman"/>
              </w:rPr>
              <w:t xml:space="preserve">At least 5 years’ experience in design and preparation of an Environmental Training Plan. </w:t>
            </w:r>
          </w:p>
          <w:p w:rsidR="007E5D3F" w:rsidRPr="007E5D3F" w:rsidRDefault="007E5D3F" w:rsidP="007E5D3F">
            <w:pPr>
              <w:pStyle w:val="ListParagraph"/>
              <w:numPr>
                <w:ilvl w:val="0"/>
                <w:numId w:val="23"/>
              </w:numPr>
              <w:spacing w:before="120" w:after="120" w:line="288" w:lineRule="auto"/>
              <w:jc w:val="both"/>
              <w:rPr>
                <w:rFonts w:cs="Times New Roman"/>
              </w:rPr>
            </w:pPr>
            <w:r w:rsidRPr="007E5D3F">
              <w:rPr>
                <w:rFonts w:cs="Times New Roman"/>
              </w:rPr>
              <w:t>The firm must have competency and documented experience in environmental scientific analysis and knowledge of POPs and PCBs in particular.</w:t>
            </w:r>
          </w:p>
          <w:p w:rsidR="007E5D3F" w:rsidRPr="007E5D3F" w:rsidRDefault="007E5D3F" w:rsidP="007E5D3F">
            <w:pPr>
              <w:pStyle w:val="ListParagraph"/>
              <w:numPr>
                <w:ilvl w:val="0"/>
                <w:numId w:val="23"/>
              </w:numPr>
              <w:spacing w:before="120" w:after="120" w:line="288" w:lineRule="auto"/>
              <w:jc w:val="both"/>
              <w:rPr>
                <w:rFonts w:cs="Times New Roman"/>
              </w:rPr>
            </w:pPr>
            <w:r w:rsidRPr="007E5D3F">
              <w:rPr>
                <w:rFonts w:cs="Times New Roman"/>
              </w:rPr>
              <w:t>Must also be familiar with the various requirements and guidelines of the Basel and Stockholm Conventions.</w:t>
            </w:r>
          </w:p>
          <w:p w:rsidR="007E5D3F" w:rsidRPr="007E5D3F" w:rsidRDefault="007E5D3F" w:rsidP="007E5D3F">
            <w:pPr>
              <w:pStyle w:val="ListParagraph"/>
              <w:numPr>
                <w:ilvl w:val="0"/>
                <w:numId w:val="23"/>
              </w:numPr>
              <w:spacing w:before="120" w:after="120" w:line="288" w:lineRule="auto"/>
              <w:jc w:val="both"/>
              <w:rPr>
                <w:rFonts w:cs="Times New Roman"/>
              </w:rPr>
            </w:pPr>
            <w:r w:rsidRPr="007E5D3F">
              <w:rPr>
                <w:rFonts w:cs="Times New Roman"/>
              </w:rPr>
              <w:t>Minimum specific experience should be eight (8) years.</w:t>
            </w:r>
          </w:p>
          <w:p w:rsidR="007E5D3F" w:rsidRPr="007E5D3F" w:rsidRDefault="007E5D3F" w:rsidP="007E5D3F">
            <w:pPr>
              <w:pStyle w:val="ListParagraph"/>
              <w:numPr>
                <w:ilvl w:val="0"/>
                <w:numId w:val="23"/>
              </w:numPr>
              <w:spacing w:before="120" w:after="120" w:line="288" w:lineRule="auto"/>
              <w:jc w:val="both"/>
              <w:rPr>
                <w:rFonts w:cs="Times New Roman"/>
              </w:rPr>
            </w:pPr>
            <w:r w:rsidRPr="007E5D3F">
              <w:rPr>
                <w:rFonts w:ascii="Arial" w:hAnsi="Arial" w:cs="Arial"/>
                <w:sz w:val="20"/>
                <w:szCs w:val="20"/>
              </w:rPr>
              <w:t>Other relevant team members should include Analytical Chemist, Biologist, and Environmental Engineer</w:t>
            </w:r>
          </w:p>
          <w:p w:rsidR="0065710B" w:rsidRPr="000736BF" w:rsidRDefault="0065710B" w:rsidP="007E5D3F">
            <w:pPr>
              <w:spacing w:before="120" w:after="120" w:line="288" w:lineRule="auto"/>
              <w:jc w:val="both"/>
              <w:rPr>
                <w:sz w:val="20"/>
                <w:szCs w:val="20"/>
              </w:rPr>
            </w:pPr>
            <w:r w:rsidRPr="007C4235">
              <w:rPr>
                <w:rFonts w:ascii="Calibri" w:hAnsi="Calibri" w:cs="Arial"/>
                <w:u w:val="single"/>
              </w:rPr>
              <w:t>III. Competencies:</w:t>
            </w:r>
          </w:p>
          <w:p w:rsidR="000736BF" w:rsidRPr="00A55CB5" w:rsidRDefault="000736BF" w:rsidP="000736BF">
            <w:pPr>
              <w:spacing w:line="20" w:lineRule="atLeast"/>
              <w:jc w:val="both"/>
              <w:rPr>
                <w:rFonts w:cs="Times New Roman"/>
              </w:rPr>
            </w:pPr>
            <w:r w:rsidRPr="00A55CB5">
              <w:rPr>
                <w:rFonts w:cs="Times New Roman"/>
              </w:rPr>
              <w:t xml:space="preserve">The candidate must be sound in technical report writing skill and proven ability to engage with multiple stakeholders to achieve desired results.  </w:t>
            </w:r>
          </w:p>
          <w:p w:rsidR="00443E94" w:rsidRPr="007E5D3F" w:rsidRDefault="000736BF" w:rsidP="007E5D3F">
            <w:pPr>
              <w:spacing w:line="20" w:lineRule="atLeast"/>
              <w:jc w:val="both"/>
              <w:rPr>
                <w:rFonts w:cs="Times New Roman"/>
              </w:rPr>
            </w:pPr>
            <w:r w:rsidRPr="00A55CB5">
              <w:rPr>
                <w:rFonts w:cs="Times New Roman"/>
              </w:rPr>
              <w:t>He/she must be fluent in written and spoken English.  Previous working experience with UN agencies is an asset.</w:t>
            </w:r>
          </w:p>
        </w:tc>
      </w:tr>
    </w:tbl>
    <w:p w:rsidR="0065710B" w:rsidRDefault="0065710B" w:rsidP="00A24134">
      <w:pPr>
        <w:rPr>
          <w:b/>
        </w:rPr>
      </w:pPr>
    </w:p>
    <w:p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Default="0065710B" w:rsidP="0065710B">
            <w:r>
              <w:t>Interested individual consultants must submit the following documents/information to demonstrate their qualifications:</w:t>
            </w:r>
          </w:p>
          <w:p w:rsidR="0065710B" w:rsidRDefault="0065710B" w:rsidP="0065710B">
            <w:r>
              <w:t>1. Proposal:</w:t>
            </w:r>
          </w:p>
          <w:p w:rsidR="0065710B" w:rsidRDefault="0065710B" w:rsidP="0065710B">
            <w:r>
              <w:t>(i) Explaining why they are the most suitable for the work</w:t>
            </w:r>
          </w:p>
          <w:p w:rsidR="0065710B" w:rsidRDefault="0065710B" w:rsidP="0065710B">
            <w:r>
              <w:t>(ii) Provide a brief methodology on how they will approach and conduct the work (if applicable)</w:t>
            </w:r>
          </w:p>
          <w:p w:rsidR="0065710B" w:rsidRDefault="0065710B" w:rsidP="0065710B"/>
          <w:p w:rsidR="0065710B" w:rsidRDefault="0065710B" w:rsidP="0065710B">
            <w:r>
              <w:t>2. Financial proposal</w:t>
            </w:r>
          </w:p>
          <w:p w:rsidR="0065710B" w:rsidRDefault="0065710B" w:rsidP="00A24134">
            <w:pPr>
              <w:rPr>
                <w:b/>
              </w:rPr>
            </w:pPr>
            <w:r>
              <w:t>3. Personal CV including past experience in similar projects and at least 3 reference</w:t>
            </w:r>
            <w:r>
              <w:rPr>
                <w:b/>
              </w:rPr>
              <w:t>s</w:t>
            </w:r>
          </w:p>
        </w:tc>
      </w:tr>
    </w:tbl>
    <w:p w:rsidR="003836C0" w:rsidRDefault="003836C0" w:rsidP="0033411B">
      <w:pPr>
        <w:autoSpaceDE w:val="0"/>
        <w:autoSpaceDN w:val="0"/>
        <w:adjustRightInd w:val="0"/>
        <w:spacing w:after="0" w:line="240" w:lineRule="auto"/>
        <w:rPr>
          <w:rFonts w:ascii="Calibri" w:hAnsi="Calibri" w:cs="Calibri"/>
          <w:b/>
        </w:rPr>
      </w:pPr>
    </w:p>
    <w:p w:rsidR="0065710B" w:rsidRDefault="0065710B" w:rsidP="0033411B">
      <w:pPr>
        <w:autoSpaceDE w:val="0"/>
        <w:autoSpaceDN w:val="0"/>
        <w:adjustRightInd w:val="0"/>
        <w:spacing w:after="0" w:line="240" w:lineRule="auto"/>
        <w:rPr>
          <w:rFonts w:ascii="Calibri" w:hAnsi="Calibri" w:cs="Calibri"/>
          <w:b/>
        </w:rPr>
      </w:pPr>
    </w:p>
    <w:p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rsidTr="00443E94">
        <w:tc>
          <w:tcPr>
            <w:tcW w:w="9576" w:type="dxa"/>
          </w:tcPr>
          <w:p w:rsidR="00324B6D" w:rsidRPr="00A55CB5" w:rsidRDefault="00324B6D" w:rsidP="00324B6D">
            <w:pPr>
              <w:spacing w:line="20" w:lineRule="atLeast"/>
              <w:ind w:left="360"/>
              <w:jc w:val="both"/>
              <w:rPr>
                <w:rFonts w:cstheme="minorHAnsi"/>
              </w:rPr>
            </w:pPr>
            <w:r w:rsidRPr="00A55CB5">
              <w:rPr>
                <w:rFonts w:cstheme="minorHAnsi"/>
              </w:rPr>
              <w:t>The consul</w:t>
            </w:r>
            <w:r w:rsidR="00311E98">
              <w:rPr>
                <w:rFonts w:cstheme="minorHAnsi"/>
              </w:rPr>
              <w:t xml:space="preserve">tancy shall be for </w:t>
            </w:r>
            <w:r w:rsidR="00311E98" w:rsidRPr="00311E98">
              <w:rPr>
                <w:rFonts w:cstheme="minorHAnsi"/>
              </w:rPr>
              <w:t>40 days spread over a period of 4 months (February to May, 2019</w:t>
            </w:r>
            <w:r w:rsidR="00311E98">
              <w:rPr>
                <w:rFonts w:cstheme="minorHAnsi"/>
              </w:rPr>
              <w:t>,</w:t>
            </w:r>
            <w:r w:rsidR="0045515F" w:rsidRPr="00A55CB5">
              <w:rPr>
                <w:rFonts w:cstheme="minorHAnsi"/>
              </w:rPr>
              <w:t xml:space="preserve"> and carries </w:t>
            </w:r>
            <w:r w:rsidRPr="00A55CB5">
              <w:rPr>
                <w:rFonts w:cstheme="minorHAnsi"/>
              </w:rPr>
              <w:t>no expectation of continuity.  The consultancy is deliverable based and the fees shall be paid in three installments and contingent on the deliverables specified against each installment. The milestones shall be paid upon satisfactory acceptance of the deliverable by UNDP.  Upon acceptance of the deliverables, UNDP shall issue a Certificate of Satisfactory Performance to the consultant which shall form the basis for the payment of the due milestone.</w:t>
            </w:r>
          </w:p>
          <w:p w:rsidR="00324B6D" w:rsidRPr="00A55CB5" w:rsidRDefault="00324B6D" w:rsidP="0045515F">
            <w:pPr>
              <w:spacing w:line="20" w:lineRule="atLeast"/>
              <w:jc w:val="both"/>
              <w:rPr>
                <w:rFonts w:cstheme="minorHAnsi"/>
              </w:rPr>
            </w:pPr>
          </w:p>
          <w:tbl>
            <w:tblPr>
              <w:tblStyle w:val="TableGrid"/>
              <w:tblW w:w="0" w:type="auto"/>
              <w:tblInd w:w="1555" w:type="dxa"/>
              <w:tblLook w:val="04A0" w:firstRow="1" w:lastRow="0" w:firstColumn="1" w:lastColumn="0" w:noHBand="0" w:noVBand="1"/>
            </w:tblPr>
            <w:tblGrid>
              <w:gridCol w:w="2126"/>
              <w:gridCol w:w="4111"/>
            </w:tblGrid>
            <w:tr w:rsidR="00324B6D" w:rsidRPr="00A55CB5" w:rsidTr="00EC5650">
              <w:tc>
                <w:tcPr>
                  <w:tcW w:w="2126" w:type="dxa"/>
                </w:tcPr>
                <w:p w:rsidR="00324B6D" w:rsidRPr="00A55CB5" w:rsidRDefault="00324B6D" w:rsidP="00324B6D">
                  <w:pPr>
                    <w:spacing w:line="20" w:lineRule="atLeast"/>
                    <w:jc w:val="both"/>
                    <w:rPr>
                      <w:rFonts w:cstheme="minorHAnsi"/>
                    </w:rPr>
                  </w:pPr>
                  <w:r w:rsidRPr="00A55CB5">
                    <w:rPr>
                      <w:rFonts w:cstheme="minorHAnsi"/>
                    </w:rPr>
                    <w:t>1</w:t>
                  </w:r>
                  <w:r w:rsidRPr="00A55CB5">
                    <w:rPr>
                      <w:rFonts w:cstheme="minorHAnsi"/>
                      <w:vertAlign w:val="superscript"/>
                    </w:rPr>
                    <w:t>st</w:t>
                  </w:r>
                  <w:r w:rsidRPr="00A55CB5">
                    <w:rPr>
                      <w:rFonts w:cstheme="minorHAnsi"/>
                    </w:rPr>
                    <w:t xml:space="preserve"> Installment (20%)</w:t>
                  </w:r>
                </w:p>
              </w:tc>
              <w:tc>
                <w:tcPr>
                  <w:tcW w:w="4111" w:type="dxa"/>
                </w:tcPr>
                <w:p w:rsidR="00324B6D" w:rsidRPr="00A55CB5" w:rsidRDefault="00324B6D" w:rsidP="00324B6D">
                  <w:pPr>
                    <w:spacing w:line="20" w:lineRule="atLeast"/>
                    <w:jc w:val="both"/>
                    <w:rPr>
                      <w:rFonts w:cstheme="minorHAnsi"/>
                    </w:rPr>
                  </w:pPr>
                  <w:r w:rsidRPr="00A55CB5">
                    <w:rPr>
                      <w:rFonts w:cstheme="minorHAnsi"/>
                    </w:rPr>
                    <w:t>Upon submission of Inception Report/Plan</w:t>
                  </w:r>
                </w:p>
              </w:tc>
            </w:tr>
            <w:tr w:rsidR="00324B6D" w:rsidRPr="00A55CB5" w:rsidTr="00EC5650">
              <w:tc>
                <w:tcPr>
                  <w:tcW w:w="2126" w:type="dxa"/>
                </w:tcPr>
                <w:p w:rsidR="00324B6D" w:rsidRPr="00A55CB5" w:rsidRDefault="00324B6D" w:rsidP="00324B6D">
                  <w:pPr>
                    <w:spacing w:line="20" w:lineRule="atLeast"/>
                    <w:jc w:val="both"/>
                    <w:rPr>
                      <w:rFonts w:cstheme="minorHAnsi"/>
                    </w:rPr>
                  </w:pPr>
                  <w:r w:rsidRPr="00A55CB5">
                    <w:rPr>
                      <w:rFonts w:cstheme="minorHAnsi"/>
                    </w:rPr>
                    <w:t>2</w:t>
                  </w:r>
                  <w:r w:rsidRPr="00A55CB5">
                    <w:rPr>
                      <w:rFonts w:cstheme="minorHAnsi"/>
                      <w:vertAlign w:val="superscript"/>
                    </w:rPr>
                    <w:t>nd</w:t>
                  </w:r>
                  <w:r w:rsidRPr="00A55CB5">
                    <w:rPr>
                      <w:rFonts w:cstheme="minorHAnsi"/>
                    </w:rPr>
                    <w:t xml:space="preserve"> Installment (50%)</w:t>
                  </w:r>
                </w:p>
              </w:tc>
              <w:tc>
                <w:tcPr>
                  <w:tcW w:w="4111" w:type="dxa"/>
                </w:tcPr>
                <w:p w:rsidR="00324B6D" w:rsidRPr="00A55CB5" w:rsidRDefault="00324B6D" w:rsidP="00324B6D">
                  <w:pPr>
                    <w:spacing w:line="20" w:lineRule="atLeast"/>
                    <w:jc w:val="both"/>
                    <w:rPr>
                      <w:rFonts w:cstheme="minorHAnsi"/>
                    </w:rPr>
                  </w:pPr>
                  <w:r w:rsidRPr="00A55CB5">
                    <w:rPr>
                      <w:rFonts w:cstheme="minorHAnsi"/>
                    </w:rPr>
                    <w:t>Upon submission of Mid-Term report</w:t>
                  </w:r>
                </w:p>
              </w:tc>
            </w:tr>
            <w:tr w:rsidR="00324B6D" w:rsidRPr="00A55CB5" w:rsidTr="00EC5650">
              <w:tc>
                <w:tcPr>
                  <w:tcW w:w="2126" w:type="dxa"/>
                </w:tcPr>
                <w:p w:rsidR="00324B6D" w:rsidRPr="00A55CB5" w:rsidRDefault="00324B6D" w:rsidP="00324B6D">
                  <w:pPr>
                    <w:spacing w:line="20" w:lineRule="atLeast"/>
                    <w:jc w:val="both"/>
                    <w:rPr>
                      <w:rFonts w:cstheme="minorHAnsi"/>
                    </w:rPr>
                  </w:pPr>
                  <w:r w:rsidRPr="00A55CB5">
                    <w:rPr>
                      <w:rFonts w:cstheme="minorHAnsi"/>
                    </w:rPr>
                    <w:t>3</w:t>
                  </w:r>
                  <w:r w:rsidRPr="00A55CB5">
                    <w:rPr>
                      <w:rFonts w:cstheme="minorHAnsi"/>
                      <w:vertAlign w:val="superscript"/>
                    </w:rPr>
                    <w:t>rd</w:t>
                  </w:r>
                  <w:r w:rsidRPr="00A55CB5">
                    <w:rPr>
                      <w:rFonts w:cstheme="minorHAnsi"/>
                    </w:rPr>
                    <w:t xml:space="preserve"> Installment (30%)</w:t>
                  </w:r>
                </w:p>
              </w:tc>
              <w:tc>
                <w:tcPr>
                  <w:tcW w:w="4111" w:type="dxa"/>
                </w:tcPr>
                <w:p w:rsidR="00324B6D" w:rsidRPr="00A55CB5" w:rsidRDefault="00324B6D" w:rsidP="00324B6D">
                  <w:pPr>
                    <w:spacing w:line="20" w:lineRule="atLeast"/>
                    <w:jc w:val="both"/>
                    <w:rPr>
                      <w:rFonts w:cstheme="minorHAnsi"/>
                    </w:rPr>
                  </w:pPr>
                  <w:r w:rsidRPr="00A55CB5">
                    <w:rPr>
                      <w:rFonts w:cstheme="minorHAnsi"/>
                    </w:rPr>
                    <w:t>Upon submission of Final Consultancy Report.</w:t>
                  </w:r>
                </w:p>
              </w:tc>
            </w:tr>
          </w:tbl>
          <w:p w:rsidR="00324B6D" w:rsidRPr="00A55CB5" w:rsidRDefault="00324B6D" w:rsidP="00324B6D">
            <w:pPr>
              <w:spacing w:line="20" w:lineRule="atLeast"/>
              <w:ind w:left="360"/>
              <w:jc w:val="both"/>
              <w:rPr>
                <w:rFonts w:cstheme="minorHAnsi"/>
              </w:rPr>
            </w:pPr>
          </w:p>
          <w:p w:rsidR="0065710B" w:rsidRPr="00311E98" w:rsidRDefault="00324B6D" w:rsidP="00311E98">
            <w:pPr>
              <w:spacing w:line="20" w:lineRule="atLeast"/>
              <w:ind w:left="360"/>
              <w:jc w:val="both"/>
              <w:rPr>
                <w:rFonts w:cstheme="minorHAnsi"/>
              </w:rPr>
            </w:pPr>
            <w:r w:rsidRPr="00A55CB5">
              <w:rPr>
                <w:rFonts w:cstheme="minorHAnsi"/>
              </w:rPr>
              <w:t>The consultant shall be entitled to payment of Daily Subsistence Allowance (DSA) and travel costs for any official travel approved by UNDP in line with its financial regulations and rules.</w:t>
            </w:r>
          </w:p>
        </w:tc>
      </w:tr>
    </w:tbl>
    <w:p w:rsidR="00443E94" w:rsidRDefault="00443E94" w:rsidP="00A24134">
      <w:pPr>
        <w:rPr>
          <w:b/>
        </w:rPr>
      </w:pPr>
    </w:p>
    <w:p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rsidTr="00443E94">
        <w:tc>
          <w:tcPr>
            <w:tcW w:w="9576" w:type="dxa"/>
          </w:tcPr>
          <w:p w:rsidR="0045515F" w:rsidRDefault="0045515F" w:rsidP="00324B6D">
            <w:pPr>
              <w:pStyle w:val="ListParagraph"/>
              <w:spacing w:line="20" w:lineRule="atLeast"/>
              <w:ind w:left="360"/>
              <w:jc w:val="both"/>
              <w:rPr>
                <w:rFonts w:cs="Times New Roman"/>
                <w:sz w:val="20"/>
                <w:szCs w:val="20"/>
              </w:rPr>
            </w:pPr>
          </w:p>
          <w:p w:rsidR="0045515F" w:rsidRPr="0045515F" w:rsidRDefault="0045515F" w:rsidP="0045515F">
            <w:r>
              <w:t>I</w:t>
            </w:r>
            <w:r w:rsidRPr="00816B78">
              <w:t>n</w:t>
            </w:r>
            <w:r>
              <w:t>dividual consultants will be evaluated based on the following methodologies:</w:t>
            </w:r>
            <w:r w:rsidRPr="00432027">
              <w:rPr>
                <w:i/>
              </w:rPr>
              <w:t xml:space="preserve"> </w:t>
            </w:r>
          </w:p>
          <w:p w:rsidR="0045515F" w:rsidRDefault="0045515F" w:rsidP="0045515F">
            <w:pPr>
              <w:rPr>
                <w:i/>
              </w:rPr>
            </w:pPr>
          </w:p>
          <w:p w:rsidR="0045515F" w:rsidRPr="00432027" w:rsidRDefault="0045515F" w:rsidP="0045515F">
            <w:pPr>
              <w:rPr>
                <w:i/>
                <w:u w:val="thick"/>
              </w:rPr>
            </w:pPr>
            <w:r w:rsidRPr="00432027">
              <w:rPr>
                <w:i/>
                <w:u w:val="thick"/>
              </w:rPr>
              <w:t xml:space="preserve">Cumulative analysis </w:t>
            </w:r>
          </w:p>
          <w:p w:rsidR="0045515F" w:rsidRPr="00432027" w:rsidRDefault="0045515F" w:rsidP="0045515F">
            <w:pPr>
              <w:rPr>
                <w:i/>
              </w:rPr>
            </w:pPr>
            <w:r>
              <w:rPr>
                <w:i/>
              </w:rPr>
              <w:t>The</w:t>
            </w:r>
            <w:r w:rsidRPr="00432027">
              <w:rPr>
                <w:i/>
              </w:rPr>
              <w:t xml:space="preserve"> award of the contract sh</w:t>
            </w:r>
            <w:r>
              <w:rPr>
                <w:i/>
              </w:rPr>
              <w:t>all</w:t>
            </w:r>
            <w:r w:rsidRPr="00432027">
              <w:rPr>
                <w:i/>
              </w:rPr>
              <w:t xml:space="preserve"> be made to </w:t>
            </w:r>
            <w:r>
              <w:rPr>
                <w:i/>
              </w:rPr>
              <w:t>the individual consultant whose offer has bee</w:t>
            </w:r>
            <w:r w:rsidRPr="00432027">
              <w:rPr>
                <w:i/>
              </w:rPr>
              <w:t>n evaluated and determined as:</w:t>
            </w:r>
          </w:p>
          <w:p w:rsidR="0045515F" w:rsidRPr="00432027" w:rsidRDefault="0045515F" w:rsidP="0045515F">
            <w:pPr>
              <w:rPr>
                <w:i/>
              </w:rPr>
            </w:pPr>
            <w:r w:rsidRPr="00432027">
              <w:rPr>
                <w:i/>
              </w:rPr>
              <w:t>a) responsive/compliant/acceptable, and</w:t>
            </w:r>
          </w:p>
          <w:p w:rsidR="0045515F" w:rsidRDefault="0045515F" w:rsidP="0045515F">
            <w:pPr>
              <w:rPr>
                <w:i/>
              </w:rPr>
            </w:pPr>
            <w:r w:rsidRPr="00432027">
              <w:rPr>
                <w:i/>
              </w:rPr>
              <w:t xml:space="preserve">b) Having received the highest score </w:t>
            </w:r>
          </w:p>
          <w:p w:rsidR="0045515F" w:rsidRDefault="0045515F" w:rsidP="0045515F">
            <w:pPr>
              <w:spacing w:line="360" w:lineRule="auto"/>
              <w:rPr>
                <w:i/>
              </w:rPr>
            </w:pPr>
            <w:r>
              <w:rPr>
                <w:i/>
              </w:rPr>
              <w:t>* Technical Criteria weight; [70%]</w:t>
            </w:r>
          </w:p>
          <w:p w:rsidR="0045515F" w:rsidRDefault="0045515F" w:rsidP="0045515F">
            <w:pPr>
              <w:spacing w:line="360" w:lineRule="auto"/>
              <w:rPr>
                <w:i/>
              </w:rPr>
            </w:pPr>
            <w:r>
              <w:rPr>
                <w:i/>
              </w:rPr>
              <w:t>* Financial Criteria weight; [30%]</w:t>
            </w:r>
          </w:p>
          <w:p w:rsidR="00EA697D" w:rsidRPr="0045515F" w:rsidRDefault="0045515F" w:rsidP="0045515F">
            <w:pPr>
              <w:pStyle w:val="ListParagraph"/>
              <w:spacing w:line="20" w:lineRule="atLeast"/>
              <w:ind w:left="360"/>
              <w:jc w:val="both"/>
              <w:rPr>
                <w:rFonts w:cs="Times New Roman"/>
                <w:sz w:val="20"/>
                <w:szCs w:val="20"/>
              </w:rPr>
            </w:pPr>
            <w:r>
              <w:rPr>
                <w:i/>
              </w:rPr>
              <w:t>Only candidates obtaining a minimum of 70 points would be considered for the Financial Evaluation</w:t>
            </w:r>
          </w:p>
          <w:tbl>
            <w:tblPr>
              <w:tblStyle w:val="TableGrid"/>
              <w:tblW w:w="0" w:type="auto"/>
              <w:tblLook w:val="04A0" w:firstRow="1" w:lastRow="0" w:firstColumn="1" w:lastColumn="0" w:noHBand="0" w:noVBand="1"/>
            </w:tblPr>
            <w:tblGrid>
              <w:gridCol w:w="3213"/>
              <w:gridCol w:w="2971"/>
              <w:gridCol w:w="2940"/>
            </w:tblGrid>
            <w:tr w:rsidR="00EA697D" w:rsidTr="0045515F">
              <w:tc>
                <w:tcPr>
                  <w:tcW w:w="3213" w:type="dxa"/>
                </w:tcPr>
                <w:p w:rsidR="00EA697D" w:rsidRPr="004758AA" w:rsidRDefault="00EA697D" w:rsidP="0060250C">
                  <w:pPr>
                    <w:spacing w:line="360" w:lineRule="auto"/>
                    <w:rPr>
                      <w:b/>
                      <w:i/>
                    </w:rPr>
                  </w:pPr>
                  <w:r w:rsidRPr="004758AA">
                    <w:rPr>
                      <w:b/>
                      <w:i/>
                    </w:rPr>
                    <w:t>Criteria</w:t>
                  </w:r>
                </w:p>
              </w:tc>
              <w:tc>
                <w:tcPr>
                  <w:tcW w:w="2971" w:type="dxa"/>
                </w:tcPr>
                <w:p w:rsidR="00EA697D" w:rsidRPr="004758AA" w:rsidRDefault="00EA697D" w:rsidP="0060250C">
                  <w:pPr>
                    <w:spacing w:line="360" w:lineRule="auto"/>
                    <w:rPr>
                      <w:b/>
                      <w:i/>
                    </w:rPr>
                  </w:pPr>
                  <w:r w:rsidRPr="004758AA">
                    <w:rPr>
                      <w:b/>
                      <w:i/>
                    </w:rPr>
                    <w:t xml:space="preserve">Weight </w:t>
                  </w:r>
                </w:p>
              </w:tc>
              <w:tc>
                <w:tcPr>
                  <w:tcW w:w="2940" w:type="dxa"/>
                </w:tcPr>
                <w:p w:rsidR="00EA697D" w:rsidRPr="004758AA" w:rsidRDefault="00EA697D" w:rsidP="0060250C">
                  <w:pPr>
                    <w:spacing w:line="360" w:lineRule="auto"/>
                    <w:rPr>
                      <w:b/>
                      <w:i/>
                    </w:rPr>
                  </w:pPr>
                  <w:r w:rsidRPr="004758AA">
                    <w:rPr>
                      <w:b/>
                      <w:i/>
                    </w:rPr>
                    <w:t>Max. Point</w:t>
                  </w:r>
                </w:p>
              </w:tc>
            </w:tr>
            <w:tr w:rsidR="0045515F" w:rsidTr="0045515F">
              <w:tc>
                <w:tcPr>
                  <w:tcW w:w="3213" w:type="dxa"/>
                </w:tcPr>
                <w:p w:rsidR="0045515F" w:rsidRPr="004758AA" w:rsidRDefault="0045515F" w:rsidP="0060250C">
                  <w:pPr>
                    <w:spacing w:line="360" w:lineRule="auto"/>
                    <w:rPr>
                      <w:i/>
                      <w:u w:val="single"/>
                    </w:rPr>
                  </w:pPr>
                  <w:r w:rsidRPr="004758AA">
                    <w:rPr>
                      <w:i/>
                      <w:u w:val="single"/>
                    </w:rPr>
                    <w:t>Technical</w:t>
                  </w:r>
                </w:p>
              </w:tc>
              <w:tc>
                <w:tcPr>
                  <w:tcW w:w="2971" w:type="dxa"/>
                  <w:vMerge w:val="restart"/>
                </w:tcPr>
                <w:p w:rsidR="0045515F" w:rsidRDefault="0045515F" w:rsidP="0060250C">
                  <w:pPr>
                    <w:spacing w:line="360" w:lineRule="auto"/>
                    <w:rPr>
                      <w:i/>
                    </w:rPr>
                  </w:pPr>
                  <w:r>
                    <w:rPr>
                      <w:i/>
                    </w:rPr>
                    <w:t>70%</w:t>
                  </w:r>
                </w:p>
              </w:tc>
              <w:tc>
                <w:tcPr>
                  <w:tcW w:w="2940" w:type="dxa"/>
                </w:tcPr>
                <w:p w:rsidR="0045515F" w:rsidRDefault="0045515F" w:rsidP="0060250C">
                  <w:pPr>
                    <w:spacing w:line="360" w:lineRule="auto"/>
                    <w:rPr>
                      <w:i/>
                    </w:rPr>
                  </w:pPr>
                </w:p>
              </w:tc>
            </w:tr>
            <w:tr w:rsidR="0045515F" w:rsidTr="0045515F">
              <w:trPr>
                <w:trHeight w:val="685"/>
              </w:trPr>
              <w:tc>
                <w:tcPr>
                  <w:tcW w:w="3213" w:type="dxa"/>
                </w:tcPr>
                <w:p w:rsidR="0045515F" w:rsidRPr="004758AA" w:rsidRDefault="00311E98" w:rsidP="00311E98">
                  <w:pPr>
                    <w:pStyle w:val="ListParagraph"/>
                    <w:numPr>
                      <w:ilvl w:val="0"/>
                      <w:numId w:val="4"/>
                    </w:numPr>
                    <w:spacing w:line="360" w:lineRule="auto"/>
                    <w:rPr>
                      <w:i/>
                    </w:rPr>
                  </w:pPr>
                  <w:r w:rsidRPr="00311E98">
                    <w:rPr>
                      <w:rFonts w:cs="Times New Roman"/>
                      <w:sz w:val="20"/>
                      <w:szCs w:val="20"/>
                    </w:rPr>
                    <w:t xml:space="preserve">minimum of master’s degree in Environmental Management or related field, good knowledge of hazardous </w:t>
                  </w:r>
                  <w:r>
                    <w:rPr>
                      <w:rFonts w:cs="Times New Roman"/>
                      <w:sz w:val="20"/>
                      <w:szCs w:val="20"/>
                    </w:rPr>
                    <w:t>waste management, POPs and PCBs.</w:t>
                  </w:r>
                </w:p>
              </w:tc>
              <w:tc>
                <w:tcPr>
                  <w:tcW w:w="2971" w:type="dxa"/>
                  <w:vMerge/>
                </w:tcPr>
                <w:p w:rsidR="0045515F" w:rsidRDefault="0045515F" w:rsidP="0060250C">
                  <w:pPr>
                    <w:spacing w:line="360" w:lineRule="auto"/>
                    <w:rPr>
                      <w:i/>
                    </w:rPr>
                  </w:pPr>
                </w:p>
              </w:tc>
              <w:tc>
                <w:tcPr>
                  <w:tcW w:w="2940" w:type="dxa"/>
                </w:tcPr>
                <w:p w:rsidR="0045515F" w:rsidRDefault="0045515F" w:rsidP="0060250C">
                  <w:pPr>
                    <w:spacing w:line="360" w:lineRule="auto"/>
                    <w:rPr>
                      <w:i/>
                    </w:rPr>
                  </w:pPr>
                  <w:r>
                    <w:rPr>
                      <w:i/>
                    </w:rPr>
                    <w:t>15</w:t>
                  </w:r>
                </w:p>
              </w:tc>
            </w:tr>
            <w:tr w:rsidR="0045515F" w:rsidTr="0045515F">
              <w:tc>
                <w:tcPr>
                  <w:tcW w:w="3213" w:type="dxa"/>
                </w:tcPr>
                <w:p w:rsidR="006D7555" w:rsidRPr="006D7555" w:rsidRDefault="00311E98" w:rsidP="006D7555">
                  <w:pPr>
                    <w:pStyle w:val="ListParagraph"/>
                    <w:numPr>
                      <w:ilvl w:val="0"/>
                      <w:numId w:val="4"/>
                    </w:numPr>
                    <w:spacing w:line="360" w:lineRule="auto"/>
                    <w:rPr>
                      <w:rFonts w:cs="Times New Roman"/>
                      <w:sz w:val="20"/>
                      <w:szCs w:val="20"/>
                    </w:rPr>
                  </w:pPr>
                  <w:r w:rsidRPr="006D7555">
                    <w:rPr>
                      <w:rFonts w:cs="Times New Roman"/>
                      <w:sz w:val="20"/>
                      <w:szCs w:val="20"/>
                    </w:rPr>
                    <w:t xml:space="preserve">Minimum five years working in development </w:t>
                  </w:r>
                  <w:r w:rsidR="005469CC" w:rsidRPr="006D7555">
                    <w:rPr>
                      <w:rFonts w:cs="Times New Roman"/>
                      <w:sz w:val="20"/>
                      <w:szCs w:val="20"/>
                    </w:rPr>
                    <w:t>countries</w:t>
                  </w:r>
                  <w:r w:rsidR="005469CC">
                    <w:rPr>
                      <w:rFonts w:cs="Times New Roman"/>
                      <w:sz w:val="20"/>
                      <w:szCs w:val="20"/>
                    </w:rPr>
                    <w:t>.</w:t>
                  </w:r>
                  <w:r w:rsidR="005469CC" w:rsidRPr="006D7555">
                    <w:rPr>
                      <w:rFonts w:cs="Times New Roman"/>
                      <w:sz w:val="20"/>
                      <w:szCs w:val="20"/>
                    </w:rPr>
                    <w:t xml:space="preserve"> At</w:t>
                  </w:r>
                  <w:r w:rsidRPr="006D7555">
                    <w:rPr>
                      <w:rFonts w:cs="Times New Roman"/>
                      <w:sz w:val="20"/>
                      <w:szCs w:val="20"/>
                    </w:rPr>
                    <w:t xml:space="preserve"> least 5 years’ experience in design and preparation of an Environmental Training Plan. Competency and documented experience in enviro</w:t>
                  </w:r>
                  <w:r w:rsidR="006D7555">
                    <w:rPr>
                      <w:rFonts w:cs="Times New Roman"/>
                      <w:sz w:val="20"/>
                      <w:szCs w:val="20"/>
                    </w:rPr>
                    <w:t>nmental scientific analysis.</w:t>
                  </w:r>
                </w:p>
                <w:p w:rsidR="0045515F" w:rsidRPr="00311E98" w:rsidRDefault="0045515F" w:rsidP="00311E98">
                  <w:pPr>
                    <w:spacing w:line="360" w:lineRule="auto"/>
                    <w:ind w:left="360"/>
                    <w:rPr>
                      <w:rFonts w:cs="Times New Roman"/>
                      <w:sz w:val="20"/>
                      <w:szCs w:val="20"/>
                    </w:rPr>
                  </w:pPr>
                </w:p>
              </w:tc>
              <w:tc>
                <w:tcPr>
                  <w:tcW w:w="2971" w:type="dxa"/>
                  <w:vMerge w:val="restart"/>
                </w:tcPr>
                <w:p w:rsidR="0045515F" w:rsidRDefault="0045515F" w:rsidP="0060250C">
                  <w:pPr>
                    <w:spacing w:line="360" w:lineRule="auto"/>
                    <w:rPr>
                      <w:i/>
                    </w:rPr>
                  </w:pPr>
                </w:p>
              </w:tc>
              <w:tc>
                <w:tcPr>
                  <w:tcW w:w="2940" w:type="dxa"/>
                </w:tcPr>
                <w:p w:rsidR="0045515F" w:rsidRDefault="0045515F" w:rsidP="0060250C">
                  <w:pPr>
                    <w:spacing w:line="360" w:lineRule="auto"/>
                    <w:rPr>
                      <w:i/>
                    </w:rPr>
                  </w:pPr>
                  <w:r>
                    <w:rPr>
                      <w:i/>
                    </w:rPr>
                    <w:t>15</w:t>
                  </w:r>
                </w:p>
              </w:tc>
            </w:tr>
            <w:tr w:rsidR="0045515F" w:rsidTr="0045515F">
              <w:tc>
                <w:tcPr>
                  <w:tcW w:w="3213" w:type="dxa"/>
                </w:tcPr>
                <w:p w:rsidR="0045515F" w:rsidRPr="006D7555" w:rsidRDefault="0045515F" w:rsidP="006D7555">
                  <w:pPr>
                    <w:pStyle w:val="ListParagraph"/>
                    <w:numPr>
                      <w:ilvl w:val="0"/>
                      <w:numId w:val="4"/>
                    </w:numPr>
                    <w:spacing w:line="360" w:lineRule="auto"/>
                    <w:rPr>
                      <w:sz w:val="20"/>
                      <w:szCs w:val="20"/>
                    </w:rPr>
                  </w:pPr>
                  <w:r>
                    <w:rPr>
                      <w:rFonts w:cs="Times New Roman"/>
                      <w:sz w:val="20"/>
                      <w:szCs w:val="20"/>
                    </w:rPr>
                    <w:t>Cognate experience and e</w:t>
                  </w:r>
                  <w:r w:rsidRPr="00DC6873">
                    <w:rPr>
                      <w:sz w:val="20"/>
                      <w:szCs w:val="20"/>
                    </w:rPr>
                    <w:t xml:space="preserve">vidence of </w:t>
                  </w:r>
                  <w:r w:rsidR="006D7555" w:rsidRPr="006D7555">
                    <w:rPr>
                      <w:sz w:val="20"/>
                      <w:szCs w:val="20"/>
                    </w:rPr>
                    <w:t xml:space="preserve">knowledge of POPs and PCBs in particular. Familiar with the </w:t>
                  </w:r>
                  <w:r w:rsidR="006D7555" w:rsidRPr="006D7555">
                    <w:rPr>
                      <w:sz w:val="20"/>
                      <w:szCs w:val="20"/>
                    </w:rPr>
                    <w:lastRenderedPageBreak/>
                    <w:t>various requirements and guidelines of the Basel and Stockholm Conventions.</w:t>
                  </w:r>
                  <w:r w:rsidR="006D7555">
                    <w:rPr>
                      <w:sz w:val="20"/>
                      <w:szCs w:val="20"/>
                    </w:rPr>
                    <w:t xml:space="preserve"> </w:t>
                  </w:r>
                  <w:r w:rsidR="006D7555" w:rsidRPr="006D7555">
                    <w:rPr>
                      <w:sz w:val="20"/>
                      <w:szCs w:val="20"/>
                    </w:rPr>
                    <w:t>Minimum specific experience should be eight (8) years. Other relevant team members should include Analytical Chemist, Biologist, and Environmental Engineer</w:t>
                  </w:r>
                </w:p>
              </w:tc>
              <w:tc>
                <w:tcPr>
                  <w:tcW w:w="2971" w:type="dxa"/>
                  <w:vMerge/>
                </w:tcPr>
                <w:p w:rsidR="0045515F" w:rsidRDefault="0045515F" w:rsidP="0060250C">
                  <w:pPr>
                    <w:spacing w:line="360" w:lineRule="auto"/>
                    <w:rPr>
                      <w:i/>
                    </w:rPr>
                  </w:pPr>
                </w:p>
              </w:tc>
              <w:tc>
                <w:tcPr>
                  <w:tcW w:w="2940" w:type="dxa"/>
                </w:tcPr>
                <w:p w:rsidR="0045515F" w:rsidRDefault="0045515F" w:rsidP="0060250C">
                  <w:pPr>
                    <w:spacing w:line="360" w:lineRule="auto"/>
                    <w:rPr>
                      <w:i/>
                    </w:rPr>
                  </w:pPr>
                  <w:r>
                    <w:rPr>
                      <w:i/>
                    </w:rPr>
                    <w:t>30</w:t>
                  </w:r>
                </w:p>
              </w:tc>
            </w:tr>
            <w:tr w:rsidR="0045515F" w:rsidTr="0045515F">
              <w:tc>
                <w:tcPr>
                  <w:tcW w:w="3213" w:type="dxa"/>
                </w:tcPr>
                <w:p w:rsidR="0045515F" w:rsidRPr="004758AA" w:rsidRDefault="0045515F" w:rsidP="0060250C">
                  <w:pPr>
                    <w:pStyle w:val="ListParagraph"/>
                    <w:numPr>
                      <w:ilvl w:val="0"/>
                      <w:numId w:val="4"/>
                    </w:numPr>
                    <w:spacing w:line="360" w:lineRule="auto"/>
                    <w:rPr>
                      <w:i/>
                    </w:rPr>
                  </w:pPr>
                  <w:r>
                    <w:rPr>
                      <w:rFonts w:cs="Times New Roman"/>
                      <w:sz w:val="20"/>
                      <w:szCs w:val="20"/>
                    </w:rPr>
                    <w:lastRenderedPageBreak/>
                    <w:t>Sound in technical report writing skill and proven ability to engage with multiple stakeholders to achieve desired results</w:t>
                  </w:r>
                </w:p>
              </w:tc>
              <w:tc>
                <w:tcPr>
                  <w:tcW w:w="2971" w:type="dxa"/>
                  <w:vMerge/>
                </w:tcPr>
                <w:p w:rsidR="0045515F" w:rsidRDefault="0045515F" w:rsidP="0060250C">
                  <w:pPr>
                    <w:spacing w:line="360" w:lineRule="auto"/>
                    <w:rPr>
                      <w:i/>
                    </w:rPr>
                  </w:pPr>
                </w:p>
              </w:tc>
              <w:tc>
                <w:tcPr>
                  <w:tcW w:w="2940" w:type="dxa"/>
                </w:tcPr>
                <w:p w:rsidR="0045515F" w:rsidRDefault="0045515F" w:rsidP="0060250C">
                  <w:pPr>
                    <w:spacing w:line="360" w:lineRule="auto"/>
                    <w:rPr>
                      <w:i/>
                    </w:rPr>
                  </w:pPr>
                  <w:r>
                    <w:rPr>
                      <w:i/>
                    </w:rPr>
                    <w:t>30</w:t>
                  </w:r>
                </w:p>
              </w:tc>
            </w:tr>
            <w:tr w:rsidR="00EA697D" w:rsidTr="0045515F">
              <w:tc>
                <w:tcPr>
                  <w:tcW w:w="3213" w:type="dxa"/>
                </w:tcPr>
                <w:p w:rsidR="00EA697D" w:rsidRPr="004758AA" w:rsidRDefault="00EA697D" w:rsidP="0060250C">
                  <w:pPr>
                    <w:spacing w:line="360" w:lineRule="auto"/>
                    <w:rPr>
                      <w:i/>
                      <w:u w:val="single"/>
                    </w:rPr>
                  </w:pPr>
                  <w:r w:rsidRPr="004758AA">
                    <w:rPr>
                      <w:i/>
                      <w:u w:val="single"/>
                    </w:rPr>
                    <w:t>Financial</w:t>
                  </w:r>
                </w:p>
              </w:tc>
              <w:tc>
                <w:tcPr>
                  <w:tcW w:w="2971" w:type="dxa"/>
                </w:tcPr>
                <w:p w:rsidR="00EA697D" w:rsidRDefault="0045515F" w:rsidP="0060250C">
                  <w:pPr>
                    <w:spacing w:line="360" w:lineRule="auto"/>
                    <w:rPr>
                      <w:i/>
                    </w:rPr>
                  </w:pPr>
                  <w:r>
                    <w:rPr>
                      <w:i/>
                    </w:rPr>
                    <w:t>30%</w:t>
                  </w:r>
                </w:p>
              </w:tc>
              <w:tc>
                <w:tcPr>
                  <w:tcW w:w="2940" w:type="dxa"/>
                </w:tcPr>
                <w:p w:rsidR="00EA697D" w:rsidRDefault="00EA697D" w:rsidP="0060250C">
                  <w:pPr>
                    <w:spacing w:line="360" w:lineRule="auto"/>
                    <w:rPr>
                      <w:i/>
                    </w:rPr>
                  </w:pPr>
                </w:p>
              </w:tc>
            </w:tr>
          </w:tbl>
          <w:p w:rsidR="00443E94" w:rsidRDefault="00443E94" w:rsidP="00A24134">
            <w:pPr>
              <w:rPr>
                <w:b/>
              </w:rPr>
            </w:pPr>
          </w:p>
        </w:tc>
      </w:tr>
    </w:tbl>
    <w:p w:rsidR="008A6F73" w:rsidRDefault="008A6F73" w:rsidP="00A24134">
      <w:pPr>
        <w:rPr>
          <w:b/>
        </w:rPr>
      </w:pPr>
    </w:p>
    <w:p w:rsidR="00EA50D0" w:rsidRDefault="002A1486" w:rsidP="00A24134">
      <w:pPr>
        <w:rPr>
          <w:b/>
          <w:sz w:val="24"/>
          <w:szCs w:val="24"/>
          <w:u w:val="single"/>
        </w:rPr>
      </w:pPr>
      <w:r w:rsidRPr="002F799A">
        <w:rPr>
          <w:b/>
          <w:sz w:val="24"/>
          <w:szCs w:val="24"/>
          <w:u w:val="single"/>
        </w:rPr>
        <w:t>ANNEX</w:t>
      </w:r>
    </w:p>
    <w:p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rsidR="00103276" w:rsidRDefault="00103276" w:rsidP="00103276">
      <w:pPr>
        <w:rPr>
          <w:b/>
        </w:rPr>
      </w:pPr>
      <w:r>
        <w:rPr>
          <w:b/>
        </w:rPr>
        <w:t xml:space="preserve">ANNEX 2- INDIVIDUAL CONSULTANT GENERAL TERMS AND CONDITIONS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6F" w:rsidRDefault="0078276F" w:rsidP="00A24134">
      <w:pPr>
        <w:spacing w:after="0" w:line="240" w:lineRule="auto"/>
      </w:pPr>
      <w:r>
        <w:separator/>
      </w:r>
    </w:p>
  </w:endnote>
  <w:endnote w:type="continuationSeparator" w:id="0">
    <w:p w:rsidR="0078276F" w:rsidRDefault="0078276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6F" w:rsidRDefault="0078276F" w:rsidP="00A24134">
      <w:pPr>
        <w:spacing w:after="0" w:line="240" w:lineRule="auto"/>
      </w:pPr>
      <w:r>
        <w:separator/>
      </w:r>
    </w:p>
  </w:footnote>
  <w:footnote w:type="continuationSeparator" w:id="0">
    <w:p w:rsidR="0078276F" w:rsidRDefault="0078276F"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55pt;height:3.55pt" o:bullet="t">
        <v:imagedata r:id="rId1" o:title="bullet"/>
      </v:shape>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C5A840BE"/>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4D92"/>
    <w:multiLevelType w:val="hybridMultilevel"/>
    <w:tmpl w:val="12DE4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68A4"/>
    <w:multiLevelType w:val="multilevel"/>
    <w:tmpl w:val="556A1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7"/>
      <w:lvlJc w:val="left"/>
      <w:pPr>
        <w:tabs>
          <w:tab w:val="num" w:pos="1080"/>
        </w:tabs>
        <w:ind w:left="1080" w:hanging="360"/>
      </w:pPr>
      <w:rPr>
        <w:rFonts w:ascii="Courier New" w:hAnsi="Courier New" w:hint="default"/>
        <w:sz w:val="20"/>
      </w:rPr>
    </w:lvl>
    <w:lvl w:ilvl="2" w:tentative="1">
      <w:start w:val="1"/>
      <w:numFmt w:val="bullet"/>
      <w:lvlText w:val=""/>
      <w:lvlPicBulletId w:val="8"/>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5A0E43"/>
    <w:multiLevelType w:val="hybridMultilevel"/>
    <w:tmpl w:val="D214D8C6"/>
    <w:lvl w:ilvl="0" w:tplc="CFAC7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E102E"/>
    <w:multiLevelType w:val="hybridMultilevel"/>
    <w:tmpl w:val="49B2B2A2"/>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7">
    <w:nsid w:val="2A437C6F"/>
    <w:multiLevelType w:val="hybridMultilevel"/>
    <w:tmpl w:val="00BC6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E5036E"/>
    <w:multiLevelType w:val="hybridMultilevel"/>
    <w:tmpl w:val="76D2F172"/>
    <w:lvl w:ilvl="0" w:tplc="6AC442F4">
      <w:start w:val="1"/>
      <w:numFmt w:val="lowerRoman"/>
      <w:lvlText w:val="%1."/>
      <w:lvlJc w:val="left"/>
      <w:pPr>
        <w:ind w:left="1080" w:hanging="72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5085D"/>
    <w:multiLevelType w:val="multilevel"/>
    <w:tmpl w:val="048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81089"/>
    <w:multiLevelType w:val="hybridMultilevel"/>
    <w:tmpl w:val="16983C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nsid w:val="4252186C"/>
    <w:multiLevelType w:val="multilevel"/>
    <w:tmpl w:val="24F2D0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49003CF5"/>
    <w:multiLevelType w:val="hybridMultilevel"/>
    <w:tmpl w:val="4D4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5207C"/>
    <w:multiLevelType w:val="hybridMultilevel"/>
    <w:tmpl w:val="B44C7444"/>
    <w:lvl w:ilvl="0" w:tplc="BD6C6DDC">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82050"/>
    <w:multiLevelType w:val="hybridMultilevel"/>
    <w:tmpl w:val="D8F49970"/>
    <w:lvl w:ilvl="0" w:tplc="6AC442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067CB"/>
    <w:multiLevelType w:val="multilevel"/>
    <w:tmpl w:val="A1C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D6294"/>
    <w:multiLevelType w:val="hybridMultilevel"/>
    <w:tmpl w:val="7F2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6F35E2"/>
    <w:multiLevelType w:val="multilevel"/>
    <w:tmpl w:val="9F004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0"/>
  </w:num>
  <w:num w:numId="4">
    <w:abstractNumId w:val="1"/>
  </w:num>
  <w:num w:numId="5">
    <w:abstractNumId w:val="14"/>
  </w:num>
  <w:num w:numId="6">
    <w:abstractNumId w:val="15"/>
  </w:num>
  <w:num w:numId="7">
    <w:abstractNumId w:val="21"/>
  </w:num>
  <w:num w:numId="8">
    <w:abstractNumId w:val="10"/>
  </w:num>
  <w:num w:numId="9">
    <w:abstractNumId w:val="19"/>
  </w:num>
  <w:num w:numId="10">
    <w:abstractNumId w:val="22"/>
  </w:num>
  <w:num w:numId="11">
    <w:abstractNumId w:val="18"/>
  </w:num>
  <w:num w:numId="12">
    <w:abstractNumId w:val="3"/>
  </w:num>
  <w:num w:numId="13">
    <w:abstractNumId w:val="6"/>
  </w:num>
  <w:num w:numId="14">
    <w:abstractNumId w:val="9"/>
  </w:num>
  <w:num w:numId="15">
    <w:abstractNumId w:val="16"/>
  </w:num>
  <w:num w:numId="16">
    <w:abstractNumId w:val="4"/>
  </w:num>
  <w:num w:numId="17">
    <w:abstractNumId w:val="2"/>
  </w:num>
  <w:num w:numId="18">
    <w:abstractNumId w:val="12"/>
  </w:num>
  <w:num w:numId="19">
    <w:abstractNumId w:val="17"/>
  </w:num>
  <w:num w:numId="20">
    <w:abstractNumId w:val="11"/>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367D"/>
    <w:rsid w:val="00057DA8"/>
    <w:rsid w:val="000736BF"/>
    <w:rsid w:val="00086485"/>
    <w:rsid w:val="000964DE"/>
    <w:rsid w:val="000E2C6B"/>
    <w:rsid w:val="000E45E5"/>
    <w:rsid w:val="00103276"/>
    <w:rsid w:val="00134A66"/>
    <w:rsid w:val="001473B3"/>
    <w:rsid w:val="00170428"/>
    <w:rsid w:val="00180DF8"/>
    <w:rsid w:val="00181F5B"/>
    <w:rsid w:val="001A0DCE"/>
    <w:rsid w:val="001E30BA"/>
    <w:rsid w:val="002223E0"/>
    <w:rsid w:val="002A1486"/>
    <w:rsid w:val="002B197A"/>
    <w:rsid w:val="002F799A"/>
    <w:rsid w:val="00311E98"/>
    <w:rsid w:val="00324B6D"/>
    <w:rsid w:val="0033411B"/>
    <w:rsid w:val="003754C3"/>
    <w:rsid w:val="003812A9"/>
    <w:rsid w:val="003836C0"/>
    <w:rsid w:val="00386620"/>
    <w:rsid w:val="003A22D4"/>
    <w:rsid w:val="003B0C3C"/>
    <w:rsid w:val="003F0258"/>
    <w:rsid w:val="00413AE8"/>
    <w:rsid w:val="00432027"/>
    <w:rsid w:val="00440ECE"/>
    <w:rsid w:val="00443E94"/>
    <w:rsid w:val="0045515F"/>
    <w:rsid w:val="004758AA"/>
    <w:rsid w:val="004A2B79"/>
    <w:rsid w:val="004D3F24"/>
    <w:rsid w:val="005469CC"/>
    <w:rsid w:val="005B038A"/>
    <w:rsid w:val="005C61EE"/>
    <w:rsid w:val="005F1B65"/>
    <w:rsid w:val="0063524A"/>
    <w:rsid w:val="0065710B"/>
    <w:rsid w:val="00676AD5"/>
    <w:rsid w:val="006C491D"/>
    <w:rsid w:val="006D7555"/>
    <w:rsid w:val="006E1090"/>
    <w:rsid w:val="007354EA"/>
    <w:rsid w:val="00752790"/>
    <w:rsid w:val="007650C2"/>
    <w:rsid w:val="00772A1D"/>
    <w:rsid w:val="0078276F"/>
    <w:rsid w:val="007C4235"/>
    <w:rsid w:val="007D382E"/>
    <w:rsid w:val="007E4F76"/>
    <w:rsid w:val="007E5D3F"/>
    <w:rsid w:val="00810FC3"/>
    <w:rsid w:val="00816B78"/>
    <w:rsid w:val="00834D1A"/>
    <w:rsid w:val="0083711D"/>
    <w:rsid w:val="00837F09"/>
    <w:rsid w:val="00882780"/>
    <w:rsid w:val="008A0260"/>
    <w:rsid w:val="008A4E69"/>
    <w:rsid w:val="008A6F73"/>
    <w:rsid w:val="008B33D2"/>
    <w:rsid w:val="008E21EC"/>
    <w:rsid w:val="0090365F"/>
    <w:rsid w:val="00944F40"/>
    <w:rsid w:val="0094779C"/>
    <w:rsid w:val="009723CE"/>
    <w:rsid w:val="009912B9"/>
    <w:rsid w:val="00993E07"/>
    <w:rsid w:val="009E2B22"/>
    <w:rsid w:val="00A030A0"/>
    <w:rsid w:val="00A24134"/>
    <w:rsid w:val="00A55CB5"/>
    <w:rsid w:val="00A6756E"/>
    <w:rsid w:val="00A83454"/>
    <w:rsid w:val="00A84AEE"/>
    <w:rsid w:val="00AA4872"/>
    <w:rsid w:val="00AA76B6"/>
    <w:rsid w:val="00AC6F4C"/>
    <w:rsid w:val="00AF3C0C"/>
    <w:rsid w:val="00AF6929"/>
    <w:rsid w:val="00B2445F"/>
    <w:rsid w:val="00B40654"/>
    <w:rsid w:val="00B438A3"/>
    <w:rsid w:val="00B60FD8"/>
    <w:rsid w:val="00B879BD"/>
    <w:rsid w:val="00C22E07"/>
    <w:rsid w:val="00C32055"/>
    <w:rsid w:val="00C62F49"/>
    <w:rsid w:val="00C64099"/>
    <w:rsid w:val="00CB403B"/>
    <w:rsid w:val="00CF522C"/>
    <w:rsid w:val="00D17475"/>
    <w:rsid w:val="00D2659A"/>
    <w:rsid w:val="00D64504"/>
    <w:rsid w:val="00D92FCE"/>
    <w:rsid w:val="00DA646F"/>
    <w:rsid w:val="00DB0EB6"/>
    <w:rsid w:val="00DB77DD"/>
    <w:rsid w:val="00DB7F57"/>
    <w:rsid w:val="00DD3BA3"/>
    <w:rsid w:val="00DE1432"/>
    <w:rsid w:val="00E009D9"/>
    <w:rsid w:val="00E430E5"/>
    <w:rsid w:val="00E56341"/>
    <w:rsid w:val="00E8310E"/>
    <w:rsid w:val="00E8783F"/>
    <w:rsid w:val="00E90323"/>
    <w:rsid w:val="00E94857"/>
    <w:rsid w:val="00EA50D0"/>
    <w:rsid w:val="00EA697D"/>
    <w:rsid w:val="00ED649B"/>
    <w:rsid w:val="00EE539E"/>
    <w:rsid w:val="00F40EEB"/>
    <w:rsid w:val="00F662A3"/>
    <w:rsid w:val="00F75D47"/>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1C88-84FB-46F1-9F58-7CB88366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1">
    <w:name w:val="heading 1"/>
    <w:basedOn w:val="Normal"/>
    <w:next w:val="Normal"/>
    <w:link w:val="Heading1Char"/>
    <w:uiPriority w:val="9"/>
    <w:qFormat/>
    <w:rsid w:val="00386620"/>
    <w:pPr>
      <w:keepNext/>
      <w:keepLines/>
      <w:widowControl w:val="0"/>
      <w:spacing w:before="240" w:after="0" w:line="240" w:lineRule="auto"/>
      <w:jc w:val="both"/>
      <w:outlineLvl w:val="0"/>
    </w:pPr>
    <w:rPr>
      <w:rFonts w:asciiTheme="majorHAnsi" w:eastAsiaTheme="majorEastAsia" w:hAnsiTheme="majorHAnsi" w:cstheme="majorBidi"/>
      <w:color w:val="365F91" w:themeColor="accent1" w:themeShade="BF"/>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Bullet"/>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D6450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34"/>
    <w:qFormat/>
    <w:locked/>
    <w:rsid w:val="00D64504"/>
  </w:style>
  <w:style w:type="character" w:customStyle="1" w:styleId="UnresolvedMention">
    <w:name w:val="Unresolved Mention"/>
    <w:basedOn w:val="DefaultParagraphFont"/>
    <w:uiPriority w:val="99"/>
    <w:semiHidden/>
    <w:unhideWhenUsed/>
    <w:rsid w:val="0045515F"/>
    <w:rPr>
      <w:color w:val="808080"/>
      <w:shd w:val="clear" w:color="auto" w:fill="E6E6E6"/>
    </w:rPr>
  </w:style>
  <w:style w:type="character" w:customStyle="1" w:styleId="Heading1Char">
    <w:name w:val="Heading 1 Char"/>
    <w:basedOn w:val="DefaultParagraphFont"/>
    <w:link w:val="Heading1"/>
    <w:uiPriority w:val="9"/>
    <w:rsid w:val="00386620"/>
    <w:rPr>
      <w:rFonts w:asciiTheme="majorHAnsi" w:eastAsiaTheme="majorEastAsia" w:hAnsiTheme="majorHAnsi" w:cstheme="majorBidi"/>
      <w:color w:val="365F91" w:themeColor="accent1" w:themeShade="BF"/>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recruitments.ng@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E19D3B-D4C3-4831-958A-16855B29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Emmanuel Ango</dc:creator>
  <cp:lastModifiedBy>Emmanuel Ango</cp:lastModifiedBy>
  <cp:revision>5</cp:revision>
  <cp:lastPrinted>2011-03-24T14:16:00Z</cp:lastPrinted>
  <dcterms:created xsi:type="dcterms:W3CDTF">2019-01-30T11:23:00Z</dcterms:created>
  <dcterms:modified xsi:type="dcterms:W3CDTF">2019-02-01T11:17:00Z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