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0"/>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982"/>
      </w:tblGrid>
      <w:tr w:rsidR="00814FB4" w:rsidRPr="006A3B4E" w:rsidTr="00814FB4">
        <w:trPr>
          <w:cantSplit/>
        </w:trPr>
        <w:tc>
          <w:tcPr>
            <w:tcW w:w="5000" w:type="pct"/>
            <w:tcBorders>
              <w:top w:val="thinThickSmallGap" w:sz="24" w:space="0" w:color="auto"/>
              <w:bottom w:val="thickThinSmallGap" w:sz="24" w:space="0" w:color="auto"/>
            </w:tcBorders>
            <w:shd w:val="clear" w:color="auto" w:fill="FFFFFF"/>
            <w:vAlign w:val="center"/>
          </w:tcPr>
          <w:p w:rsidR="00814FB4" w:rsidRPr="00814FB4" w:rsidRDefault="00814FB4" w:rsidP="00814FB4">
            <w:pPr>
              <w:spacing w:line="276" w:lineRule="auto"/>
              <w:jc w:val="center"/>
              <w:rPr>
                <w:rFonts w:ascii="Garamond" w:hAnsi="Garamond"/>
                <w:b/>
                <w:sz w:val="24"/>
                <w:lang w:val="fr-FR"/>
              </w:rPr>
            </w:pPr>
          </w:p>
          <w:p w:rsidR="00814FB4" w:rsidRPr="00814FB4" w:rsidRDefault="00814FB4" w:rsidP="00814FB4">
            <w:pPr>
              <w:spacing w:line="276" w:lineRule="auto"/>
              <w:jc w:val="center"/>
              <w:rPr>
                <w:rFonts w:ascii="Garamond" w:hAnsi="Garamond"/>
                <w:b/>
                <w:sz w:val="24"/>
                <w:lang w:val="fr-FR"/>
              </w:rPr>
            </w:pPr>
            <w:r w:rsidRPr="00814FB4">
              <w:rPr>
                <w:rFonts w:ascii="Garamond" w:hAnsi="Garamond"/>
                <w:b/>
                <w:noProof/>
                <w:sz w:val="24"/>
                <w:lang w:val="fr-FR"/>
              </w:rPr>
              <w:t>TERMES DE REFERENCE</w:t>
            </w:r>
          </w:p>
          <w:p w:rsidR="007B5DCD" w:rsidRPr="007B5DCD" w:rsidRDefault="007B5DCD" w:rsidP="007B5DCD">
            <w:pPr>
              <w:spacing w:line="276" w:lineRule="auto"/>
              <w:jc w:val="center"/>
              <w:rPr>
                <w:rFonts w:ascii="Garamond" w:hAnsi="Garamond"/>
                <w:b/>
                <w:sz w:val="24"/>
                <w:lang w:val="fr-FR"/>
              </w:rPr>
            </w:pPr>
            <w:r w:rsidRPr="007B5DCD">
              <w:rPr>
                <w:rFonts w:ascii="Garamond" w:hAnsi="Garamond"/>
                <w:b/>
                <w:sz w:val="24"/>
                <w:lang w:val="fr-FR"/>
              </w:rPr>
              <w:t xml:space="preserve">Expert International - Conseiller Stratégique </w:t>
            </w:r>
          </w:p>
          <w:p w:rsidR="00814FB4" w:rsidRPr="00907AEE" w:rsidRDefault="007B5DCD" w:rsidP="007B5DCD">
            <w:pPr>
              <w:spacing w:line="276" w:lineRule="auto"/>
              <w:jc w:val="center"/>
              <w:rPr>
                <w:rFonts w:ascii="Garamond" w:hAnsi="Garamond"/>
                <w:b/>
                <w:sz w:val="24"/>
                <w:lang w:val="fr-FR"/>
              </w:rPr>
            </w:pPr>
            <w:proofErr w:type="gramStart"/>
            <w:r w:rsidRPr="007B5DCD">
              <w:rPr>
                <w:rFonts w:ascii="Garamond" w:hAnsi="Garamond"/>
                <w:b/>
                <w:sz w:val="24"/>
                <w:lang w:val="fr-FR"/>
              </w:rPr>
              <w:t>du</w:t>
            </w:r>
            <w:proofErr w:type="gramEnd"/>
            <w:r w:rsidRPr="007B5DCD">
              <w:rPr>
                <w:rFonts w:ascii="Garamond" w:hAnsi="Garamond"/>
                <w:b/>
                <w:sz w:val="24"/>
                <w:lang w:val="fr-FR"/>
              </w:rPr>
              <w:t xml:space="preserve"> Ministre de la Coopération et de l’Intégration Africaine</w:t>
            </w:r>
          </w:p>
        </w:tc>
      </w:tr>
    </w:tbl>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062"/>
      </w:tblGrid>
      <w:tr w:rsidR="00F32573" w:rsidRPr="00557939" w:rsidTr="00814FB4">
        <w:trPr>
          <w:trHeight w:val="435"/>
        </w:trPr>
        <w:tc>
          <w:tcPr>
            <w:tcW w:w="5000" w:type="pct"/>
            <w:shd w:val="clear" w:color="auto" w:fill="000080"/>
            <w:vAlign w:val="center"/>
          </w:tcPr>
          <w:p w:rsidR="00F32573" w:rsidRPr="00557939" w:rsidRDefault="00F32573" w:rsidP="006F5515">
            <w:pPr>
              <w:numPr>
                <w:ilvl w:val="0"/>
                <w:numId w:val="27"/>
              </w:numPr>
              <w:spacing w:line="276" w:lineRule="auto"/>
              <w:rPr>
                <w:rFonts w:ascii="Garamond" w:hAnsi="Garamond"/>
                <w:b/>
                <w:bCs/>
                <w:sz w:val="24"/>
                <w:lang w:val="fr-FR"/>
              </w:rPr>
            </w:pPr>
            <w:r w:rsidRPr="00557939">
              <w:rPr>
                <w:rFonts w:ascii="Garamond" w:hAnsi="Garamond"/>
                <w:b/>
                <w:bCs/>
                <w:sz w:val="24"/>
                <w:lang w:val="fr-FR"/>
              </w:rPr>
              <w:t>Information sur la position</w:t>
            </w:r>
            <w:bookmarkStart w:id="0" w:name="_GoBack"/>
            <w:bookmarkEnd w:id="0"/>
          </w:p>
        </w:tc>
      </w:tr>
      <w:tr w:rsidR="00F32573" w:rsidRPr="006A3B4E" w:rsidTr="00814FB4">
        <w:trPr>
          <w:trHeight w:val="1805"/>
        </w:trPr>
        <w:tc>
          <w:tcPr>
            <w:tcW w:w="5000" w:type="pct"/>
          </w:tcPr>
          <w:p w:rsidR="00F32573" w:rsidRPr="00557939" w:rsidRDefault="00F32573" w:rsidP="00557939">
            <w:pPr>
              <w:spacing w:line="276" w:lineRule="auto"/>
              <w:rPr>
                <w:rFonts w:ascii="Garamond" w:hAnsi="Garamond"/>
                <w:sz w:val="24"/>
                <w:lang w:val="fr-FR"/>
              </w:rPr>
            </w:pPr>
          </w:p>
          <w:p w:rsidR="004A6346" w:rsidRPr="00557939" w:rsidRDefault="004A6346" w:rsidP="006F5515">
            <w:pPr>
              <w:tabs>
                <w:tab w:val="left" w:pos="2160"/>
              </w:tabs>
              <w:ind w:left="2160" w:hanging="2160"/>
              <w:rPr>
                <w:rFonts w:ascii="Garamond" w:hAnsi="Garamond"/>
                <w:b/>
                <w:sz w:val="24"/>
                <w:lang w:val="fr-FR"/>
              </w:rPr>
            </w:pPr>
            <w:r w:rsidRPr="00557939">
              <w:rPr>
                <w:rFonts w:ascii="Garamond" w:hAnsi="Garamond"/>
                <w:sz w:val="24"/>
                <w:lang w:val="fr-FR"/>
              </w:rPr>
              <w:t>Intitulé du Poste</w:t>
            </w:r>
            <w:r w:rsidR="0046730C" w:rsidRPr="00557939">
              <w:rPr>
                <w:rFonts w:ascii="Garamond" w:hAnsi="Garamond"/>
                <w:sz w:val="24"/>
                <w:lang w:val="fr-FR"/>
              </w:rPr>
              <w:t>/Service attendu</w:t>
            </w:r>
            <w:r w:rsidRPr="00557939">
              <w:rPr>
                <w:rFonts w:ascii="Garamond" w:hAnsi="Garamond"/>
                <w:sz w:val="24"/>
                <w:lang w:val="fr-FR"/>
              </w:rPr>
              <w:t> </w:t>
            </w:r>
            <w:r w:rsidRPr="00557939">
              <w:rPr>
                <w:rFonts w:ascii="Garamond" w:hAnsi="Garamond"/>
                <w:b/>
                <w:sz w:val="24"/>
                <w:lang w:val="fr-FR"/>
              </w:rPr>
              <w:t xml:space="preserve">:   </w:t>
            </w:r>
            <w:r w:rsidR="007B5DCD" w:rsidRPr="007B5DCD">
              <w:rPr>
                <w:rFonts w:ascii="Garamond" w:hAnsi="Garamond"/>
                <w:sz w:val="24"/>
                <w:lang w:val="fr-FR"/>
              </w:rPr>
              <w:t xml:space="preserve">Conseiller </w:t>
            </w:r>
            <w:r w:rsidR="00972F87">
              <w:rPr>
                <w:rFonts w:ascii="Garamond" w:hAnsi="Garamond"/>
                <w:sz w:val="24"/>
                <w:lang w:val="fr-FR"/>
              </w:rPr>
              <w:t>S</w:t>
            </w:r>
            <w:r w:rsidR="007B5DCD" w:rsidRPr="007B5DCD">
              <w:rPr>
                <w:rFonts w:ascii="Garamond" w:hAnsi="Garamond"/>
                <w:sz w:val="24"/>
                <w:lang w:val="fr-FR"/>
              </w:rPr>
              <w:t>tratégique</w:t>
            </w:r>
            <w:r w:rsidRPr="007B5DCD">
              <w:rPr>
                <w:rFonts w:ascii="Garamond" w:hAnsi="Garamond"/>
                <w:sz w:val="24"/>
                <w:lang w:val="fr-FR"/>
              </w:rPr>
              <w:t xml:space="preserve"> </w:t>
            </w:r>
            <w:r w:rsidR="007B5DCD" w:rsidRPr="007B5DCD">
              <w:rPr>
                <w:rFonts w:ascii="Garamond" w:hAnsi="Garamond"/>
                <w:sz w:val="24"/>
                <w:lang w:val="fr-FR"/>
              </w:rPr>
              <w:t>du Ministre de la Coopération et de l’Intégration Africaine</w:t>
            </w:r>
          </w:p>
          <w:p w:rsidR="004A6346" w:rsidRPr="00557939"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Nombre de postes :   </w:t>
            </w:r>
            <w:r w:rsidR="002D5F4B" w:rsidRPr="00557939">
              <w:rPr>
                <w:rFonts w:ascii="Garamond" w:hAnsi="Garamond"/>
                <w:sz w:val="24"/>
                <w:lang w:val="fr-FR"/>
              </w:rPr>
              <w:t>1</w:t>
            </w:r>
          </w:p>
          <w:p w:rsidR="004A6346" w:rsidRPr="00557939"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Niveau du (des) Poste (s) </w:t>
            </w:r>
            <w:r w:rsidR="00A4193A" w:rsidRPr="00557939">
              <w:rPr>
                <w:rFonts w:ascii="Garamond" w:hAnsi="Garamond"/>
                <w:sz w:val="24"/>
                <w:lang w:val="fr-FR"/>
              </w:rPr>
              <w:t xml:space="preserve">ou Prestation </w:t>
            </w:r>
            <w:r w:rsidR="00346E10">
              <w:rPr>
                <w:rFonts w:ascii="Garamond" w:hAnsi="Garamond"/>
                <w:sz w:val="24"/>
                <w:lang w:val="fr-FR"/>
              </w:rPr>
              <w:t>(Local</w:t>
            </w:r>
            <w:r w:rsidR="00BB3219">
              <w:rPr>
                <w:rFonts w:ascii="Garamond" w:hAnsi="Garamond"/>
                <w:sz w:val="24"/>
                <w:lang w:val="fr-FR"/>
              </w:rPr>
              <w:t xml:space="preserve">) : </w:t>
            </w:r>
            <w:r w:rsidR="00587C07">
              <w:rPr>
                <w:rFonts w:ascii="Garamond" w:hAnsi="Garamond"/>
                <w:sz w:val="24"/>
                <w:lang w:val="fr-FR"/>
              </w:rPr>
              <w:t>intern</w:t>
            </w:r>
            <w:r w:rsidR="00346E10">
              <w:rPr>
                <w:rFonts w:ascii="Garamond" w:hAnsi="Garamond"/>
                <w:sz w:val="24"/>
                <w:lang w:val="fr-FR"/>
              </w:rPr>
              <w:t>ational</w:t>
            </w:r>
            <w:r w:rsidRPr="00557939">
              <w:rPr>
                <w:rFonts w:ascii="Garamond" w:hAnsi="Garamond"/>
                <w:sz w:val="24"/>
                <w:lang w:val="fr-FR"/>
              </w:rPr>
              <w:t xml:space="preserve">  </w:t>
            </w:r>
          </w:p>
          <w:p w:rsidR="004A6346" w:rsidRPr="00557939"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Nature de la consultation (Support/ Substance) : </w:t>
            </w:r>
            <w:r w:rsidR="002D5F4B" w:rsidRPr="00557939">
              <w:rPr>
                <w:rFonts w:ascii="Garamond" w:hAnsi="Garamond"/>
                <w:sz w:val="24"/>
                <w:lang w:val="fr-FR"/>
              </w:rPr>
              <w:t>Support</w:t>
            </w:r>
          </w:p>
          <w:p w:rsidR="004A6346" w:rsidRPr="00557939" w:rsidRDefault="004A6346" w:rsidP="006F5515">
            <w:pPr>
              <w:tabs>
                <w:tab w:val="left" w:pos="2160"/>
              </w:tabs>
              <w:spacing w:before="120" w:after="120" w:line="276" w:lineRule="auto"/>
              <w:ind w:left="2160" w:hanging="2160"/>
              <w:rPr>
                <w:rFonts w:ascii="Garamond" w:hAnsi="Garamond"/>
                <w:b/>
                <w:sz w:val="24"/>
                <w:lang w:val="fr-FR"/>
              </w:rPr>
            </w:pPr>
            <w:r w:rsidRPr="00557939">
              <w:rPr>
                <w:rFonts w:ascii="Garamond" w:hAnsi="Garamond"/>
                <w:sz w:val="24"/>
                <w:lang w:val="fr-FR"/>
              </w:rPr>
              <w:t>Type de contrat</w:t>
            </w:r>
            <w:r w:rsidR="00A4193A" w:rsidRPr="00557939">
              <w:rPr>
                <w:rFonts w:ascii="Garamond" w:hAnsi="Garamond"/>
                <w:sz w:val="24"/>
                <w:lang w:val="fr-FR"/>
              </w:rPr>
              <w:t xml:space="preserve"> </w:t>
            </w:r>
            <w:r w:rsidRPr="00557939">
              <w:rPr>
                <w:rFonts w:ascii="Garamond" w:hAnsi="Garamond"/>
                <w:b/>
                <w:sz w:val="24"/>
                <w:lang w:val="fr-FR"/>
              </w:rPr>
              <w:t xml:space="preserve">: </w:t>
            </w:r>
            <w:r w:rsidR="002D5F4B" w:rsidRPr="00557939">
              <w:rPr>
                <w:rFonts w:ascii="Garamond" w:hAnsi="Garamond"/>
                <w:b/>
                <w:sz w:val="24"/>
                <w:lang w:val="fr-FR"/>
              </w:rPr>
              <w:t>IC</w:t>
            </w:r>
          </w:p>
          <w:p w:rsidR="004A6346" w:rsidRPr="006F5515"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Type d’affectation (Home </w:t>
            </w:r>
            <w:proofErr w:type="spellStart"/>
            <w:r w:rsidRPr="00557939">
              <w:rPr>
                <w:rFonts w:ascii="Garamond" w:hAnsi="Garamond"/>
                <w:sz w:val="24"/>
                <w:lang w:val="fr-FR"/>
              </w:rPr>
              <w:t>based</w:t>
            </w:r>
            <w:proofErr w:type="spellEnd"/>
            <w:r w:rsidRPr="00557939">
              <w:rPr>
                <w:rFonts w:ascii="Garamond" w:hAnsi="Garamond"/>
                <w:sz w:val="24"/>
                <w:lang w:val="fr-FR"/>
              </w:rPr>
              <w:t xml:space="preserve"> ou sur site) : </w:t>
            </w:r>
            <w:r w:rsidR="002D5F4B" w:rsidRPr="00557939">
              <w:rPr>
                <w:rFonts w:ascii="Garamond" w:hAnsi="Garamond"/>
                <w:sz w:val="24"/>
                <w:lang w:val="fr-FR"/>
              </w:rPr>
              <w:t>Sur site</w:t>
            </w:r>
          </w:p>
          <w:p w:rsidR="004A6346" w:rsidRPr="00557939"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Lieu d'affectation :</w:t>
            </w:r>
            <w:r w:rsidR="008874FC" w:rsidRPr="00557939">
              <w:rPr>
                <w:rFonts w:ascii="Garamond" w:hAnsi="Garamond"/>
                <w:sz w:val="24"/>
                <w:lang w:val="fr-FR"/>
              </w:rPr>
              <w:t xml:space="preserve"> </w:t>
            </w:r>
            <w:r w:rsidRPr="00557939">
              <w:rPr>
                <w:rFonts w:ascii="Garamond" w:hAnsi="Garamond"/>
                <w:sz w:val="24"/>
                <w:lang w:val="fr-FR"/>
              </w:rPr>
              <w:tab/>
            </w:r>
            <w:r w:rsidR="002D5F4B" w:rsidRPr="00557939">
              <w:rPr>
                <w:rFonts w:ascii="Garamond" w:hAnsi="Garamond"/>
                <w:sz w:val="24"/>
                <w:lang w:val="fr-FR"/>
              </w:rPr>
              <w:t>Conakry</w:t>
            </w:r>
          </w:p>
          <w:p w:rsidR="004A6346" w:rsidRPr="00557939" w:rsidRDefault="004A6346" w:rsidP="006F5515">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Durée de la mission :</w:t>
            </w:r>
            <w:r w:rsidR="007B5DCD">
              <w:rPr>
                <w:rFonts w:ascii="Garamond" w:hAnsi="Garamond"/>
                <w:sz w:val="24"/>
                <w:lang w:val="fr-FR"/>
              </w:rPr>
              <w:t xml:space="preserve"> 6 mois, renouvelables</w:t>
            </w:r>
          </w:p>
          <w:p w:rsidR="00F32573" w:rsidRPr="00557939" w:rsidRDefault="004A6346" w:rsidP="00587C07">
            <w:pPr>
              <w:tabs>
                <w:tab w:val="left" w:pos="2160"/>
              </w:tabs>
              <w:spacing w:before="120" w:after="120" w:line="276" w:lineRule="auto"/>
              <w:ind w:left="2160" w:hanging="2160"/>
              <w:rPr>
                <w:rFonts w:ascii="Garamond" w:hAnsi="Garamond"/>
                <w:sz w:val="24"/>
                <w:lang w:val="fr-FR"/>
              </w:rPr>
            </w:pPr>
            <w:r w:rsidRPr="00557939">
              <w:rPr>
                <w:rFonts w:ascii="Garamond" w:hAnsi="Garamond"/>
                <w:sz w:val="24"/>
                <w:lang w:val="fr-FR"/>
              </w:rPr>
              <w:t xml:space="preserve">Date estimative de démarrage de la mission : </w:t>
            </w:r>
            <w:r w:rsidR="00262AA6">
              <w:rPr>
                <w:rFonts w:ascii="Garamond" w:hAnsi="Garamond"/>
                <w:sz w:val="24"/>
                <w:lang w:val="fr-FR"/>
              </w:rPr>
              <w:t xml:space="preserve"> </w:t>
            </w:r>
            <w:r w:rsidR="005F5B0D">
              <w:rPr>
                <w:rFonts w:ascii="Garamond" w:hAnsi="Garamond"/>
                <w:sz w:val="24"/>
                <w:lang w:val="fr-FR"/>
              </w:rPr>
              <w:t>1</w:t>
            </w:r>
            <w:r w:rsidR="005F5B0D" w:rsidRPr="005F5B0D">
              <w:rPr>
                <w:rFonts w:ascii="Garamond" w:hAnsi="Garamond"/>
                <w:sz w:val="24"/>
                <w:vertAlign w:val="superscript"/>
                <w:lang w:val="fr-FR"/>
              </w:rPr>
              <w:t>er</w:t>
            </w:r>
            <w:r w:rsidR="005F5B0D">
              <w:rPr>
                <w:rFonts w:ascii="Garamond" w:hAnsi="Garamond"/>
                <w:sz w:val="24"/>
                <w:lang w:val="fr-FR"/>
              </w:rPr>
              <w:t xml:space="preserve"> Avril</w:t>
            </w:r>
            <w:r w:rsidR="00262AA6">
              <w:rPr>
                <w:rFonts w:ascii="Garamond" w:hAnsi="Garamond"/>
                <w:sz w:val="24"/>
                <w:lang w:val="fr-FR"/>
              </w:rPr>
              <w:t xml:space="preserve"> 201</w:t>
            </w:r>
            <w:r w:rsidR="009827B9">
              <w:rPr>
                <w:rFonts w:ascii="Garamond" w:hAnsi="Garamond"/>
                <w:sz w:val="24"/>
                <w:lang w:val="fr-FR"/>
              </w:rPr>
              <w:t>9</w:t>
            </w:r>
            <w:r w:rsidR="00F32573" w:rsidRPr="00557939">
              <w:rPr>
                <w:rFonts w:ascii="Garamond" w:hAnsi="Garamond"/>
                <w:sz w:val="24"/>
                <w:lang w:val="fr-FR"/>
              </w:rPr>
              <w:tab/>
              <w:t xml:space="preserve"> </w:t>
            </w:r>
          </w:p>
        </w:tc>
      </w:tr>
    </w:tbl>
    <w:p w:rsidR="00F32573" w:rsidRPr="00557939" w:rsidRDefault="00F32573" w:rsidP="00557939">
      <w:pPr>
        <w:spacing w:line="276" w:lineRule="auto"/>
        <w:rPr>
          <w:rFonts w:ascii="Garamond" w:hAnsi="Garamond"/>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F32573" w:rsidRPr="006A3B4E" w:rsidTr="00814FB4">
        <w:trPr>
          <w:trHeight w:val="349"/>
        </w:trPr>
        <w:tc>
          <w:tcPr>
            <w:tcW w:w="5000" w:type="pct"/>
            <w:shd w:val="clear" w:color="auto" w:fill="000080"/>
            <w:vAlign w:val="center"/>
          </w:tcPr>
          <w:p w:rsidR="00F32573" w:rsidRPr="00557939" w:rsidRDefault="003B7DA5" w:rsidP="00EE39F6">
            <w:pPr>
              <w:numPr>
                <w:ilvl w:val="0"/>
                <w:numId w:val="27"/>
              </w:numPr>
              <w:spacing w:before="120" w:after="120" w:line="276" w:lineRule="auto"/>
              <w:rPr>
                <w:rFonts w:ascii="Garamond" w:hAnsi="Garamond"/>
                <w:b/>
                <w:bCs/>
                <w:sz w:val="24"/>
                <w:lang w:val="fr-FR"/>
              </w:rPr>
            </w:pPr>
            <w:r>
              <w:rPr>
                <w:rFonts w:ascii="Garamond" w:hAnsi="Garamond"/>
                <w:b/>
                <w:bCs/>
                <w:sz w:val="24"/>
                <w:lang w:val="fr-FR"/>
              </w:rPr>
              <w:t xml:space="preserve">Contexte, </w:t>
            </w:r>
            <w:r w:rsidR="00933363" w:rsidRPr="00557939">
              <w:rPr>
                <w:rFonts w:ascii="Garamond" w:hAnsi="Garamond"/>
                <w:b/>
                <w:bCs/>
                <w:sz w:val="24"/>
                <w:lang w:val="fr-FR"/>
              </w:rPr>
              <w:t>Objectif</w:t>
            </w:r>
            <w:r>
              <w:rPr>
                <w:rFonts w:ascii="Garamond" w:hAnsi="Garamond"/>
                <w:b/>
                <w:bCs/>
                <w:sz w:val="24"/>
                <w:lang w:val="fr-FR"/>
              </w:rPr>
              <w:t xml:space="preserve">s et </w:t>
            </w:r>
            <w:r w:rsidR="00DC36D8">
              <w:rPr>
                <w:rFonts w:ascii="Garamond" w:hAnsi="Garamond"/>
                <w:b/>
                <w:bCs/>
                <w:sz w:val="24"/>
                <w:lang w:val="fr-FR"/>
              </w:rPr>
              <w:t>descriptif</w:t>
            </w:r>
            <w:r>
              <w:rPr>
                <w:rFonts w:ascii="Garamond" w:hAnsi="Garamond"/>
                <w:b/>
                <w:bCs/>
                <w:sz w:val="24"/>
                <w:lang w:val="fr-FR"/>
              </w:rPr>
              <w:t xml:space="preserve"> de la mission</w:t>
            </w:r>
            <w:r w:rsidR="00933363" w:rsidRPr="00557939">
              <w:rPr>
                <w:rFonts w:ascii="Garamond" w:hAnsi="Garamond"/>
                <w:b/>
                <w:bCs/>
                <w:sz w:val="24"/>
                <w:lang w:val="fr-FR"/>
              </w:rPr>
              <w:t xml:space="preserve"> </w:t>
            </w:r>
          </w:p>
        </w:tc>
      </w:tr>
      <w:tr w:rsidR="00F32573" w:rsidRPr="006A3B4E" w:rsidTr="00814FB4">
        <w:tc>
          <w:tcPr>
            <w:tcW w:w="5000" w:type="pct"/>
          </w:tcPr>
          <w:p w:rsidR="009974B3" w:rsidRPr="00557939" w:rsidRDefault="00945951" w:rsidP="00EE39F6">
            <w:pPr>
              <w:autoSpaceDE w:val="0"/>
              <w:autoSpaceDN w:val="0"/>
              <w:spacing w:before="120" w:after="120" w:line="276" w:lineRule="auto"/>
              <w:jc w:val="both"/>
              <w:rPr>
                <w:rFonts w:ascii="Garamond" w:hAnsi="Garamond"/>
                <w:b/>
                <w:color w:val="0070C0"/>
                <w:sz w:val="24"/>
                <w:lang w:val="fr-FR"/>
              </w:rPr>
            </w:pPr>
            <w:r w:rsidRPr="00557939">
              <w:rPr>
                <w:rFonts w:ascii="Garamond" w:hAnsi="Garamond"/>
                <w:b/>
                <w:color w:val="0070C0"/>
                <w:sz w:val="24"/>
                <w:lang w:val="fr-FR"/>
              </w:rPr>
              <w:t xml:space="preserve">2.1. </w:t>
            </w:r>
            <w:r w:rsidR="009974B3" w:rsidRPr="00557939">
              <w:rPr>
                <w:rFonts w:ascii="Garamond" w:hAnsi="Garamond"/>
                <w:b/>
                <w:color w:val="0070C0"/>
                <w:sz w:val="24"/>
                <w:lang w:val="fr-FR"/>
              </w:rPr>
              <w:t>Contexte</w:t>
            </w:r>
          </w:p>
          <w:p w:rsidR="00561AE8" w:rsidRPr="00561AE8" w:rsidRDefault="00561AE8" w:rsidP="00EE39F6">
            <w:pPr>
              <w:pStyle w:val="Paragraphedeliste"/>
              <w:spacing w:before="120" w:after="120"/>
              <w:ind w:left="0"/>
              <w:contextualSpacing w:val="0"/>
              <w:jc w:val="both"/>
              <w:rPr>
                <w:rFonts w:ascii="Garamond" w:hAnsi="Garamond"/>
                <w:sz w:val="24"/>
              </w:rPr>
            </w:pPr>
            <w:r w:rsidRPr="00561AE8">
              <w:rPr>
                <w:rFonts w:ascii="Garamond" w:hAnsi="Garamond"/>
                <w:sz w:val="24"/>
              </w:rPr>
              <w:t xml:space="preserve">Afin de résorber les effets négatifs de l’épidémie Ebola et remettre le pays sur sa trajectoire de développement durable en capitalisant sur les immenses potentialités naturelles du pays, le Gouvernement guinéen a adopté une vision à l’horizon 2040 d’une ‘’Guinée Emergente’’ et s’est engagé sur l’agenda 2030 et l’atteinte des Objectifs de Développement Durable. </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Le Plan National de Développement Economique et Social 2016-2020 (PNDES constitue la première phase quinquennale d’opérationnalisation de cette vision stratégique qui s’attache à renforcer les capacités nationales de gestion du développement et à promouvoir les partenariats catalytiques et constructifs visant à réaliser cette vision d’une prospérité inclusive et durable pour la Guinée.</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A travers le PNDES, l’ambition est d’insuffler un nouvel élan à la Guinée et de promouvoir une croissance forte et de qualité pour améliorer le bien-être des Guinéens, opérer la transformation structurelle de l’économie, tout en mettant le pays sur la trajectoire du développement durable.</w:t>
            </w:r>
          </w:p>
          <w:p w:rsidR="00561AE8" w:rsidRPr="00561AE8" w:rsidRDefault="00561AE8" w:rsidP="00EE39F6">
            <w:pPr>
              <w:spacing w:before="120" w:after="120" w:line="276" w:lineRule="auto"/>
              <w:jc w:val="both"/>
              <w:rPr>
                <w:rFonts w:ascii="Garamond" w:hAnsi="Garamond"/>
                <w:sz w:val="24"/>
                <w:lang w:val="fr-FR"/>
              </w:rPr>
            </w:pPr>
            <w:r w:rsidRPr="00561AE8">
              <w:rPr>
                <w:rFonts w:ascii="Garamond" w:hAnsi="Garamond"/>
                <w:sz w:val="24"/>
                <w:lang w:val="fr-FR"/>
              </w:rPr>
              <w:t xml:space="preserve">Cependant la coordination des acteurs du développement que sont l’Etat, le secteur privé et la société civile, à travers la mise en œuvre harmonieuse de leurs instruments d’intervention, constitue un facteur clef de succès du Plan. </w:t>
            </w:r>
            <w:r w:rsidRPr="00EE39F6">
              <w:rPr>
                <w:rFonts w:ascii="Garamond" w:hAnsi="Garamond"/>
                <w:sz w:val="24"/>
                <w:lang w:val="fr-FR"/>
              </w:rPr>
              <w:t xml:space="preserve">De plus, le Gouvernement est conscient que l’exécution des projets de développement dans le pays continue à être freinée par d’importants dysfonctionnements organisationnels et des faiblesses institutionnelles à plusieurs niveaux. </w:t>
            </w:r>
            <w:r w:rsidRPr="00561AE8">
              <w:rPr>
                <w:rFonts w:ascii="Garamond" w:hAnsi="Garamond"/>
                <w:sz w:val="24"/>
                <w:lang w:val="fr-FR"/>
              </w:rPr>
              <w:t xml:space="preserve">En </w:t>
            </w:r>
            <w:r w:rsidRPr="00561AE8">
              <w:rPr>
                <w:rFonts w:ascii="Garamond" w:hAnsi="Garamond"/>
                <w:sz w:val="24"/>
                <w:lang w:val="fr-FR"/>
              </w:rPr>
              <w:lastRenderedPageBreak/>
              <w:t>effet, un des facteurs de fragilité</w:t>
            </w:r>
            <w:r>
              <w:rPr>
                <w:rFonts w:ascii="Garamond" w:hAnsi="Garamond"/>
                <w:sz w:val="24"/>
                <w:lang w:val="fr-FR"/>
              </w:rPr>
              <w:t xml:space="preserve"> </w:t>
            </w:r>
            <w:r w:rsidRPr="00561AE8">
              <w:rPr>
                <w:rFonts w:ascii="Garamond" w:hAnsi="Garamond"/>
                <w:sz w:val="24"/>
                <w:lang w:val="fr-FR"/>
              </w:rPr>
              <w:t>de la Guinée est la faiblesse des capacités à tous les niveaux notamment le manque d’expertise technique dans de nombreux domaines essentiels.</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Cette situation limite la portée des stratégies mises en œuvre et sa persistance constitue un goulot d’étranglement à la transformation structurelle de l’économie.</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A cet égard, la création en Juin 2018 du Ministère de la Coopération et de l’Intégration Africaine (MCIA) participe de la volonté du Gouvernement de mettre en place les meilleures conditions pour le pilotage efficace de la politique de développement. Le MCIA a également pour mission de contribuer à promouvoir une image moderne, jeune et féminine d’une Guinée qui rayonne sur la scène internationale, ouverte sur le monde et aux partenariats nouveaux et innovants qui contribuent à l’émergence et la prospérité pour toutes les guinéennes et les guinéens.</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Au titre de son décret de création, le Ministère de la Coopération et de l’Intégration Africaine (MCIA) a pour mission la conception, l’élaboration et la mise en œuvre de la politique du Gouvernement en matière de coopération internationale, de coordination des aides extérieures et d’intégration africaine et d’en assurer le suivi.</w:t>
            </w:r>
          </w:p>
          <w:p w:rsidR="00561AE8" w:rsidRPr="00EE39F6" w:rsidRDefault="00561AE8" w:rsidP="00EE39F6">
            <w:pPr>
              <w:spacing w:before="120" w:after="120" w:line="276" w:lineRule="auto"/>
              <w:jc w:val="both"/>
              <w:rPr>
                <w:rFonts w:ascii="Garamond" w:hAnsi="Garamond"/>
                <w:sz w:val="24"/>
                <w:lang w:val="fr-FR"/>
              </w:rPr>
            </w:pPr>
            <w:r w:rsidRPr="00EE39F6">
              <w:rPr>
                <w:rFonts w:ascii="Garamond" w:hAnsi="Garamond"/>
                <w:sz w:val="24"/>
                <w:lang w:val="fr-FR"/>
              </w:rPr>
              <w:t>A ce titre, le MCIA est notamment chargé de :</w:t>
            </w:r>
          </w:p>
          <w:p w:rsidR="00561AE8" w:rsidRPr="00561AE8" w:rsidRDefault="00561AE8" w:rsidP="00EE39F6">
            <w:pPr>
              <w:pStyle w:val="Paragraphedeliste"/>
              <w:numPr>
                <w:ilvl w:val="0"/>
                <w:numId w:val="34"/>
              </w:numPr>
              <w:spacing w:before="120" w:after="120"/>
              <w:contextualSpacing w:val="0"/>
              <w:jc w:val="both"/>
              <w:rPr>
                <w:rFonts w:ascii="Garamond" w:hAnsi="Garamond"/>
                <w:sz w:val="24"/>
              </w:rPr>
            </w:pPr>
            <w:r w:rsidRPr="00561AE8">
              <w:rPr>
                <w:rFonts w:ascii="Garamond" w:hAnsi="Garamond"/>
                <w:sz w:val="24"/>
              </w:rPr>
              <w:t>Orienter et impulser les relations de coopération dans les domaines économique, technique, scientifique et culturel avec les PTF</w:t>
            </w:r>
          </w:p>
          <w:p w:rsidR="00561AE8" w:rsidRPr="00561AE8" w:rsidRDefault="00561AE8" w:rsidP="00EE39F6">
            <w:pPr>
              <w:pStyle w:val="Paragraphedeliste"/>
              <w:numPr>
                <w:ilvl w:val="0"/>
                <w:numId w:val="34"/>
              </w:numPr>
              <w:spacing w:before="120" w:after="120"/>
              <w:contextualSpacing w:val="0"/>
              <w:jc w:val="both"/>
              <w:rPr>
                <w:rFonts w:ascii="Garamond" w:hAnsi="Garamond"/>
                <w:sz w:val="24"/>
              </w:rPr>
            </w:pPr>
            <w:r w:rsidRPr="00561AE8">
              <w:rPr>
                <w:rFonts w:ascii="Garamond" w:hAnsi="Garamond"/>
                <w:sz w:val="24"/>
              </w:rPr>
              <w:t>Promouvoir la concertation avec les PTF, contribuer à la mobilisation des ressources extérieures pour le financement des programmes et projets de développement et assurer la coordination des aides extérieures</w:t>
            </w:r>
          </w:p>
          <w:p w:rsidR="00561AE8" w:rsidRPr="00561AE8" w:rsidRDefault="00561AE8" w:rsidP="00EE39F6">
            <w:pPr>
              <w:pStyle w:val="Paragraphedeliste"/>
              <w:numPr>
                <w:ilvl w:val="0"/>
                <w:numId w:val="34"/>
              </w:numPr>
              <w:spacing w:before="120" w:after="120"/>
              <w:contextualSpacing w:val="0"/>
              <w:jc w:val="both"/>
              <w:rPr>
                <w:rFonts w:ascii="Garamond" w:hAnsi="Garamond"/>
                <w:sz w:val="24"/>
              </w:rPr>
            </w:pPr>
            <w:r w:rsidRPr="00561AE8">
              <w:rPr>
                <w:rFonts w:ascii="Garamond" w:hAnsi="Garamond"/>
                <w:sz w:val="24"/>
              </w:rPr>
              <w:t>Superviser la préparation de programmes pluriannuels de coopération avec les partenaires multilatéraux du Système des Nations Unies et les ONG internationales</w:t>
            </w:r>
          </w:p>
          <w:p w:rsidR="00561AE8" w:rsidRPr="00561AE8" w:rsidRDefault="00561AE8" w:rsidP="00EE39F6">
            <w:pPr>
              <w:pStyle w:val="Paragraphedeliste"/>
              <w:numPr>
                <w:ilvl w:val="0"/>
                <w:numId w:val="34"/>
              </w:numPr>
              <w:spacing w:before="120" w:after="120"/>
              <w:contextualSpacing w:val="0"/>
              <w:jc w:val="both"/>
              <w:rPr>
                <w:rFonts w:ascii="Garamond" w:hAnsi="Garamond"/>
                <w:sz w:val="24"/>
              </w:rPr>
            </w:pPr>
            <w:r w:rsidRPr="00561AE8">
              <w:rPr>
                <w:rFonts w:ascii="Garamond" w:hAnsi="Garamond"/>
                <w:sz w:val="24"/>
              </w:rPr>
              <w:t>Promouvoir en collaboration avec les Institutions Nationales compétentes les projets d’intégration sous-régionale et régionale dans les domaines du développement socioéconomique</w:t>
            </w:r>
          </w:p>
          <w:p w:rsidR="00561AE8" w:rsidRPr="00561AE8" w:rsidRDefault="00561AE8" w:rsidP="00EE39F6">
            <w:pPr>
              <w:pStyle w:val="Paragraphedeliste"/>
              <w:numPr>
                <w:ilvl w:val="0"/>
                <w:numId w:val="34"/>
              </w:numPr>
              <w:spacing w:before="120" w:after="120"/>
              <w:contextualSpacing w:val="0"/>
              <w:jc w:val="both"/>
              <w:rPr>
                <w:rFonts w:ascii="Garamond" w:hAnsi="Garamond"/>
                <w:sz w:val="24"/>
              </w:rPr>
            </w:pPr>
            <w:r w:rsidRPr="00561AE8">
              <w:rPr>
                <w:rFonts w:ascii="Garamond" w:hAnsi="Garamond"/>
                <w:sz w:val="24"/>
              </w:rPr>
              <w:t>Contribuer au suivi de la mise en œuvre des ODD à l’horizon 2030.</w:t>
            </w:r>
          </w:p>
          <w:p w:rsidR="009974B3" w:rsidRPr="003607E8" w:rsidRDefault="00945951" w:rsidP="003607E8">
            <w:pPr>
              <w:pStyle w:val="Titre2"/>
              <w:keepLines/>
              <w:widowControl w:val="0"/>
              <w:overflowPunct w:val="0"/>
              <w:adjustRightInd w:val="0"/>
              <w:spacing w:before="120" w:after="120" w:line="276" w:lineRule="auto"/>
              <w:rPr>
                <w:rFonts w:ascii="Garamond" w:hAnsi="Garamond"/>
                <w:i w:val="0"/>
                <w:color w:val="0070C0"/>
                <w:sz w:val="24"/>
                <w:szCs w:val="24"/>
                <w:lang w:val="fr-FR"/>
              </w:rPr>
            </w:pPr>
            <w:r w:rsidRPr="00CC18A6">
              <w:rPr>
                <w:rFonts w:ascii="Garamond" w:hAnsi="Garamond"/>
                <w:i w:val="0"/>
                <w:color w:val="0070C0"/>
                <w:sz w:val="24"/>
                <w:szCs w:val="24"/>
                <w:lang w:val="fr-FR"/>
              </w:rPr>
              <w:t xml:space="preserve">2.2. </w:t>
            </w:r>
            <w:r w:rsidR="009974B3" w:rsidRPr="00CC18A6">
              <w:rPr>
                <w:rFonts w:ascii="Garamond" w:hAnsi="Garamond"/>
                <w:i w:val="0"/>
                <w:color w:val="0070C0"/>
                <w:sz w:val="24"/>
                <w:szCs w:val="24"/>
                <w:lang w:val="fr-FR"/>
              </w:rPr>
              <w:t>Objectifs de la mission</w:t>
            </w:r>
          </w:p>
          <w:p w:rsidR="00A94DE3" w:rsidRDefault="00A94DE3" w:rsidP="00EE39F6">
            <w:pPr>
              <w:spacing w:before="120" w:after="120" w:line="276" w:lineRule="auto"/>
              <w:jc w:val="both"/>
              <w:rPr>
                <w:rFonts w:ascii="Garamond" w:hAnsi="Garamond"/>
                <w:sz w:val="24"/>
                <w:lang w:val="fr-FR"/>
              </w:rPr>
            </w:pPr>
            <w:r w:rsidRPr="00A94DE3">
              <w:rPr>
                <w:rFonts w:ascii="Garamond" w:hAnsi="Garamond"/>
                <w:sz w:val="24"/>
                <w:lang w:val="fr-FR"/>
              </w:rPr>
              <w:t xml:space="preserve">L’objectif principal est de fournir un appui technique et managérial au Cabinet du Ministre dans l’exécution de sa mission de coordination, de supervision, d’impulsion dans les domaines de la Coopération Internationale, de l’Intégration Africaine et du Dialogue avec les Partenaires au développement. </w:t>
            </w:r>
          </w:p>
          <w:p w:rsidR="009974B3" w:rsidRPr="00557939" w:rsidRDefault="006858A8" w:rsidP="00EE39F6">
            <w:pPr>
              <w:spacing w:before="120" w:after="120" w:line="276" w:lineRule="auto"/>
              <w:jc w:val="both"/>
              <w:rPr>
                <w:rFonts w:ascii="Garamond" w:hAnsi="Garamond"/>
                <w:sz w:val="24"/>
                <w:lang w:val="fr-FR"/>
              </w:rPr>
            </w:pPr>
            <w:r>
              <w:rPr>
                <w:rFonts w:ascii="Garamond" w:hAnsi="Garamond"/>
                <w:sz w:val="24"/>
                <w:lang w:val="fr-FR"/>
              </w:rPr>
              <w:t>Spécifiquement, il s’agit</w:t>
            </w:r>
            <w:r w:rsidR="00897860">
              <w:rPr>
                <w:rFonts w:ascii="Garamond" w:hAnsi="Garamond"/>
                <w:sz w:val="24"/>
                <w:lang w:val="fr-FR"/>
              </w:rPr>
              <w:t xml:space="preserve"> d’appuyer </w:t>
            </w:r>
            <w:r>
              <w:rPr>
                <w:rFonts w:ascii="Garamond" w:hAnsi="Garamond"/>
                <w:sz w:val="24"/>
                <w:lang w:val="fr-FR"/>
              </w:rPr>
              <w:t>:</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t>la</w:t>
            </w:r>
            <w:proofErr w:type="gramEnd"/>
            <w:r w:rsidRPr="00D03385">
              <w:rPr>
                <w:rFonts w:ascii="Garamond" w:hAnsi="Garamond"/>
                <w:sz w:val="24"/>
                <w:lang w:val="fr-FR"/>
              </w:rPr>
              <w:t xml:space="preserve"> promotion et la diversification des partenariats et des sources de financement ;</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t>le</w:t>
            </w:r>
            <w:proofErr w:type="gramEnd"/>
            <w:r w:rsidRPr="00D03385">
              <w:rPr>
                <w:rFonts w:ascii="Garamond" w:hAnsi="Garamond"/>
                <w:sz w:val="24"/>
                <w:lang w:val="fr-FR"/>
              </w:rPr>
              <w:t xml:space="preserve"> processus de coordination de l’aide y inclus la création et la gestion de la base de données sur l’aide, de dialogue avec les Partenaires ;</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lastRenderedPageBreak/>
              <w:t>l’élaboration</w:t>
            </w:r>
            <w:proofErr w:type="gramEnd"/>
            <w:r w:rsidRPr="00D03385">
              <w:rPr>
                <w:rFonts w:ascii="Garamond" w:hAnsi="Garamond"/>
                <w:sz w:val="24"/>
                <w:lang w:val="fr-FR"/>
              </w:rPr>
              <w:t xml:space="preserve"> d’une nouvelle politique du Gouvernement en matière de coopération internationale et la gestion axée sur les résultats ;</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t>la</w:t>
            </w:r>
            <w:proofErr w:type="gramEnd"/>
            <w:r w:rsidRPr="00D03385">
              <w:rPr>
                <w:rFonts w:ascii="Garamond" w:hAnsi="Garamond"/>
                <w:sz w:val="24"/>
                <w:lang w:val="fr-FR"/>
              </w:rPr>
              <w:t xml:space="preserve"> conception et la mise en œuvre d’une stratégie de communication et de gestion de l’information ;</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t>la</w:t>
            </w:r>
            <w:proofErr w:type="gramEnd"/>
            <w:r w:rsidRPr="00D03385">
              <w:rPr>
                <w:rFonts w:ascii="Garamond" w:hAnsi="Garamond"/>
                <w:sz w:val="24"/>
                <w:lang w:val="fr-FR"/>
              </w:rPr>
              <w:t xml:space="preserve"> conception et la mise en œuvre d’un programme de perfectionnement des ressources humaines dans divers domaines notamment le management des projets ;</w:t>
            </w:r>
          </w:p>
          <w:p w:rsidR="00D03385" w:rsidRPr="00D03385" w:rsidRDefault="00D03385" w:rsidP="00EE39F6">
            <w:pPr>
              <w:numPr>
                <w:ilvl w:val="0"/>
                <w:numId w:val="18"/>
              </w:numPr>
              <w:spacing w:before="120" w:after="120" w:line="276" w:lineRule="auto"/>
              <w:ind w:left="567" w:firstLine="0"/>
              <w:jc w:val="both"/>
              <w:rPr>
                <w:rFonts w:ascii="Garamond" w:hAnsi="Garamond"/>
                <w:sz w:val="24"/>
                <w:lang w:val="fr-FR"/>
              </w:rPr>
            </w:pPr>
            <w:proofErr w:type="gramStart"/>
            <w:r w:rsidRPr="00D03385">
              <w:rPr>
                <w:rFonts w:ascii="Garamond" w:hAnsi="Garamond"/>
                <w:sz w:val="24"/>
                <w:lang w:val="fr-FR"/>
              </w:rPr>
              <w:t>la</w:t>
            </w:r>
            <w:proofErr w:type="gramEnd"/>
            <w:r w:rsidRPr="00D03385">
              <w:rPr>
                <w:rFonts w:ascii="Garamond" w:hAnsi="Garamond"/>
                <w:sz w:val="24"/>
                <w:lang w:val="fr-FR"/>
              </w:rPr>
              <w:t xml:space="preserve"> conception et la mise en œuvre des politiques, stratégies et programmes d’intégration de la Guinée dans l’espace sous-régional, régional et international ;</w:t>
            </w:r>
          </w:p>
          <w:p w:rsidR="000D23DC" w:rsidRDefault="004B4AAE" w:rsidP="00EE39F6">
            <w:pPr>
              <w:numPr>
                <w:ilvl w:val="0"/>
                <w:numId w:val="18"/>
              </w:numPr>
              <w:spacing w:before="120" w:after="120" w:line="276" w:lineRule="auto"/>
              <w:ind w:left="567" w:firstLine="0"/>
              <w:jc w:val="both"/>
              <w:rPr>
                <w:rFonts w:ascii="Garamond" w:hAnsi="Garamond"/>
                <w:sz w:val="24"/>
                <w:lang w:val="fr-FR"/>
              </w:rPr>
            </w:pPr>
            <w:proofErr w:type="gramStart"/>
            <w:r>
              <w:rPr>
                <w:rFonts w:ascii="Garamond" w:hAnsi="Garamond"/>
                <w:sz w:val="24"/>
                <w:lang w:val="fr-FR"/>
              </w:rPr>
              <w:t>l’opérationnalisation</w:t>
            </w:r>
            <w:proofErr w:type="gramEnd"/>
            <w:r w:rsidR="00D03385" w:rsidRPr="00D03385">
              <w:rPr>
                <w:rFonts w:ascii="Garamond" w:hAnsi="Garamond"/>
                <w:sz w:val="24"/>
                <w:lang w:val="fr-FR"/>
              </w:rPr>
              <w:t xml:space="preserve"> de l’Agence Guinéenne de Coopération Technique</w:t>
            </w:r>
            <w:r w:rsidR="00897860">
              <w:rPr>
                <w:rFonts w:ascii="Garamond" w:hAnsi="Garamond"/>
                <w:sz w:val="24"/>
                <w:lang w:val="fr-FR"/>
              </w:rPr>
              <w:t> ;</w:t>
            </w:r>
          </w:p>
          <w:p w:rsidR="00D32861" w:rsidRPr="004B4AAE" w:rsidRDefault="00897860" w:rsidP="00EE39F6">
            <w:pPr>
              <w:numPr>
                <w:ilvl w:val="0"/>
                <w:numId w:val="18"/>
              </w:numPr>
              <w:spacing w:before="120" w:after="120" w:line="276" w:lineRule="auto"/>
              <w:ind w:left="567" w:firstLine="0"/>
              <w:jc w:val="both"/>
              <w:rPr>
                <w:rFonts w:ascii="Garamond" w:hAnsi="Garamond"/>
                <w:sz w:val="24"/>
                <w:lang w:val="fr-FR"/>
              </w:rPr>
            </w:pPr>
            <w:proofErr w:type="gramStart"/>
            <w:r w:rsidRPr="004B4AAE">
              <w:rPr>
                <w:rFonts w:ascii="Garamond" w:hAnsi="Garamond"/>
                <w:sz w:val="24"/>
                <w:lang w:val="fr-FR"/>
              </w:rPr>
              <w:t>le</w:t>
            </w:r>
            <w:proofErr w:type="gramEnd"/>
            <w:r w:rsidR="00FF5B50" w:rsidRPr="004B4AAE">
              <w:rPr>
                <w:rFonts w:ascii="Garamond" w:hAnsi="Garamond"/>
                <w:sz w:val="24"/>
                <w:lang w:val="fr-FR"/>
              </w:rPr>
              <w:t xml:space="preserve"> </w:t>
            </w:r>
            <w:r w:rsidRPr="004B4AAE">
              <w:rPr>
                <w:rFonts w:ascii="Garamond" w:hAnsi="Garamond"/>
                <w:sz w:val="24"/>
                <w:lang w:val="fr-FR"/>
              </w:rPr>
              <w:t xml:space="preserve">processus d’élaboration de politiques en matière planification et de gestion du développement. </w:t>
            </w:r>
          </w:p>
          <w:p w:rsidR="00EE39F6" w:rsidRPr="00EE39F6" w:rsidRDefault="00EE39F6" w:rsidP="00EE39F6">
            <w:pPr>
              <w:spacing w:before="120" w:after="120" w:line="276" w:lineRule="auto"/>
              <w:ind w:left="567"/>
              <w:jc w:val="both"/>
              <w:rPr>
                <w:rFonts w:ascii="Garamond" w:hAnsi="Garamond"/>
                <w:color w:val="C00000"/>
                <w:sz w:val="24"/>
                <w:lang w:val="fr-FR"/>
              </w:rPr>
            </w:pPr>
          </w:p>
        </w:tc>
      </w:tr>
      <w:tr w:rsidR="00EE39F6" w:rsidRPr="006A3B4E" w:rsidTr="00814FB4">
        <w:tc>
          <w:tcPr>
            <w:tcW w:w="5000" w:type="pct"/>
          </w:tcPr>
          <w:p w:rsidR="00EE39F6" w:rsidRPr="00EE39F6" w:rsidRDefault="00EE39F6" w:rsidP="00EE39F6">
            <w:pPr>
              <w:autoSpaceDE w:val="0"/>
              <w:autoSpaceDN w:val="0"/>
              <w:spacing w:before="120" w:after="120" w:line="276" w:lineRule="auto"/>
              <w:jc w:val="both"/>
              <w:rPr>
                <w:rFonts w:ascii="Garamond" w:hAnsi="Garamond"/>
                <w:b/>
                <w:color w:val="0070C0"/>
                <w:sz w:val="24"/>
                <w:lang w:val="fr-FR"/>
              </w:rPr>
            </w:pPr>
            <w:r w:rsidRPr="00EE39F6">
              <w:rPr>
                <w:rFonts w:ascii="Garamond" w:hAnsi="Garamond"/>
                <w:b/>
                <w:color w:val="0070C0"/>
                <w:sz w:val="24"/>
                <w:lang w:val="fr-FR"/>
              </w:rPr>
              <w:lastRenderedPageBreak/>
              <w:t>2.3. Descriptif de la mission</w:t>
            </w:r>
          </w:p>
          <w:p w:rsidR="00EE39F6" w:rsidRPr="00EE39F6" w:rsidRDefault="00EE39F6" w:rsidP="00EE39F6">
            <w:pPr>
              <w:autoSpaceDE w:val="0"/>
              <w:autoSpaceDN w:val="0"/>
              <w:spacing w:before="120" w:after="120" w:line="276" w:lineRule="auto"/>
              <w:jc w:val="both"/>
              <w:rPr>
                <w:rFonts w:ascii="Garamond" w:hAnsi="Garamond"/>
                <w:sz w:val="24"/>
                <w:lang w:val="fr-FR"/>
              </w:rPr>
            </w:pPr>
            <w:r w:rsidRPr="00EE39F6">
              <w:rPr>
                <w:rFonts w:ascii="Garamond" w:hAnsi="Garamond"/>
                <w:sz w:val="24"/>
                <w:lang w:val="fr-FR"/>
              </w:rPr>
              <w:t xml:space="preserve">L’Expert International officiera auprès du Cabinet du Ministre de la Coopération </w:t>
            </w:r>
            <w:r w:rsidR="00972F87">
              <w:rPr>
                <w:rFonts w:ascii="Garamond" w:hAnsi="Garamond"/>
                <w:sz w:val="24"/>
                <w:lang w:val="fr-FR"/>
              </w:rPr>
              <w:t xml:space="preserve">et de l’Intégration Africaine </w:t>
            </w:r>
            <w:r w:rsidRPr="00EE39F6">
              <w:rPr>
                <w:rFonts w:ascii="Garamond" w:hAnsi="Garamond"/>
                <w:sz w:val="24"/>
                <w:lang w:val="fr-FR"/>
              </w:rPr>
              <w:t>(MCI</w:t>
            </w:r>
            <w:r w:rsidR="00972F87">
              <w:rPr>
                <w:rFonts w:ascii="Garamond" w:hAnsi="Garamond"/>
                <w:sz w:val="24"/>
                <w:lang w:val="fr-FR"/>
              </w:rPr>
              <w:t>A</w:t>
            </w:r>
            <w:r w:rsidRPr="00EE39F6">
              <w:rPr>
                <w:rFonts w:ascii="Garamond" w:hAnsi="Garamond"/>
                <w:sz w:val="24"/>
                <w:lang w:val="fr-FR"/>
              </w:rPr>
              <w:t>) et assurera la fonction de conseiller stratégique. Le PNUD mettra à sa disposition, les documents ci-après : le rapport national d’évaluation de la fragilité, le PNDES 2016-2020, la Vision 2040, le rapport national de mise en œuvre du PNDES en 2017, la cartographie des interventions des PTF en 2016 et 2017 et toutes les politiques et programmes disponibles auprès des ministères sectoriels et d’autres administrations publiques et privées en rapport avec sa mission.</w:t>
            </w:r>
          </w:p>
          <w:p w:rsidR="00EE39F6" w:rsidRPr="00EE39F6" w:rsidRDefault="00EE39F6" w:rsidP="00EE39F6">
            <w:pPr>
              <w:autoSpaceDE w:val="0"/>
              <w:autoSpaceDN w:val="0"/>
              <w:spacing w:before="120" w:after="120" w:line="276" w:lineRule="auto"/>
              <w:jc w:val="both"/>
              <w:rPr>
                <w:rFonts w:ascii="Garamond" w:hAnsi="Garamond"/>
                <w:sz w:val="24"/>
                <w:lang w:val="fr-FR"/>
              </w:rPr>
            </w:pPr>
            <w:r w:rsidRPr="00EE39F6">
              <w:rPr>
                <w:rFonts w:ascii="Garamond" w:hAnsi="Garamond"/>
                <w:sz w:val="24"/>
                <w:lang w:val="fr-FR"/>
              </w:rPr>
              <w:t>Le Consultant international travaillera également en étroite collaboration avec toutes les structures internes du MCIA sans se substituer à elles dans une optique de renforcement de capacité et de transfert de compétence. Il devra aider à l’intégration de l’approche genre dans l’analyse des dossiers de coopération.</w:t>
            </w:r>
          </w:p>
          <w:p w:rsidR="00EE39F6" w:rsidRPr="00EE39F6" w:rsidRDefault="00EE39F6" w:rsidP="00EE39F6">
            <w:pPr>
              <w:autoSpaceDE w:val="0"/>
              <w:autoSpaceDN w:val="0"/>
              <w:spacing w:before="120" w:after="120" w:line="276" w:lineRule="auto"/>
              <w:jc w:val="both"/>
              <w:rPr>
                <w:rFonts w:ascii="Garamond" w:hAnsi="Garamond"/>
                <w:sz w:val="24"/>
                <w:lang w:val="fr-FR"/>
              </w:rPr>
            </w:pPr>
            <w:r w:rsidRPr="00EE39F6">
              <w:rPr>
                <w:rFonts w:ascii="Garamond" w:hAnsi="Garamond"/>
                <w:sz w:val="24"/>
                <w:lang w:val="fr-FR"/>
              </w:rPr>
              <w:t>Sous l’autorité du Ministre de la Coopération et de l’Intégration Africaine, le Conseiller Stratégique accomplira entre autres les tâches suivantes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contribuer</w:t>
            </w:r>
            <w:proofErr w:type="gramEnd"/>
            <w:r w:rsidRPr="00EE39F6">
              <w:rPr>
                <w:rFonts w:ascii="Garamond" w:hAnsi="Garamond"/>
                <w:sz w:val="24"/>
              </w:rPr>
              <w:t xml:space="preserve"> à l’examen et fournir des avis et suggestions sur les orientations stratégiques du Gouvernement dans les domaines de la coopération internationale, de l’intégration africaine, de la coordination de l’aide et du dialogue avec les partenaires au développement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appuyer</w:t>
            </w:r>
            <w:proofErr w:type="gramEnd"/>
            <w:r w:rsidRPr="00EE39F6">
              <w:rPr>
                <w:rFonts w:ascii="Garamond" w:hAnsi="Garamond"/>
                <w:sz w:val="24"/>
              </w:rPr>
              <w:t xml:space="preserve"> la coordination et le suivi des projets et programmes;</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appuyer</w:t>
            </w:r>
            <w:proofErr w:type="gramEnd"/>
            <w:r w:rsidRPr="00EE39F6">
              <w:rPr>
                <w:rFonts w:ascii="Garamond" w:hAnsi="Garamond"/>
                <w:sz w:val="24"/>
              </w:rPr>
              <w:t xml:space="preserve"> le Ministère et les Institutions Nationales Compétentes pour l’organisation des Etats Généraux de la Coopération Internationale, de l’Intégration Africaine et du Dialogue avec les Partenaires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appuyer</w:t>
            </w:r>
            <w:proofErr w:type="gramEnd"/>
            <w:r w:rsidRPr="00EE39F6">
              <w:rPr>
                <w:rFonts w:ascii="Garamond" w:hAnsi="Garamond"/>
                <w:sz w:val="24"/>
              </w:rPr>
              <w:t xml:space="preserve"> le Ministère et les Institutions Nationales Compétentes pour l’actualisation et les révisions de la politique du Gouvernement en matière de coopération internationale, d’intégration africaine et de dialogue avec les partenaires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lastRenderedPageBreak/>
              <w:t>appuyer</w:t>
            </w:r>
            <w:proofErr w:type="gramEnd"/>
            <w:r w:rsidRPr="00EE39F6">
              <w:rPr>
                <w:rFonts w:ascii="Garamond" w:hAnsi="Garamond"/>
                <w:sz w:val="24"/>
              </w:rPr>
              <w:t xml:space="preserve"> le Ministère et les Institutions Nationales Compétentes dans la création d’une base de données unique sur les aides extérieures que reçoit la Guinée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contribuer</w:t>
            </w:r>
            <w:proofErr w:type="gramEnd"/>
            <w:r w:rsidRPr="00EE39F6">
              <w:rPr>
                <w:rFonts w:ascii="Garamond" w:hAnsi="Garamond"/>
                <w:sz w:val="24"/>
              </w:rPr>
              <w:t xml:space="preserve"> à la préparation d’un Manuel de Procédures sur le circuit de l’information entre les PTF et le Gouvernement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contribuer</w:t>
            </w:r>
            <w:proofErr w:type="gramEnd"/>
            <w:r w:rsidRPr="00EE39F6">
              <w:rPr>
                <w:rFonts w:ascii="Garamond" w:hAnsi="Garamond"/>
                <w:sz w:val="24"/>
              </w:rPr>
              <w:t xml:space="preserve"> à la préparation des Rapports Nationaux Volontaires sur les Agendas 2030 des ODD et 2063 de l’Union Africaine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aider</w:t>
            </w:r>
            <w:proofErr w:type="gramEnd"/>
            <w:r w:rsidRPr="00EE39F6">
              <w:rPr>
                <w:rFonts w:ascii="Garamond" w:hAnsi="Garamond"/>
                <w:sz w:val="24"/>
              </w:rPr>
              <w:t xml:space="preserve"> à l’animation du cadre de dialogue avec les PTF.</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superviser</w:t>
            </w:r>
            <w:proofErr w:type="gramEnd"/>
            <w:r w:rsidRPr="00EE39F6">
              <w:rPr>
                <w:rFonts w:ascii="Garamond" w:hAnsi="Garamond"/>
                <w:sz w:val="24"/>
              </w:rPr>
              <w:t xml:space="preserve"> les travaux des Consultants nationaux et internationaux travaillant </w:t>
            </w:r>
            <w:r w:rsidR="00972F87">
              <w:rPr>
                <w:rFonts w:ascii="Garamond" w:hAnsi="Garamond"/>
                <w:sz w:val="24"/>
              </w:rPr>
              <w:t>pour le</w:t>
            </w:r>
            <w:r w:rsidRPr="00EE39F6">
              <w:rPr>
                <w:rFonts w:ascii="Garamond" w:hAnsi="Garamond"/>
                <w:sz w:val="24"/>
              </w:rPr>
              <w:t xml:space="preserve"> compte du Département ;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appuyer</w:t>
            </w:r>
            <w:proofErr w:type="gramEnd"/>
            <w:r w:rsidRPr="00EE39F6">
              <w:rPr>
                <w:rFonts w:ascii="Garamond" w:hAnsi="Garamond"/>
                <w:sz w:val="24"/>
              </w:rPr>
              <w:t xml:space="preserve"> le Ministère et les Institutions Nationales Compétentes à la mise en œuvre du processus du New Deal et du G7 dans le cadre des Etats fragiles ;</w:t>
            </w:r>
          </w:p>
          <w:p w:rsidR="00EE39F6" w:rsidRPr="00EE39F6" w:rsidRDefault="00EE39F6" w:rsidP="00EE39F6">
            <w:pPr>
              <w:pStyle w:val="Paragraphedeliste"/>
              <w:numPr>
                <w:ilvl w:val="0"/>
                <w:numId w:val="37"/>
              </w:numPr>
              <w:autoSpaceDE w:val="0"/>
              <w:autoSpaceDN w:val="0"/>
              <w:spacing w:before="120" w:after="120"/>
              <w:jc w:val="both"/>
              <w:rPr>
                <w:rFonts w:ascii="Garamond" w:hAnsi="Garamond"/>
                <w:sz w:val="24"/>
              </w:rPr>
            </w:pPr>
            <w:proofErr w:type="gramStart"/>
            <w:r w:rsidRPr="00EE39F6">
              <w:rPr>
                <w:rFonts w:ascii="Garamond" w:hAnsi="Garamond"/>
                <w:sz w:val="24"/>
              </w:rPr>
              <w:t>contribuer</w:t>
            </w:r>
            <w:proofErr w:type="gramEnd"/>
            <w:r w:rsidRPr="00EE39F6">
              <w:rPr>
                <w:rFonts w:ascii="Garamond" w:hAnsi="Garamond"/>
                <w:sz w:val="24"/>
              </w:rPr>
              <w:t xml:space="preserve"> au processus d’élaboration des documents de planification et de gestion du développement ;</w:t>
            </w:r>
          </w:p>
          <w:p w:rsidR="00EE39F6" w:rsidRPr="00557939" w:rsidRDefault="00EE39F6" w:rsidP="00EE39F6">
            <w:pPr>
              <w:autoSpaceDE w:val="0"/>
              <w:autoSpaceDN w:val="0"/>
              <w:spacing w:before="120" w:after="120" w:line="276" w:lineRule="auto"/>
              <w:jc w:val="both"/>
              <w:rPr>
                <w:rFonts w:ascii="Garamond" w:hAnsi="Garamond"/>
                <w:b/>
                <w:color w:val="0070C0"/>
                <w:sz w:val="24"/>
                <w:lang w:val="fr-FR"/>
              </w:rPr>
            </w:pPr>
            <w:r w:rsidRPr="00EE39F6">
              <w:rPr>
                <w:rFonts w:ascii="Garamond" w:hAnsi="Garamond"/>
                <w:sz w:val="24"/>
                <w:lang w:val="fr-FR"/>
              </w:rPr>
              <w:t>En plus des tâches ci-dessus, l’Expert International sera amené à produire, à la demande du MCIA, un large éventail d’appuis, de tâches et d’activités couvrant des dimensions stratégiques, programmatiques, opérationnelles et techniques en fonction des exigences du processus avec pour souci principal l’atteinte des résultats souhaités dans le cadre d’un effort collaboratif.</w:t>
            </w:r>
          </w:p>
        </w:tc>
      </w:tr>
    </w:tbl>
    <w:p w:rsidR="00EE39F6" w:rsidRPr="00EE39F6" w:rsidRDefault="00EE39F6" w:rsidP="00EE39F6">
      <w:pPr>
        <w:rPr>
          <w:lang w:val="fr-FR"/>
        </w:rPr>
      </w:pPr>
    </w:p>
    <w:p w:rsidR="00EE39F6" w:rsidRPr="00EE39F6" w:rsidRDefault="00EE39F6">
      <w:pPr>
        <w:rPr>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F32573" w:rsidRPr="00557939" w:rsidTr="00814FB4">
        <w:trPr>
          <w:trHeight w:val="416"/>
        </w:trPr>
        <w:tc>
          <w:tcPr>
            <w:tcW w:w="5000" w:type="pct"/>
            <w:shd w:val="clear" w:color="auto" w:fill="000080"/>
            <w:vAlign w:val="center"/>
          </w:tcPr>
          <w:p w:rsidR="00F32573" w:rsidRPr="00557939" w:rsidRDefault="003D444F" w:rsidP="00EE39F6">
            <w:pPr>
              <w:numPr>
                <w:ilvl w:val="0"/>
                <w:numId w:val="27"/>
              </w:numPr>
              <w:spacing w:before="120" w:after="120" w:line="276" w:lineRule="auto"/>
              <w:rPr>
                <w:rFonts w:ascii="Garamond" w:hAnsi="Garamond"/>
                <w:b/>
                <w:bCs/>
                <w:sz w:val="24"/>
                <w:lang w:val="fr-FR"/>
              </w:rPr>
            </w:pPr>
            <w:r>
              <w:rPr>
                <w:rFonts w:ascii="Garamond" w:hAnsi="Garamond"/>
                <w:b/>
                <w:bCs/>
                <w:sz w:val="24"/>
                <w:lang w:val="fr-FR"/>
              </w:rPr>
              <w:t xml:space="preserve">Résultats </w:t>
            </w:r>
            <w:r w:rsidR="00B10CFB" w:rsidRPr="00557939">
              <w:rPr>
                <w:rFonts w:ascii="Garamond" w:hAnsi="Garamond"/>
                <w:b/>
                <w:bCs/>
                <w:sz w:val="24"/>
                <w:lang w:val="fr-FR"/>
              </w:rPr>
              <w:t>attendus</w:t>
            </w:r>
          </w:p>
        </w:tc>
      </w:tr>
      <w:tr w:rsidR="00A4193A" w:rsidRPr="006A3B4E" w:rsidTr="00814FB4">
        <w:trPr>
          <w:trHeight w:val="397"/>
        </w:trPr>
        <w:tc>
          <w:tcPr>
            <w:tcW w:w="5000" w:type="pct"/>
          </w:tcPr>
          <w:p w:rsidR="002A281C" w:rsidRPr="00557939" w:rsidRDefault="003E2B2C" w:rsidP="00EE39F6">
            <w:pPr>
              <w:spacing w:before="120" w:after="120" w:line="276" w:lineRule="auto"/>
              <w:jc w:val="both"/>
              <w:rPr>
                <w:rFonts w:ascii="Garamond" w:hAnsi="Garamond"/>
                <w:sz w:val="24"/>
                <w:lang w:val="fr-FR"/>
              </w:rPr>
            </w:pPr>
            <w:r w:rsidRPr="00557939">
              <w:rPr>
                <w:rFonts w:ascii="Garamond" w:hAnsi="Garamond"/>
                <w:sz w:val="24"/>
                <w:lang w:val="fr-FR"/>
              </w:rPr>
              <w:t>L</w:t>
            </w:r>
            <w:r w:rsidR="00DB674D" w:rsidRPr="00557939">
              <w:rPr>
                <w:rFonts w:ascii="Garamond" w:hAnsi="Garamond"/>
                <w:sz w:val="24"/>
                <w:lang w:val="fr-FR"/>
              </w:rPr>
              <w:t>es résultats</w:t>
            </w:r>
            <w:r w:rsidR="002A281C" w:rsidRPr="00557939">
              <w:rPr>
                <w:rFonts w:ascii="Garamond" w:hAnsi="Garamond"/>
                <w:sz w:val="24"/>
                <w:lang w:val="fr-FR"/>
              </w:rPr>
              <w:t xml:space="preserve"> </w:t>
            </w:r>
            <w:r w:rsidRPr="00557939">
              <w:rPr>
                <w:rFonts w:ascii="Garamond" w:hAnsi="Garamond"/>
                <w:sz w:val="24"/>
                <w:lang w:val="fr-FR"/>
              </w:rPr>
              <w:t xml:space="preserve">attendus se déclinent ainsi qu’il suit </w:t>
            </w:r>
            <w:r w:rsidR="002A281C" w:rsidRPr="00557939">
              <w:rPr>
                <w:rFonts w:ascii="Garamond" w:hAnsi="Garamond"/>
                <w:sz w:val="24"/>
                <w:lang w:val="fr-FR"/>
              </w:rPr>
              <w:t>:</w:t>
            </w:r>
          </w:p>
          <w:p w:rsidR="009E2E8B" w:rsidRDefault="009E2E8B" w:rsidP="00EE39F6">
            <w:pPr>
              <w:numPr>
                <w:ilvl w:val="0"/>
                <w:numId w:val="24"/>
              </w:numPr>
              <w:spacing w:before="120" w:after="120" w:line="276" w:lineRule="auto"/>
              <w:jc w:val="both"/>
              <w:rPr>
                <w:rFonts w:ascii="Garamond" w:hAnsi="Garamond"/>
                <w:sz w:val="24"/>
                <w:lang w:val="fr-FR"/>
              </w:rPr>
            </w:pPr>
            <w:r>
              <w:rPr>
                <w:rFonts w:ascii="Garamond" w:hAnsi="Garamond"/>
                <w:sz w:val="24"/>
                <w:lang w:val="fr-FR"/>
              </w:rPr>
              <w:t>Le</w:t>
            </w:r>
            <w:r w:rsidRPr="009E2E8B">
              <w:rPr>
                <w:rFonts w:ascii="Garamond" w:hAnsi="Garamond"/>
                <w:sz w:val="24"/>
                <w:lang w:val="fr-FR"/>
              </w:rPr>
              <w:t xml:space="preserve"> MCIA </w:t>
            </w:r>
            <w:r>
              <w:rPr>
                <w:rFonts w:ascii="Garamond" w:hAnsi="Garamond"/>
                <w:sz w:val="24"/>
                <w:lang w:val="fr-FR"/>
              </w:rPr>
              <w:t>dispose de bonnes capacités</w:t>
            </w:r>
            <w:r w:rsidRPr="009E2E8B">
              <w:rPr>
                <w:rFonts w:ascii="Garamond" w:hAnsi="Garamond"/>
                <w:sz w:val="24"/>
                <w:lang w:val="fr-FR"/>
              </w:rPr>
              <w:t xml:space="preserve"> en matière de plaidoyer pour favoriser l’alignement de l’aide sur les priorités nationales</w:t>
            </w:r>
            <w:r>
              <w:rPr>
                <w:rFonts w:ascii="Garamond" w:hAnsi="Garamond"/>
                <w:sz w:val="24"/>
                <w:lang w:val="fr-FR"/>
              </w:rPr>
              <w:t> ;</w:t>
            </w:r>
          </w:p>
          <w:p w:rsidR="00780F97" w:rsidRDefault="009E2E8B" w:rsidP="00EE39F6">
            <w:pPr>
              <w:numPr>
                <w:ilvl w:val="0"/>
                <w:numId w:val="24"/>
              </w:numPr>
              <w:spacing w:before="120" w:after="120" w:line="276" w:lineRule="auto"/>
              <w:jc w:val="both"/>
              <w:rPr>
                <w:rFonts w:ascii="Garamond" w:hAnsi="Garamond"/>
                <w:sz w:val="24"/>
                <w:lang w:val="fr-FR"/>
              </w:rPr>
            </w:pPr>
            <w:r w:rsidRPr="009E2E8B">
              <w:rPr>
                <w:rFonts w:ascii="Garamond" w:hAnsi="Garamond"/>
                <w:sz w:val="24"/>
                <w:lang w:val="fr-FR"/>
              </w:rPr>
              <w:t>Le MCIA dispose de meilleures capacités de communication et de plaidoyer, d’analyse socio-économiqu</w:t>
            </w:r>
            <w:r>
              <w:rPr>
                <w:rFonts w:ascii="Garamond" w:hAnsi="Garamond"/>
                <w:sz w:val="24"/>
                <w:lang w:val="fr-FR"/>
              </w:rPr>
              <w:t xml:space="preserve">e, </w:t>
            </w:r>
            <w:r w:rsidRPr="009E2E8B">
              <w:rPr>
                <w:rFonts w:ascii="Garamond" w:hAnsi="Garamond"/>
                <w:sz w:val="24"/>
                <w:lang w:val="fr-FR"/>
              </w:rPr>
              <w:t xml:space="preserve">de préparation et de suivi des dossiers de coopération internationale </w:t>
            </w:r>
            <w:r>
              <w:rPr>
                <w:rFonts w:ascii="Garamond" w:hAnsi="Garamond"/>
                <w:sz w:val="24"/>
                <w:lang w:val="fr-FR"/>
              </w:rPr>
              <w:t>ainsi que</w:t>
            </w:r>
            <w:r w:rsidRPr="009E2E8B">
              <w:rPr>
                <w:rFonts w:ascii="Garamond" w:hAnsi="Garamond"/>
                <w:sz w:val="24"/>
                <w:lang w:val="fr-FR"/>
              </w:rPr>
              <w:t xml:space="preserve"> de mobilisation de ressources </w:t>
            </w:r>
            <w:r>
              <w:rPr>
                <w:rFonts w:ascii="Garamond" w:hAnsi="Garamond"/>
                <w:sz w:val="24"/>
                <w:lang w:val="fr-FR"/>
              </w:rPr>
              <w:t>en faveur des programmes nationaux de développement ;</w:t>
            </w:r>
          </w:p>
          <w:p w:rsidR="005E1CA9" w:rsidRPr="0000614A" w:rsidRDefault="005E1CA9" w:rsidP="00EE39F6">
            <w:pPr>
              <w:numPr>
                <w:ilvl w:val="0"/>
                <w:numId w:val="24"/>
              </w:numPr>
              <w:spacing w:before="120" w:after="120" w:line="276" w:lineRule="auto"/>
              <w:jc w:val="both"/>
              <w:rPr>
                <w:rFonts w:ascii="Garamond" w:hAnsi="Garamond"/>
                <w:sz w:val="24"/>
                <w:lang w:val="fr-FR"/>
              </w:rPr>
            </w:pPr>
            <w:r w:rsidRPr="005E1CA9">
              <w:rPr>
                <w:rFonts w:ascii="Garamond" w:hAnsi="Garamond"/>
                <w:sz w:val="24"/>
                <w:lang w:val="fr-FR"/>
              </w:rPr>
              <w:t xml:space="preserve">Le </w:t>
            </w:r>
            <w:r>
              <w:rPr>
                <w:rFonts w:ascii="Garamond" w:hAnsi="Garamond"/>
                <w:sz w:val="24"/>
                <w:lang w:val="fr-FR"/>
              </w:rPr>
              <w:t xml:space="preserve">MCIA a établi </w:t>
            </w:r>
            <w:r w:rsidRPr="005E1CA9">
              <w:rPr>
                <w:rFonts w:ascii="Garamond" w:hAnsi="Garamond"/>
                <w:sz w:val="24"/>
                <w:lang w:val="fr-FR"/>
              </w:rPr>
              <w:t>un partenariat renforcé avec au moins trois donateurs bilatéraux non-traditionnels en faveur d’accompagnement de projets prioritaires</w:t>
            </w:r>
            <w:r>
              <w:rPr>
                <w:rFonts w:ascii="Garamond" w:hAnsi="Garamond"/>
                <w:sz w:val="24"/>
                <w:lang w:val="fr-FR"/>
              </w:rPr>
              <w:t xml:space="preserve"> de développement</w:t>
            </w:r>
          </w:p>
          <w:p w:rsidR="0000614A" w:rsidRPr="0000614A" w:rsidRDefault="0000614A" w:rsidP="00EE39F6">
            <w:pPr>
              <w:numPr>
                <w:ilvl w:val="0"/>
                <w:numId w:val="24"/>
              </w:numPr>
              <w:spacing w:before="120" w:after="120" w:line="276" w:lineRule="auto"/>
              <w:jc w:val="both"/>
              <w:rPr>
                <w:rFonts w:ascii="Garamond" w:hAnsi="Garamond"/>
                <w:sz w:val="24"/>
                <w:lang w:val="fr-FR"/>
              </w:rPr>
            </w:pPr>
            <w:r w:rsidRPr="0000614A">
              <w:rPr>
                <w:rFonts w:ascii="Garamond" w:hAnsi="Garamond"/>
                <w:sz w:val="24"/>
                <w:lang w:val="fr-FR"/>
              </w:rPr>
              <w:t>Un rapport d’étude sur les tendances de la coopération internationale est disponible</w:t>
            </w:r>
          </w:p>
          <w:p w:rsidR="0000614A" w:rsidRPr="0000614A" w:rsidRDefault="0000614A" w:rsidP="00EE39F6">
            <w:pPr>
              <w:numPr>
                <w:ilvl w:val="0"/>
                <w:numId w:val="24"/>
              </w:numPr>
              <w:spacing w:before="120" w:after="120" w:line="276" w:lineRule="auto"/>
              <w:jc w:val="both"/>
              <w:rPr>
                <w:rFonts w:ascii="Garamond" w:hAnsi="Garamond"/>
                <w:sz w:val="24"/>
                <w:lang w:val="fr-FR"/>
              </w:rPr>
            </w:pPr>
            <w:r w:rsidRPr="0000614A">
              <w:rPr>
                <w:rFonts w:ascii="Garamond" w:hAnsi="Garamond"/>
                <w:sz w:val="24"/>
                <w:lang w:val="fr-FR"/>
              </w:rPr>
              <w:t xml:space="preserve">La concertation/coordination Gouvernement/PTF autour du DISE est renforcée  </w:t>
            </w:r>
          </w:p>
          <w:p w:rsidR="00BB3A2C" w:rsidRPr="00CE657E" w:rsidRDefault="0000614A" w:rsidP="00EE39F6">
            <w:pPr>
              <w:numPr>
                <w:ilvl w:val="0"/>
                <w:numId w:val="24"/>
              </w:numPr>
              <w:spacing w:before="120" w:after="120" w:line="276" w:lineRule="auto"/>
              <w:jc w:val="both"/>
              <w:rPr>
                <w:rFonts w:ascii="Garamond" w:hAnsi="Garamond"/>
                <w:sz w:val="24"/>
                <w:lang w:val="fr-FR"/>
              </w:rPr>
            </w:pPr>
            <w:r w:rsidRPr="0000614A">
              <w:rPr>
                <w:rFonts w:ascii="Garamond" w:hAnsi="Garamond"/>
                <w:sz w:val="24"/>
                <w:lang w:val="fr-FR"/>
              </w:rPr>
              <w:t>Un Rapport Annuel sur l’exécution de projets et programmes de développement est disponible</w:t>
            </w:r>
            <w:r w:rsidR="00CE657E">
              <w:rPr>
                <w:rFonts w:ascii="Garamond" w:hAnsi="Garamond"/>
                <w:sz w:val="24"/>
                <w:lang w:val="fr-FR"/>
              </w:rPr>
              <w:t>.</w:t>
            </w:r>
          </w:p>
        </w:tc>
      </w:tr>
      <w:tr w:rsidR="00B10CFB" w:rsidRPr="00557939" w:rsidTr="00814FB4">
        <w:trPr>
          <w:trHeight w:val="416"/>
        </w:trPr>
        <w:tc>
          <w:tcPr>
            <w:tcW w:w="5000" w:type="pct"/>
            <w:shd w:val="clear" w:color="auto" w:fill="000080"/>
            <w:vAlign w:val="center"/>
          </w:tcPr>
          <w:p w:rsidR="00B10CFB" w:rsidRPr="00557939" w:rsidRDefault="00B10CFB" w:rsidP="00EE39F6">
            <w:pPr>
              <w:numPr>
                <w:ilvl w:val="0"/>
                <w:numId w:val="27"/>
              </w:numPr>
              <w:spacing w:before="120" w:after="120" w:line="276" w:lineRule="auto"/>
              <w:rPr>
                <w:rFonts w:ascii="Garamond" w:hAnsi="Garamond"/>
                <w:b/>
                <w:bCs/>
                <w:sz w:val="24"/>
                <w:lang w:val="fr-FR"/>
              </w:rPr>
            </w:pPr>
            <w:r w:rsidRPr="00557939">
              <w:rPr>
                <w:rFonts w:ascii="Garamond" w:hAnsi="Garamond"/>
                <w:b/>
                <w:bCs/>
                <w:sz w:val="24"/>
                <w:lang w:val="fr-FR"/>
              </w:rPr>
              <w:t>Fonctions/responsabilités</w:t>
            </w:r>
          </w:p>
        </w:tc>
      </w:tr>
      <w:tr w:rsidR="00B10CFB" w:rsidRPr="006A3B4E" w:rsidTr="00B770B0">
        <w:trPr>
          <w:trHeight w:val="1077"/>
        </w:trPr>
        <w:tc>
          <w:tcPr>
            <w:tcW w:w="5000" w:type="pct"/>
          </w:tcPr>
          <w:p w:rsidR="00C341DC" w:rsidRDefault="00972F87" w:rsidP="00EE39F6">
            <w:pPr>
              <w:spacing w:before="120" w:after="120" w:line="276" w:lineRule="auto"/>
              <w:jc w:val="both"/>
              <w:rPr>
                <w:rFonts w:ascii="Garamond" w:hAnsi="Garamond"/>
                <w:sz w:val="24"/>
                <w:lang w:val="fr-FR"/>
              </w:rPr>
            </w:pPr>
            <w:r>
              <w:rPr>
                <w:rFonts w:ascii="Garamond" w:hAnsi="Garamond"/>
                <w:sz w:val="24"/>
                <w:lang w:val="fr-FR"/>
              </w:rPr>
              <w:lastRenderedPageBreak/>
              <w:t>Sous l’autorité de Madame la Ministre de la Coopération et de l’Intégration Africaine, l</w:t>
            </w:r>
            <w:r w:rsidR="00557FE4" w:rsidRPr="00156C95">
              <w:rPr>
                <w:rFonts w:ascii="Garamond" w:hAnsi="Garamond"/>
                <w:sz w:val="24"/>
                <w:lang w:val="fr-FR"/>
              </w:rPr>
              <w:t xml:space="preserve">e consultant </w:t>
            </w:r>
            <w:r w:rsidR="00557FE4" w:rsidRPr="00557FE4">
              <w:rPr>
                <w:rFonts w:ascii="Garamond" w:hAnsi="Garamond"/>
                <w:sz w:val="24"/>
                <w:lang w:val="fr-FR"/>
              </w:rPr>
              <w:t>travailler</w:t>
            </w:r>
            <w:r>
              <w:rPr>
                <w:rFonts w:ascii="Garamond" w:hAnsi="Garamond"/>
                <w:sz w:val="24"/>
                <w:lang w:val="fr-FR"/>
              </w:rPr>
              <w:t>a</w:t>
            </w:r>
            <w:r w:rsidR="00557FE4" w:rsidRPr="00557FE4">
              <w:rPr>
                <w:rFonts w:ascii="Garamond" w:hAnsi="Garamond"/>
                <w:sz w:val="24"/>
                <w:lang w:val="fr-FR"/>
              </w:rPr>
              <w:t xml:space="preserve"> en</w:t>
            </w:r>
            <w:r w:rsidR="00557FE4" w:rsidRPr="00156C95">
              <w:rPr>
                <w:rFonts w:ascii="Garamond" w:hAnsi="Garamond"/>
                <w:sz w:val="24"/>
                <w:lang w:val="fr-FR"/>
              </w:rPr>
              <w:t xml:space="preserve"> étroite collaboration avec </w:t>
            </w:r>
            <w:r>
              <w:rPr>
                <w:rFonts w:ascii="Garamond" w:hAnsi="Garamond"/>
                <w:sz w:val="24"/>
                <w:lang w:val="fr-FR"/>
              </w:rPr>
              <w:t xml:space="preserve">le Cabinet et toutes les structures techniques du </w:t>
            </w:r>
            <w:r w:rsidR="003607E8">
              <w:rPr>
                <w:rFonts w:ascii="Garamond" w:hAnsi="Garamond"/>
                <w:sz w:val="24"/>
                <w:lang w:val="fr-FR"/>
              </w:rPr>
              <w:t>MCIA</w:t>
            </w:r>
            <w:r w:rsidR="003607E8" w:rsidRPr="00156C95">
              <w:rPr>
                <w:rFonts w:ascii="Garamond" w:hAnsi="Garamond"/>
                <w:sz w:val="24"/>
                <w:lang w:val="fr-FR"/>
              </w:rPr>
              <w:t xml:space="preserve"> </w:t>
            </w:r>
            <w:r w:rsidR="003607E8">
              <w:rPr>
                <w:rFonts w:ascii="Garamond" w:hAnsi="Garamond"/>
                <w:sz w:val="24"/>
                <w:lang w:val="fr-FR"/>
              </w:rPr>
              <w:t>ainsi</w:t>
            </w:r>
            <w:r>
              <w:rPr>
                <w:rFonts w:ascii="Garamond" w:hAnsi="Garamond"/>
                <w:sz w:val="24"/>
                <w:lang w:val="fr-FR"/>
              </w:rPr>
              <w:t xml:space="preserve"> qu’avec </w:t>
            </w:r>
            <w:r w:rsidR="00557FE4" w:rsidRPr="00156C95">
              <w:rPr>
                <w:rFonts w:ascii="Garamond" w:hAnsi="Garamond"/>
                <w:sz w:val="24"/>
                <w:lang w:val="fr-FR"/>
              </w:rPr>
              <w:t xml:space="preserve">l’Unité de Politique et Stratégie (UPS) du </w:t>
            </w:r>
            <w:proofErr w:type="gramStart"/>
            <w:r w:rsidR="00557FE4" w:rsidRPr="00156C95">
              <w:rPr>
                <w:rFonts w:ascii="Garamond" w:hAnsi="Garamond"/>
                <w:sz w:val="24"/>
                <w:lang w:val="fr-FR"/>
              </w:rPr>
              <w:t>PNUD</w:t>
            </w:r>
            <w:r w:rsidR="000D0E86">
              <w:rPr>
                <w:rFonts w:ascii="Garamond" w:hAnsi="Garamond"/>
                <w:sz w:val="24"/>
                <w:lang w:val="fr-FR"/>
              </w:rPr>
              <w:t>,</w:t>
            </w:r>
            <w:r w:rsidR="00C341DC">
              <w:rPr>
                <w:rFonts w:ascii="Garamond" w:hAnsi="Garamond"/>
                <w:sz w:val="24"/>
                <w:lang w:val="fr-FR"/>
              </w:rPr>
              <w:t>.</w:t>
            </w:r>
            <w:proofErr w:type="gramEnd"/>
          </w:p>
          <w:p w:rsidR="001102AC" w:rsidRPr="00156C95" w:rsidRDefault="00557FE4" w:rsidP="00EE39F6">
            <w:pPr>
              <w:spacing w:before="120" w:after="120" w:line="276" w:lineRule="auto"/>
              <w:jc w:val="both"/>
              <w:rPr>
                <w:rFonts w:ascii="Garamond" w:hAnsi="Garamond"/>
                <w:sz w:val="24"/>
                <w:lang w:val="fr-FR"/>
              </w:rPr>
            </w:pPr>
            <w:r w:rsidRPr="00156C95">
              <w:rPr>
                <w:rFonts w:ascii="Garamond" w:hAnsi="Garamond"/>
                <w:sz w:val="24"/>
                <w:lang w:val="fr-FR"/>
              </w:rPr>
              <w:t xml:space="preserve">La mission devra être exécutée </w:t>
            </w:r>
            <w:r w:rsidR="000D0E86">
              <w:rPr>
                <w:rFonts w:ascii="Garamond" w:hAnsi="Garamond"/>
                <w:sz w:val="24"/>
                <w:lang w:val="fr-FR"/>
              </w:rPr>
              <w:t>dans les délais impartis</w:t>
            </w:r>
            <w:r w:rsidR="00B838C1">
              <w:rPr>
                <w:rFonts w:ascii="Garamond" w:hAnsi="Garamond"/>
                <w:sz w:val="24"/>
                <w:lang w:val="fr-FR"/>
              </w:rPr>
              <w:t xml:space="preserve"> avec tous les livrables ci-dessous définis</w:t>
            </w:r>
            <w:r w:rsidR="000D0E86">
              <w:rPr>
                <w:rFonts w:ascii="Garamond" w:hAnsi="Garamond"/>
                <w:sz w:val="24"/>
                <w:lang w:val="fr-FR"/>
              </w:rPr>
              <w:t>.</w:t>
            </w:r>
          </w:p>
        </w:tc>
      </w:tr>
      <w:tr w:rsidR="006A167C" w:rsidRPr="00557939" w:rsidTr="00814FB4">
        <w:trPr>
          <w:trHeight w:val="309"/>
        </w:trPr>
        <w:tc>
          <w:tcPr>
            <w:tcW w:w="5000" w:type="pct"/>
            <w:shd w:val="clear" w:color="auto" w:fill="000080"/>
            <w:vAlign w:val="center"/>
          </w:tcPr>
          <w:p w:rsidR="006A167C" w:rsidRPr="00557939" w:rsidRDefault="003475A1" w:rsidP="00EE39F6">
            <w:pPr>
              <w:numPr>
                <w:ilvl w:val="0"/>
                <w:numId w:val="27"/>
              </w:numPr>
              <w:spacing w:before="120" w:after="120" w:line="276" w:lineRule="auto"/>
              <w:rPr>
                <w:rFonts w:ascii="Garamond" w:hAnsi="Garamond"/>
                <w:b/>
                <w:bCs/>
                <w:sz w:val="24"/>
                <w:lang w:val="fr-FR"/>
              </w:rPr>
            </w:pPr>
            <w:r w:rsidRPr="00557939">
              <w:rPr>
                <w:rFonts w:ascii="Garamond" w:hAnsi="Garamond"/>
                <w:b/>
                <w:bCs/>
                <w:sz w:val="24"/>
                <w:lang w:val="fr-FR"/>
              </w:rPr>
              <w:t>L</w:t>
            </w:r>
            <w:r w:rsidR="006A167C" w:rsidRPr="00557939">
              <w:rPr>
                <w:rFonts w:ascii="Garamond" w:hAnsi="Garamond"/>
                <w:b/>
                <w:bCs/>
                <w:sz w:val="24"/>
                <w:lang w:val="fr-FR"/>
              </w:rPr>
              <w:t xml:space="preserve">ivrables </w:t>
            </w:r>
          </w:p>
        </w:tc>
      </w:tr>
      <w:tr w:rsidR="006A167C" w:rsidRPr="006A3B4E" w:rsidTr="00814FB4">
        <w:trPr>
          <w:trHeight w:val="2101"/>
        </w:trPr>
        <w:tc>
          <w:tcPr>
            <w:tcW w:w="5000" w:type="pct"/>
          </w:tcPr>
          <w:p w:rsidR="00EA0591" w:rsidRPr="00557939" w:rsidRDefault="00EA0591" w:rsidP="00EE39F6">
            <w:pPr>
              <w:spacing w:before="120" w:after="120" w:line="276" w:lineRule="auto"/>
              <w:jc w:val="both"/>
              <w:rPr>
                <w:rFonts w:ascii="Garamond" w:hAnsi="Garamond"/>
                <w:sz w:val="24"/>
                <w:lang w:val="fr-FR"/>
              </w:rPr>
            </w:pPr>
            <w:r w:rsidRPr="00557939">
              <w:rPr>
                <w:rFonts w:ascii="Garamond" w:hAnsi="Garamond"/>
                <w:sz w:val="24"/>
                <w:lang w:val="fr-FR"/>
              </w:rPr>
              <w:t xml:space="preserve">Le </w:t>
            </w:r>
            <w:r w:rsidR="00AD3CF1">
              <w:rPr>
                <w:rFonts w:ascii="Garamond" w:hAnsi="Garamond"/>
                <w:sz w:val="24"/>
                <w:lang w:val="fr-FR"/>
              </w:rPr>
              <w:t>Consultant</w:t>
            </w:r>
            <w:r w:rsidRPr="00557939">
              <w:rPr>
                <w:rFonts w:ascii="Garamond" w:hAnsi="Garamond"/>
                <w:sz w:val="24"/>
                <w:lang w:val="fr-FR"/>
              </w:rPr>
              <w:t xml:space="preserve"> recruté devra fournir </w:t>
            </w:r>
            <w:r w:rsidR="00077A53">
              <w:rPr>
                <w:rFonts w:ascii="Garamond" w:hAnsi="Garamond"/>
                <w:sz w:val="24"/>
                <w:lang w:val="fr-FR"/>
              </w:rPr>
              <w:t xml:space="preserve">dans les délais impartis, </w:t>
            </w:r>
            <w:r w:rsidRPr="00557939">
              <w:rPr>
                <w:rFonts w:ascii="Garamond" w:hAnsi="Garamond"/>
                <w:sz w:val="24"/>
                <w:lang w:val="fr-FR"/>
              </w:rPr>
              <w:t>les livrables ci-dessous :</w:t>
            </w:r>
          </w:p>
          <w:p w:rsidR="000D0E86" w:rsidRPr="00416758" w:rsidRDefault="00416758" w:rsidP="00EE39F6">
            <w:pPr>
              <w:numPr>
                <w:ilvl w:val="0"/>
                <w:numId w:val="24"/>
              </w:numPr>
              <w:spacing w:before="120" w:after="120" w:line="276" w:lineRule="auto"/>
              <w:jc w:val="both"/>
              <w:rPr>
                <w:rFonts w:ascii="Garamond" w:hAnsi="Garamond"/>
                <w:sz w:val="24"/>
                <w:lang w:val="fr-FR"/>
              </w:rPr>
            </w:pPr>
            <w:proofErr w:type="gramStart"/>
            <w:r>
              <w:rPr>
                <w:rFonts w:ascii="Garamond" w:hAnsi="Garamond"/>
                <w:sz w:val="24"/>
                <w:lang w:val="fr-FR"/>
              </w:rPr>
              <w:t>u</w:t>
            </w:r>
            <w:r w:rsidR="000D0E86">
              <w:rPr>
                <w:rFonts w:ascii="Garamond" w:hAnsi="Garamond"/>
                <w:sz w:val="24"/>
                <w:lang w:val="fr-FR"/>
              </w:rPr>
              <w:t>n</w:t>
            </w:r>
            <w:proofErr w:type="gramEnd"/>
            <w:r w:rsidR="000D0E86">
              <w:rPr>
                <w:rFonts w:ascii="Garamond" w:hAnsi="Garamond"/>
                <w:sz w:val="24"/>
                <w:lang w:val="fr-FR"/>
              </w:rPr>
              <w:t xml:space="preserve"> plan </w:t>
            </w:r>
            <w:r w:rsidR="00B838C1">
              <w:rPr>
                <w:rFonts w:ascii="Garamond" w:hAnsi="Garamond"/>
                <w:sz w:val="24"/>
                <w:lang w:val="fr-FR"/>
              </w:rPr>
              <w:t xml:space="preserve">de travail </w:t>
            </w:r>
            <w:r w:rsidR="000D0E86">
              <w:rPr>
                <w:rFonts w:ascii="Garamond" w:hAnsi="Garamond"/>
                <w:sz w:val="24"/>
                <w:lang w:val="fr-FR"/>
              </w:rPr>
              <w:t>détaillé</w:t>
            </w:r>
            <w:r w:rsidR="00B838C1">
              <w:rPr>
                <w:rFonts w:ascii="Garamond" w:hAnsi="Garamond"/>
                <w:sz w:val="24"/>
                <w:lang w:val="fr-FR"/>
              </w:rPr>
              <w:t xml:space="preserve"> </w:t>
            </w:r>
            <w:r>
              <w:rPr>
                <w:rFonts w:ascii="Garamond" w:hAnsi="Garamond"/>
                <w:sz w:val="24"/>
                <w:lang w:val="fr-FR"/>
              </w:rPr>
              <w:t xml:space="preserve">avec un chronogramme précis </w:t>
            </w:r>
            <w:r w:rsidR="000D0E86" w:rsidRPr="00416758">
              <w:rPr>
                <w:rFonts w:ascii="Garamond" w:hAnsi="Garamond"/>
                <w:sz w:val="24"/>
                <w:lang w:val="fr-FR"/>
              </w:rPr>
              <w:t>;</w:t>
            </w:r>
          </w:p>
          <w:p w:rsidR="00272078" w:rsidRPr="00272078" w:rsidRDefault="00272078" w:rsidP="00EE39F6">
            <w:pPr>
              <w:numPr>
                <w:ilvl w:val="0"/>
                <w:numId w:val="24"/>
              </w:numPr>
              <w:spacing w:before="120" w:after="120" w:line="276" w:lineRule="auto"/>
              <w:jc w:val="both"/>
              <w:rPr>
                <w:rFonts w:ascii="Garamond" w:hAnsi="Garamond"/>
                <w:sz w:val="24"/>
                <w:lang w:val="fr-FR"/>
              </w:rPr>
            </w:pPr>
            <w:r w:rsidRPr="00272078">
              <w:rPr>
                <w:rFonts w:ascii="Garamond" w:hAnsi="Garamond"/>
                <w:sz w:val="24"/>
                <w:lang w:val="fr-FR"/>
              </w:rPr>
              <w:t xml:space="preserve">Un plan Stratégique du MCIA </w:t>
            </w:r>
            <w:r w:rsidR="000F7EA5">
              <w:rPr>
                <w:rFonts w:ascii="Garamond" w:hAnsi="Garamond"/>
                <w:sz w:val="24"/>
                <w:lang w:val="fr-FR"/>
              </w:rPr>
              <w:t>assorti d’une</w:t>
            </w:r>
            <w:r w:rsidRPr="00272078">
              <w:rPr>
                <w:rFonts w:ascii="Garamond" w:hAnsi="Garamond"/>
                <w:sz w:val="24"/>
                <w:lang w:val="fr-FR"/>
              </w:rPr>
              <w:t xml:space="preserve"> stratégie de mobilisation de </w:t>
            </w:r>
            <w:r w:rsidR="000F7EA5" w:rsidRPr="00272078">
              <w:rPr>
                <w:rFonts w:ascii="Garamond" w:hAnsi="Garamond"/>
                <w:sz w:val="24"/>
                <w:lang w:val="fr-FR"/>
              </w:rPr>
              <w:t>ressources ;</w:t>
            </w:r>
          </w:p>
          <w:p w:rsidR="00B838C1" w:rsidRDefault="00272078" w:rsidP="00EE39F6">
            <w:pPr>
              <w:numPr>
                <w:ilvl w:val="0"/>
                <w:numId w:val="24"/>
              </w:numPr>
              <w:spacing w:before="120" w:after="120" w:line="276" w:lineRule="auto"/>
              <w:jc w:val="both"/>
              <w:rPr>
                <w:rFonts w:ascii="Garamond" w:hAnsi="Garamond"/>
                <w:sz w:val="24"/>
                <w:lang w:val="fr-FR"/>
              </w:rPr>
            </w:pPr>
            <w:r w:rsidRPr="00272078">
              <w:rPr>
                <w:rFonts w:ascii="Garamond" w:hAnsi="Garamond"/>
                <w:sz w:val="24"/>
                <w:lang w:val="fr-FR"/>
              </w:rPr>
              <w:t>Un plan de communication et des notes techniques trimestrielles (les Cahiers du MCIA) sont élaborés</w:t>
            </w:r>
            <w:r w:rsidR="000F7EA5">
              <w:rPr>
                <w:rFonts w:ascii="Garamond" w:hAnsi="Garamond"/>
                <w:sz w:val="24"/>
                <w:lang w:val="fr-FR"/>
              </w:rPr>
              <w:t> ;</w:t>
            </w:r>
          </w:p>
          <w:p w:rsidR="000F7EA5" w:rsidRPr="00E0273E" w:rsidRDefault="000F7EA5" w:rsidP="00EE39F6">
            <w:pPr>
              <w:numPr>
                <w:ilvl w:val="0"/>
                <w:numId w:val="24"/>
              </w:numPr>
              <w:spacing w:before="120" w:after="120" w:line="276" w:lineRule="auto"/>
              <w:jc w:val="both"/>
              <w:rPr>
                <w:rFonts w:ascii="Garamond" w:hAnsi="Garamond"/>
                <w:sz w:val="24"/>
                <w:lang w:val="fr-FR"/>
              </w:rPr>
            </w:pPr>
            <w:r>
              <w:rPr>
                <w:rFonts w:ascii="Garamond" w:hAnsi="Garamond"/>
                <w:sz w:val="24"/>
                <w:lang w:val="fr-FR"/>
              </w:rPr>
              <w:t>Un rapport d’activité mensuel ;</w:t>
            </w:r>
          </w:p>
          <w:p w:rsidR="00462713" w:rsidRDefault="00106194" w:rsidP="00EE39F6">
            <w:pPr>
              <w:numPr>
                <w:ilvl w:val="0"/>
                <w:numId w:val="24"/>
              </w:numPr>
              <w:spacing w:before="120" w:after="120" w:line="276" w:lineRule="auto"/>
              <w:ind w:left="714" w:hanging="357"/>
              <w:jc w:val="both"/>
              <w:rPr>
                <w:rFonts w:ascii="Garamond" w:hAnsi="Garamond"/>
                <w:sz w:val="24"/>
                <w:lang w:val="fr-FR"/>
              </w:rPr>
            </w:pPr>
            <w:r>
              <w:rPr>
                <w:rFonts w:ascii="Garamond" w:hAnsi="Garamond"/>
                <w:sz w:val="24"/>
                <w:lang w:val="fr-FR"/>
              </w:rPr>
              <w:t>Un</w:t>
            </w:r>
            <w:r w:rsidR="000F7EA5">
              <w:rPr>
                <w:rFonts w:ascii="Garamond" w:hAnsi="Garamond"/>
                <w:sz w:val="24"/>
                <w:lang w:val="fr-FR"/>
              </w:rPr>
              <w:t xml:space="preserve"> rapport final de la mission </w:t>
            </w:r>
            <w:r w:rsidR="009F1974">
              <w:rPr>
                <w:rFonts w:ascii="Garamond" w:hAnsi="Garamond"/>
                <w:sz w:val="24"/>
                <w:lang w:val="fr-FR"/>
              </w:rPr>
              <w:t>comprenant</w:t>
            </w:r>
            <w:r w:rsidR="0003270F">
              <w:rPr>
                <w:rFonts w:ascii="Garamond" w:hAnsi="Garamond"/>
                <w:sz w:val="24"/>
                <w:lang w:val="fr-FR"/>
              </w:rPr>
              <w:t xml:space="preserve"> un</w:t>
            </w:r>
            <w:r w:rsidR="00B262B4">
              <w:rPr>
                <w:rFonts w:ascii="Garamond" w:hAnsi="Garamond"/>
                <w:sz w:val="24"/>
                <w:lang w:val="fr-FR"/>
              </w:rPr>
              <w:t>e</w:t>
            </w:r>
            <w:r w:rsidR="000F7EA5">
              <w:rPr>
                <w:rFonts w:ascii="Garamond" w:hAnsi="Garamond"/>
                <w:sz w:val="24"/>
                <w:lang w:val="fr-FR"/>
              </w:rPr>
              <w:t xml:space="preserve"> annexe </w:t>
            </w:r>
            <w:r w:rsidR="0003270F">
              <w:rPr>
                <w:rFonts w:ascii="Garamond" w:hAnsi="Garamond"/>
                <w:sz w:val="24"/>
                <w:lang w:val="fr-FR"/>
              </w:rPr>
              <w:t xml:space="preserve">de </w:t>
            </w:r>
            <w:r w:rsidR="000F7EA5">
              <w:rPr>
                <w:rFonts w:ascii="Garamond" w:hAnsi="Garamond"/>
                <w:sz w:val="24"/>
                <w:lang w:val="fr-FR"/>
              </w:rPr>
              <w:t>tous les livrables</w:t>
            </w:r>
          </w:p>
          <w:p w:rsidR="00842DDF" w:rsidRPr="00557FE4" w:rsidRDefault="0085690D" w:rsidP="00EE39F6">
            <w:pPr>
              <w:spacing w:before="120" w:after="120" w:line="276" w:lineRule="auto"/>
              <w:jc w:val="both"/>
              <w:rPr>
                <w:rFonts w:ascii="Garamond" w:hAnsi="Garamond"/>
                <w:sz w:val="24"/>
                <w:lang w:val="fr-FR"/>
              </w:rPr>
            </w:pPr>
            <w:r>
              <w:rPr>
                <w:rFonts w:ascii="Garamond" w:hAnsi="Garamond"/>
                <w:sz w:val="24"/>
                <w:lang w:val="fr-FR"/>
              </w:rPr>
              <w:t>Il est à noter que tou</w:t>
            </w:r>
            <w:r w:rsidR="00842DDF">
              <w:rPr>
                <w:rFonts w:ascii="Garamond" w:hAnsi="Garamond"/>
                <w:sz w:val="24"/>
                <w:lang w:val="fr-FR"/>
              </w:rPr>
              <w:t>s les livrables seront fournis en version électronique (Word/Excel</w:t>
            </w:r>
            <w:r w:rsidR="00B838C1">
              <w:rPr>
                <w:rFonts w:ascii="Garamond" w:hAnsi="Garamond"/>
                <w:sz w:val="24"/>
                <w:lang w:val="fr-FR"/>
              </w:rPr>
              <w:t>, Powerpoint</w:t>
            </w:r>
            <w:r w:rsidR="00842DDF">
              <w:rPr>
                <w:rFonts w:ascii="Garamond" w:hAnsi="Garamond"/>
                <w:sz w:val="24"/>
                <w:lang w:val="fr-FR"/>
              </w:rPr>
              <w:t>) et au format papier.</w:t>
            </w:r>
          </w:p>
        </w:tc>
      </w:tr>
    </w:tbl>
    <w:p w:rsidR="00F32573" w:rsidRPr="00557939" w:rsidRDefault="00F32573" w:rsidP="00557939">
      <w:pPr>
        <w:spacing w:line="276" w:lineRule="auto"/>
        <w:jc w:val="both"/>
        <w:rPr>
          <w:rFonts w:ascii="Garamond" w:hAnsi="Garamond"/>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76772D" w:rsidRPr="00897245" w:rsidTr="00814FB4">
        <w:trPr>
          <w:trHeight w:val="369"/>
        </w:trPr>
        <w:tc>
          <w:tcPr>
            <w:tcW w:w="5000" w:type="pct"/>
            <w:shd w:val="clear" w:color="auto" w:fill="000080"/>
            <w:vAlign w:val="center"/>
          </w:tcPr>
          <w:p w:rsidR="0076772D" w:rsidRPr="00557939" w:rsidRDefault="00B10CFB" w:rsidP="006F5515">
            <w:pPr>
              <w:numPr>
                <w:ilvl w:val="0"/>
                <w:numId w:val="27"/>
              </w:numPr>
              <w:spacing w:line="276" w:lineRule="auto"/>
              <w:rPr>
                <w:rFonts w:ascii="Garamond" w:hAnsi="Garamond"/>
                <w:b/>
                <w:bCs/>
                <w:sz w:val="24"/>
                <w:lang w:val="fr-FR"/>
              </w:rPr>
            </w:pPr>
            <w:r w:rsidRPr="00557939">
              <w:rPr>
                <w:rFonts w:ascii="Garamond" w:hAnsi="Garamond"/>
                <w:b/>
                <w:bCs/>
                <w:sz w:val="24"/>
                <w:lang w:val="fr-FR"/>
              </w:rPr>
              <w:t xml:space="preserve">Durée de la mission </w:t>
            </w:r>
          </w:p>
        </w:tc>
      </w:tr>
      <w:tr w:rsidR="00557939" w:rsidRPr="006A3B4E" w:rsidTr="00814FB4">
        <w:trPr>
          <w:trHeight w:val="369"/>
        </w:trPr>
        <w:tc>
          <w:tcPr>
            <w:tcW w:w="5000" w:type="pct"/>
            <w:shd w:val="clear" w:color="auto" w:fill="auto"/>
            <w:vAlign w:val="center"/>
          </w:tcPr>
          <w:p w:rsidR="00473367" w:rsidRPr="00557939" w:rsidRDefault="00557939" w:rsidP="00FE60BD">
            <w:pPr>
              <w:spacing w:line="276" w:lineRule="auto"/>
              <w:jc w:val="both"/>
              <w:rPr>
                <w:rFonts w:ascii="Garamond" w:hAnsi="Garamond"/>
                <w:sz w:val="24"/>
                <w:lang w:val="fr-FR"/>
              </w:rPr>
            </w:pPr>
            <w:r w:rsidRPr="00557939">
              <w:rPr>
                <w:rFonts w:ascii="Garamond" w:hAnsi="Garamond"/>
                <w:sz w:val="24"/>
                <w:lang w:val="fr-FR"/>
              </w:rPr>
              <w:t xml:space="preserve">La durée totale de la mission est de </w:t>
            </w:r>
            <w:r w:rsidR="00E7109A">
              <w:rPr>
                <w:rFonts w:ascii="Garamond" w:hAnsi="Garamond"/>
                <w:sz w:val="24"/>
                <w:lang w:val="fr-FR"/>
              </w:rPr>
              <w:t>6 mois</w:t>
            </w:r>
            <w:r w:rsidR="00971B42">
              <w:rPr>
                <w:rFonts w:ascii="Garamond" w:hAnsi="Garamond"/>
                <w:sz w:val="24"/>
                <w:lang w:val="fr-FR"/>
              </w:rPr>
              <w:t xml:space="preserve">, </w:t>
            </w:r>
            <w:r w:rsidR="00E7109A">
              <w:rPr>
                <w:rFonts w:ascii="Garamond" w:hAnsi="Garamond"/>
                <w:sz w:val="24"/>
                <w:lang w:val="fr-FR"/>
              </w:rPr>
              <w:t>renouvelables en fonction de la disponibilité des ressources financières et du besoin exprimé par le MCIA.</w:t>
            </w:r>
          </w:p>
        </w:tc>
      </w:tr>
    </w:tbl>
    <w:p w:rsidR="0076772D" w:rsidRPr="00557939" w:rsidRDefault="0076772D" w:rsidP="00557939">
      <w:pPr>
        <w:spacing w:line="276" w:lineRule="auto"/>
        <w:jc w:val="both"/>
        <w:rPr>
          <w:rFonts w:ascii="Garamond" w:hAnsi="Garamond"/>
          <w:sz w:val="24"/>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F32573" w:rsidRPr="00972F87" w:rsidTr="00C67192">
        <w:trPr>
          <w:trHeight w:val="321"/>
        </w:trPr>
        <w:tc>
          <w:tcPr>
            <w:tcW w:w="9468" w:type="dxa"/>
            <w:gridSpan w:val="2"/>
            <w:shd w:val="clear" w:color="auto" w:fill="000080"/>
            <w:vAlign w:val="center"/>
          </w:tcPr>
          <w:p w:rsidR="00F32573" w:rsidRPr="00557939" w:rsidRDefault="00F32573" w:rsidP="006F5515">
            <w:pPr>
              <w:numPr>
                <w:ilvl w:val="0"/>
                <w:numId w:val="27"/>
              </w:numPr>
              <w:spacing w:line="276" w:lineRule="auto"/>
              <w:rPr>
                <w:rFonts w:ascii="Garamond" w:hAnsi="Garamond"/>
                <w:b/>
                <w:bCs/>
                <w:sz w:val="24"/>
                <w:lang w:val="fr-FR"/>
              </w:rPr>
            </w:pPr>
            <w:r w:rsidRPr="00557939">
              <w:rPr>
                <w:rFonts w:ascii="Garamond" w:hAnsi="Garamond"/>
                <w:b/>
                <w:bCs/>
                <w:sz w:val="24"/>
                <w:lang w:val="fr-FR"/>
              </w:rPr>
              <w:t>Qualifications requises</w:t>
            </w:r>
            <w:r w:rsidR="00A4193A" w:rsidRPr="00557939">
              <w:rPr>
                <w:rFonts w:ascii="Garamond" w:hAnsi="Garamond"/>
                <w:b/>
                <w:bCs/>
                <w:sz w:val="24"/>
                <w:lang w:val="fr-FR"/>
              </w:rPr>
              <w:t xml:space="preserve"> </w:t>
            </w:r>
          </w:p>
        </w:tc>
      </w:tr>
      <w:tr w:rsidR="00F32573" w:rsidRPr="006A3B4E" w:rsidTr="00C67192">
        <w:trPr>
          <w:trHeight w:val="707"/>
        </w:trPr>
        <w:tc>
          <w:tcPr>
            <w:tcW w:w="1908" w:type="dxa"/>
          </w:tcPr>
          <w:p w:rsidR="00F32573" w:rsidRPr="00557939" w:rsidRDefault="00F32573" w:rsidP="00557939">
            <w:pPr>
              <w:spacing w:line="276" w:lineRule="auto"/>
              <w:rPr>
                <w:rFonts w:ascii="Garamond" w:hAnsi="Garamond"/>
                <w:sz w:val="24"/>
                <w:lang w:val="fr-FR"/>
              </w:rPr>
            </w:pPr>
          </w:p>
          <w:p w:rsidR="00F32573" w:rsidRPr="00557939" w:rsidRDefault="00F32573" w:rsidP="00557939">
            <w:pPr>
              <w:spacing w:line="276" w:lineRule="auto"/>
              <w:rPr>
                <w:rFonts w:ascii="Garamond" w:hAnsi="Garamond"/>
                <w:sz w:val="24"/>
                <w:lang w:val="fr-FR"/>
              </w:rPr>
            </w:pPr>
            <w:r w:rsidRPr="00557939">
              <w:rPr>
                <w:rFonts w:ascii="Garamond" w:hAnsi="Garamond"/>
                <w:sz w:val="24"/>
                <w:lang w:val="fr-FR"/>
              </w:rPr>
              <w:t>Education :</w:t>
            </w:r>
          </w:p>
        </w:tc>
        <w:tc>
          <w:tcPr>
            <w:tcW w:w="7560" w:type="dxa"/>
          </w:tcPr>
          <w:p w:rsidR="003475A1" w:rsidRPr="00557939" w:rsidRDefault="00D86B08" w:rsidP="003607E8">
            <w:pPr>
              <w:spacing w:before="120" w:after="120"/>
              <w:jc w:val="both"/>
              <w:rPr>
                <w:rFonts w:ascii="Garamond" w:hAnsi="Garamond"/>
                <w:sz w:val="24"/>
                <w:lang w:val="fr-FR"/>
              </w:rPr>
            </w:pPr>
            <w:r w:rsidRPr="006D001A">
              <w:rPr>
                <w:rFonts w:ascii="Garamond" w:eastAsia="Calibri" w:hAnsi="Garamond"/>
                <w:sz w:val="24"/>
                <w:lang w:val="fr-FR"/>
              </w:rPr>
              <w:t xml:space="preserve">L’expert devra </w:t>
            </w:r>
            <w:r w:rsidR="00BD6D46" w:rsidRPr="006D001A">
              <w:rPr>
                <w:rFonts w:ascii="Garamond" w:eastAsia="Calibri" w:hAnsi="Garamond"/>
                <w:sz w:val="24"/>
                <w:lang w:val="fr-FR"/>
              </w:rPr>
              <w:t>au minimum être titulaire d’u</w:t>
            </w:r>
            <w:r w:rsidRPr="006D001A">
              <w:rPr>
                <w:rFonts w:ascii="Garamond" w:hAnsi="Garamond"/>
                <w:sz w:val="24"/>
                <w:lang w:val="fr-FR"/>
              </w:rPr>
              <w:t xml:space="preserve">n </w:t>
            </w:r>
            <w:r w:rsidR="00DC61A9">
              <w:rPr>
                <w:rFonts w:ascii="Garamond" w:hAnsi="Garamond"/>
                <w:sz w:val="24"/>
                <w:lang w:val="fr-FR"/>
              </w:rPr>
              <w:t>d</w:t>
            </w:r>
            <w:r w:rsidRPr="006D001A">
              <w:rPr>
                <w:rFonts w:ascii="Garamond" w:hAnsi="Garamond"/>
                <w:sz w:val="24"/>
                <w:lang w:val="fr-FR"/>
              </w:rPr>
              <w:t>iplôme post universitaire (Bac+5) en économie, planification, sciences sociales, management ; sciences de l’ingénieur, sciences politiques ou discipline similaire</w:t>
            </w:r>
          </w:p>
        </w:tc>
      </w:tr>
      <w:tr w:rsidR="00F32573" w:rsidRPr="006A3B4E" w:rsidTr="00C67192">
        <w:trPr>
          <w:trHeight w:val="1202"/>
        </w:trPr>
        <w:tc>
          <w:tcPr>
            <w:tcW w:w="1908" w:type="dxa"/>
          </w:tcPr>
          <w:p w:rsidR="00F32573" w:rsidRPr="00557939" w:rsidRDefault="00F32573" w:rsidP="00557939">
            <w:pPr>
              <w:spacing w:line="276" w:lineRule="auto"/>
              <w:rPr>
                <w:rFonts w:ascii="Garamond" w:hAnsi="Garamond"/>
                <w:sz w:val="24"/>
                <w:lang w:val="fr-FR"/>
              </w:rPr>
            </w:pPr>
          </w:p>
          <w:p w:rsidR="00F32573" w:rsidRPr="00557939" w:rsidRDefault="00F32573" w:rsidP="00557939">
            <w:pPr>
              <w:spacing w:line="276" w:lineRule="auto"/>
              <w:rPr>
                <w:rFonts w:ascii="Garamond" w:hAnsi="Garamond"/>
                <w:sz w:val="24"/>
                <w:lang w:val="fr-FR"/>
              </w:rPr>
            </w:pPr>
            <w:r w:rsidRPr="00557939">
              <w:rPr>
                <w:rFonts w:ascii="Garamond" w:hAnsi="Garamond"/>
                <w:sz w:val="24"/>
                <w:lang w:val="fr-FR"/>
              </w:rPr>
              <w:t>Expérience</w:t>
            </w:r>
            <w:r w:rsidR="0037370B">
              <w:rPr>
                <w:rFonts w:ascii="Garamond" w:hAnsi="Garamond"/>
                <w:sz w:val="24"/>
                <w:lang w:val="fr-FR"/>
              </w:rPr>
              <w:t>s</w:t>
            </w:r>
            <w:r w:rsidR="00BD6D46">
              <w:rPr>
                <w:rFonts w:ascii="Garamond" w:hAnsi="Garamond"/>
                <w:sz w:val="24"/>
                <w:lang w:val="fr-FR"/>
              </w:rPr>
              <w:t xml:space="preserve"> et qualifications</w:t>
            </w:r>
            <w:r w:rsidRPr="00557939">
              <w:rPr>
                <w:rFonts w:ascii="Garamond" w:hAnsi="Garamond"/>
                <w:sz w:val="24"/>
                <w:lang w:val="fr-FR"/>
              </w:rPr>
              <w:t xml:space="preserve"> :</w:t>
            </w:r>
          </w:p>
        </w:tc>
        <w:tc>
          <w:tcPr>
            <w:tcW w:w="7560" w:type="dxa"/>
          </w:tcPr>
          <w:p w:rsidR="00F32573" w:rsidRDefault="00BD6D46" w:rsidP="00557939">
            <w:pPr>
              <w:spacing w:line="276" w:lineRule="auto"/>
              <w:jc w:val="both"/>
              <w:rPr>
                <w:rFonts w:ascii="Garamond" w:hAnsi="Garamond"/>
                <w:sz w:val="24"/>
                <w:lang w:val="fr-FR"/>
              </w:rPr>
            </w:pPr>
            <w:r w:rsidRPr="00557939">
              <w:rPr>
                <w:rFonts w:ascii="Garamond" w:hAnsi="Garamond"/>
                <w:sz w:val="24"/>
                <w:lang w:val="fr-FR"/>
              </w:rPr>
              <w:t xml:space="preserve">Le </w:t>
            </w:r>
            <w:r>
              <w:rPr>
                <w:rFonts w:ascii="Garamond" w:hAnsi="Garamond"/>
                <w:sz w:val="24"/>
                <w:lang w:val="fr-FR"/>
              </w:rPr>
              <w:t>Consultant</w:t>
            </w:r>
            <w:r w:rsidRPr="00557939">
              <w:rPr>
                <w:rFonts w:ascii="Garamond" w:hAnsi="Garamond"/>
                <w:sz w:val="24"/>
                <w:lang w:val="fr-FR"/>
              </w:rPr>
              <w:t xml:space="preserve"> </w:t>
            </w:r>
            <w:r>
              <w:rPr>
                <w:rFonts w:ascii="Garamond" w:hAnsi="Garamond"/>
                <w:sz w:val="24"/>
                <w:lang w:val="fr-FR"/>
              </w:rPr>
              <w:t xml:space="preserve">international </w:t>
            </w:r>
            <w:r w:rsidRPr="00557939">
              <w:rPr>
                <w:rFonts w:ascii="Garamond" w:hAnsi="Garamond"/>
                <w:sz w:val="24"/>
                <w:lang w:val="fr-FR"/>
              </w:rPr>
              <w:t xml:space="preserve">devra </w:t>
            </w:r>
            <w:r>
              <w:rPr>
                <w:rFonts w:ascii="Garamond" w:hAnsi="Garamond"/>
                <w:sz w:val="24"/>
                <w:lang w:val="fr-FR"/>
              </w:rPr>
              <w:t>être un expert</w:t>
            </w:r>
            <w:r w:rsidRPr="0095719A">
              <w:rPr>
                <w:rFonts w:ascii="Garamond" w:hAnsi="Garamond"/>
                <w:sz w:val="24"/>
                <w:lang w:val="fr-FR"/>
              </w:rPr>
              <w:t xml:space="preserve"> de haut niveau ayant une expérience avérée </w:t>
            </w:r>
            <w:r>
              <w:rPr>
                <w:rFonts w:ascii="Garamond" w:hAnsi="Garamond"/>
                <w:sz w:val="24"/>
                <w:lang w:val="fr-FR"/>
              </w:rPr>
              <w:t>d’</w:t>
            </w:r>
            <w:r w:rsidRPr="0095719A">
              <w:rPr>
                <w:rFonts w:ascii="Garamond" w:hAnsi="Garamond"/>
                <w:sz w:val="24"/>
                <w:lang w:val="fr-FR"/>
              </w:rPr>
              <w:t>au moins de 15 ans dans les domaines de la coopération au développement, de l’intégration africaine et du dialogue avec les partenaires</w:t>
            </w:r>
            <w:r>
              <w:rPr>
                <w:rFonts w:ascii="Garamond" w:hAnsi="Garamond"/>
                <w:sz w:val="24"/>
                <w:lang w:val="fr-FR"/>
              </w:rPr>
              <w:t>.</w:t>
            </w:r>
          </w:p>
          <w:p w:rsidR="00971B42" w:rsidRPr="00897245" w:rsidRDefault="00BD6D46" w:rsidP="00BD6D46">
            <w:pPr>
              <w:spacing w:line="276" w:lineRule="auto"/>
              <w:jc w:val="both"/>
              <w:rPr>
                <w:rFonts w:ascii="Garamond" w:hAnsi="Garamond"/>
                <w:lang w:val="fr-FR"/>
              </w:rPr>
            </w:pPr>
            <w:r>
              <w:rPr>
                <w:rFonts w:ascii="Garamond" w:hAnsi="Garamond"/>
                <w:sz w:val="24"/>
                <w:lang w:val="fr-FR"/>
              </w:rPr>
              <w:t>Il devra justifier notamment de :</w:t>
            </w:r>
          </w:p>
          <w:p w:rsidR="00971B42" w:rsidRPr="0095719A" w:rsidRDefault="00BD6D46" w:rsidP="00971B42">
            <w:pPr>
              <w:pStyle w:val="Paragraphedeliste"/>
              <w:numPr>
                <w:ilvl w:val="0"/>
                <w:numId w:val="26"/>
              </w:numPr>
              <w:spacing w:before="120" w:after="120"/>
              <w:contextualSpacing w:val="0"/>
              <w:jc w:val="both"/>
              <w:rPr>
                <w:rFonts w:ascii="Garamond" w:hAnsi="Garamond"/>
              </w:rPr>
            </w:pPr>
            <w:r>
              <w:rPr>
                <w:rFonts w:ascii="Garamond" w:hAnsi="Garamond"/>
              </w:rPr>
              <w:t>C</w:t>
            </w:r>
            <w:r w:rsidR="00971B42" w:rsidRPr="0095719A">
              <w:rPr>
                <w:rFonts w:ascii="Garamond" w:hAnsi="Garamond"/>
              </w:rPr>
              <w:t>ompétences avérées dans le domaine du renforcement institutionnel et appui conseil stratégique de haut niveau (Ministère du Plan</w:t>
            </w:r>
            <w:r w:rsidR="00273A38">
              <w:rPr>
                <w:rFonts w:ascii="Garamond" w:hAnsi="Garamond"/>
              </w:rPr>
              <w:t>, Coopération</w:t>
            </w:r>
            <w:r w:rsidR="00971B42" w:rsidRPr="0095719A">
              <w:rPr>
                <w:rFonts w:ascii="Garamond" w:hAnsi="Garamond"/>
              </w:rPr>
              <w:t> ; Ministère de l’Economie et des Finances, etc</w:t>
            </w:r>
            <w:r w:rsidR="00273A38">
              <w:rPr>
                <w:rFonts w:ascii="Garamond" w:hAnsi="Garamond"/>
              </w:rPr>
              <w:t>.</w:t>
            </w:r>
            <w:r w:rsidR="00971B42" w:rsidRPr="0095719A">
              <w:rPr>
                <w:rFonts w:ascii="Garamond" w:hAnsi="Garamond"/>
              </w:rPr>
              <w:t>)</w:t>
            </w:r>
          </w:p>
          <w:p w:rsidR="00971B42" w:rsidRPr="0095719A" w:rsidRDefault="00971B42" w:rsidP="00971B42">
            <w:pPr>
              <w:pStyle w:val="Paragraphedeliste"/>
              <w:numPr>
                <w:ilvl w:val="0"/>
                <w:numId w:val="26"/>
              </w:numPr>
              <w:spacing w:before="120" w:after="120"/>
              <w:contextualSpacing w:val="0"/>
              <w:jc w:val="both"/>
              <w:rPr>
                <w:rFonts w:ascii="Garamond" w:hAnsi="Garamond"/>
              </w:rPr>
            </w:pPr>
            <w:r w:rsidRPr="0095719A">
              <w:rPr>
                <w:rFonts w:ascii="Garamond" w:hAnsi="Garamond"/>
              </w:rPr>
              <w:t>Expérience de leadership et de coordination dans un contexte de fragilité de l’administration, multi-départements, multi-agences et multipartenaires, en Afrique et/ou dans d’autres pays en développement (avoir travaillé à ce niveau en Afrique de l’Ouest serait un atout)</w:t>
            </w:r>
          </w:p>
          <w:p w:rsidR="0095719A" w:rsidRPr="0095719A" w:rsidRDefault="00BD6D46" w:rsidP="00FE61BA">
            <w:pPr>
              <w:pStyle w:val="Paragraphedeliste"/>
              <w:numPr>
                <w:ilvl w:val="0"/>
                <w:numId w:val="26"/>
              </w:numPr>
              <w:spacing w:before="120" w:after="120"/>
              <w:contextualSpacing w:val="0"/>
              <w:jc w:val="both"/>
              <w:rPr>
                <w:rFonts w:ascii="Garamond" w:hAnsi="Garamond"/>
              </w:rPr>
            </w:pPr>
            <w:r>
              <w:rPr>
                <w:rFonts w:ascii="Garamond" w:hAnsi="Garamond"/>
              </w:rPr>
              <w:lastRenderedPageBreak/>
              <w:t>E</w:t>
            </w:r>
            <w:r w:rsidR="00971B42" w:rsidRPr="0095719A">
              <w:rPr>
                <w:rFonts w:ascii="Garamond" w:hAnsi="Garamond"/>
              </w:rPr>
              <w:t xml:space="preserve">xpérience professionnelle d’au moins dix ans dans la gestion </w:t>
            </w:r>
            <w:r w:rsidR="0095719A" w:rsidRPr="0095719A">
              <w:rPr>
                <w:rFonts w:ascii="Garamond" w:hAnsi="Garamond"/>
              </w:rPr>
              <w:t>de la coopération au développement</w:t>
            </w:r>
          </w:p>
          <w:p w:rsidR="00971B42" w:rsidRPr="0095719A" w:rsidRDefault="00BD6D46" w:rsidP="00FE61BA">
            <w:pPr>
              <w:pStyle w:val="Paragraphedeliste"/>
              <w:numPr>
                <w:ilvl w:val="0"/>
                <w:numId w:val="26"/>
              </w:numPr>
              <w:spacing w:before="120" w:after="120"/>
              <w:contextualSpacing w:val="0"/>
              <w:jc w:val="both"/>
              <w:rPr>
                <w:rFonts w:ascii="Garamond" w:hAnsi="Garamond"/>
              </w:rPr>
            </w:pPr>
            <w:r>
              <w:rPr>
                <w:rFonts w:ascii="Garamond" w:hAnsi="Garamond"/>
              </w:rPr>
              <w:t>E</w:t>
            </w:r>
            <w:r w:rsidR="00971B42" w:rsidRPr="0095719A">
              <w:rPr>
                <w:rFonts w:ascii="Garamond" w:hAnsi="Garamond"/>
              </w:rPr>
              <w:t xml:space="preserve">xpérience d’au moins cinq </w:t>
            </w:r>
            <w:r>
              <w:rPr>
                <w:rFonts w:ascii="Garamond" w:hAnsi="Garamond"/>
              </w:rPr>
              <w:t xml:space="preserve">ans </w:t>
            </w:r>
            <w:r w:rsidR="00971B42" w:rsidRPr="0095719A">
              <w:rPr>
                <w:rFonts w:ascii="Garamond" w:hAnsi="Garamond"/>
              </w:rPr>
              <w:t>dans la formulation de plans de développement et de cadre</w:t>
            </w:r>
            <w:r w:rsidR="007B40A6">
              <w:rPr>
                <w:rFonts w:ascii="Garamond" w:hAnsi="Garamond"/>
              </w:rPr>
              <w:t>s</w:t>
            </w:r>
            <w:r w:rsidR="00971B42" w:rsidRPr="0095719A">
              <w:rPr>
                <w:rFonts w:ascii="Garamond" w:hAnsi="Garamond"/>
              </w:rPr>
              <w:t xml:space="preserve"> stratégique</w:t>
            </w:r>
            <w:r w:rsidR="007B40A6">
              <w:rPr>
                <w:rFonts w:ascii="Garamond" w:hAnsi="Garamond"/>
              </w:rPr>
              <w:t>s</w:t>
            </w:r>
            <w:r w:rsidR="00971B42" w:rsidRPr="0095719A">
              <w:rPr>
                <w:rFonts w:ascii="Garamond" w:hAnsi="Garamond"/>
              </w:rPr>
              <w:t xml:space="preserve"> d</w:t>
            </w:r>
            <w:r w:rsidR="0095719A" w:rsidRPr="0095719A">
              <w:rPr>
                <w:rFonts w:ascii="Garamond" w:hAnsi="Garamond"/>
              </w:rPr>
              <w:t xml:space="preserve">’intervention </w:t>
            </w:r>
            <w:r w:rsidR="00971B42" w:rsidRPr="0095719A">
              <w:rPr>
                <w:rFonts w:ascii="Garamond" w:hAnsi="Garamond"/>
              </w:rPr>
              <w:t>de préférence dans les pays d’Afrique francophones</w:t>
            </w:r>
          </w:p>
          <w:p w:rsidR="00971B42" w:rsidRPr="0095719A" w:rsidRDefault="00971B42" w:rsidP="00971B42">
            <w:pPr>
              <w:pStyle w:val="Paragraphedeliste"/>
              <w:numPr>
                <w:ilvl w:val="0"/>
                <w:numId w:val="26"/>
              </w:numPr>
              <w:spacing w:before="120" w:after="120"/>
              <w:contextualSpacing w:val="0"/>
              <w:jc w:val="both"/>
              <w:rPr>
                <w:rFonts w:ascii="Garamond" w:hAnsi="Garamond"/>
              </w:rPr>
            </w:pPr>
            <w:r w:rsidRPr="0095719A">
              <w:rPr>
                <w:rFonts w:ascii="Garamond" w:hAnsi="Garamond"/>
              </w:rPr>
              <w:t>Capacité de travail en équipe, au sein d’une équipe nationale avec renforcement des capacités institutionnelles dans l’action</w:t>
            </w:r>
          </w:p>
          <w:p w:rsidR="00971B42" w:rsidRPr="0095719A" w:rsidRDefault="007B40A6" w:rsidP="00971B42">
            <w:pPr>
              <w:pStyle w:val="Paragraphedeliste"/>
              <w:numPr>
                <w:ilvl w:val="0"/>
                <w:numId w:val="26"/>
              </w:numPr>
              <w:spacing w:before="120" w:after="120"/>
              <w:contextualSpacing w:val="0"/>
              <w:jc w:val="both"/>
              <w:rPr>
                <w:rFonts w:ascii="Garamond" w:hAnsi="Garamond"/>
              </w:rPr>
            </w:pPr>
            <w:r>
              <w:rPr>
                <w:rFonts w:ascii="Garamond" w:hAnsi="Garamond"/>
              </w:rPr>
              <w:t>Q</w:t>
            </w:r>
            <w:r w:rsidR="00971B42" w:rsidRPr="0095719A">
              <w:rPr>
                <w:rFonts w:ascii="Garamond" w:hAnsi="Garamond"/>
              </w:rPr>
              <w:t>ualités de communication et des talents interpersonnels</w:t>
            </w:r>
          </w:p>
          <w:p w:rsidR="00971B42" w:rsidRPr="0095719A" w:rsidRDefault="007B40A6" w:rsidP="00971B42">
            <w:pPr>
              <w:pStyle w:val="Paragraphedeliste"/>
              <w:numPr>
                <w:ilvl w:val="0"/>
                <w:numId w:val="26"/>
              </w:numPr>
              <w:spacing w:before="120" w:after="120"/>
              <w:contextualSpacing w:val="0"/>
              <w:jc w:val="both"/>
              <w:rPr>
                <w:rFonts w:ascii="Garamond" w:hAnsi="Garamond"/>
              </w:rPr>
            </w:pPr>
            <w:r>
              <w:rPr>
                <w:rFonts w:ascii="Garamond" w:hAnsi="Garamond"/>
              </w:rPr>
              <w:t>E</w:t>
            </w:r>
            <w:r w:rsidR="00971B42" w:rsidRPr="0095719A">
              <w:rPr>
                <w:rFonts w:ascii="Garamond" w:hAnsi="Garamond"/>
              </w:rPr>
              <w:t>xcellente maîtrise du Français</w:t>
            </w:r>
            <w:r w:rsidR="0095719A" w:rsidRPr="0095719A">
              <w:rPr>
                <w:rFonts w:ascii="Garamond" w:hAnsi="Garamond"/>
              </w:rPr>
              <w:t xml:space="preserve"> et de l’anglais</w:t>
            </w:r>
          </w:p>
          <w:p w:rsidR="00971B42" w:rsidRPr="0095719A" w:rsidRDefault="007B40A6" w:rsidP="00971B42">
            <w:pPr>
              <w:pStyle w:val="Paragraphedeliste"/>
              <w:numPr>
                <w:ilvl w:val="0"/>
                <w:numId w:val="26"/>
              </w:numPr>
              <w:spacing w:before="120" w:after="120"/>
              <w:contextualSpacing w:val="0"/>
              <w:jc w:val="both"/>
              <w:rPr>
                <w:rFonts w:ascii="Garamond" w:hAnsi="Garamond"/>
              </w:rPr>
            </w:pPr>
            <w:r>
              <w:rPr>
                <w:rFonts w:ascii="Garamond" w:hAnsi="Garamond"/>
              </w:rPr>
              <w:t>B</w:t>
            </w:r>
            <w:r w:rsidR="00971B42" w:rsidRPr="0095719A">
              <w:rPr>
                <w:rFonts w:ascii="Garamond" w:hAnsi="Garamond"/>
              </w:rPr>
              <w:t>onne maîtrise des logiciels de bureautique et applications courantes ainsi que du multimédia.</w:t>
            </w:r>
          </w:p>
          <w:p w:rsidR="007B40A6" w:rsidRPr="003607E8" w:rsidRDefault="007B40A6" w:rsidP="003607E8">
            <w:pPr>
              <w:numPr>
                <w:ilvl w:val="0"/>
                <w:numId w:val="26"/>
              </w:numPr>
              <w:spacing w:before="60" w:after="60" w:line="276" w:lineRule="auto"/>
              <w:jc w:val="both"/>
              <w:rPr>
                <w:rFonts w:ascii="Garamond" w:hAnsi="Garamond"/>
                <w:b/>
                <w:bCs/>
                <w:sz w:val="22"/>
                <w:szCs w:val="22"/>
                <w:lang w:val="fr-FR"/>
              </w:rPr>
            </w:pPr>
            <w:r>
              <w:rPr>
                <w:rFonts w:ascii="Garamond" w:hAnsi="Garamond"/>
                <w:sz w:val="22"/>
                <w:szCs w:val="22"/>
                <w:lang w:val="fr-FR"/>
              </w:rPr>
              <w:t>C</w:t>
            </w:r>
            <w:r w:rsidR="00971B42" w:rsidRPr="0095719A">
              <w:rPr>
                <w:rFonts w:ascii="Garamond" w:hAnsi="Garamond"/>
                <w:sz w:val="22"/>
                <w:szCs w:val="22"/>
                <w:lang w:val="fr-FR"/>
              </w:rPr>
              <w:t>apacité de travailler sous pression et dans le respect de dates butoirs exigeantes</w:t>
            </w:r>
          </w:p>
          <w:p w:rsidR="00DF21C2" w:rsidRPr="00A81349" w:rsidRDefault="00DF21C2" w:rsidP="0095719A">
            <w:pPr>
              <w:spacing w:before="60" w:after="60" w:line="276" w:lineRule="auto"/>
              <w:jc w:val="both"/>
              <w:rPr>
                <w:rFonts w:ascii="Garamond" w:hAnsi="Garamond"/>
                <w:b/>
                <w:bCs/>
                <w:sz w:val="24"/>
                <w:lang w:val="fr-FR"/>
              </w:rPr>
            </w:pPr>
            <w:r w:rsidRPr="0095719A">
              <w:rPr>
                <w:rFonts w:ascii="Garamond" w:hAnsi="Garamond"/>
                <w:bCs/>
                <w:sz w:val="22"/>
                <w:szCs w:val="22"/>
                <w:lang w:val="fr-FR"/>
              </w:rPr>
              <w:t>Avoir réalisé une mission similaire est un atout.</w:t>
            </w:r>
          </w:p>
        </w:tc>
      </w:tr>
      <w:tr w:rsidR="00F32573" w:rsidRPr="006A3B4E" w:rsidTr="003607E8">
        <w:trPr>
          <w:trHeight w:val="324"/>
        </w:trPr>
        <w:tc>
          <w:tcPr>
            <w:tcW w:w="1908" w:type="dxa"/>
          </w:tcPr>
          <w:p w:rsidR="00F32573" w:rsidRPr="00557939" w:rsidRDefault="00F32573" w:rsidP="00557939">
            <w:pPr>
              <w:spacing w:line="276" w:lineRule="auto"/>
              <w:rPr>
                <w:rFonts w:ascii="Garamond" w:hAnsi="Garamond"/>
                <w:sz w:val="24"/>
                <w:lang w:val="fr-FR"/>
              </w:rPr>
            </w:pPr>
            <w:r w:rsidRPr="00557939">
              <w:rPr>
                <w:rFonts w:ascii="Garamond" w:hAnsi="Garamond"/>
                <w:sz w:val="24"/>
                <w:lang w:val="fr-FR"/>
              </w:rPr>
              <w:lastRenderedPageBreak/>
              <w:t>Langues requises :</w:t>
            </w:r>
          </w:p>
        </w:tc>
        <w:tc>
          <w:tcPr>
            <w:tcW w:w="7560" w:type="dxa"/>
          </w:tcPr>
          <w:p w:rsidR="00C31B90" w:rsidRPr="00557939" w:rsidRDefault="0071687D" w:rsidP="00557939">
            <w:pPr>
              <w:spacing w:line="276" w:lineRule="auto"/>
              <w:jc w:val="both"/>
              <w:rPr>
                <w:rFonts w:ascii="Garamond" w:hAnsi="Garamond"/>
                <w:sz w:val="24"/>
                <w:lang w:val="fr-FR"/>
              </w:rPr>
            </w:pPr>
            <w:r w:rsidRPr="00557939">
              <w:rPr>
                <w:rFonts w:ascii="Garamond" w:hAnsi="Garamond"/>
                <w:sz w:val="24"/>
                <w:lang w:val="fr-FR"/>
              </w:rPr>
              <w:t>Français, langue de travail du pays (parlé et écrit)</w:t>
            </w:r>
          </w:p>
        </w:tc>
      </w:tr>
    </w:tbl>
    <w:p w:rsidR="003B7DA5" w:rsidRDefault="003B7DA5">
      <w:pPr>
        <w:rPr>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D45C69" w:rsidRPr="00557939" w:rsidTr="00CF2764">
        <w:trPr>
          <w:trHeight w:val="321"/>
        </w:trPr>
        <w:tc>
          <w:tcPr>
            <w:tcW w:w="5000" w:type="pct"/>
            <w:shd w:val="clear" w:color="auto" w:fill="000080"/>
            <w:vAlign w:val="center"/>
          </w:tcPr>
          <w:p w:rsidR="00D45C69" w:rsidRPr="00557939" w:rsidRDefault="00D45C69" w:rsidP="001102AC">
            <w:pPr>
              <w:numPr>
                <w:ilvl w:val="0"/>
                <w:numId w:val="27"/>
              </w:numPr>
              <w:spacing w:line="276" w:lineRule="auto"/>
              <w:rPr>
                <w:rFonts w:ascii="Garamond" w:hAnsi="Garamond"/>
                <w:b/>
                <w:bCs/>
                <w:sz w:val="24"/>
                <w:lang w:val="fr-FR"/>
              </w:rPr>
            </w:pPr>
            <w:r w:rsidRPr="00557939">
              <w:rPr>
                <w:rFonts w:ascii="Garamond" w:hAnsi="Garamond"/>
                <w:b/>
                <w:bCs/>
                <w:sz w:val="24"/>
                <w:lang w:val="fr-FR"/>
              </w:rPr>
              <w:t>Les critères d’évaluation</w:t>
            </w:r>
          </w:p>
        </w:tc>
      </w:tr>
      <w:tr w:rsidR="00D45C69" w:rsidRPr="006A3B4E" w:rsidTr="00CF2764">
        <w:trPr>
          <w:trHeight w:val="321"/>
        </w:trPr>
        <w:tc>
          <w:tcPr>
            <w:tcW w:w="5000" w:type="pct"/>
            <w:shd w:val="clear" w:color="auto" w:fill="auto"/>
            <w:vAlign w:val="center"/>
          </w:tcPr>
          <w:p w:rsidR="00D45C69" w:rsidRDefault="00D45C69" w:rsidP="00CF2764">
            <w:pPr>
              <w:spacing w:before="120" w:after="120" w:line="276" w:lineRule="auto"/>
              <w:jc w:val="both"/>
              <w:rPr>
                <w:rFonts w:ascii="Garamond" w:hAnsi="Garamond"/>
                <w:bCs/>
                <w:sz w:val="24"/>
                <w:lang w:val="fr-FR"/>
              </w:rPr>
            </w:pPr>
            <w:r w:rsidRPr="00557939">
              <w:rPr>
                <w:rFonts w:ascii="Garamond" w:hAnsi="Garamond"/>
                <w:bCs/>
                <w:sz w:val="24"/>
                <w:lang w:val="fr-FR"/>
              </w:rPr>
              <w:t>L’évaluation des offres se déroule en deux temps. L’évaluation des propositions techniques est achevée avant l’ouverture et la comparaiso</w:t>
            </w:r>
            <w:r>
              <w:rPr>
                <w:rFonts w:ascii="Garamond" w:hAnsi="Garamond"/>
                <w:bCs/>
                <w:sz w:val="24"/>
                <w:lang w:val="fr-FR"/>
              </w:rPr>
              <w:t>n des propositions financières.</w:t>
            </w:r>
          </w:p>
          <w:p w:rsidR="00D45C69" w:rsidRPr="00557939" w:rsidRDefault="00D45C69" w:rsidP="00CF2764">
            <w:pPr>
              <w:spacing w:before="120" w:after="120" w:line="276" w:lineRule="auto"/>
              <w:jc w:val="both"/>
              <w:rPr>
                <w:rFonts w:ascii="Garamond" w:hAnsi="Garamond"/>
                <w:bCs/>
                <w:sz w:val="24"/>
                <w:lang w:val="fr-FR"/>
              </w:rPr>
            </w:pPr>
            <w:r>
              <w:rPr>
                <w:rFonts w:ascii="Garamond" w:hAnsi="Garamond"/>
                <w:bCs/>
                <w:sz w:val="24"/>
                <w:lang w:val="fr-FR"/>
              </w:rPr>
              <w:t xml:space="preserve">La proposition technique devra comprendre le CV, la méthodologie et le plan de travail avec un chronogramme détaillé. Les références de missions similaires effectuées par le </w:t>
            </w:r>
            <w:r w:rsidR="001A71AA">
              <w:rPr>
                <w:rFonts w:ascii="Garamond" w:hAnsi="Garamond"/>
                <w:bCs/>
                <w:sz w:val="24"/>
                <w:lang w:val="fr-FR"/>
              </w:rPr>
              <w:t>c</w:t>
            </w:r>
            <w:r>
              <w:rPr>
                <w:rFonts w:ascii="Garamond" w:hAnsi="Garamond"/>
                <w:bCs/>
                <w:sz w:val="24"/>
                <w:lang w:val="fr-FR"/>
              </w:rPr>
              <w:t>andidat doivent aussi être fournies s’ils existent.</w:t>
            </w:r>
          </w:p>
          <w:p w:rsidR="00D45C69" w:rsidRDefault="00D45C69" w:rsidP="00CF2764">
            <w:pPr>
              <w:spacing w:line="276" w:lineRule="auto"/>
              <w:jc w:val="both"/>
              <w:rPr>
                <w:rFonts w:ascii="Garamond" w:hAnsi="Garamond"/>
                <w:sz w:val="24"/>
                <w:lang w:val="fr-FR"/>
              </w:rPr>
            </w:pPr>
            <w:r w:rsidRPr="00557939">
              <w:rPr>
                <w:rFonts w:ascii="Garamond" w:hAnsi="Garamond"/>
                <w:bCs/>
                <w:sz w:val="24"/>
                <w:lang w:val="fr-FR"/>
              </w:rPr>
              <w:t>L</w:t>
            </w:r>
            <w:r w:rsidRPr="00557939">
              <w:rPr>
                <w:rFonts w:ascii="Garamond" w:hAnsi="Garamond"/>
                <w:sz w:val="24"/>
                <w:lang w:val="fr-FR"/>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7"/>
              <w:gridCol w:w="1359"/>
            </w:tblGrid>
            <w:tr w:rsidR="00D45C69" w:rsidRPr="0044227B" w:rsidTr="00CF2764">
              <w:trPr>
                <w:cantSplit/>
                <w:trHeight w:val="285"/>
              </w:trPr>
              <w:tc>
                <w:tcPr>
                  <w:tcW w:w="4231" w:type="pct"/>
                  <w:shd w:val="solid" w:color="D9D9D9" w:fill="auto"/>
                  <w:vAlign w:val="center"/>
                </w:tcPr>
                <w:p w:rsidR="00D45C69" w:rsidRPr="0011440D" w:rsidRDefault="00D45C69" w:rsidP="00CF2764">
                  <w:pPr>
                    <w:jc w:val="center"/>
                    <w:rPr>
                      <w:rFonts w:ascii="Garamond" w:hAnsi="Garamond"/>
                      <w:b/>
                      <w:bCs/>
                      <w:iCs/>
                      <w:sz w:val="22"/>
                      <w:szCs w:val="22"/>
                      <w:lang w:val="fr-FR"/>
                    </w:rPr>
                  </w:pPr>
                  <w:r w:rsidRPr="0011440D">
                    <w:rPr>
                      <w:rFonts w:ascii="Garamond" w:hAnsi="Garamond"/>
                      <w:b/>
                      <w:sz w:val="22"/>
                      <w:szCs w:val="22"/>
                      <w:lang w:val="fr-FR"/>
                    </w:rPr>
                    <w:t>Critères d’évaluation</w:t>
                  </w:r>
                </w:p>
              </w:tc>
              <w:tc>
                <w:tcPr>
                  <w:tcW w:w="769" w:type="pct"/>
                  <w:shd w:val="solid" w:color="D9D9D9" w:fill="auto"/>
                </w:tcPr>
                <w:p w:rsidR="00D45C69" w:rsidRPr="0011440D" w:rsidRDefault="00D45C69" w:rsidP="00CF2764">
                  <w:pPr>
                    <w:jc w:val="center"/>
                    <w:rPr>
                      <w:rFonts w:ascii="Garamond" w:hAnsi="Garamond"/>
                      <w:color w:val="000000"/>
                      <w:sz w:val="22"/>
                      <w:szCs w:val="22"/>
                      <w:lang w:val="fr-FR"/>
                    </w:rPr>
                  </w:pPr>
                  <w:r w:rsidRPr="0011440D">
                    <w:rPr>
                      <w:rFonts w:ascii="Garamond" w:hAnsi="Garamond"/>
                      <w:b/>
                      <w:color w:val="000000"/>
                      <w:sz w:val="22"/>
                      <w:szCs w:val="22"/>
                      <w:lang w:val="fr-FR"/>
                    </w:rPr>
                    <w:t>Max 100</w:t>
                  </w:r>
                </w:p>
              </w:tc>
            </w:tr>
            <w:tr w:rsidR="00D45C69" w:rsidRPr="0044227B" w:rsidTr="00CF2764">
              <w:trPr>
                <w:trHeight w:val="440"/>
              </w:trPr>
              <w:tc>
                <w:tcPr>
                  <w:tcW w:w="4231" w:type="pct"/>
                  <w:vAlign w:val="center"/>
                </w:tcPr>
                <w:p w:rsidR="00D45C69" w:rsidRPr="008C05DD" w:rsidRDefault="00D45C69" w:rsidP="00CF2764">
                  <w:pPr>
                    <w:rPr>
                      <w:rFonts w:ascii="Garamond" w:hAnsi="Garamond"/>
                      <w:sz w:val="22"/>
                      <w:szCs w:val="22"/>
                      <w:lang w:val="fr-FR"/>
                    </w:rPr>
                  </w:pPr>
                  <w:r w:rsidRPr="004E19EA">
                    <w:rPr>
                      <w:rFonts w:ascii="Garamond" w:hAnsi="Garamond"/>
                      <w:sz w:val="22"/>
                      <w:szCs w:val="22"/>
                      <w:lang w:val="fr-FR"/>
                    </w:rPr>
                    <w:t xml:space="preserve">Le Consultant devra avoir un </w:t>
                  </w:r>
                  <w:r w:rsidRPr="0095719A">
                    <w:rPr>
                      <w:rFonts w:ascii="Garamond" w:hAnsi="Garamond"/>
                      <w:sz w:val="22"/>
                      <w:szCs w:val="22"/>
                      <w:lang w:val="fr-FR"/>
                    </w:rPr>
                    <w:t>Diplôme post universitaire (Bac+5) en économie, planification, sciences sociales, management ; sciences de l’ingénieur, sciences politiques ou discipline similaire</w:t>
                  </w:r>
                </w:p>
              </w:tc>
              <w:tc>
                <w:tcPr>
                  <w:tcW w:w="769" w:type="pct"/>
                  <w:vAlign w:val="center"/>
                </w:tcPr>
                <w:p w:rsidR="00D45C69" w:rsidRPr="0015650D" w:rsidRDefault="00D45C69" w:rsidP="00CF2764">
                  <w:pPr>
                    <w:jc w:val="center"/>
                    <w:rPr>
                      <w:rFonts w:ascii="Garamond" w:hAnsi="Garamond"/>
                      <w:sz w:val="24"/>
                      <w:lang w:val="fr-FR"/>
                    </w:rPr>
                  </w:pPr>
                  <w:r>
                    <w:rPr>
                      <w:rFonts w:ascii="Garamond" w:hAnsi="Garamond"/>
                      <w:sz w:val="24"/>
                      <w:lang w:val="fr-FR"/>
                    </w:rPr>
                    <w:t>20</w:t>
                  </w:r>
                </w:p>
              </w:tc>
            </w:tr>
            <w:tr w:rsidR="00D45C69" w:rsidRPr="0044227B" w:rsidTr="00CF2764">
              <w:trPr>
                <w:trHeight w:val="737"/>
              </w:trPr>
              <w:tc>
                <w:tcPr>
                  <w:tcW w:w="4231" w:type="pct"/>
                  <w:vAlign w:val="center"/>
                </w:tcPr>
                <w:p w:rsidR="00D45C69" w:rsidRPr="004F45AA" w:rsidRDefault="00D45C69" w:rsidP="00CF2764">
                  <w:pPr>
                    <w:rPr>
                      <w:rFonts w:ascii="Garamond" w:hAnsi="Garamond"/>
                      <w:sz w:val="22"/>
                      <w:szCs w:val="22"/>
                      <w:lang w:val="fr-FR"/>
                    </w:rPr>
                  </w:pPr>
                  <w:r w:rsidRPr="004F45AA">
                    <w:rPr>
                      <w:rFonts w:ascii="Garamond" w:hAnsi="Garamond"/>
                      <w:sz w:val="22"/>
                      <w:szCs w:val="22"/>
                      <w:lang w:val="fr-FR"/>
                    </w:rPr>
                    <w:t>Expérience professionnelle :</w:t>
                  </w:r>
                  <w:r w:rsidRPr="00DD43B8">
                    <w:rPr>
                      <w:rFonts w:ascii="Garamond" w:hAnsi="Garamond"/>
                      <w:sz w:val="22"/>
                      <w:szCs w:val="22"/>
                      <w:lang w:val="fr-FR"/>
                    </w:rPr>
                    <w:t xml:space="preserve"> au moins de 15 ans dans les domaines de la coopération au développement, de l’intégration africaine et du dialogue avec les partenaires</w:t>
                  </w:r>
                </w:p>
              </w:tc>
              <w:tc>
                <w:tcPr>
                  <w:tcW w:w="769" w:type="pct"/>
                  <w:vAlign w:val="center"/>
                </w:tcPr>
                <w:p w:rsidR="00D45C69" w:rsidRPr="0015650D" w:rsidRDefault="00D45C69" w:rsidP="00CF2764">
                  <w:pPr>
                    <w:jc w:val="center"/>
                    <w:rPr>
                      <w:rFonts w:ascii="Garamond" w:hAnsi="Garamond"/>
                      <w:sz w:val="24"/>
                      <w:lang w:val="fr-FR"/>
                    </w:rPr>
                  </w:pPr>
                  <w:r>
                    <w:rPr>
                      <w:rFonts w:ascii="Garamond" w:hAnsi="Garamond"/>
                      <w:sz w:val="24"/>
                      <w:lang w:val="fr-FR"/>
                    </w:rPr>
                    <w:t>40</w:t>
                  </w:r>
                </w:p>
              </w:tc>
            </w:tr>
            <w:tr w:rsidR="00D45C69" w:rsidRPr="006A3B4E" w:rsidTr="00CF2764">
              <w:trPr>
                <w:trHeight w:val="304"/>
              </w:trPr>
              <w:tc>
                <w:tcPr>
                  <w:tcW w:w="4231" w:type="pct"/>
                  <w:vAlign w:val="center"/>
                </w:tcPr>
                <w:p w:rsidR="00D45C69" w:rsidRPr="004F45AA" w:rsidRDefault="00D45C69" w:rsidP="00CF2764">
                  <w:pPr>
                    <w:rPr>
                      <w:rFonts w:ascii="Garamond" w:hAnsi="Garamond"/>
                      <w:sz w:val="22"/>
                      <w:szCs w:val="22"/>
                      <w:lang w:val="fr-FR"/>
                    </w:rPr>
                  </w:pPr>
                  <w:r w:rsidRPr="004F45AA">
                    <w:rPr>
                      <w:rFonts w:ascii="Garamond" w:hAnsi="Garamond"/>
                      <w:sz w:val="22"/>
                      <w:szCs w:val="22"/>
                      <w:lang w:val="fr-FR"/>
                    </w:rPr>
                    <w:t>Connaissance du contexte de développement national et d’une solide compréhension des enjeux liés aux ODD</w:t>
                  </w:r>
                  <w:r>
                    <w:rPr>
                      <w:rFonts w:ascii="Garamond" w:hAnsi="Garamond"/>
                      <w:sz w:val="22"/>
                      <w:szCs w:val="22"/>
                      <w:lang w:val="fr-FR"/>
                    </w:rPr>
                    <w:t xml:space="preserve"> et </w:t>
                  </w:r>
                  <w:r w:rsidRPr="004F45AA">
                    <w:rPr>
                      <w:rFonts w:ascii="Garamond" w:hAnsi="Garamond"/>
                      <w:sz w:val="22"/>
                      <w:szCs w:val="22"/>
                      <w:lang w:val="fr-FR"/>
                    </w:rPr>
                    <w:t xml:space="preserve">du contexte </w:t>
                  </w:r>
                  <w:r>
                    <w:rPr>
                      <w:rFonts w:ascii="Garamond" w:hAnsi="Garamond"/>
                      <w:sz w:val="22"/>
                      <w:szCs w:val="22"/>
                      <w:lang w:val="fr-FR"/>
                    </w:rPr>
                    <w:t>de fragilité</w:t>
                  </w:r>
                </w:p>
              </w:tc>
              <w:tc>
                <w:tcPr>
                  <w:tcW w:w="769" w:type="pct"/>
                  <w:vAlign w:val="center"/>
                </w:tcPr>
                <w:p w:rsidR="00D45C69" w:rsidRPr="0015650D" w:rsidRDefault="00D45C69" w:rsidP="00CF2764">
                  <w:pPr>
                    <w:jc w:val="center"/>
                    <w:rPr>
                      <w:rFonts w:ascii="Garamond" w:hAnsi="Garamond"/>
                      <w:sz w:val="24"/>
                      <w:lang w:val="fr-FR"/>
                    </w:rPr>
                  </w:pPr>
                  <w:r>
                    <w:rPr>
                      <w:rFonts w:ascii="Garamond" w:hAnsi="Garamond"/>
                      <w:sz w:val="24"/>
                      <w:lang w:val="fr-FR"/>
                    </w:rPr>
                    <w:t>20</w:t>
                  </w:r>
                </w:p>
              </w:tc>
            </w:tr>
            <w:tr w:rsidR="00D45C69" w:rsidRPr="006A3B4E" w:rsidTr="00CF2764">
              <w:trPr>
                <w:trHeight w:val="304"/>
              </w:trPr>
              <w:tc>
                <w:tcPr>
                  <w:tcW w:w="4231" w:type="pct"/>
                  <w:vAlign w:val="center"/>
                </w:tcPr>
                <w:p w:rsidR="00D45C69" w:rsidRPr="004F45AA" w:rsidRDefault="00D45C69" w:rsidP="00CF2764">
                  <w:pPr>
                    <w:rPr>
                      <w:rFonts w:ascii="Garamond" w:hAnsi="Garamond"/>
                      <w:sz w:val="22"/>
                      <w:szCs w:val="22"/>
                      <w:lang w:val="fr-FR"/>
                    </w:rPr>
                  </w:pPr>
                  <w:r>
                    <w:rPr>
                      <w:rFonts w:ascii="Garamond" w:hAnsi="Garamond"/>
                      <w:sz w:val="22"/>
                      <w:szCs w:val="22"/>
                      <w:lang w:val="fr-FR"/>
                    </w:rPr>
                    <w:t>Atout missions similaires</w:t>
                  </w:r>
                </w:p>
              </w:tc>
              <w:tc>
                <w:tcPr>
                  <w:tcW w:w="769" w:type="pct"/>
                  <w:vAlign w:val="center"/>
                </w:tcPr>
                <w:p w:rsidR="00D45C69" w:rsidRDefault="00D45C69" w:rsidP="00CF2764">
                  <w:pPr>
                    <w:jc w:val="center"/>
                    <w:rPr>
                      <w:rFonts w:ascii="Garamond" w:hAnsi="Garamond"/>
                      <w:sz w:val="24"/>
                      <w:lang w:val="fr-FR"/>
                    </w:rPr>
                  </w:pPr>
                  <w:r>
                    <w:rPr>
                      <w:rFonts w:ascii="Garamond" w:hAnsi="Garamond"/>
                      <w:sz w:val="24"/>
                      <w:lang w:val="fr-FR"/>
                    </w:rPr>
                    <w:t>20</w:t>
                  </w:r>
                </w:p>
              </w:tc>
            </w:tr>
            <w:tr w:rsidR="00D45C69" w:rsidRPr="006A3B4E" w:rsidTr="00CF2764">
              <w:trPr>
                <w:trHeight w:val="304"/>
              </w:trPr>
              <w:tc>
                <w:tcPr>
                  <w:tcW w:w="4231" w:type="pct"/>
                  <w:vAlign w:val="center"/>
                </w:tcPr>
                <w:p w:rsidR="00D45C69" w:rsidRPr="0015650D" w:rsidRDefault="00D45C69" w:rsidP="00CF2764">
                  <w:pPr>
                    <w:rPr>
                      <w:rFonts w:ascii="Garamond" w:hAnsi="Garamond"/>
                      <w:b/>
                      <w:sz w:val="24"/>
                      <w:lang w:val="fr-FR"/>
                    </w:rPr>
                  </w:pPr>
                  <w:r w:rsidRPr="0015650D">
                    <w:rPr>
                      <w:rFonts w:ascii="Garamond" w:hAnsi="Garamond"/>
                      <w:b/>
                      <w:sz w:val="24"/>
                      <w:lang w:val="fr-FR"/>
                    </w:rPr>
                    <w:t>Total</w:t>
                  </w:r>
                </w:p>
              </w:tc>
              <w:tc>
                <w:tcPr>
                  <w:tcW w:w="769" w:type="pct"/>
                  <w:vAlign w:val="center"/>
                </w:tcPr>
                <w:p w:rsidR="00D45C69" w:rsidRPr="0015650D" w:rsidRDefault="00D45C69" w:rsidP="00CF2764">
                  <w:pPr>
                    <w:jc w:val="center"/>
                    <w:rPr>
                      <w:rFonts w:ascii="Garamond" w:hAnsi="Garamond"/>
                      <w:b/>
                      <w:sz w:val="24"/>
                      <w:lang w:val="fr-FR"/>
                    </w:rPr>
                  </w:pPr>
                  <w:r w:rsidRPr="0015650D">
                    <w:rPr>
                      <w:rFonts w:ascii="Garamond" w:hAnsi="Garamond"/>
                      <w:b/>
                      <w:sz w:val="24"/>
                      <w:lang w:val="fr-FR"/>
                    </w:rPr>
                    <w:t>100</w:t>
                  </w:r>
                </w:p>
              </w:tc>
            </w:tr>
          </w:tbl>
          <w:p w:rsidR="00D45C69" w:rsidRPr="00557939" w:rsidRDefault="00D45C69" w:rsidP="00CF2764">
            <w:pPr>
              <w:spacing w:line="276" w:lineRule="auto"/>
              <w:jc w:val="both"/>
              <w:rPr>
                <w:rFonts w:ascii="Garamond" w:hAnsi="Garamond"/>
                <w:sz w:val="24"/>
                <w:lang w:val="fr-FR"/>
              </w:rPr>
            </w:pPr>
          </w:p>
          <w:p w:rsidR="00D45C69" w:rsidRPr="00557939" w:rsidRDefault="00D45C69" w:rsidP="00CF2764">
            <w:pPr>
              <w:spacing w:line="276" w:lineRule="auto"/>
              <w:rPr>
                <w:rFonts w:ascii="Garamond" w:hAnsi="Garamond"/>
                <w:sz w:val="24"/>
                <w:lang w:val="fr-FR"/>
              </w:rPr>
            </w:pPr>
            <w:r w:rsidRPr="00557939">
              <w:rPr>
                <w:rFonts w:ascii="Garamond" w:hAnsi="Garamond"/>
                <w:sz w:val="24"/>
                <w:lang w:val="fr-FR"/>
              </w:rPr>
              <w:t>Seront jugées qualifiées, les propositions techniques qui obtiendront 70% de la note maximale de 100 point</w:t>
            </w:r>
            <w:r w:rsidR="001A71AA">
              <w:rPr>
                <w:rFonts w:ascii="Garamond" w:hAnsi="Garamond"/>
                <w:sz w:val="24"/>
                <w:lang w:val="fr-FR"/>
              </w:rPr>
              <w:t>s</w:t>
            </w:r>
            <w:r w:rsidRPr="00557939">
              <w:rPr>
                <w:rFonts w:ascii="Garamond" w:hAnsi="Garamond"/>
                <w:sz w:val="24"/>
                <w:lang w:val="fr-FR"/>
              </w:rPr>
              <w:t> ; cette note technique sera pondérée a 70%.</w:t>
            </w:r>
          </w:p>
          <w:p w:rsidR="00D45C69" w:rsidRPr="00557939" w:rsidRDefault="00D45C69" w:rsidP="00CF2764">
            <w:pPr>
              <w:spacing w:line="276" w:lineRule="auto"/>
              <w:rPr>
                <w:rFonts w:ascii="Garamond" w:hAnsi="Garamond"/>
                <w:sz w:val="24"/>
                <w:lang w:val="fr-FR"/>
              </w:rPr>
            </w:pPr>
            <w:r w:rsidRPr="00557939">
              <w:rPr>
                <w:rFonts w:ascii="Garamond" w:hAnsi="Garamond"/>
                <w:sz w:val="24"/>
                <w:lang w:val="fr-FR"/>
              </w:rPr>
              <w:t xml:space="preserve">Dans une deuxième étape du processus d’évaluation, les enveloppes financières seront ouvertes et les offres financières comparées. </w:t>
            </w:r>
          </w:p>
          <w:p w:rsidR="00D45C69" w:rsidRPr="00557939" w:rsidRDefault="00D45C69" w:rsidP="00CF2764">
            <w:pPr>
              <w:spacing w:line="276" w:lineRule="auto"/>
              <w:rPr>
                <w:rFonts w:ascii="Garamond" w:hAnsi="Garamond"/>
                <w:sz w:val="24"/>
                <w:lang w:val="fr-FR"/>
              </w:rPr>
            </w:pPr>
            <w:r w:rsidRPr="00557939">
              <w:rPr>
                <w:rFonts w:ascii="Garamond" w:hAnsi="Garamond"/>
                <w:bCs/>
                <w:sz w:val="24"/>
                <w:lang w:val="fr-FR"/>
              </w:rPr>
              <w:lastRenderedPageBreak/>
              <w:t>Le marché ou le contrat</w:t>
            </w:r>
            <w:r>
              <w:rPr>
                <w:rFonts w:ascii="Garamond" w:hAnsi="Garamond"/>
                <w:bCs/>
                <w:sz w:val="24"/>
                <w:lang w:val="fr-FR"/>
              </w:rPr>
              <w:t xml:space="preserve"> sera attribué a</w:t>
            </w:r>
            <w:r w:rsidRPr="00557939">
              <w:rPr>
                <w:rFonts w:ascii="Garamond" w:hAnsi="Garamond"/>
                <w:bCs/>
                <w:sz w:val="24"/>
                <w:lang w:val="fr-FR"/>
              </w:rPr>
              <w:t>u Consultant techniquement qualifié ayant présenté le meilleur score combiné - rapport qualité/prix, évaluation cumulative - (</w:t>
            </w:r>
            <w:r w:rsidRPr="00557939">
              <w:rPr>
                <w:rFonts w:ascii="Garamond" w:hAnsi="Garamond"/>
                <w:sz w:val="24"/>
                <w:lang w:val="fr-FR"/>
              </w:rPr>
              <w:t>Technique pondérée à 70% + Financière à 30%)</w:t>
            </w:r>
            <w:r w:rsidRPr="00557939">
              <w:rPr>
                <w:rFonts w:ascii="Garamond" w:hAnsi="Garamond"/>
                <w:bCs/>
                <w:sz w:val="24"/>
                <w:lang w:val="fr-FR"/>
              </w:rPr>
              <w:t xml:space="preserve">. </w:t>
            </w:r>
          </w:p>
          <w:p w:rsidR="00D45C69" w:rsidRPr="00682AEA" w:rsidRDefault="00D45C69" w:rsidP="00CF2764">
            <w:pPr>
              <w:spacing w:line="276" w:lineRule="auto"/>
              <w:ind w:left="708"/>
              <w:rPr>
                <w:rFonts w:ascii="Garamond" w:hAnsi="Garamond"/>
                <w:i/>
                <w:sz w:val="24"/>
                <w:lang w:val="fr-FR"/>
              </w:rPr>
            </w:pPr>
            <w:r w:rsidRPr="00557939">
              <w:rPr>
                <w:rFonts w:ascii="Garamond" w:hAnsi="Garamond"/>
                <w:i/>
                <w:sz w:val="24"/>
                <w:lang w:val="fr-FR"/>
              </w:rPr>
              <w:t>Cette note financière combinée à 30% est calculée pour chaque proposition sur la base de la formule suivante : Note financière A = [(Of</w:t>
            </w:r>
            <w:r>
              <w:rPr>
                <w:rFonts w:ascii="Garamond" w:hAnsi="Garamond"/>
                <w:i/>
                <w:sz w:val="24"/>
                <w:lang w:val="fr-FR"/>
              </w:rPr>
              <w:t xml:space="preserve">fre financière la moins </w:t>
            </w:r>
            <w:proofErr w:type="spellStart"/>
            <w:proofErr w:type="gramStart"/>
            <w:r>
              <w:rPr>
                <w:rFonts w:ascii="Garamond" w:hAnsi="Garamond"/>
                <w:i/>
                <w:sz w:val="24"/>
                <w:lang w:val="fr-FR"/>
              </w:rPr>
              <w:t>disante</w:t>
            </w:r>
            <w:proofErr w:type="spellEnd"/>
            <w:r w:rsidRPr="00557939">
              <w:rPr>
                <w:rFonts w:ascii="Garamond" w:hAnsi="Garamond"/>
                <w:i/>
                <w:sz w:val="24"/>
                <w:lang w:val="fr-FR"/>
              </w:rPr>
              <w:t>)/</w:t>
            </w:r>
            <w:proofErr w:type="gramEnd"/>
            <w:r w:rsidRPr="00557939">
              <w:rPr>
                <w:rFonts w:ascii="Garamond" w:hAnsi="Garamond"/>
                <w:i/>
                <w:sz w:val="24"/>
                <w:lang w:val="fr-FR"/>
              </w:rPr>
              <w:t>Offre financière de A] x 30</w:t>
            </w:r>
          </w:p>
        </w:tc>
      </w:tr>
    </w:tbl>
    <w:p w:rsidR="001A71AA" w:rsidRDefault="001A71AA">
      <w:pPr>
        <w:rPr>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D45C69" w:rsidRPr="00557939" w:rsidTr="00CF2764">
        <w:trPr>
          <w:trHeight w:val="369"/>
        </w:trPr>
        <w:tc>
          <w:tcPr>
            <w:tcW w:w="9607" w:type="dxa"/>
            <w:shd w:val="clear" w:color="auto" w:fill="000080"/>
            <w:vAlign w:val="center"/>
          </w:tcPr>
          <w:p w:rsidR="00D45C69" w:rsidRPr="00557939" w:rsidRDefault="00D45C69" w:rsidP="00CF2764">
            <w:pPr>
              <w:numPr>
                <w:ilvl w:val="0"/>
                <w:numId w:val="27"/>
              </w:numPr>
              <w:spacing w:line="276" w:lineRule="auto"/>
              <w:rPr>
                <w:rFonts w:ascii="Garamond" w:hAnsi="Garamond"/>
                <w:b/>
                <w:bCs/>
                <w:sz w:val="24"/>
                <w:lang w:val="fr-FR"/>
              </w:rPr>
            </w:pPr>
            <w:r w:rsidRPr="00557939">
              <w:rPr>
                <w:rFonts w:ascii="Garamond" w:hAnsi="Garamond"/>
                <w:b/>
                <w:bCs/>
                <w:sz w:val="24"/>
                <w:lang w:val="fr-FR"/>
              </w:rPr>
              <w:t xml:space="preserve">Jalons de paiement  </w:t>
            </w:r>
          </w:p>
        </w:tc>
      </w:tr>
    </w:tbl>
    <w:p w:rsidR="001A71AA" w:rsidRDefault="001A71AA" w:rsidP="00D45C69">
      <w:pPr>
        <w:spacing w:line="276" w:lineRule="auto"/>
        <w:rPr>
          <w:rFonts w:ascii="Garamond" w:hAnsi="Garamond"/>
          <w:sz w:val="22"/>
          <w:lang w:val="fr-FR"/>
        </w:rPr>
      </w:pPr>
    </w:p>
    <w:p w:rsidR="00D45C69" w:rsidRPr="00D45C69" w:rsidRDefault="00D45C69" w:rsidP="00D45C69">
      <w:pPr>
        <w:spacing w:line="276" w:lineRule="auto"/>
        <w:rPr>
          <w:rFonts w:ascii="Garamond" w:hAnsi="Garamond"/>
          <w:sz w:val="22"/>
          <w:lang w:val="fr-FR"/>
        </w:rPr>
      </w:pPr>
      <w:r w:rsidRPr="00D45C69">
        <w:rPr>
          <w:rFonts w:ascii="Garamond" w:hAnsi="Garamond"/>
          <w:sz w:val="22"/>
          <w:lang w:val="fr-FR"/>
        </w:rPr>
        <w:t>Le Consultant sera payé au fur et à mesure qu’il fournit les livrables mentionnés dans les présents TDR.</w:t>
      </w: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D45C69" w:rsidRPr="00D45C69" w:rsidTr="00CF2764">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b/>
                <w:bCs/>
                <w:color w:val="000000"/>
                <w:sz w:val="24"/>
                <w:lang w:val="fr-FR" w:eastAsia="fr-FR"/>
              </w:rPr>
            </w:pPr>
            <w:proofErr w:type="spellStart"/>
            <w:r w:rsidRPr="00D45C69">
              <w:rPr>
                <w:rFonts w:ascii="Garamond" w:hAnsi="Garamond"/>
                <w:b/>
                <w:bCs/>
                <w:color w:val="000000"/>
                <w:sz w:val="24"/>
                <w:lang w:eastAsia="fr-FR"/>
              </w:rPr>
              <w:t>Délivrables</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b/>
                <w:bCs/>
                <w:color w:val="000000"/>
                <w:sz w:val="24"/>
                <w:lang w:val="fr-FR" w:eastAsia="fr-FR"/>
              </w:rPr>
            </w:pPr>
            <w:r w:rsidRPr="00D45C69">
              <w:rPr>
                <w:rFonts w:ascii="Garamond" w:hAnsi="Garamond"/>
                <w:b/>
                <w:bCs/>
                <w:color w:val="000000"/>
                <w:sz w:val="24"/>
                <w:lang w:val="fr-FR" w:eastAsia="fr-FR"/>
              </w:rPr>
              <w:t>Délai au plus tard après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b/>
                <w:bCs/>
                <w:color w:val="000000"/>
                <w:sz w:val="24"/>
                <w:lang w:val="fr-FR" w:eastAsia="fr-FR"/>
              </w:rPr>
            </w:pPr>
            <w:r w:rsidRPr="00D45C69">
              <w:rPr>
                <w:rFonts w:ascii="Garamond" w:hAnsi="Garamond"/>
                <w:b/>
                <w:bCs/>
                <w:color w:val="000000"/>
                <w:sz w:val="24"/>
                <w:lang w:eastAsia="fr-FR"/>
              </w:rPr>
              <w:t>%</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val="fr-FR" w:eastAsia="fr-FR"/>
              </w:rPr>
              <w:t>1</w:t>
            </w:r>
            <w:r w:rsidRPr="00D45C69">
              <w:rPr>
                <w:rFonts w:ascii="Garamond" w:hAnsi="Garamond"/>
                <w:b/>
                <w:bCs/>
                <w:color w:val="000000"/>
                <w:sz w:val="24"/>
                <w:vertAlign w:val="superscript"/>
                <w:lang w:val="fr-FR" w:eastAsia="fr-FR"/>
              </w:rPr>
              <w:t>ère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eastAsia="fr-FR"/>
              </w:rPr>
              <w:t>Plan de travail avec chronogramme détaillé</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 xml:space="preserve">1 semaine </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Cs/>
                <w:color w:val="000000"/>
                <w:sz w:val="24"/>
                <w:lang w:val="fr-FR" w:eastAsia="fr-FR"/>
              </w:rPr>
            </w:pPr>
            <w:r w:rsidRPr="00D45C69">
              <w:rPr>
                <w:rFonts w:ascii="Garamond" w:hAnsi="Garamond"/>
                <w:b/>
                <w:bCs/>
                <w:color w:val="000000"/>
                <w:sz w:val="24"/>
                <w:lang w:val="fr-FR" w:eastAsia="fr-FR"/>
              </w:rPr>
              <w:t>2</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eastAsia="fr-FR"/>
              </w:rPr>
              <w:t>Plan stratégique MCIA + rapport d’activité 1</w:t>
            </w:r>
            <w:r w:rsidRPr="00D45C69">
              <w:rPr>
                <w:rFonts w:ascii="Garamond" w:hAnsi="Garamond"/>
                <w:bCs/>
                <w:color w:val="000000"/>
                <w:sz w:val="24"/>
                <w:vertAlign w:val="superscript"/>
                <w:lang w:val="fr-FR" w:eastAsia="fr-FR"/>
              </w:rPr>
              <w:t>er</w:t>
            </w:r>
            <w:r w:rsidRPr="00D45C69">
              <w:rPr>
                <w:rFonts w:ascii="Garamond" w:hAnsi="Garamond"/>
                <w:bCs/>
                <w:color w:val="000000"/>
                <w:sz w:val="24"/>
                <w:lang w:val="fr-FR" w:eastAsia="fr-FR"/>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3 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10%</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val="fr-FR" w:eastAsia="fr-FR"/>
              </w:rPr>
              <w:t>3</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rPr>
              <w:t>P</w:t>
            </w:r>
            <w:r w:rsidRPr="00D45C69">
              <w:rPr>
                <w:rFonts w:ascii="Garamond" w:hAnsi="Garamond"/>
                <w:sz w:val="24"/>
                <w:lang w:val="fr-FR"/>
              </w:rPr>
              <w:t xml:space="preserve">lan de communication et notes techniques trimestrielles + </w:t>
            </w:r>
            <w:r w:rsidRPr="00D45C69">
              <w:rPr>
                <w:rFonts w:ascii="Garamond" w:hAnsi="Garamond"/>
                <w:bCs/>
                <w:color w:val="000000"/>
                <w:sz w:val="24"/>
                <w:lang w:val="fr-FR" w:eastAsia="fr-FR"/>
              </w:rPr>
              <w:t>rapport d’activité 2</w:t>
            </w:r>
            <w:r w:rsidRPr="00D45C69">
              <w:rPr>
                <w:rFonts w:ascii="Garamond" w:hAnsi="Garamond"/>
                <w:bCs/>
                <w:color w:val="000000"/>
                <w:sz w:val="24"/>
                <w:vertAlign w:val="superscript"/>
                <w:lang w:val="fr-FR" w:eastAsia="fr-FR"/>
              </w:rPr>
              <w:t>ème</w:t>
            </w:r>
            <w:r w:rsidRPr="00D45C69">
              <w:rPr>
                <w:rFonts w:ascii="Garamond" w:hAnsi="Garamond"/>
                <w:bCs/>
                <w:color w:val="000000"/>
                <w:sz w:val="24"/>
                <w:lang w:val="fr-FR" w:eastAsia="fr-FR"/>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8 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val="fr-FR" w:eastAsia="fr-FR"/>
              </w:rPr>
              <w:t>4</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eastAsia="fr-FR"/>
              </w:rPr>
              <w:t>Rapport d’activité 3</w:t>
            </w:r>
            <w:r w:rsidRPr="00D45C69">
              <w:rPr>
                <w:rFonts w:ascii="Garamond" w:hAnsi="Garamond"/>
                <w:bCs/>
                <w:color w:val="000000"/>
                <w:sz w:val="24"/>
                <w:vertAlign w:val="superscript"/>
                <w:lang w:val="fr-FR" w:eastAsia="fr-FR"/>
              </w:rPr>
              <w:t>ème</w:t>
            </w:r>
            <w:r w:rsidRPr="00D45C69">
              <w:rPr>
                <w:rFonts w:ascii="Garamond" w:hAnsi="Garamond"/>
                <w:bCs/>
                <w:color w:val="000000"/>
                <w:sz w:val="24"/>
                <w:lang w:val="fr-FR" w:eastAsia="fr-FR"/>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 xml:space="preserve"> 12 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val="fr-FR" w:eastAsia="fr-FR"/>
              </w:rPr>
              <w:t>5</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eastAsia="fr-FR"/>
              </w:rPr>
              <w:t>Rapport d’activité 4</w:t>
            </w:r>
            <w:r w:rsidRPr="00D45C69">
              <w:rPr>
                <w:rFonts w:ascii="Garamond" w:hAnsi="Garamond"/>
                <w:bCs/>
                <w:color w:val="000000"/>
                <w:sz w:val="24"/>
                <w:vertAlign w:val="superscript"/>
                <w:lang w:val="fr-FR" w:eastAsia="fr-FR"/>
              </w:rPr>
              <w:t>ème</w:t>
            </w:r>
            <w:r w:rsidRPr="00D45C69">
              <w:rPr>
                <w:rFonts w:ascii="Garamond" w:hAnsi="Garamond"/>
                <w:bCs/>
                <w:color w:val="000000"/>
                <w:sz w:val="24"/>
                <w:lang w:val="fr-FR" w:eastAsia="fr-FR"/>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16 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val="fr-FR" w:eastAsia="fr-FR"/>
              </w:rPr>
              <w:t>6</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bCs/>
                <w:color w:val="000000"/>
                <w:sz w:val="24"/>
                <w:lang w:val="fr-FR" w:eastAsia="fr-FR"/>
              </w:rPr>
              <w:t>Rapport d’activité 5</w:t>
            </w:r>
            <w:r w:rsidRPr="00D45C69">
              <w:rPr>
                <w:rFonts w:ascii="Garamond" w:hAnsi="Garamond"/>
                <w:bCs/>
                <w:color w:val="000000"/>
                <w:sz w:val="24"/>
                <w:vertAlign w:val="superscript"/>
                <w:lang w:val="fr-FR" w:eastAsia="fr-FR"/>
              </w:rPr>
              <w:t>ème</w:t>
            </w:r>
            <w:r w:rsidRPr="00D45C69">
              <w:rPr>
                <w:rFonts w:ascii="Garamond" w:hAnsi="Garamond"/>
                <w:bCs/>
                <w:color w:val="000000"/>
                <w:sz w:val="24"/>
                <w:lang w:val="fr-FR" w:eastAsia="fr-FR"/>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20 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9B0088">
        <w:trPr>
          <w:trHeight w:val="605"/>
        </w:trPr>
        <w:tc>
          <w:tcPr>
            <w:tcW w:w="5954" w:type="dxa"/>
            <w:tcBorders>
              <w:top w:val="nil"/>
              <w:left w:val="single" w:sz="4" w:space="0" w:color="auto"/>
              <w:bottom w:val="single" w:sz="4" w:space="0" w:color="auto"/>
              <w:right w:val="single" w:sz="4" w:space="0" w:color="auto"/>
            </w:tcBorders>
            <w:shd w:val="clear" w:color="auto" w:fill="auto"/>
            <w:vAlign w:val="center"/>
          </w:tcPr>
          <w:p w:rsidR="00D45C69" w:rsidRPr="009B0088" w:rsidRDefault="00D45C69" w:rsidP="009B0088">
            <w:pPr>
              <w:spacing w:before="60" w:after="60" w:line="276" w:lineRule="auto"/>
              <w:jc w:val="both"/>
              <w:rPr>
                <w:rFonts w:ascii="Garamond" w:hAnsi="Garamond"/>
                <w:sz w:val="24"/>
                <w:lang w:val="fr-FR"/>
              </w:rPr>
            </w:pPr>
            <w:r w:rsidRPr="00D45C69">
              <w:rPr>
                <w:rFonts w:ascii="Garamond" w:hAnsi="Garamond"/>
                <w:b/>
                <w:bCs/>
                <w:color w:val="000000"/>
                <w:sz w:val="24"/>
                <w:lang w:val="fr-FR" w:eastAsia="fr-FR"/>
              </w:rPr>
              <w:t>7</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Tranche : </w:t>
            </w:r>
            <w:r w:rsidRPr="00D45C69">
              <w:rPr>
                <w:rFonts w:ascii="Garamond" w:hAnsi="Garamond"/>
                <w:sz w:val="24"/>
                <w:lang w:val="fr-FR"/>
              </w:rPr>
              <w:t>Un rapport final de la mission comprenant une annexe de tous les livrables</w:t>
            </w:r>
          </w:p>
        </w:tc>
        <w:tc>
          <w:tcPr>
            <w:tcW w:w="2693" w:type="dxa"/>
            <w:tcBorders>
              <w:top w:val="nil"/>
              <w:left w:val="nil"/>
              <w:bottom w:val="single" w:sz="4" w:space="0" w:color="auto"/>
              <w:right w:val="single" w:sz="4" w:space="0" w:color="auto"/>
            </w:tcBorders>
            <w:shd w:val="clear" w:color="auto" w:fill="auto"/>
            <w:vAlign w:val="center"/>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24 semaines</w:t>
            </w:r>
          </w:p>
        </w:tc>
        <w:tc>
          <w:tcPr>
            <w:tcW w:w="927" w:type="dxa"/>
            <w:tcBorders>
              <w:top w:val="nil"/>
              <w:left w:val="nil"/>
              <w:bottom w:val="single" w:sz="4" w:space="0" w:color="auto"/>
              <w:right w:val="single" w:sz="4" w:space="0" w:color="auto"/>
            </w:tcBorders>
            <w:shd w:val="clear" w:color="auto" w:fill="auto"/>
            <w:vAlign w:val="center"/>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rsidR="00D45C69" w:rsidRPr="00D45C69" w:rsidRDefault="00D45C69" w:rsidP="00D45C69">
            <w:pPr>
              <w:spacing w:line="276" w:lineRule="auto"/>
              <w:rPr>
                <w:rFonts w:ascii="Garamond" w:hAnsi="Garamond"/>
                <w:bCs/>
                <w:color w:val="000000"/>
                <w:sz w:val="24"/>
                <w:lang w:val="fr-FR" w:eastAsia="fr-FR"/>
              </w:rPr>
            </w:pPr>
            <w:r w:rsidRPr="00D45C69">
              <w:rPr>
                <w:rFonts w:ascii="Garamond" w:hAnsi="Garamond"/>
                <w:b/>
                <w:bCs/>
                <w:color w:val="000000"/>
                <w:sz w:val="24"/>
                <w:lang w:val="fr-FR" w:eastAsia="fr-FR"/>
              </w:rPr>
              <w:t>4</w:t>
            </w:r>
            <w:r w:rsidRPr="00D45C69">
              <w:rPr>
                <w:rFonts w:ascii="Garamond" w:hAnsi="Garamond"/>
                <w:b/>
                <w:bCs/>
                <w:color w:val="000000"/>
                <w:sz w:val="24"/>
                <w:vertAlign w:val="superscript"/>
                <w:lang w:val="fr-FR" w:eastAsia="fr-FR"/>
              </w:rPr>
              <w:t>ème</w:t>
            </w:r>
            <w:r w:rsidRPr="00D45C69">
              <w:rPr>
                <w:rFonts w:ascii="Garamond" w:hAnsi="Garamond"/>
                <w:b/>
                <w:bCs/>
                <w:color w:val="000000"/>
                <w:sz w:val="24"/>
                <w:lang w:val="fr-FR" w:eastAsia="fr-FR"/>
              </w:rPr>
              <w:t xml:space="preserve"> et dernière Tranche : </w:t>
            </w:r>
            <w:r w:rsidRPr="00D45C69">
              <w:rPr>
                <w:rFonts w:ascii="Garamond" w:hAnsi="Garamond"/>
                <w:bCs/>
                <w:color w:val="000000"/>
                <w:sz w:val="24"/>
                <w:lang w:val="fr-FR" w:eastAsia="fr-FR"/>
              </w:rPr>
              <w:t>Rapport final</w:t>
            </w:r>
            <w:r w:rsidRPr="00D45C69">
              <w:rPr>
                <w:rFonts w:ascii="Garamond" w:hAnsi="Garamond"/>
                <w:b/>
                <w:bCs/>
                <w:color w:val="000000"/>
                <w:sz w:val="24"/>
                <w:lang w:val="fr-FR" w:eastAsia="fr-FR"/>
              </w:rPr>
              <w:t xml:space="preserve"> </w:t>
            </w:r>
            <w:r w:rsidRPr="00D45C69">
              <w:rPr>
                <w:rFonts w:ascii="Garamond" w:hAnsi="Garamond"/>
                <w:bCs/>
                <w:color w:val="000000"/>
                <w:sz w:val="24"/>
                <w:lang w:val="fr-FR" w:eastAsia="fr-FR"/>
              </w:rPr>
              <w:t>prenant en compte toutes les observations</w:t>
            </w:r>
          </w:p>
        </w:tc>
        <w:tc>
          <w:tcPr>
            <w:tcW w:w="2693" w:type="dxa"/>
            <w:tcBorders>
              <w:top w:val="nil"/>
              <w:left w:val="nil"/>
              <w:bottom w:val="single" w:sz="4" w:space="0" w:color="auto"/>
              <w:right w:val="single" w:sz="4" w:space="0" w:color="auto"/>
            </w:tcBorders>
            <w:shd w:val="clear" w:color="auto" w:fill="auto"/>
            <w:vAlign w:val="center"/>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24 semaines</w:t>
            </w:r>
          </w:p>
        </w:tc>
        <w:tc>
          <w:tcPr>
            <w:tcW w:w="927" w:type="dxa"/>
            <w:tcBorders>
              <w:top w:val="nil"/>
              <w:left w:val="nil"/>
              <w:bottom w:val="single" w:sz="4" w:space="0" w:color="auto"/>
              <w:right w:val="single" w:sz="4" w:space="0" w:color="auto"/>
            </w:tcBorders>
            <w:shd w:val="clear" w:color="auto" w:fill="auto"/>
            <w:vAlign w:val="center"/>
          </w:tcPr>
          <w:p w:rsidR="00D45C69" w:rsidRPr="00D45C69" w:rsidRDefault="00D45C69" w:rsidP="00D45C69">
            <w:pPr>
              <w:spacing w:line="276" w:lineRule="auto"/>
              <w:jc w:val="center"/>
              <w:rPr>
                <w:rFonts w:ascii="Garamond" w:hAnsi="Garamond"/>
                <w:color w:val="000000"/>
                <w:sz w:val="24"/>
                <w:lang w:val="fr-FR" w:eastAsia="fr-FR"/>
              </w:rPr>
            </w:pPr>
            <w:r w:rsidRPr="00D45C69">
              <w:rPr>
                <w:rFonts w:ascii="Garamond" w:hAnsi="Garamond"/>
                <w:color w:val="000000"/>
                <w:sz w:val="24"/>
                <w:lang w:val="fr-FR" w:eastAsia="fr-FR"/>
              </w:rPr>
              <w:t>15%</w:t>
            </w:r>
          </w:p>
        </w:tc>
      </w:tr>
      <w:tr w:rsidR="00D45C69" w:rsidRPr="00D45C69" w:rsidTr="00CF2764">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D45C69" w:rsidRPr="00D45C69" w:rsidRDefault="00D45C69" w:rsidP="00D45C69">
            <w:pPr>
              <w:spacing w:line="276" w:lineRule="auto"/>
              <w:rPr>
                <w:rFonts w:ascii="Garamond" w:hAnsi="Garamond"/>
                <w:b/>
                <w:bCs/>
                <w:color w:val="000000"/>
                <w:sz w:val="24"/>
                <w:lang w:val="fr-FR" w:eastAsia="fr-FR"/>
              </w:rPr>
            </w:pPr>
            <w:r w:rsidRPr="00D45C69">
              <w:rPr>
                <w:rFonts w:ascii="Garamond" w:hAnsi="Garamond"/>
                <w:b/>
                <w:bCs/>
                <w:color w:val="000000"/>
                <w:sz w:val="24"/>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b/>
                <w:bCs/>
                <w:color w:val="000000"/>
                <w:sz w:val="24"/>
                <w:lang w:val="fr-FR" w:eastAsia="fr-FR"/>
              </w:rPr>
            </w:pPr>
            <w:r w:rsidRPr="00D45C69">
              <w:rPr>
                <w:rFonts w:ascii="Garamond" w:hAnsi="Garamond"/>
                <w:b/>
                <w:bCs/>
                <w:color w:val="000000"/>
                <w:sz w:val="24"/>
                <w:lang w:val="fr-FR" w:eastAsia="fr-FR"/>
              </w:rPr>
              <w:t xml:space="preserve">24 </w:t>
            </w:r>
            <w:r w:rsidRPr="00D45C69">
              <w:rPr>
                <w:rFonts w:ascii="Garamond" w:hAnsi="Garamond"/>
                <w:b/>
                <w:color w:val="000000"/>
                <w:sz w:val="24"/>
                <w:lang w:val="fr-FR" w:eastAsia="fr-FR"/>
              </w:rPr>
              <w:t>semaines</w:t>
            </w:r>
          </w:p>
        </w:tc>
        <w:tc>
          <w:tcPr>
            <w:tcW w:w="927" w:type="dxa"/>
            <w:tcBorders>
              <w:top w:val="nil"/>
              <w:left w:val="nil"/>
              <w:bottom w:val="single" w:sz="4" w:space="0" w:color="auto"/>
              <w:right w:val="single" w:sz="4" w:space="0" w:color="auto"/>
            </w:tcBorders>
            <w:shd w:val="clear" w:color="auto" w:fill="auto"/>
            <w:vAlign w:val="center"/>
            <w:hideMark/>
          </w:tcPr>
          <w:p w:rsidR="00D45C69" w:rsidRPr="00D45C69" w:rsidRDefault="00D45C69" w:rsidP="00D45C69">
            <w:pPr>
              <w:spacing w:line="276" w:lineRule="auto"/>
              <w:jc w:val="center"/>
              <w:rPr>
                <w:rFonts w:ascii="Garamond" w:hAnsi="Garamond"/>
                <w:b/>
                <w:bCs/>
                <w:color w:val="000000"/>
                <w:sz w:val="24"/>
                <w:lang w:val="fr-FR" w:eastAsia="fr-FR"/>
              </w:rPr>
            </w:pPr>
            <w:r w:rsidRPr="00D45C69">
              <w:rPr>
                <w:rFonts w:ascii="Garamond" w:hAnsi="Garamond"/>
                <w:b/>
                <w:bCs/>
                <w:color w:val="000000"/>
                <w:sz w:val="24"/>
                <w:lang w:eastAsia="fr-FR"/>
              </w:rPr>
              <w:t>100%</w:t>
            </w:r>
          </w:p>
        </w:tc>
      </w:tr>
    </w:tbl>
    <w:p w:rsidR="00D45C69" w:rsidRDefault="00D45C69">
      <w:pPr>
        <w:rPr>
          <w:lang w:val="fr-FR"/>
        </w:rPr>
      </w:pPr>
    </w:p>
    <w:p w:rsidR="006A3B4E" w:rsidRPr="00AC3C7A" w:rsidRDefault="006A3B4E" w:rsidP="006A3B4E">
      <w:pPr>
        <w:spacing w:after="120"/>
        <w:contextualSpacing/>
        <w:jc w:val="both"/>
        <w:rPr>
          <w:rFonts w:ascii="Cambria" w:hAnsi="Cambria"/>
          <w:b/>
          <w:i/>
          <w:sz w:val="24"/>
          <w:u w:val="single"/>
          <w:lang w:val="fr-FR" w:eastAsia="rw-RW"/>
        </w:rPr>
      </w:pPr>
      <w:r w:rsidRPr="00AC3C7A">
        <w:rPr>
          <w:rFonts w:ascii="Cambria" w:hAnsi="Cambria"/>
          <w:b/>
          <w:sz w:val="24"/>
          <w:u w:val="single"/>
          <w:lang w:val="fr-FR" w:eastAsia="rw-RW"/>
        </w:rPr>
        <w:t>N.B </w:t>
      </w:r>
      <w:r w:rsidRPr="00AC3C7A">
        <w:rPr>
          <w:rFonts w:ascii="Cambria" w:hAnsi="Cambria"/>
          <w:b/>
          <w:sz w:val="24"/>
          <w:lang w:val="fr-FR" w:eastAsia="rw-RW"/>
        </w:rPr>
        <w:t>:</w:t>
      </w:r>
      <w:r w:rsidRPr="00AC3C7A">
        <w:rPr>
          <w:rFonts w:ascii="Cambria" w:hAnsi="Cambria"/>
          <w:b/>
          <w:i/>
          <w:sz w:val="24"/>
          <w:lang w:val="fr-FR" w:eastAsia="rw-RW"/>
        </w:rPr>
        <w:t xml:space="preserve"> </w:t>
      </w:r>
      <w:r w:rsidRPr="00AC3C7A">
        <w:rPr>
          <w:rFonts w:ascii="Cambria" w:hAnsi="Cambria"/>
          <w:sz w:val="24"/>
          <w:lang w:val="fr-FR" w:eastAsia="rw-RW"/>
        </w:rPr>
        <w:t xml:space="preserve">Les candidat (e)s sont tenus de se renseigner sur les </w:t>
      </w:r>
      <w:hyperlink r:id="rId8" w:history="1">
        <w:r w:rsidRPr="00AC3C7A">
          <w:rPr>
            <w:rFonts w:ascii="Cambria" w:hAnsi="Cambria"/>
            <w:b/>
            <w:color w:val="0000FF"/>
            <w:sz w:val="24"/>
            <w:u w:val="single"/>
            <w:lang w:val="fr-FR" w:eastAsia="rw-RW"/>
          </w:rPr>
          <w:t>Conditions Générales des Contrats Individuels</w:t>
        </w:r>
      </w:hyperlink>
      <w:r w:rsidRPr="00AC3C7A">
        <w:rPr>
          <w:rFonts w:ascii="Cambria" w:hAnsi="Cambria"/>
          <w:b/>
          <w:color w:val="0000FF"/>
          <w:sz w:val="24"/>
          <w:u w:val="single"/>
          <w:lang w:val="fr-FR" w:eastAsia="rw-RW"/>
        </w:rPr>
        <w:t xml:space="preserve"> (annexe 1)</w:t>
      </w:r>
      <w:r w:rsidRPr="00AC3C7A">
        <w:rPr>
          <w:rFonts w:ascii="Cambria" w:hAnsi="Cambria"/>
          <w:sz w:val="24"/>
          <w:lang w:val="fr-FR" w:eastAsia="rw-RW"/>
        </w:rPr>
        <w:t>. (Cliquer sur « </w:t>
      </w:r>
      <w:r w:rsidRPr="00AC3C7A">
        <w:rPr>
          <w:rFonts w:ascii="Cambria" w:hAnsi="Cambria"/>
          <w:sz w:val="24"/>
          <w:u w:val="single"/>
          <w:lang w:val="fr-FR" w:eastAsia="rw-RW"/>
        </w:rPr>
        <w:t>Conditions Générales des Contrats Individuels</w:t>
      </w:r>
      <w:r w:rsidRPr="00AC3C7A">
        <w:rPr>
          <w:rFonts w:ascii="Cambria" w:hAnsi="Cambria"/>
          <w:sz w:val="24"/>
          <w:lang w:val="fr-FR" w:eastAsia="rw-RW"/>
        </w:rPr>
        <w:t> » pour télécharger le document)</w:t>
      </w:r>
    </w:p>
    <w:p w:rsidR="006A3B4E" w:rsidRPr="00AC3C7A" w:rsidRDefault="006A3B4E" w:rsidP="006A3B4E">
      <w:pPr>
        <w:spacing w:after="120"/>
        <w:ind w:left="851"/>
        <w:contextualSpacing/>
        <w:jc w:val="both"/>
        <w:rPr>
          <w:rFonts w:ascii="Cambria" w:hAnsi="Cambria"/>
          <w:sz w:val="24"/>
          <w:lang w:val="fr-FR" w:eastAsia="rw-RW"/>
        </w:rPr>
      </w:pPr>
    </w:p>
    <w:p w:rsidR="006A3B4E" w:rsidRPr="00AC3C7A" w:rsidRDefault="006A3B4E" w:rsidP="006A3B4E">
      <w:pPr>
        <w:spacing w:after="120"/>
        <w:contextualSpacing/>
        <w:jc w:val="both"/>
        <w:rPr>
          <w:rFonts w:ascii="Cambria" w:hAnsi="Cambria"/>
          <w:b/>
          <w:sz w:val="24"/>
          <w:u w:val="single"/>
          <w:lang w:val="fr-FR" w:eastAsia="rw-RW"/>
        </w:rPr>
      </w:pPr>
      <w:r w:rsidRPr="00AC3C7A">
        <w:rPr>
          <w:rFonts w:ascii="Cambria" w:hAnsi="Cambria"/>
          <w:b/>
          <w:sz w:val="24"/>
          <w:u w:val="single"/>
          <w:lang w:val="fr-FR" w:eastAsia="rw-RW"/>
        </w:rPr>
        <w:t>ANNEXES</w:t>
      </w:r>
    </w:p>
    <w:p w:rsidR="006A3B4E" w:rsidRPr="00AC3C7A" w:rsidRDefault="006A3B4E" w:rsidP="006A3B4E">
      <w:pPr>
        <w:spacing w:after="120"/>
        <w:contextualSpacing/>
        <w:jc w:val="both"/>
        <w:rPr>
          <w:rFonts w:ascii="Cambria" w:hAnsi="Cambria"/>
          <w:b/>
          <w:sz w:val="24"/>
          <w:u w:val="single"/>
          <w:lang w:val="fr-FR" w:eastAsia="rw-RW"/>
        </w:rPr>
      </w:pPr>
    </w:p>
    <w:p w:rsidR="006A3B4E" w:rsidRPr="00AC3C7A" w:rsidRDefault="006A3B4E" w:rsidP="006A3B4E">
      <w:pPr>
        <w:spacing w:after="120"/>
        <w:contextualSpacing/>
        <w:jc w:val="both"/>
        <w:rPr>
          <w:rFonts w:ascii="Cambria" w:hAnsi="Cambria"/>
          <w:b/>
          <w:sz w:val="24"/>
          <w:lang w:val="fr-FR" w:eastAsia="rw-RW"/>
        </w:rPr>
      </w:pPr>
      <w:r w:rsidRPr="00AC3C7A">
        <w:rPr>
          <w:rFonts w:ascii="Cambria" w:hAnsi="Cambria"/>
          <w:b/>
          <w:sz w:val="24"/>
          <w:lang w:val="fr-FR" w:eastAsia="rw-RW"/>
        </w:rPr>
        <w:t>Annexe 1 - Conditions générales des Contrats Individuels :</w:t>
      </w:r>
    </w:p>
    <w:bookmarkStart w:id="1" w:name="_MON_1440321617"/>
    <w:bookmarkEnd w:id="1"/>
    <w:p w:rsidR="006A3B4E" w:rsidRPr="00AC3C7A" w:rsidRDefault="006A3B4E" w:rsidP="006A3B4E">
      <w:pPr>
        <w:spacing w:after="120"/>
        <w:contextualSpacing/>
        <w:jc w:val="both"/>
        <w:rPr>
          <w:rFonts w:ascii="Cambria" w:hAnsi="Cambria"/>
          <w:b/>
          <w:sz w:val="24"/>
          <w:lang w:val="fr-FR" w:eastAsia="rw-RW"/>
        </w:rPr>
      </w:pPr>
      <w:r w:rsidRPr="00AC3C7A">
        <w:rPr>
          <w:rFonts w:ascii="Cambria" w:hAnsi="Cambria"/>
          <w:b/>
          <w:sz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9" o:title=""/>
          </v:shape>
          <o:OLEObject Type="Embed" ProgID="Word.Document.12" ShapeID="_x0000_i1025" DrawAspect="Icon" ObjectID="_1613214088" r:id="rId10">
            <o:FieldCodes>\s</o:FieldCodes>
          </o:OLEObject>
        </w:object>
      </w:r>
      <w:r w:rsidRPr="00AC3C7A">
        <w:rPr>
          <w:rFonts w:ascii="Cambria" w:hAnsi="Cambria"/>
          <w:b/>
          <w:sz w:val="24"/>
          <w:lang w:val="fr-FR" w:eastAsia="rw-RW"/>
        </w:rPr>
        <w:t xml:space="preserve"> </w:t>
      </w:r>
    </w:p>
    <w:p w:rsidR="006A3B4E" w:rsidRPr="00AC3C7A" w:rsidRDefault="006A3B4E" w:rsidP="006A3B4E">
      <w:pPr>
        <w:spacing w:after="120"/>
        <w:contextualSpacing/>
        <w:jc w:val="both"/>
        <w:rPr>
          <w:rFonts w:ascii="Cambria" w:hAnsi="Cambria"/>
          <w:b/>
          <w:sz w:val="24"/>
          <w:lang w:val="fr-FR" w:eastAsia="rw-RW"/>
        </w:rPr>
      </w:pPr>
    </w:p>
    <w:p w:rsidR="006A3B4E" w:rsidRPr="00AC3C7A" w:rsidRDefault="006A3B4E" w:rsidP="006A3B4E">
      <w:pPr>
        <w:spacing w:after="120"/>
        <w:contextualSpacing/>
        <w:jc w:val="both"/>
        <w:rPr>
          <w:rFonts w:ascii="Cambria" w:hAnsi="Cambria"/>
          <w:b/>
          <w:sz w:val="24"/>
          <w:lang w:val="fr-FR" w:eastAsia="rw-RW"/>
        </w:rPr>
      </w:pPr>
      <w:r w:rsidRPr="00AC3C7A">
        <w:rPr>
          <w:rFonts w:ascii="Cambria" w:hAnsi="Cambria"/>
          <w:b/>
          <w:sz w:val="24"/>
          <w:lang w:val="fr-FR" w:eastAsia="rw-RW"/>
        </w:rPr>
        <w:t xml:space="preserve">Annexe </w:t>
      </w:r>
      <w:r w:rsidR="003607E8">
        <w:rPr>
          <w:rFonts w:ascii="Cambria" w:hAnsi="Cambria"/>
          <w:b/>
          <w:sz w:val="24"/>
          <w:lang w:val="fr-FR" w:eastAsia="rw-RW"/>
        </w:rPr>
        <w:t>2</w:t>
      </w:r>
      <w:r w:rsidRPr="00AC3C7A">
        <w:rPr>
          <w:rFonts w:ascii="Cambria" w:hAnsi="Cambria"/>
          <w:b/>
          <w:sz w:val="24"/>
          <w:lang w:val="fr-FR" w:eastAsia="rw-RW"/>
        </w:rPr>
        <w:t xml:space="preserve"> – P11 (SC &amp; IC) </w:t>
      </w:r>
    </w:p>
    <w:bookmarkStart w:id="2" w:name="_MON_1440321681"/>
    <w:bookmarkEnd w:id="2"/>
    <w:p w:rsidR="003607E8" w:rsidRDefault="006A3B4E" w:rsidP="006A3B4E">
      <w:pPr>
        <w:spacing w:after="120"/>
        <w:contextualSpacing/>
        <w:jc w:val="both"/>
        <w:rPr>
          <w:rFonts w:ascii="Cambria" w:hAnsi="Cambria"/>
          <w:b/>
          <w:sz w:val="24"/>
          <w:lang w:eastAsia="rw-RW"/>
        </w:rPr>
      </w:pPr>
      <w:r w:rsidRPr="00AC3C7A">
        <w:rPr>
          <w:rFonts w:ascii="Cambria" w:hAnsi="Cambria"/>
          <w:b/>
          <w:sz w:val="24"/>
          <w:lang w:eastAsia="rw-RW"/>
        </w:rPr>
        <w:object w:dxaOrig="1531" w:dyaOrig="990">
          <v:shape id="_x0000_i1042" type="#_x0000_t75" style="width:75.75pt;height:50.25pt" o:ole="">
            <v:imagedata r:id="rId11" o:title=""/>
          </v:shape>
          <o:OLEObject Type="Embed" ProgID="Word.Document.8" ShapeID="_x0000_i1042" DrawAspect="Icon" ObjectID="_1613214089" r:id="rId12">
            <o:FieldCodes>\s</o:FieldCodes>
          </o:OLEObject>
        </w:object>
      </w:r>
    </w:p>
    <w:p w:rsidR="003607E8" w:rsidRPr="00AC3C7A" w:rsidRDefault="003607E8" w:rsidP="003607E8">
      <w:pPr>
        <w:spacing w:after="120"/>
        <w:contextualSpacing/>
        <w:jc w:val="both"/>
        <w:rPr>
          <w:rFonts w:ascii="Cambria" w:hAnsi="Cambria"/>
          <w:b/>
          <w:sz w:val="24"/>
          <w:lang w:val="fr-FR" w:eastAsia="rw-RW"/>
        </w:rPr>
      </w:pPr>
      <w:r w:rsidRPr="00AC3C7A">
        <w:rPr>
          <w:rFonts w:ascii="Cambria" w:hAnsi="Cambria"/>
          <w:b/>
          <w:noProof/>
          <w:sz w:val="24"/>
        </w:rPr>
        <w:lastRenderedPageBreak/>
        <w:object w:dxaOrig="1440" w:dyaOrig="1440">
          <v:shape id="_x0000_s1028" type="#_x0000_t75" style="position:absolute;left:0;text-align:left;margin-left:-.75pt;margin-top:18.45pt;width:55.75pt;height:38.15pt;z-index:251663360">
            <v:imagedata r:id="rId13" o:title=""/>
            <w10:wrap type="square" side="right"/>
          </v:shape>
          <o:OLEObject Type="Embed" ProgID="Word.Document.12" ShapeID="_x0000_s1028" DrawAspect="Icon" ObjectID="_1613214090" r:id="rId14">
            <o:FieldCodes>\s</o:FieldCodes>
          </o:OLEObject>
        </w:object>
      </w:r>
      <w:r w:rsidRPr="00AC3C7A">
        <w:rPr>
          <w:rFonts w:ascii="Cambria" w:hAnsi="Cambria"/>
          <w:b/>
          <w:sz w:val="24"/>
          <w:lang w:val="fr-FR" w:eastAsia="rw-RW"/>
        </w:rPr>
        <w:t xml:space="preserve">Annexe </w:t>
      </w:r>
      <w:r>
        <w:rPr>
          <w:rFonts w:ascii="Cambria" w:hAnsi="Cambria"/>
          <w:b/>
          <w:sz w:val="24"/>
          <w:lang w:val="fr-FR" w:eastAsia="rw-RW"/>
        </w:rPr>
        <w:t>3</w:t>
      </w:r>
      <w:r w:rsidRPr="00AC3C7A">
        <w:rPr>
          <w:rFonts w:ascii="Cambria" w:hAnsi="Cambria"/>
          <w:b/>
          <w:sz w:val="24"/>
          <w:lang w:val="fr-FR" w:eastAsia="rw-RW"/>
        </w:rPr>
        <w:t xml:space="preserve"> – Tableau des Coûts</w:t>
      </w:r>
    </w:p>
    <w:p w:rsidR="003607E8" w:rsidRPr="00AC3C7A" w:rsidRDefault="003607E8" w:rsidP="003607E8">
      <w:pPr>
        <w:spacing w:after="120"/>
        <w:contextualSpacing/>
        <w:jc w:val="both"/>
        <w:rPr>
          <w:rFonts w:ascii="Cambria" w:hAnsi="Cambria"/>
          <w:b/>
          <w:sz w:val="24"/>
          <w:lang w:val="fr-FR" w:eastAsia="rw-RW"/>
        </w:rPr>
      </w:pPr>
      <w:bookmarkStart w:id="3" w:name="_MON_1440321653"/>
      <w:bookmarkEnd w:id="3"/>
    </w:p>
    <w:p w:rsidR="003607E8" w:rsidRPr="00AC3C7A" w:rsidRDefault="003607E8" w:rsidP="003607E8">
      <w:pPr>
        <w:spacing w:after="120"/>
        <w:contextualSpacing/>
        <w:jc w:val="both"/>
        <w:rPr>
          <w:rFonts w:ascii="Cambria" w:hAnsi="Cambria"/>
          <w:b/>
          <w:sz w:val="24"/>
          <w:lang w:val="fr-FR" w:eastAsia="rw-RW"/>
        </w:rPr>
      </w:pPr>
    </w:p>
    <w:p w:rsidR="003607E8" w:rsidRPr="003607E8" w:rsidRDefault="003607E8" w:rsidP="006A3B4E">
      <w:pPr>
        <w:spacing w:after="120"/>
        <w:contextualSpacing/>
        <w:jc w:val="both"/>
        <w:rPr>
          <w:rFonts w:ascii="Cambria" w:hAnsi="Cambria"/>
          <w:b/>
          <w:sz w:val="24"/>
          <w:lang w:val="fr-FR" w:eastAsia="rw-RW"/>
        </w:rPr>
      </w:pPr>
    </w:p>
    <w:p w:rsidR="003607E8" w:rsidRDefault="003607E8" w:rsidP="003607E8">
      <w:pPr>
        <w:ind w:left="360"/>
        <w:jc w:val="center"/>
        <w:rPr>
          <w:b/>
          <w:sz w:val="22"/>
          <w:szCs w:val="22"/>
          <w:lang w:val="fr-FR"/>
        </w:rPr>
      </w:pPr>
      <w:r>
        <w:rPr>
          <w:b/>
          <w:sz w:val="22"/>
          <w:szCs w:val="22"/>
          <w:lang w:val="fr-FR"/>
        </w:rPr>
        <w:t>Tableau des coûts</w:t>
      </w:r>
      <w:r w:rsidRPr="0076205E">
        <w:rPr>
          <w:b/>
          <w:sz w:val="22"/>
          <w:szCs w:val="22"/>
          <w:lang w:val="fr-FR"/>
        </w:rPr>
        <w:t xml:space="preserve"> (A TITRE INDICATIF).</w:t>
      </w:r>
    </w:p>
    <w:p w:rsidR="003607E8" w:rsidRPr="0076205E" w:rsidRDefault="003607E8" w:rsidP="003607E8">
      <w:pPr>
        <w:rPr>
          <w:b/>
          <w:sz w:val="22"/>
          <w:szCs w:val="22"/>
          <w:lang w:val="fr-FR"/>
        </w:rPr>
      </w:pPr>
    </w:p>
    <w:tbl>
      <w:tblPr>
        <w:tblpPr w:leftFromText="141" w:rightFromText="141" w:vertAnchor="text" w:horzAnchor="margin" w:tblpXSpec="center" w:tblpY="33"/>
        <w:tblW w:w="10055" w:type="dxa"/>
        <w:tblLook w:val="04A0" w:firstRow="1" w:lastRow="0" w:firstColumn="1" w:lastColumn="0" w:noHBand="0" w:noVBand="1"/>
      </w:tblPr>
      <w:tblGrid>
        <w:gridCol w:w="557"/>
        <w:gridCol w:w="5103"/>
        <w:gridCol w:w="1276"/>
        <w:gridCol w:w="1559"/>
        <w:gridCol w:w="1560"/>
      </w:tblGrid>
      <w:tr w:rsidR="003607E8" w:rsidRPr="0076205E" w:rsidTr="003607E8">
        <w:trPr>
          <w:trHeight w:val="480"/>
        </w:trPr>
        <w:tc>
          <w:tcPr>
            <w:tcW w:w="557" w:type="dxa"/>
            <w:tcBorders>
              <w:top w:val="single" w:sz="8" w:space="0" w:color="auto"/>
              <w:left w:val="single" w:sz="8" w:space="0" w:color="auto"/>
              <w:bottom w:val="dashed" w:sz="4" w:space="0" w:color="auto"/>
              <w:right w:val="single" w:sz="4" w:space="0" w:color="auto"/>
            </w:tcBorders>
            <w:shd w:val="clear" w:color="auto" w:fill="auto"/>
            <w:noWrap/>
            <w:vAlign w:val="center"/>
          </w:tcPr>
          <w:p w:rsidR="003607E8" w:rsidRPr="0076205E" w:rsidRDefault="003607E8" w:rsidP="00AD21C7">
            <w:pPr>
              <w:jc w:val="center"/>
              <w:rPr>
                <w:color w:val="000000"/>
                <w:sz w:val="22"/>
                <w:szCs w:val="22"/>
              </w:rPr>
            </w:pPr>
            <w:r w:rsidRPr="0076205E">
              <w:rPr>
                <w:color w:val="000000"/>
                <w:sz w:val="22"/>
                <w:szCs w:val="22"/>
              </w:rPr>
              <w:t>N°</w:t>
            </w:r>
          </w:p>
        </w:tc>
        <w:tc>
          <w:tcPr>
            <w:tcW w:w="5103" w:type="dxa"/>
            <w:tcBorders>
              <w:top w:val="single" w:sz="8" w:space="0" w:color="auto"/>
              <w:left w:val="nil"/>
              <w:bottom w:val="dashed" w:sz="4" w:space="0" w:color="auto"/>
              <w:right w:val="single" w:sz="4" w:space="0" w:color="auto"/>
            </w:tcBorders>
            <w:shd w:val="clear" w:color="auto" w:fill="auto"/>
            <w:vAlign w:val="center"/>
          </w:tcPr>
          <w:p w:rsidR="003607E8" w:rsidRPr="0076205E" w:rsidRDefault="003607E8" w:rsidP="00AD21C7">
            <w:pPr>
              <w:jc w:val="center"/>
              <w:rPr>
                <w:b/>
                <w:bCs/>
                <w:sz w:val="22"/>
                <w:szCs w:val="22"/>
              </w:rPr>
            </w:pPr>
            <w:proofErr w:type="spellStart"/>
            <w:r w:rsidRPr="0076205E">
              <w:rPr>
                <w:b/>
                <w:bCs/>
                <w:sz w:val="22"/>
                <w:szCs w:val="22"/>
              </w:rPr>
              <w:t>Rubrique</w:t>
            </w:r>
            <w:r>
              <w:rPr>
                <w:b/>
                <w:bCs/>
                <w:sz w:val="22"/>
                <w:szCs w:val="22"/>
              </w:rPr>
              <w:t>s</w:t>
            </w:r>
            <w:proofErr w:type="spellEnd"/>
          </w:p>
        </w:tc>
        <w:tc>
          <w:tcPr>
            <w:tcW w:w="1276" w:type="dxa"/>
            <w:tcBorders>
              <w:top w:val="single" w:sz="8" w:space="0" w:color="auto"/>
              <w:left w:val="nil"/>
              <w:bottom w:val="double" w:sz="6" w:space="0" w:color="auto"/>
              <w:right w:val="single" w:sz="4" w:space="0" w:color="auto"/>
            </w:tcBorders>
            <w:vAlign w:val="center"/>
          </w:tcPr>
          <w:p w:rsidR="003607E8" w:rsidRPr="0076205E" w:rsidRDefault="003607E8" w:rsidP="00AD21C7">
            <w:pPr>
              <w:jc w:val="center"/>
              <w:rPr>
                <w:b/>
                <w:bCs/>
                <w:sz w:val="22"/>
                <w:szCs w:val="22"/>
                <w:lang w:val="fr-FR"/>
              </w:rPr>
            </w:pPr>
            <w:r w:rsidRPr="0076205E">
              <w:rPr>
                <w:b/>
                <w:bCs/>
                <w:sz w:val="22"/>
                <w:szCs w:val="22"/>
                <w:lang w:val="fr-FR"/>
              </w:rPr>
              <w:t>Quantité</w:t>
            </w:r>
          </w:p>
        </w:tc>
        <w:tc>
          <w:tcPr>
            <w:tcW w:w="1559" w:type="dxa"/>
            <w:tcBorders>
              <w:top w:val="single" w:sz="8" w:space="0" w:color="auto"/>
              <w:left w:val="single" w:sz="4" w:space="0" w:color="auto"/>
              <w:bottom w:val="dashed" w:sz="4" w:space="0" w:color="auto"/>
              <w:right w:val="single" w:sz="4" w:space="0" w:color="auto"/>
            </w:tcBorders>
          </w:tcPr>
          <w:p w:rsidR="003607E8" w:rsidRPr="0076205E" w:rsidRDefault="003607E8" w:rsidP="00AD21C7">
            <w:pPr>
              <w:jc w:val="center"/>
              <w:rPr>
                <w:b/>
                <w:bCs/>
                <w:sz w:val="22"/>
                <w:szCs w:val="22"/>
                <w:lang w:val="fr-FR"/>
              </w:rPr>
            </w:pPr>
            <w:r>
              <w:rPr>
                <w:b/>
                <w:bCs/>
                <w:sz w:val="22"/>
                <w:szCs w:val="22"/>
                <w:lang w:val="fr-FR"/>
              </w:rPr>
              <w:t>Prix Unitaire</w:t>
            </w:r>
            <w:r w:rsidRPr="0076205E">
              <w:rPr>
                <w:b/>
                <w:bCs/>
                <w:sz w:val="22"/>
                <w:szCs w:val="22"/>
                <w:lang w:val="fr-FR"/>
              </w:rPr>
              <w:t xml:space="preserve"> en </w:t>
            </w:r>
            <w:r>
              <w:rPr>
                <w:b/>
                <w:bCs/>
                <w:sz w:val="22"/>
                <w:szCs w:val="22"/>
                <w:lang w:val="fr-FR"/>
              </w:rPr>
              <w:t>USD</w:t>
            </w:r>
          </w:p>
        </w:tc>
        <w:tc>
          <w:tcPr>
            <w:tcW w:w="1560" w:type="dxa"/>
            <w:tcBorders>
              <w:top w:val="single" w:sz="8" w:space="0" w:color="auto"/>
              <w:left w:val="single" w:sz="4" w:space="0" w:color="auto"/>
              <w:bottom w:val="dashed" w:sz="4" w:space="0" w:color="auto"/>
              <w:right w:val="single" w:sz="4" w:space="0" w:color="auto"/>
            </w:tcBorders>
            <w:vAlign w:val="center"/>
          </w:tcPr>
          <w:p w:rsidR="003607E8" w:rsidRPr="0076205E" w:rsidRDefault="003607E8" w:rsidP="00AD21C7">
            <w:pPr>
              <w:jc w:val="center"/>
              <w:rPr>
                <w:b/>
                <w:bCs/>
                <w:sz w:val="22"/>
                <w:szCs w:val="22"/>
                <w:lang w:val="fr-FR"/>
              </w:rPr>
            </w:pPr>
            <w:r w:rsidRPr="0076205E">
              <w:rPr>
                <w:b/>
                <w:bCs/>
                <w:sz w:val="22"/>
                <w:szCs w:val="22"/>
                <w:lang w:val="fr-FR"/>
              </w:rPr>
              <w:t xml:space="preserve">Coût Total en </w:t>
            </w:r>
            <w:r>
              <w:rPr>
                <w:b/>
                <w:bCs/>
                <w:sz w:val="22"/>
                <w:szCs w:val="22"/>
                <w:lang w:val="fr-FR"/>
              </w:rPr>
              <w:t>USD</w:t>
            </w:r>
          </w:p>
        </w:tc>
      </w:tr>
      <w:tr w:rsidR="003607E8" w:rsidRPr="0076205E" w:rsidTr="003607E8">
        <w:trPr>
          <w:trHeight w:val="345"/>
        </w:trPr>
        <w:tc>
          <w:tcPr>
            <w:tcW w:w="557" w:type="dxa"/>
            <w:tcBorders>
              <w:top w:val="double" w:sz="6" w:space="0" w:color="auto"/>
              <w:left w:val="single" w:sz="8" w:space="0" w:color="auto"/>
              <w:bottom w:val="single" w:sz="8" w:space="0" w:color="auto"/>
              <w:right w:val="single" w:sz="4" w:space="0" w:color="auto"/>
            </w:tcBorders>
            <w:shd w:val="clear" w:color="auto" w:fill="auto"/>
            <w:noWrap/>
            <w:vAlign w:val="center"/>
          </w:tcPr>
          <w:p w:rsidR="003607E8" w:rsidRPr="0076205E" w:rsidRDefault="003607E8" w:rsidP="00AD21C7">
            <w:pPr>
              <w:jc w:val="center"/>
              <w:rPr>
                <w:color w:val="000000"/>
                <w:sz w:val="22"/>
                <w:szCs w:val="22"/>
              </w:rPr>
            </w:pPr>
            <w:r w:rsidRPr="0076205E">
              <w:rPr>
                <w:color w:val="000000"/>
                <w:sz w:val="22"/>
                <w:szCs w:val="22"/>
              </w:rPr>
              <w:t>1</w:t>
            </w:r>
          </w:p>
        </w:tc>
        <w:tc>
          <w:tcPr>
            <w:tcW w:w="5103" w:type="dxa"/>
            <w:tcBorders>
              <w:top w:val="double" w:sz="6" w:space="0" w:color="auto"/>
              <w:left w:val="nil"/>
              <w:bottom w:val="single" w:sz="8" w:space="0" w:color="auto"/>
              <w:right w:val="single" w:sz="4" w:space="0" w:color="auto"/>
            </w:tcBorders>
            <w:shd w:val="clear" w:color="auto" w:fill="auto"/>
            <w:noWrap/>
            <w:vAlign w:val="center"/>
          </w:tcPr>
          <w:p w:rsidR="003607E8" w:rsidRPr="0076205E" w:rsidRDefault="003607E8" w:rsidP="00AD21C7">
            <w:pPr>
              <w:rPr>
                <w:color w:val="000000"/>
                <w:sz w:val="22"/>
                <w:szCs w:val="22"/>
                <w:lang w:val="fr-FR"/>
              </w:rPr>
            </w:pPr>
            <w:r w:rsidRPr="0076205E">
              <w:rPr>
                <w:color w:val="000000"/>
                <w:sz w:val="22"/>
                <w:szCs w:val="22"/>
                <w:lang w:val="fr-FR"/>
              </w:rPr>
              <w:t>Honoraires</w:t>
            </w:r>
          </w:p>
        </w:tc>
        <w:tc>
          <w:tcPr>
            <w:tcW w:w="1276" w:type="dxa"/>
            <w:tcBorders>
              <w:top w:val="double" w:sz="6" w:space="0" w:color="auto"/>
              <w:left w:val="nil"/>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c>
          <w:tcPr>
            <w:tcW w:w="1559" w:type="dxa"/>
            <w:tcBorders>
              <w:top w:val="double" w:sz="6" w:space="0" w:color="auto"/>
              <w:left w:val="single" w:sz="4" w:space="0" w:color="auto"/>
              <w:bottom w:val="single" w:sz="8" w:space="0" w:color="auto"/>
              <w:right w:val="single" w:sz="4" w:space="0" w:color="auto"/>
            </w:tcBorders>
          </w:tcPr>
          <w:p w:rsidR="003607E8" w:rsidRPr="0076205E" w:rsidRDefault="003607E8" w:rsidP="00AD21C7">
            <w:pPr>
              <w:jc w:val="center"/>
              <w:rPr>
                <w:color w:val="000000"/>
                <w:sz w:val="22"/>
                <w:szCs w:val="22"/>
                <w:lang w:val="fr-FR"/>
              </w:rPr>
            </w:pPr>
          </w:p>
        </w:tc>
        <w:tc>
          <w:tcPr>
            <w:tcW w:w="1560" w:type="dxa"/>
            <w:tcBorders>
              <w:top w:val="double" w:sz="6" w:space="0" w:color="auto"/>
              <w:left w:val="single" w:sz="4" w:space="0" w:color="auto"/>
              <w:bottom w:val="single" w:sz="8" w:space="0" w:color="auto"/>
              <w:right w:val="single" w:sz="4" w:space="0" w:color="auto"/>
            </w:tcBorders>
            <w:vAlign w:val="center"/>
          </w:tcPr>
          <w:p w:rsidR="003607E8" w:rsidRPr="0076205E" w:rsidRDefault="003607E8" w:rsidP="00AD21C7">
            <w:pPr>
              <w:jc w:val="center"/>
              <w:rPr>
                <w:color w:val="000000"/>
                <w:sz w:val="22"/>
                <w:szCs w:val="22"/>
                <w:lang w:val="fr-FR"/>
              </w:rPr>
            </w:pPr>
          </w:p>
        </w:tc>
      </w:tr>
      <w:tr w:rsidR="003607E8" w:rsidRPr="0076205E" w:rsidTr="003607E8">
        <w:trPr>
          <w:trHeight w:val="345"/>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rsidR="003607E8" w:rsidRPr="0076205E" w:rsidRDefault="003607E8" w:rsidP="00AD21C7">
            <w:pPr>
              <w:jc w:val="center"/>
              <w:rPr>
                <w:color w:val="000000"/>
                <w:lang w:val="fr-FR"/>
              </w:rPr>
            </w:pPr>
            <w:r w:rsidRPr="0076205E">
              <w:rPr>
                <w:color w:val="000000"/>
                <w:lang w:val="fr-FR"/>
              </w:rPr>
              <w:t>2</w:t>
            </w:r>
          </w:p>
        </w:tc>
        <w:tc>
          <w:tcPr>
            <w:tcW w:w="5103" w:type="dxa"/>
            <w:tcBorders>
              <w:top w:val="double" w:sz="6" w:space="0" w:color="auto"/>
              <w:left w:val="nil"/>
              <w:bottom w:val="double" w:sz="6" w:space="0" w:color="auto"/>
              <w:right w:val="single" w:sz="4" w:space="0" w:color="auto"/>
            </w:tcBorders>
            <w:shd w:val="clear" w:color="auto" w:fill="auto"/>
            <w:noWrap/>
            <w:vAlign w:val="center"/>
          </w:tcPr>
          <w:p w:rsidR="003607E8" w:rsidRPr="0076205E" w:rsidRDefault="003607E8" w:rsidP="00AD21C7">
            <w:pPr>
              <w:rPr>
                <w:sz w:val="22"/>
                <w:lang w:val="fr-FR"/>
              </w:rPr>
            </w:pPr>
            <w:r w:rsidRPr="0076205E">
              <w:rPr>
                <w:sz w:val="22"/>
                <w:lang w:val="fr-FR"/>
              </w:rPr>
              <w:t>Indemnités journalières</w:t>
            </w:r>
          </w:p>
        </w:tc>
        <w:tc>
          <w:tcPr>
            <w:tcW w:w="1276" w:type="dxa"/>
            <w:tcBorders>
              <w:top w:val="double" w:sz="6" w:space="0" w:color="auto"/>
              <w:left w:val="nil"/>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c>
          <w:tcPr>
            <w:tcW w:w="1559" w:type="dxa"/>
            <w:tcBorders>
              <w:top w:val="double" w:sz="6" w:space="0" w:color="auto"/>
              <w:left w:val="single" w:sz="4" w:space="0" w:color="auto"/>
              <w:bottom w:val="double" w:sz="6" w:space="0" w:color="auto"/>
              <w:right w:val="single" w:sz="4" w:space="0" w:color="auto"/>
            </w:tcBorders>
          </w:tcPr>
          <w:p w:rsidR="003607E8" w:rsidRPr="0076205E" w:rsidRDefault="003607E8" w:rsidP="00AD21C7">
            <w:pPr>
              <w:jc w:val="center"/>
              <w:rPr>
                <w:color w:val="000000"/>
                <w:sz w:val="22"/>
                <w:szCs w:val="22"/>
                <w:lang w:val="fr-FR"/>
              </w:rPr>
            </w:pPr>
          </w:p>
        </w:tc>
        <w:tc>
          <w:tcPr>
            <w:tcW w:w="1560" w:type="dxa"/>
            <w:tcBorders>
              <w:top w:val="double" w:sz="6" w:space="0" w:color="auto"/>
              <w:left w:val="single" w:sz="4" w:space="0" w:color="auto"/>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r>
      <w:tr w:rsidR="003607E8" w:rsidRPr="0076205E" w:rsidTr="003607E8">
        <w:trPr>
          <w:trHeight w:val="345"/>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rsidR="003607E8" w:rsidRPr="0076205E" w:rsidRDefault="003607E8" w:rsidP="00AD21C7">
            <w:pPr>
              <w:jc w:val="center"/>
              <w:rPr>
                <w:color w:val="000000"/>
                <w:lang w:val="fr-FR"/>
              </w:rPr>
            </w:pPr>
            <w:r w:rsidRPr="0076205E">
              <w:rPr>
                <w:color w:val="000000"/>
                <w:lang w:val="fr-FR"/>
              </w:rPr>
              <w:t>3</w:t>
            </w:r>
          </w:p>
        </w:tc>
        <w:tc>
          <w:tcPr>
            <w:tcW w:w="5103" w:type="dxa"/>
            <w:tcBorders>
              <w:top w:val="double" w:sz="6" w:space="0" w:color="auto"/>
              <w:left w:val="nil"/>
              <w:bottom w:val="double" w:sz="6" w:space="0" w:color="auto"/>
              <w:right w:val="single" w:sz="4" w:space="0" w:color="auto"/>
            </w:tcBorders>
            <w:shd w:val="clear" w:color="auto" w:fill="auto"/>
            <w:noWrap/>
            <w:vAlign w:val="center"/>
          </w:tcPr>
          <w:p w:rsidR="003607E8" w:rsidRPr="0076205E" w:rsidRDefault="003607E8" w:rsidP="00AD21C7">
            <w:pPr>
              <w:rPr>
                <w:sz w:val="22"/>
                <w:lang w:val="fr-FR"/>
              </w:rPr>
            </w:pPr>
            <w:r w:rsidRPr="0076205E">
              <w:rPr>
                <w:sz w:val="22"/>
                <w:lang w:val="fr-FR"/>
              </w:rPr>
              <w:t>Frais de voyage</w:t>
            </w:r>
          </w:p>
        </w:tc>
        <w:tc>
          <w:tcPr>
            <w:tcW w:w="1276" w:type="dxa"/>
            <w:tcBorders>
              <w:top w:val="double" w:sz="6" w:space="0" w:color="auto"/>
              <w:left w:val="nil"/>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c>
          <w:tcPr>
            <w:tcW w:w="1559" w:type="dxa"/>
            <w:tcBorders>
              <w:top w:val="double" w:sz="6" w:space="0" w:color="auto"/>
              <w:left w:val="single" w:sz="4" w:space="0" w:color="auto"/>
              <w:bottom w:val="double" w:sz="6" w:space="0" w:color="auto"/>
              <w:right w:val="single" w:sz="4" w:space="0" w:color="auto"/>
            </w:tcBorders>
          </w:tcPr>
          <w:p w:rsidR="003607E8" w:rsidRPr="0076205E" w:rsidRDefault="003607E8" w:rsidP="00AD21C7">
            <w:pPr>
              <w:jc w:val="center"/>
              <w:rPr>
                <w:color w:val="000000"/>
                <w:sz w:val="22"/>
                <w:szCs w:val="22"/>
                <w:lang w:val="fr-FR"/>
              </w:rPr>
            </w:pPr>
          </w:p>
        </w:tc>
        <w:tc>
          <w:tcPr>
            <w:tcW w:w="1560" w:type="dxa"/>
            <w:tcBorders>
              <w:top w:val="double" w:sz="6" w:space="0" w:color="auto"/>
              <w:left w:val="single" w:sz="4" w:space="0" w:color="auto"/>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r>
      <w:tr w:rsidR="003607E8" w:rsidRPr="005F5920" w:rsidTr="003607E8">
        <w:trPr>
          <w:trHeight w:val="345"/>
        </w:trPr>
        <w:tc>
          <w:tcPr>
            <w:tcW w:w="557" w:type="dxa"/>
            <w:tcBorders>
              <w:top w:val="double" w:sz="6" w:space="0" w:color="auto"/>
              <w:left w:val="single" w:sz="8" w:space="0" w:color="auto"/>
              <w:bottom w:val="double" w:sz="6" w:space="0" w:color="auto"/>
              <w:right w:val="single" w:sz="4" w:space="0" w:color="auto"/>
            </w:tcBorders>
            <w:shd w:val="clear" w:color="auto" w:fill="auto"/>
            <w:noWrap/>
            <w:vAlign w:val="center"/>
          </w:tcPr>
          <w:p w:rsidR="003607E8" w:rsidRPr="0076205E" w:rsidRDefault="003607E8" w:rsidP="00AD21C7">
            <w:pPr>
              <w:jc w:val="center"/>
              <w:rPr>
                <w:color w:val="000000"/>
                <w:lang w:val="fr-FR"/>
              </w:rPr>
            </w:pPr>
            <w:r>
              <w:rPr>
                <w:color w:val="000000"/>
                <w:lang w:val="fr-FR"/>
              </w:rPr>
              <w:t>4</w:t>
            </w:r>
          </w:p>
        </w:tc>
        <w:tc>
          <w:tcPr>
            <w:tcW w:w="5103" w:type="dxa"/>
            <w:tcBorders>
              <w:top w:val="double" w:sz="6" w:space="0" w:color="auto"/>
              <w:left w:val="nil"/>
              <w:bottom w:val="double" w:sz="6" w:space="0" w:color="auto"/>
              <w:right w:val="single" w:sz="4" w:space="0" w:color="auto"/>
            </w:tcBorders>
            <w:shd w:val="clear" w:color="auto" w:fill="auto"/>
            <w:noWrap/>
            <w:vAlign w:val="center"/>
          </w:tcPr>
          <w:p w:rsidR="003607E8" w:rsidRPr="0076205E" w:rsidRDefault="003607E8" w:rsidP="00AD21C7">
            <w:pPr>
              <w:rPr>
                <w:sz w:val="22"/>
                <w:lang w:val="fr-FR"/>
              </w:rPr>
            </w:pPr>
            <w:r w:rsidRPr="0076205E">
              <w:rPr>
                <w:sz w:val="22"/>
                <w:lang w:val="fr-FR"/>
              </w:rPr>
              <w:t>Toutes autres dépenses pertinentes, si applicable</w:t>
            </w:r>
          </w:p>
        </w:tc>
        <w:tc>
          <w:tcPr>
            <w:tcW w:w="1276" w:type="dxa"/>
            <w:tcBorders>
              <w:top w:val="double" w:sz="6" w:space="0" w:color="auto"/>
              <w:left w:val="nil"/>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c>
          <w:tcPr>
            <w:tcW w:w="1559" w:type="dxa"/>
            <w:tcBorders>
              <w:top w:val="double" w:sz="6" w:space="0" w:color="auto"/>
              <w:left w:val="single" w:sz="4" w:space="0" w:color="auto"/>
              <w:bottom w:val="double" w:sz="6" w:space="0" w:color="auto"/>
              <w:right w:val="single" w:sz="4" w:space="0" w:color="auto"/>
            </w:tcBorders>
          </w:tcPr>
          <w:p w:rsidR="003607E8" w:rsidRPr="0076205E" w:rsidRDefault="003607E8" w:rsidP="00AD21C7">
            <w:pPr>
              <w:jc w:val="center"/>
              <w:rPr>
                <w:color w:val="000000"/>
                <w:sz w:val="22"/>
                <w:szCs w:val="22"/>
                <w:lang w:val="fr-FR"/>
              </w:rPr>
            </w:pPr>
          </w:p>
        </w:tc>
        <w:tc>
          <w:tcPr>
            <w:tcW w:w="1560" w:type="dxa"/>
            <w:tcBorders>
              <w:top w:val="double" w:sz="6" w:space="0" w:color="auto"/>
              <w:left w:val="single" w:sz="4" w:space="0" w:color="auto"/>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r>
      <w:tr w:rsidR="003607E8" w:rsidRPr="0076205E" w:rsidTr="003607E8">
        <w:trPr>
          <w:trHeight w:val="345"/>
        </w:trPr>
        <w:tc>
          <w:tcPr>
            <w:tcW w:w="5660" w:type="dxa"/>
            <w:gridSpan w:val="2"/>
            <w:tcBorders>
              <w:top w:val="double" w:sz="6" w:space="0" w:color="auto"/>
              <w:left w:val="single" w:sz="8" w:space="0" w:color="auto"/>
              <w:bottom w:val="double" w:sz="6" w:space="0" w:color="auto"/>
              <w:right w:val="single" w:sz="4" w:space="0" w:color="auto"/>
            </w:tcBorders>
            <w:shd w:val="clear" w:color="auto" w:fill="auto"/>
            <w:noWrap/>
            <w:vAlign w:val="center"/>
          </w:tcPr>
          <w:p w:rsidR="003607E8" w:rsidRPr="0076205E" w:rsidRDefault="003607E8" w:rsidP="00AD21C7">
            <w:pPr>
              <w:rPr>
                <w:b/>
                <w:sz w:val="22"/>
                <w:lang w:val="fr-FR"/>
              </w:rPr>
            </w:pPr>
            <w:r w:rsidRPr="0076205E">
              <w:rPr>
                <w:b/>
                <w:sz w:val="22"/>
                <w:lang w:val="fr-FR"/>
              </w:rPr>
              <w:t>Total</w:t>
            </w:r>
          </w:p>
        </w:tc>
        <w:tc>
          <w:tcPr>
            <w:tcW w:w="1276" w:type="dxa"/>
            <w:tcBorders>
              <w:top w:val="double" w:sz="6" w:space="0" w:color="auto"/>
              <w:left w:val="nil"/>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c>
          <w:tcPr>
            <w:tcW w:w="1559" w:type="dxa"/>
            <w:tcBorders>
              <w:top w:val="double" w:sz="6" w:space="0" w:color="auto"/>
              <w:left w:val="single" w:sz="4" w:space="0" w:color="auto"/>
              <w:bottom w:val="double" w:sz="6" w:space="0" w:color="auto"/>
              <w:right w:val="single" w:sz="4" w:space="0" w:color="auto"/>
            </w:tcBorders>
          </w:tcPr>
          <w:p w:rsidR="003607E8" w:rsidRPr="0076205E" w:rsidRDefault="003607E8" w:rsidP="00AD21C7">
            <w:pPr>
              <w:jc w:val="center"/>
              <w:rPr>
                <w:color w:val="000000"/>
                <w:sz w:val="22"/>
                <w:szCs w:val="22"/>
                <w:lang w:val="fr-FR"/>
              </w:rPr>
            </w:pPr>
          </w:p>
        </w:tc>
        <w:tc>
          <w:tcPr>
            <w:tcW w:w="1560" w:type="dxa"/>
            <w:tcBorders>
              <w:top w:val="double" w:sz="6" w:space="0" w:color="auto"/>
              <w:left w:val="single" w:sz="4" w:space="0" w:color="auto"/>
              <w:bottom w:val="double" w:sz="6" w:space="0" w:color="auto"/>
              <w:right w:val="single" w:sz="4" w:space="0" w:color="auto"/>
            </w:tcBorders>
            <w:vAlign w:val="center"/>
          </w:tcPr>
          <w:p w:rsidR="003607E8" w:rsidRPr="0076205E" w:rsidRDefault="003607E8" w:rsidP="00AD21C7">
            <w:pPr>
              <w:jc w:val="center"/>
              <w:rPr>
                <w:color w:val="000000"/>
                <w:sz w:val="22"/>
                <w:szCs w:val="22"/>
                <w:lang w:val="fr-FR"/>
              </w:rPr>
            </w:pPr>
          </w:p>
        </w:tc>
      </w:tr>
    </w:tbl>
    <w:p w:rsidR="003607E8" w:rsidRPr="0076205E" w:rsidRDefault="003607E8" w:rsidP="003607E8">
      <w:pPr>
        <w:ind w:left="360"/>
        <w:rPr>
          <w:i/>
          <w:color w:val="000000"/>
          <w:sz w:val="22"/>
          <w:szCs w:val="22"/>
          <w:lang w:val="fr-FR"/>
        </w:rPr>
      </w:pPr>
    </w:p>
    <w:p w:rsidR="003607E8" w:rsidRPr="0076205E" w:rsidRDefault="003607E8" w:rsidP="003607E8">
      <w:pPr>
        <w:jc w:val="right"/>
        <w:rPr>
          <w:sz w:val="22"/>
          <w:szCs w:val="22"/>
          <w:lang w:val="fr-FR"/>
        </w:rPr>
      </w:pPr>
      <w:r w:rsidRPr="0076205E">
        <w:rPr>
          <w:sz w:val="22"/>
          <w:szCs w:val="22"/>
          <w:lang w:val="fr-FR"/>
        </w:rPr>
        <w:t xml:space="preserve">     </w:t>
      </w:r>
      <w:proofErr w:type="gramStart"/>
      <w:r w:rsidRPr="0076205E">
        <w:rPr>
          <w:sz w:val="22"/>
          <w:szCs w:val="22"/>
          <w:lang w:val="fr-FR"/>
        </w:rPr>
        <w:t>Fait le</w:t>
      </w:r>
      <w:proofErr w:type="gramEnd"/>
      <w:r w:rsidRPr="0076205E">
        <w:rPr>
          <w:sz w:val="22"/>
          <w:szCs w:val="22"/>
          <w:lang w:val="fr-FR"/>
        </w:rPr>
        <w:t xml:space="preserve"> (jour/mois) de l’année</w:t>
      </w:r>
    </w:p>
    <w:p w:rsidR="003607E8" w:rsidRPr="0076205E" w:rsidRDefault="003607E8" w:rsidP="003607E8">
      <w:pPr>
        <w:rPr>
          <w:sz w:val="22"/>
          <w:szCs w:val="22"/>
          <w:lang w:val="fr-FR"/>
        </w:rPr>
      </w:pPr>
      <w:r w:rsidRPr="0076205E">
        <w:rPr>
          <w:sz w:val="22"/>
          <w:szCs w:val="22"/>
          <w:lang w:val="fr-FR"/>
        </w:rPr>
        <w:t>Signature :</w:t>
      </w:r>
      <w:r w:rsidRPr="0076205E">
        <w:rPr>
          <w:sz w:val="22"/>
          <w:szCs w:val="22"/>
          <w:lang w:val="fr-FR"/>
        </w:rPr>
        <w:t xml:space="preserve"> …………………………</w:t>
      </w:r>
      <w:proofErr w:type="gramStart"/>
      <w:r w:rsidRPr="0076205E">
        <w:rPr>
          <w:sz w:val="22"/>
          <w:szCs w:val="22"/>
          <w:lang w:val="fr-FR"/>
        </w:rPr>
        <w:t>…….</w:t>
      </w:r>
      <w:proofErr w:type="gramEnd"/>
      <w:r w:rsidRPr="0076205E">
        <w:rPr>
          <w:sz w:val="22"/>
          <w:szCs w:val="22"/>
          <w:lang w:val="fr-FR"/>
        </w:rPr>
        <w:t>.</w:t>
      </w:r>
    </w:p>
    <w:p w:rsidR="003607E8" w:rsidRPr="0076205E" w:rsidRDefault="003607E8" w:rsidP="003607E8">
      <w:pPr>
        <w:rPr>
          <w:sz w:val="22"/>
          <w:szCs w:val="22"/>
          <w:lang w:val="fr-FR"/>
        </w:rPr>
      </w:pPr>
      <w:r w:rsidRPr="0076205E">
        <w:rPr>
          <w:sz w:val="22"/>
          <w:szCs w:val="22"/>
          <w:lang w:val="fr-FR"/>
        </w:rPr>
        <w:t>Nom</w:t>
      </w:r>
    </w:p>
    <w:p w:rsidR="003607E8" w:rsidRPr="00AC3C7A" w:rsidRDefault="003607E8" w:rsidP="006A3B4E">
      <w:pPr>
        <w:spacing w:after="120"/>
        <w:contextualSpacing/>
        <w:jc w:val="both"/>
        <w:rPr>
          <w:rFonts w:ascii="Cambria" w:hAnsi="Cambria"/>
          <w:b/>
          <w:sz w:val="24"/>
          <w:lang w:eastAsia="rw-RW"/>
        </w:rPr>
      </w:pPr>
    </w:p>
    <w:p w:rsidR="006A3B4E" w:rsidRPr="00AC3C7A" w:rsidRDefault="006A3B4E" w:rsidP="006A3B4E">
      <w:pPr>
        <w:spacing w:after="120"/>
        <w:contextualSpacing/>
        <w:jc w:val="both"/>
        <w:rPr>
          <w:rFonts w:ascii="Cambria" w:hAnsi="Cambria"/>
          <w:b/>
          <w:sz w:val="24"/>
          <w:u w:val="single"/>
          <w:lang w:val="fr-FR"/>
        </w:rPr>
      </w:pPr>
      <w:r w:rsidRPr="00AC3C7A">
        <w:rPr>
          <w:rFonts w:ascii="Cambria" w:hAnsi="Cambria"/>
          <w:b/>
          <w:sz w:val="24"/>
          <w:u w:val="single"/>
          <w:lang w:val="fr-FR"/>
        </w:rPr>
        <w:t>Date limite et lieu de remise des candidatures</w:t>
      </w:r>
    </w:p>
    <w:p w:rsidR="006A3B4E" w:rsidRDefault="006A3B4E" w:rsidP="006A3B4E">
      <w:pPr>
        <w:spacing w:after="120"/>
        <w:contextualSpacing/>
        <w:jc w:val="both"/>
        <w:rPr>
          <w:rFonts w:ascii="Cambria" w:hAnsi="Cambria" w:cs="Calibri"/>
          <w:sz w:val="24"/>
          <w:lang w:val="fr-FR"/>
        </w:rPr>
      </w:pPr>
    </w:p>
    <w:p w:rsidR="006A3B4E" w:rsidRPr="00AC3C7A" w:rsidRDefault="006A3B4E" w:rsidP="006A3B4E">
      <w:pPr>
        <w:spacing w:after="120"/>
        <w:contextualSpacing/>
        <w:jc w:val="both"/>
        <w:rPr>
          <w:rFonts w:ascii="Cambria" w:hAnsi="Cambria" w:cs="Calibri"/>
          <w:sz w:val="24"/>
          <w:lang w:val="fr-FR"/>
        </w:rPr>
      </w:pPr>
      <w:r w:rsidRPr="00AC3C7A">
        <w:rPr>
          <w:rFonts w:ascii="Cambria" w:hAnsi="Cambria" w:cs="Calibri"/>
          <w:sz w:val="24"/>
          <w:lang w:val="fr-FR"/>
        </w:rPr>
        <w:t xml:space="preserve">Le dossier complet devra nous parvenir à l'adresse suivante : </w:t>
      </w:r>
    </w:p>
    <w:p w:rsidR="006A3B4E" w:rsidRPr="00AC3C7A" w:rsidRDefault="006A3B4E" w:rsidP="006A3B4E">
      <w:pPr>
        <w:spacing w:after="120"/>
        <w:contextualSpacing/>
        <w:jc w:val="center"/>
        <w:outlineLvl w:val="0"/>
        <w:rPr>
          <w:rFonts w:ascii="Cambria" w:hAnsi="Cambria" w:cs="Calibri"/>
          <w:b/>
          <w:sz w:val="24"/>
          <w:lang w:val="fr-FR"/>
        </w:rPr>
      </w:pPr>
      <w:r w:rsidRPr="00AC3C7A">
        <w:rPr>
          <w:rFonts w:ascii="Cambria" w:hAnsi="Cambria" w:cs="Calibri"/>
          <w:b/>
          <w:sz w:val="24"/>
          <w:lang w:val="fr-FR"/>
        </w:rPr>
        <w:t>Programme des Nations Unies pour le Développement (PNUD)</w:t>
      </w:r>
    </w:p>
    <w:p w:rsidR="006A3B4E" w:rsidRPr="00AC3C7A" w:rsidRDefault="006A3B4E" w:rsidP="006A3B4E">
      <w:pPr>
        <w:spacing w:after="120"/>
        <w:contextualSpacing/>
        <w:jc w:val="center"/>
        <w:outlineLvl w:val="0"/>
        <w:rPr>
          <w:rFonts w:ascii="Cambria" w:hAnsi="Cambria" w:cs="Calibri"/>
          <w:b/>
          <w:sz w:val="24"/>
          <w:lang w:val="fr-FR"/>
        </w:rPr>
      </w:pPr>
      <w:r w:rsidRPr="00AC3C7A">
        <w:rPr>
          <w:rFonts w:ascii="Cambria" w:hAnsi="Cambria" w:cs="Calibri"/>
          <w:b/>
          <w:sz w:val="24"/>
          <w:lang w:val="fr-FR"/>
        </w:rPr>
        <w:t>Maison Commune</w:t>
      </w:r>
    </w:p>
    <w:p w:rsidR="006A3B4E" w:rsidRPr="00AC3C7A" w:rsidRDefault="006A3B4E" w:rsidP="006A3B4E">
      <w:pPr>
        <w:spacing w:after="120"/>
        <w:contextualSpacing/>
        <w:jc w:val="center"/>
        <w:outlineLvl w:val="0"/>
        <w:rPr>
          <w:rFonts w:ascii="Cambria" w:hAnsi="Cambria" w:cs="Calibri"/>
          <w:b/>
          <w:sz w:val="24"/>
          <w:lang w:val="fr-FR"/>
        </w:rPr>
      </w:pPr>
      <w:r w:rsidRPr="00AC3C7A">
        <w:rPr>
          <w:rFonts w:ascii="Cambria" w:hAnsi="Cambria" w:cs="Calibri"/>
          <w:b/>
          <w:sz w:val="24"/>
          <w:lang w:val="fr-FR"/>
        </w:rPr>
        <w:t xml:space="preserve">Commune de Matam </w:t>
      </w:r>
      <w:proofErr w:type="spellStart"/>
      <w:r w:rsidRPr="00AC3C7A">
        <w:rPr>
          <w:rFonts w:ascii="Cambria" w:hAnsi="Cambria" w:cs="Calibri"/>
          <w:b/>
          <w:sz w:val="24"/>
          <w:lang w:val="fr-FR"/>
        </w:rPr>
        <w:t>Coléah</w:t>
      </w:r>
      <w:proofErr w:type="spellEnd"/>
      <w:r w:rsidRPr="00AC3C7A">
        <w:rPr>
          <w:rFonts w:ascii="Cambria" w:hAnsi="Cambria" w:cs="Calibri"/>
          <w:b/>
          <w:sz w:val="24"/>
          <w:lang w:val="fr-FR"/>
        </w:rPr>
        <w:t xml:space="preserve"> Corniche Sud, Rue M002</w:t>
      </w:r>
    </w:p>
    <w:p w:rsidR="006A3B4E" w:rsidRPr="00AC3C7A" w:rsidRDefault="006A3B4E" w:rsidP="006A3B4E">
      <w:pPr>
        <w:spacing w:after="120"/>
        <w:contextualSpacing/>
        <w:jc w:val="center"/>
        <w:rPr>
          <w:rFonts w:ascii="Cambria" w:hAnsi="Cambria" w:cs="Calibri"/>
          <w:b/>
          <w:sz w:val="24"/>
          <w:lang w:val="fr-FR"/>
        </w:rPr>
      </w:pPr>
      <w:r w:rsidRPr="00AC3C7A">
        <w:rPr>
          <w:rFonts w:ascii="Cambria" w:hAnsi="Cambria" w:cs="Calibri"/>
          <w:b/>
          <w:sz w:val="24"/>
          <w:lang w:val="fr-FR"/>
        </w:rPr>
        <w:t>BP 222 Conakry, Rép</w:t>
      </w:r>
      <w:r>
        <w:rPr>
          <w:rFonts w:ascii="Cambria" w:hAnsi="Cambria" w:cs="Calibri"/>
          <w:b/>
          <w:sz w:val="24"/>
          <w:lang w:val="fr-FR"/>
        </w:rPr>
        <w:t>ublique</w:t>
      </w:r>
      <w:r w:rsidRPr="00AC3C7A">
        <w:rPr>
          <w:rFonts w:ascii="Cambria" w:hAnsi="Cambria" w:cs="Calibri"/>
          <w:b/>
          <w:sz w:val="24"/>
          <w:lang w:val="fr-FR"/>
        </w:rPr>
        <w:t xml:space="preserve"> de Guinée</w:t>
      </w:r>
    </w:p>
    <w:p w:rsidR="006A3B4E" w:rsidRPr="00AC3C7A" w:rsidRDefault="006A3B4E" w:rsidP="006A3B4E">
      <w:pPr>
        <w:spacing w:after="120"/>
        <w:contextualSpacing/>
        <w:rPr>
          <w:rFonts w:ascii="Cambria" w:hAnsi="Cambria" w:cs="Calibri"/>
          <w:sz w:val="24"/>
          <w:lang w:val="fr-FR"/>
        </w:rPr>
      </w:pPr>
      <w:r>
        <w:rPr>
          <w:rFonts w:ascii="Cambria" w:hAnsi="Cambria" w:cs="Calibri"/>
          <w:b/>
          <w:sz w:val="24"/>
          <w:lang w:val="fr-FR"/>
        </w:rPr>
        <w:t>P</w:t>
      </w:r>
      <w:r w:rsidRPr="00AC3C7A">
        <w:rPr>
          <w:rFonts w:ascii="Cambria" w:hAnsi="Cambria" w:cs="Calibri"/>
          <w:b/>
          <w:sz w:val="24"/>
          <w:lang w:val="fr-FR"/>
        </w:rPr>
        <w:t xml:space="preserve">ar email : </w:t>
      </w:r>
      <w:hyperlink r:id="rId15" w:history="1">
        <w:r w:rsidRPr="00AC3C7A">
          <w:rPr>
            <w:rFonts w:ascii="Cambria" w:hAnsi="Cambria"/>
            <w:color w:val="0000FF"/>
            <w:sz w:val="24"/>
            <w:u w:val="single"/>
            <w:lang w:val="fr-FR"/>
          </w:rPr>
          <w:t>ic.offres.gn@undp.org</w:t>
        </w:r>
      </w:hyperlink>
      <w:r w:rsidRPr="00AC3C7A">
        <w:rPr>
          <w:rFonts w:ascii="Cambria" w:hAnsi="Cambria"/>
          <w:color w:val="0000FF"/>
          <w:sz w:val="24"/>
          <w:u w:val="single"/>
          <w:lang w:val="fr-FR"/>
        </w:rPr>
        <w:t xml:space="preserve"> </w:t>
      </w:r>
    </w:p>
    <w:p w:rsidR="006A3B4E" w:rsidRDefault="006A3B4E" w:rsidP="006A3B4E">
      <w:pPr>
        <w:tabs>
          <w:tab w:val="left" w:pos="1410"/>
        </w:tabs>
        <w:spacing w:after="120"/>
        <w:contextualSpacing/>
        <w:jc w:val="both"/>
        <w:rPr>
          <w:rFonts w:ascii="Cambria" w:hAnsi="Cambria" w:cs="Calibri"/>
          <w:sz w:val="24"/>
          <w:lang w:val="fr-FR"/>
        </w:rPr>
      </w:pPr>
    </w:p>
    <w:p w:rsidR="006A3B4E" w:rsidRPr="00AC3C7A" w:rsidRDefault="006A3B4E" w:rsidP="006A3B4E">
      <w:pPr>
        <w:tabs>
          <w:tab w:val="left" w:pos="1410"/>
        </w:tabs>
        <w:spacing w:after="120"/>
        <w:contextualSpacing/>
        <w:jc w:val="both"/>
        <w:rPr>
          <w:rFonts w:ascii="Cambria" w:hAnsi="Cambria" w:cs="Calibri"/>
          <w:sz w:val="24"/>
          <w:lang w:val="fr-FR"/>
        </w:rPr>
      </w:pPr>
      <w:r w:rsidRPr="00AC3C7A">
        <w:rPr>
          <w:rFonts w:ascii="Cambria" w:hAnsi="Cambria" w:cs="Calibri"/>
          <w:sz w:val="24"/>
          <w:lang w:val="fr-FR"/>
        </w:rPr>
        <w:t xml:space="preserve">Au plus tard : </w:t>
      </w:r>
      <w:r w:rsidRPr="00AC3C7A">
        <w:rPr>
          <w:rFonts w:ascii="Cambria" w:hAnsi="Cambria" w:cs="Calibri"/>
          <w:b/>
          <w:sz w:val="24"/>
          <w:highlight w:val="yellow"/>
          <w:lang w:val="fr-FR"/>
        </w:rPr>
        <w:t xml:space="preserve">Le </w:t>
      </w:r>
      <w:r>
        <w:rPr>
          <w:rFonts w:ascii="Cambria" w:hAnsi="Cambria" w:cs="Calibri"/>
          <w:b/>
          <w:sz w:val="24"/>
          <w:highlight w:val="yellow"/>
          <w:lang w:val="fr-FR"/>
        </w:rPr>
        <w:t>19 Mars</w:t>
      </w:r>
      <w:r w:rsidRPr="00AC3C7A">
        <w:rPr>
          <w:rFonts w:ascii="Cambria" w:hAnsi="Cambria" w:cs="Calibri"/>
          <w:b/>
          <w:color w:val="00B0F0"/>
          <w:sz w:val="24"/>
          <w:highlight w:val="yellow"/>
          <w:lang w:val="fr-FR"/>
        </w:rPr>
        <w:t xml:space="preserve"> </w:t>
      </w:r>
      <w:r w:rsidRPr="00AC3C7A">
        <w:rPr>
          <w:rFonts w:ascii="Cambria" w:hAnsi="Cambria" w:cs="Calibri"/>
          <w:b/>
          <w:sz w:val="24"/>
          <w:highlight w:val="yellow"/>
          <w:lang w:val="fr-FR"/>
        </w:rPr>
        <w:t>201</w:t>
      </w:r>
      <w:r>
        <w:rPr>
          <w:rFonts w:ascii="Cambria" w:hAnsi="Cambria" w:cs="Calibri"/>
          <w:b/>
          <w:sz w:val="24"/>
          <w:highlight w:val="yellow"/>
          <w:lang w:val="fr-FR"/>
        </w:rPr>
        <w:t>9</w:t>
      </w:r>
      <w:r w:rsidRPr="00AC3C7A">
        <w:rPr>
          <w:rFonts w:ascii="Cambria" w:hAnsi="Cambria" w:cs="Calibri"/>
          <w:b/>
          <w:sz w:val="24"/>
          <w:highlight w:val="yellow"/>
          <w:lang w:val="fr-FR"/>
        </w:rPr>
        <w:t xml:space="preserve"> à 1</w:t>
      </w:r>
      <w:r>
        <w:rPr>
          <w:rFonts w:ascii="Cambria" w:hAnsi="Cambria" w:cs="Calibri"/>
          <w:b/>
          <w:sz w:val="24"/>
          <w:highlight w:val="yellow"/>
          <w:lang w:val="fr-FR"/>
        </w:rPr>
        <w:t>9</w:t>
      </w:r>
      <w:r w:rsidRPr="00AC3C7A">
        <w:rPr>
          <w:rFonts w:ascii="Cambria" w:hAnsi="Cambria" w:cs="Calibri"/>
          <w:b/>
          <w:sz w:val="24"/>
          <w:highlight w:val="yellow"/>
          <w:lang w:val="fr-FR"/>
        </w:rPr>
        <w:t xml:space="preserve"> Heures GMT</w:t>
      </w:r>
      <w:r w:rsidRPr="00AC3C7A">
        <w:rPr>
          <w:rFonts w:ascii="Cambria" w:hAnsi="Cambria" w:cs="Calibri"/>
          <w:sz w:val="24"/>
          <w:highlight w:val="yellow"/>
          <w:lang w:val="fr-FR"/>
        </w:rPr>
        <w:t>.</w:t>
      </w:r>
    </w:p>
    <w:p w:rsidR="006A3B4E" w:rsidRPr="00AC3C7A" w:rsidRDefault="006A3B4E" w:rsidP="006A3B4E">
      <w:pPr>
        <w:rPr>
          <w:rFonts w:ascii="Cambria" w:hAnsi="Cambria" w:cs="Calibri"/>
          <w:sz w:val="21"/>
          <w:szCs w:val="21"/>
          <w:lang w:val="fr-FR"/>
        </w:rPr>
      </w:pPr>
    </w:p>
    <w:p w:rsidR="006A3B4E" w:rsidRPr="00AC3C7A" w:rsidRDefault="006A3B4E" w:rsidP="006A3B4E">
      <w:pPr>
        <w:tabs>
          <w:tab w:val="left" w:pos="1410"/>
        </w:tabs>
        <w:spacing w:after="120"/>
        <w:contextualSpacing/>
        <w:jc w:val="both"/>
        <w:rPr>
          <w:rFonts w:ascii="Cambria" w:hAnsi="Cambria" w:cs="Calibri"/>
          <w:sz w:val="24"/>
          <w:lang w:val="fr-FR"/>
        </w:rPr>
      </w:pPr>
      <w:r w:rsidRPr="00AC3C7A">
        <w:rPr>
          <w:rFonts w:ascii="Cambria" w:hAnsi="Cambria" w:cs="Calibri"/>
          <w:sz w:val="24"/>
          <w:lang w:val="fr-FR"/>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AC3C7A">
        <w:rPr>
          <w:rFonts w:ascii="Cambria" w:hAnsi="Cambria" w:cs="Arial"/>
          <w:sz w:val="24"/>
          <w:lang w:val="fr-FR"/>
        </w:rPr>
        <w:t xml:space="preserve"> </w:t>
      </w:r>
      <w:hyperlink r:id="rId16" w:history="1">
        <w:r w:rsidRPr="00AC3C7A">
          <w:rPr>
            <w:rFonts w:ascii="Cambria" w:hAnsi="Cambria"/>
            <w:color w:val="0000FF"/>
            <w:sz w:val="24"/>
            <w:u w:val="single"/>
            <w:lang w:val="fr-FR"/>
          </w:rPr>
          <w:t>info.offres.gn@undp.org</w:t>
        </w:r>
      </w:hyperlink>
      <w:r w:rsidRPr="00AC3C7A">
        <w:rPr>
          <w:rFonts w:ascii="Cambria" w:hAnsi="Cambria" w:cs="Calibri"/>
          <w:sz w:val="24"/>
          <w:lang w:val="fr-FR"/>
        </w:rPr>
        <w:t>.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francs guinéens dépôt ou par email, conformément aux clauses et conditions du document de sollicitation.</w:t>
      </w:r>
    </w:p>
    <w:p w:rsidR="006A3B4E" w:rsidRPr="008C6441" w:rsidRDefault="006A3B4E">
      <w:pPr>
        <w:rPr>
          <w:lang w:val="fr-FR"/>
        </w:rPr>
      </w:pPr>
    </w:p>
    <w:sectPr w:rsidR="006A3B4E" w:rsidRPr="008C6441" w:rsidSect="005D2B0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4F" w:rsidRDefault="0037784F" w:rsidP="00431DCA">
      <w:r>
        <w:separator/>
      </w:r>
    </w:p>
  </w:endnote>
  <w:endnote w:type="continuationSeparator" w:id="0">
    <w:p w:rsidR="0037784F" w:rsidRDefault="0037784F"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9B9" w:rsidRPr="003607E8" w:rsidRDefault="008F39B9">
    <w:pPr>
      <w:pStyle w:val="Pieddepage"/>
      <w:jc w:val="right"/>
      <w:rPr>
        <w:rFonts w:ascii="Calibri" w:hAnsi="Calibri"/>
        <w:sz w:val="18"/>
        <w:szCs w:val="18"/>
        <w:lang w:val="fr-FR"/>
      </w:rPr>
    </w:pPr>
    <w:r w:rsidRPr="00C86B07">
      <w:rPr>
        <w:rFonts w:ascii="Calibri" w:hAnsi="Calibri"/>
        <w:sz w:val="18"/>
        <w:szCs w:val="18"/>
        <w:lang w:val="fr-FR"/>
      </w:rPr>
      <w:t xml:space="preserve">Page </w:t>
    </w:r>
    <w:r w:rsidR="00AB32AF" w:rsidRPr="00C86B07">
      <w:rPr>
        <w:rFonts w:ascii="Calibri" w:hAnsi="Calibri"/>
        <w:b/>
        <w:bCs/>
        <w:sz w:val="18"/>
        <w:szCs w:val="18"/>
      </w:rPr>
      <w:fldChar w:fldCharType="begin"/>
    </w:r>
    <w:r w:rsidRPr="003607E8">
      <w:rPr>
        <w:rFonts w:ascii="Calibri" w:hAnsi="Calibri"/>
        <w:b/>
        <w:bCs/>
        <w:sz w:val="18"/>
        <w:szCs w:val="18"/>
        <w:lang w:val="fr-FR"/>
      </w:rPr>
      <w:instrText>PAGE</w:instrText>
    </w:r>
    <w:r w:rsidR="00AB32AF" w:rsidRPr="00C86B07">
      <w:rPr>
        <w:rFonts w:ascii="Calibri" w:hAnsi="Calibri"/>
        <w:b/>
        <w:bCs/>
        <w:sz w:val="18"/>
        <w:szCs w:val="18"/>
      </w:rPr>
      <w:fldChar w:fldCharType="separate"/>
    </w:r>
    <w:r w:rsidR="00B131BE" w:rsidRPr="003607E8">
      <w:rPr>
        <w:rFonts w:ascii="Calibri" w:hAnsi="Calibri"/>
        <w:b/>
        <w:bCs/>
        <w:noProof/>
        <w:sz w:val="18"/>
        <w:szCs w:val="18"/>
        <w:lang w:val="fr-FR"/>
      </w:rPr>
      <w:t>7</w:t>
    </w:r>
    <w:r w:rsidR="00AB32AF" w:rsidRPr="00C86B07">
      <w:rPr>
        <w:rFonts w:ascii="Calibri" w:hAnsi="Calibri"/>
        <w:b/>
        <w:bCs/>
        <w:sz w:val="18"/>
        <w:szCs w:val="18"/>
      </w:rPr>
      <w:fldChar w:fldCharType="end"/>
    </w:r>
    <w:r w:rsidRPr="00C86B07">
      <w:rPr>
        <w:rFonts w:ascii="Calibri" w:hAnsi="Calibri"/>
        <w:sz w:val="18"/>
        <w:szCs w:val="18"/>
        <w:lang w:val="fr-FR"/>
      </w:rPr>
      <w:t xml:space="preserve"> sur </w:t>
    </w:r>
    <w:r w:rsidR="00AB32AF" w:rsidRPr="00C86B07">
      <w:rPr>
        <w:rFonts w:ascii="Calibri" w:hAnsi="Calibri"/>
        <w:b/>
        <w:bCs/>
        <w:sz w:val="18"/>
        <w:szCs w:val="18"/>
      </w:rPr>
      <w:fldChar w:fldCharType="begin"/>
    </w:r>
    <w:r w:rsidRPr="003607E8">
      <w:rPr>
        <w:rFonts w:ascii="Calibri" w:hAnsi="Calibri"/>
        <w:b/>
        <w:bCs/>
        <w:sz w:val="18"/>
        <w:szCs w:val="18"/>
        <w:lang w:val="fr-FR"/>
      </w:rPr>
      <w:instrText>NUMPAGES</w:instrText>
    </w:r>
    <w:r w:rsidR="00AB32AF" w:rsidRPr="00C86B07">
      <w:rPr>
        <w:rFonts w:ascii="Calibri" w:hAnsi="Calibri"/>
        <w:b/>
        <w:bCs/>
        <w:sz w:val="18"/>
        <w:szCs w:val="18"/>
      </w:rPr>
      <w:fldChar w:fldCharType="separate"/>
    </w:r>
    <w:r w:rsidR="00B131BE" w:rsidRPr="003607E8">
      <w:rPr>
        <w:rFonts w:ascii="Calibri" w:hAnsi="Calibri"/>
        <w:b/>
        <w:bCs/>
        <w:noProof/>
        <w:sz w:val="18"/>
        <w:szCs w:val="18"/>
        <w:lang w:val="fr-FR"/>
      </w:rPr>
      <w:t>7</w:t>
    </w:r>
    <w:r w:rsidR="00AB32AF" w:rsidRPr="00C86B07">
      <w:rPr>
        <w:rFonts w:ascii="Calibri" w:hAnsi="Calibri"/>
        <w:b/>
        <w:bCs/>
        <w:sz w:val="18"/>
        <w:szCs w:val="18"/>
      </w:rPr>
      <w:fldChar w:fldCharType="end"/>
    </w:r>
  </w:p>
  <w:p w:rsidR="003607E8" w:rsidRPr="006A1A46" w:rsidRDefault="003607E8" w:rsidP="003607E8">
    <w:pPr>
      <w:spacing w:after="5" w:line="248" w:lineRule="auto"/>
      <w:ind w:left="10" w:right="75" w:hanging="10"/>
      <w:jc w:val="both"/>
      <w:rPr>
        <w:rFonts w:asciiTheme="minorHAnsi" w:hAnsiTheme="minorHAnsi"/>
        <w:color w:val="000000"/>
        <w:sz w:val="18"/>
        <w:szCs w:val="18"/>
        <w:lang w:val="fr-FR" w:eastAsia="fr-FR"/>
      </w:rPr>
    </w:pPr>
    <w:r w:rsidRPr="006A1A46">
      <w:rPr>
        <w:rFonts w:asciiTheme="minorHAnsi" w:hAnsiTheme="minorHAnsi"/>
        <w:i/>
        <w:iCs/>
        <w:color w:val="000000"/>
        <w:sz w:val="18"/>
        <w:szCs w:val="18"/>
        <w:lang w:val="fr-FR" w:eastAsia="fr-FR"/>
      </w:rPr>
      <w:t xml:space="preserve">Le PNUD a une tolérance zéro pour la corruption. </w:t>
    </w:r>
  </w:p>
  <w:p w:rsidR="003607E8" w:rsidRPr="006A1A46" w:rsidRDefault="003607E8" w:rsidP="003607E8">
    <w:pPr>
      <w:spacing w:after="5" w:line="248" w:lineRule="auto"/>
      <w:ind w:left="10" w:right="75" w:hanging="10"/>
      <w:jc w:val="both"/>
      <w:rPr>
        <w:rFonts w:asciiTheme="minorHAnsi" w:hAnsiTheme="minorHAnsi"/>
        <w:color w:val="000000"/>
        <w:sz w:val="18"/>
        <w:szCs w:val="18"/>
        <w:lang w:val="fr-FR" w:eastAsia="fr-FR"/>
      </w:rPr>
    </w:pPr>
    <w:r w:rsidRPr="006A1A46">
      <w:rPr>
        <w:rFonts w:asciiTheme="minorHAnsi" w:hAnsiTheme="minorHAnsi"/>
        <w:i/>
        <w:iCs/>
        <w:color w:val="000000"/>
        <w:sz w:val="18"/>
        <w:szCs w:val="18"/>
        <w:lang w:val="fr-FR" w:eastAsia="fr-FR"/>
      </w:rPr>
      <w:t xml:space="preserve">Les services de recrutement et des achats du PNUD sont gratuits et aucun paiement n’est exigé pour nos services. </w:t>
    </w:r>
  </w:p>
  <w:p w:rsidR="003607E8" w:rsidRPr="003607E8" w:rsidRDefault="003607E8" w:rsidP="003607E8">
    <w:pPr>
      <w:pStyle w:val="Pieddepage"/>
      <w:rPr>
        <w:i/>
        <w:sz w:val="18"/>
        <w:lang w:val="fr-FR"/>
      </w:rPr>
    </w:pPr>
    <w:r w:rsidRPr="003607E8">
      <w:rPr>
        <w:i/>
        <w:iCs/>
        <w:color w:val="000000"/>
        <w:sz w:val="18"/>
        <w:szCs w:val="18"/>
        <w:lang w:val="fr-FR"/>
      </w:rPr>
      <w:t xml:space="preserve">En cas de violation de ces principes, veuillez nous contacter par le biais de l’adresse email suivante : </w:t>
    </w:r>
    <w:hyperlink r:id="rId1" w:history="1">
      <w:r w:rsidRPr="003607E8">
        <w:rPr>
          <w:color w:val="0000FF" w:themeColor="hyperlink"/>
          <w:sz w:val="18"/>
          <w:szCs w:val="18"/>
          <w:u w:val="single"/>
          <w:lang w:val="fr-FR"/>
        </w:rPr>
        <w:t>jedenoncelacorruption.gn@undp.org</w:t>
      </w:r>
    </w:hyperlink>
  </w:p>
  <w:p w:rsidR="008F39B9" w:rsidRPr="003607E8" w:rsidRDefault="008F39B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4F" w:rsidRDefault="0037784F" w:rsidP="00431DCA">
      <w:r>
        <w:separator/>
      </w:r>
    </w:p>
  </w:footnote>
  <w:footnote w:type="continuationSeparator" w:id="0">
    <w:p w:rsidR="0037784F" w:rsidRDefault="0037784F" w:rsidP="0043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9A"/>
    <w:multiLevelType w:val="hybridMultilevel"/>
    <w:tmpl w:val="4574D9FE"/>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6726F"/>
    <w:multiLevelType w:val="hybridMultilevel"/>
    <w:tmpl w:val="E3721AC8"/>
    <w:lvl w:ilvl="0" w:tplc="F586AFA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76F66"/>
    <w:multiLevelType w:val="hybridMultilevel"/>
    <w:tmpl w:val="D5DE50AA"/>
    <w:lvl w:ilvl="0" w:tplc="F5B244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C1F34"/>
    <w:multiLevelType w:val="hybridMultilevel"/>
    <w:tmpl w:val="8A58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1AB1"/>
    <w:multiLevelType w:val="hybridMultilevel"/>
    <w:tmpl w:val="7D441D60"/>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D0C47"/>
    <w:multiLevelType w:val="hybridMultilevel"/>
    <w:tmpl w:val="7D940E82"/>
    <w:lvl w:ilvl="0" w:tplc="3CECB07A">
      <w:start w:val="5"/>
      <w:numFmt w:val="bullet"/>
      <w:lvlText w:val="-"/>
      <w:lvlJc w:val="left"/>
      <w:pPr>
        <w:tabs>
          <w:tab w:val="num" w:pos="720"/>
        </w:tabs>
        <w:ind w:left="720" w:hanging="360"/>
      </w:pPr>
      <w:rPr>
        <w:rFonts w:ascii="Garamond" w:eastAsia="Times New Roman" w:hAnsi="Garamond" w:cs="Verdana"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B022F5"/>
    <w:multiLevelType w:val="hybridMultilevel"/>
    <w:tmpl w:val="8DD0DD26"/>
    <w:lvl w:ilvl="0" w:tplc="7DA6D8E0">
      <w:start w:val="1"/>
      <w:numFmt w:val="bullet"/>
      <w:lvlText w:val="•"/>
      <w:lvlJc w:val="left"/>
      <w:pPr>
        <w:tabs>
          <w:tab w:val="num" w:pos="720"/>
        </w:tabs>
        <w:ind w:left="720" w:hanging="360"/>
      </w:pPr>
      <w:rPr>
        <w:rFonts w:ascii="Arial" w:hAnsi="Arial"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32E35"/>
    <w:multiLevelType w:val="hybridMultilevel"/>
    <w:tmpl w:val="CCEAADF0"/>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795B81"/>
    <w:multiLevelType w:val="hybridMultilevel"/>
    <w:tmpl w:val="797AA910"/>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0F4C41"/>
    <w:multiLevelType w:val="hybridMultilevel"/>
    <w:tmpl w:val="5F64D534"/>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8F4977"/>
    <w:multiLevelType w:val="hybridMultilevel"/>
    <w:tmpl w:val="669A8B74"/>
    <w:lvl w:ilvl="0" w:tplc="9D4E37BA">
      <w:start w:val="1"/>
      <w:numFmt w:val="decimal"/>
      <w:lvlText w:val="%1"/>
      <w:lvlJc w:val="left"/>
      <w:pPr>
        <w:ind w:left="1068" w:hanging="70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8BD44A4"/>
    <w:multiLevelType w:val="hybridMultilevel"/>
    <w:tmpl w:val="30CE951A"/>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D443A"/>
    <w:multiLevelType w:val="hybridMultilevel"/>
    <w:tmpl w:val="452AC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8A28DF"/>
    <w:multiLevelType w:val="hybridMultilevel"/>
    <w:tmpl w:val="24AC4CEC"/>
    <w:lvl w:ilvl="0" w:tplc="2D3CC886">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8A0228"/>
    <w:multiLevelType w:val="hybridMultilevel"/>
    <w:tmpl w:val="14EC2706"/>
    <w:lvl w:ilvl="0" w:tplc="9482CEFC">
      <w:start w:val="1"/>
      <w:numFmt w:val="lowerRoman"/>
      <w:suff w:val="space"/>
      <w:lvlText w:val="(%1)"/>
      <w:lvlJc w:val="righ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124A2C"/>
    <w:multiLevelType w:val="hybridMultilevel"/>
    <w:tmpl w:val="9A60F0B0"/>
    <w:lvl w:ilvl="0" w:tplc="4B2C26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AE83B8A"/>
    <w:multiLevelType w:val="multilevel"/>
    <w:tmpl w:val="C3D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8" w15:restartNumberingAfterBreak="0">
    <w:nsid w:val="61D459BD"/>
    <w:multiLevelType w:val="hybridMultilevel"/>
    <w:tmpl w:val="F97EFD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1911C8"/>
    <w:multiLevelType w:val="multilevel"/>
    <w:tmpl w:val="D176151A"/>
    <w:lvl w:ilvl="0">
      <w:start w:val="5"/>
      <w:numFmt w:val="bullet"/>
      <w:lvlText w:val="-"/>
      <w:lvlJc w:val="left"/>
      <w:pPr>
        <w:tabs>
          <w:tab w:val="num" w:pos="720"/>
        </w:tabs>
        <w:ind w:left="720" w:hanging="360"/>
      </w:pPr>
      <w:rPr>
        <w:rFonts w:ascii="Garamond" w:eastAsia="Times New Roman" w:hAnsi="Garamond" w:cs="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2D00DD"/>
    <w:multiLevelType w:val="hybridMultilevel"/>
    <w:tmpl w:val="7DF0CA4A"/>
    <w:lvl w:ilvl="0" w:tplc="59F698F2">
      <w:numFmt w:val="bullet"/>
      <w:lvlText w:val="-"/>
      <w:lvlJc w:val="left"/>
      <w:pPr>
        <w:ind w:left="720" w:hanging="360"/>
      </w:pPr>
      <w:rPr>
        <w:rFonts w:ascii="Tahoma" w:eastAsiaTheme="minorHAnsi" w:hAnsi="Tahom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256106"/>
    <w:multiLevelType w:val="hybridMultilevel"/>
    <w:tmpl w:val="E58E4004"/>
    <w:lvl w:ilvl="0" w:tplc="41E665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0639D9"/>
    <w:multiLevelType w:val="hybridMultilevel"/>
    <w:tmpl w:val="875EAD44"/>
    <w:lvl w:ilvl="0" w:tplc="23281C6A">
      <w:start w:val="8"/>
      <w:numFmt w:val="bullet"/>
      <w:suff w:val="space"/>
      <w:lvlText w:val="-"/>
      <w:lvlJc w:val="left"/>
      <w:pPr>
        <w:ind w:left="720" w:hanging="663"/>
      </w:pPr>
      <w:rPr>
        <w:rFonts w:ascii="Garamond" w:eastAsia="Times New Roman" w:hAnsi="Garamond"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7"/>
  </w:num>
  <w:num w:numId="4">
    <w:abstractNumId w:val="35"/>
  </w:num>
  <w:num w:numId="5">
    <w:abstractNumId w:val="26"/>
  </w:num>
  <w:num w:numId="6">
    <w:abstractNumId w:val="36"/>
  </w:num>
  <w:num w:numId="7">
    <w:abstractNumId w:val="4"/>
  </w:num>
  <w:num w:numId="8">
    <w:abstractNumId w:val="14"/>
  </w:num>
  <w:num w:numId="9">
    <w:abstractNumId w:val="1"/>
  </w:num>
  <w:num w:numId="10">
    <w:abstractNumId w:val="19"/>
  </w:num>
  <w:num w:numId="11">
    <w:abstractNumId w:val="29"/>
  </w:num>
  <w:num w:numId="12">
    <w:abstractNumId w:val="15"/>
  </w:num>
  <w:num w:numId="13">
    <w:abstractNumId w:val="25"/>
  </w:num>
  <w:num w:numId="14">
    <w:abstractNumId w:val="10"/>
  </w:num>
  <w:num w:numId="15">
    <w:abstractNumId w:val="28"/>
  </w:num>
  <w:num w:numId="16">
    <w:abstractNumId w:val="5"/>
  </w:num>
  <w:num w:numId="17">
    <w:abstractNumId w:val="34"/>
  </w:num>
  <w:num w:numId="18">
    <w:abstractNumId w:val="22"/>
  </w:num>
  <w:num w:numId="19">
    <w:abstractNumId w:val="23"/>
  </w:num>
  <w:num w:numId="20">
    <w:abstractNumId w:val="24"/>
  </w:num>
  <w:num w:numId="21">
    <w:abstractNumId w:val="20"/>
  </w:num>
  <w:num w:numId="22">
    <w:abstractNumId w:val="16"/>
  </w:num>
  <w:num w:numId="23">
    <w:abstractNumId w:val="30"/>
  </w:num>
  <w:num w:numId="24">
    <w:abstractNumId w:val="37"/>
  </w:num>
  <w:num w:numId="25">
    <w:abstractNumId w:val="21"/>
  </w:num>
  <w:num w:numId="26">
    <w:abstractNumId w:val="33"/>
  </w:num>
  <w:num w:numId="27">
    <w:abstractNumId w:val="0"/>
  </w:num>
  <w:num w:numId="28">
    <w:abstractNumId w:val="31"/>
  </w:num>
  <w:num w:numId="29">
    <w:abstractNumId w:val="3"/>
  </w:num>
  <w:num w:numId="30">
    <w:abstractNumId w:val="9"/>
  </w:num>
  <w:num w:numId="31">
    <w:abstractNumId w:val="8"/>
  </w:num>
  <w:num w:numId="32">
    <w:abstractNumId w:val="2"/>
  </w:num>
  <w:num w:numId="33">
    <w:abstractNumId w:val="12"/>
  </w:num>
  <w:num w:numId="34">
    <w:abstractNumId w:val="13"/>
  </w:num>
  <w:num w:numId="35">
    <w:abstractNumId w:val="11"/>
  </w:num>
  <w:num w:numId="36">
    <w:abstractNumId w:val="32"/>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73"/>
    <w:rsid w:val="00002E8D"/>
    <w:rsid w:val="0000614A"/>
    <w:rsid w:val="00011EFB"/>
    <w:rsid w:val="0001369D"/>
    <w:rsid w:val="00014743"/>
    <w:rsid w:val="00016898"/>
    <w:rsid w:val="0001742A"/>
    <w:rsid w:val="00027980"/>
    <w:rsid w:val="0003270F"/>
    <w:rsid w:val="00036D41"/>
    <w:rsid w:val="00037CCF"/>
    <w:rsid w:val="00040D0F"/>
    <w:rsid w:val="00040E79"/>
    <w:rsid w:val="00052256"/>
    <w:rsid w:val="000541E4"/>
    <w:rsid w:val="00077A53"/>
    <w:rsid w:val="00080881"/>
    <w:rsid w:val="000A5C08"/>
    <w:rsid w:val="000A6780"/>
    <w:rsid w:val="000C5A2E"/>
    <w:rsid w:val="000D0E86"/>
    <w:rsid w:val="000D23DC"/>
    <w:rsid w:val="000D5FFD"/>
    <w:rsid w:val="000E2BB8"/>
    <w:rsid w:val="000E74D4"/>
    <w:rsid w:val="000E7578"/>
    <w:rsid w:val="000F17EB"/>
    <w:rsid w:val="000F51B3"/>
    <w:rsid w:val="000F7EA5"/>
    <w:rsid w:val="00102EE8"/>
    <w:rsid w:val="00106194"/>
    <w:rsid w:val="001102AC"/>
    <w:rsid w:val="001105BB"/>
    <w:rsid w:val="00113F39"/>
    <w:rsid w:val="0011440D"/>
    <w:rsid w:val="001231B8"/>
    <w:rsid w:val="00130505"/>
    <w:rsid w:val="0013542B"/>
    <w:rsid w:val="00141E12"/>
    <w:rsid w:val="00145837"/>
    <w:rsid w:val="00146D5F"/>
    <w:rsid w:val="001557FD"/>
    <w:rsid w:val="00156C95"/>
    <w:rsid w:val="001578E7"/>
    <w:rsid w:val="001602DB"/>
    <w:rsid w:val="001618C3"/>
    <w:rsid w:val="001635AA"/>
    <w:rsid w:val="00171B7B"/>
    <w:rsid w:val="00180AA4"/>
    <w:rsid w:val="00195C8C"/>
    <w:rsid w:val="001A014F"/>
    <w:rsid w:val="001A2D74"/>
    <w:rsid w:val="001A71AA"/>
    <w:rsid w:val="001B0179"/>
    <w:rsid w:val="001B5059"/>
    <w:rsid w:val="001B770F"/>
    <w:rsid w:val="001C2B96"/>
    <w:rsid w:val="001D0CD4"/>
    <w:rsid w:val="001E07C1"/>
    <w:rsid w:val="001E0C88"/>
    <w:rsid w:val="001E3EC0"/>
    <w:rsid w:val="001F0ECF"/>
    <w:rsid w:val="001F43D9"/>
    <w:rsid w:val="001F4654"/>
    <w:rsid w:val="001F6793"/>
    <w:rsid w:val="00200347"/>
    <w:rsid w:val="00202675"/>
    <w:rsid w:val="00207648"/>
    <w:rsid w:val="0021103C"/>
    <w:rsid w:val="00212C0A"/>
    <w:rsid w:val="0021538C"/>
    <w:rsid w:val="002215A5"/>
    <w:rsid w:val="0022758D"/>
    <w:rsid w:val="0023707F"/>
    <w:rsid w:val="002420B0"/>
    <w:rsid w:val="00242A6E"/>
    <w:rsid w:val="002465DE"/>
    <w:rsid w:val="002519BE"/>
    <w:rsid w:val="0025520F"/>
    <w:rsid w:val="00260C58"/>
    <w:rsid w:val="00262AA6"/>
    <w:rsid w:val="002636B9"/>
    <w:rsid w:val="00272078"/>
    <w:rsid w:val="00273A38"/>
    <w:rsid w:val="002742A9"/>
    <w:rsid w:val="00275870"/>
    <w:rsid w:val="0027623A"/>
    <w:rsid w:val="002871A5"/>
    <w:rsid w:val="00290349"/>
    <w:rsid w:val="0029136A"/>
    <w:rsid w:val="00293434"/>
    <w:rsid w:val="00296AD1"/>
    <w:rsid w:val="002A11B0"/>
    <w:rsid w:val="002A1635"/>
    <w:rsid w:val="002A281C"/>
    <w:rsid w:val="002A2920"/>
    <w:rsid w:val="002A3D39"/>
    <w:rsid w:val="002A55CC"/>
    <w:rsid w:val="002A5CB0"/>
    <w:rsid w:val="002A77B7"/>
    <w:rsid w:val="002B191C"/>
    <w:rsid w:val="002B2027"/>
    <w:rsid w:val="002C0A1C"/>
    <w:rsid w:val="002C0C1B"/>
    <w:rsid w:val="002C2FF8"/>
    <w:rsid w:val="002C793A"/>
    <w:rsid w:val="002D0E34"/>
    <w:rsid w:val="002D2C4E"/>
    <w:rsid w:val="002D4E35"/>
    <w:rsid w:val="002D5F4B"/>
    <w:rsid w:val="002F6C30"/>
    <w:rsid w:val="002F7261"/>
    <w:rsid w:val="0030072D"/>
    <w:rsid w:val="0030583A"/>
    <w:rsid w:val="00307915"/>
    <w:rsid w:val="00327DA4"/>
    <w:rsid w:val="0033018D"/>
    <w:rsid w:val="00333063"/>
    <w:rsid w:val="0034035D"/>
    <w:rsid w:val="00340E4C"/>
    <w:rsid w:val="00346E10"/>
    <w:rsid w:val="003475A1"/>
    <w:rsid w:val="00350FEE"/>
    <w:rsid w:val="00354A3D"/>
    <w:rsid w:val="003564A6"/>
    <w:rsid w:val="003607E8"/>
    <w:rsid w:val="00365B6B"/>
    <w:rsid w:val="0037370B"/>
    <w:rsid w:val="0037784F"/>
    <w:rsid w:val="003945B5"/>
    <w:rsid w:val="003A20F0"/>
    <w:rsid w:val="003A5D8E"/>
    <w:rsid w:val="003A72B9"/>
    <w:rsid w:val="003B334D"/>
    <w:rsid w:val="003B48B3"/>
    <w:rsid w:val="003B4DEF"/>
    <w:rsid w:val="003B77E9"/>
    <w:rsid w:val="003B7DA5"/>
    <w:rsid w:val="003C1B0A"/>
    <w:rsid w:val="003C58AF"/>
    <w:rsid w:val="003C695B"/>
    <w:rsid w:val="003D444F"/>
    <w:rsid w:val="003D6B6D"/>
    <w:rsid w:val="003E0FC5"/>
    <w:rsid w:val="003E21F1"/>
    <w:rsid w:val="003E2B2C"/>
    <w:rsid w:val="003E7791"/>
    <w:rsid w:val="003F16F6"/>
    <w:rsid w:val="00416758"/>
    <w:rsid w:val="00426F5D"/>
    <w:rsid w:val="00431DCA"/>
    <w:rsid w:val="00445DED"/>
    <w:rsid w:val="00445F13"/>
    <w:rsid w:val="004474FF"/>
    <w:rsid w:val="00447E17"/>
    <w:rsid w:val="004510D9"/>
    <w:rsid w:val="00451DD4"/>
    <w:rsid w:val="00460173"/>
    <w:rsid w:val="00460E98"/>
    <w:rsid w:val="00462713"/>
    <w:rsid w:val="0046730C"/>
    <w:rsid w:val="00472745"/>
    <w:rsid w:val="00473367"/>
    <w:rsid w:val="004772AE"/>
    <w:rsid w:val="00487B3C"/>
    <w:rsid w:val="0049032E"/>
    <w:rsid w:val="0049329A"/>
    <w:rsid w:val="004943A4"/>
    <w:rsid w:val="004952D5"/>
    <w:rsid w:val="004A163B"/>
    <w:rsid w:val="004A6346"/>
    <w:rsid w:val="004B094B"/>
    <w:rsid w:val="004B1F5C"/>
    <w:rsid w:val="004B392C"/>
    <w:rsid w:val="004B4AAE"/>
    <w:rsid w:val="004B52CE"/>
    <w:rsid w:val="004B6914"/>
    <w:rsid w:val="004B6E4D"/>
    <w:rsid w:val="004B7E4E"/>
    <w:rsid w:val="004D2D21"/>
    <w:rsid w:val="004D7F6D"/>
    <w:rsid w:val="004E11B7"/>
    <w:rsid w:val="004E19EA"/>
    <w:rsid w:val="004E6684"/>
    <w:rsid w:val="004F04C8"/>
    <w:rsid w:val="004F1C34"/>
    <w:rsid w:val="004F45AA"/>
    <w:rsid w:val="004F6E96"/>
    <w:rsid w:val="0050069A"/>
    <w:rsid w:val="00510D78"/>
    <w:rsid w:val="00511B94"/>
    <w:rsid w:val="005159B4"/>
    <w:rsid w:val="005270F4"/>
    <w:rsid w:val="00527584"/>
    <w:rsid w:val="0053126C"/>
    <w:rsid w:val="00537EB3"/>
    <w:rsid w:val="00541E59"/>
    <w:rsid w:val="00545766"/>
    <w:rsid w:val="005508FA"/>
    <w:rsid w:val="005519DB"/>
    <w:rsid w:val="00557939"/>
    <w:rsid w:val="00557CB4"/>
    <w:rsid w:val="00557FE4"/>
    <w:rsid w:val="00561AE8"/>
    <w:rsid w:val="00564922"/>
    <w:rsid w:val="00565EB5"/>
    <w:rsid w:val="00566E66"/>
    <w:rsid w:val="00575B8C"/>
    <w:rsid w:val="00577FC3"/>
    <w:rsid w:val="005818C2"/>
    <w:rsid w:val="00586D79"/>
    <w:rsid w:val="00587C07"/>
    <w:rsid w:val="00590365"/>
    <w:rsid w:val="005A269A"/>
    <w:rsid w:val="005A2D14"/>
    <w:rsid w:val="005A51D1"/>
    <w:rsid w:val="005A5B63"/>
    <w:rsid w:val="005C12A7"/>
    <w:rsid w:val="005C1B18"/>
    <w:rsid w:val="005C5D54"/>
    <w:rsid w:val="005D2B06"/>
    <w:rsid w:val="005D4015"/>
    <w:rsid w:val="005D4D35"/>
    <w:rsid w:val="005E1CA9"/>
    <w:rsid w:val="005E2FE6"/>
    <w:rsid w:val="005E35D0"/>
    <w:rsid w:val="005F43AC"/>
    <w:rsid w:val="005F542B"/>
    <w:rsid w:val="005F5B0D"/>
    <w:rsid w:val="00600AA0"/>
    <w:rsid w:val="0061123B"/>
    <w:rsid w:val="00620B64"/>
    <w:rsid w:val="00635CA3"/>
    <w:rsid w:val="00641E6B"/>
    <w:rsid w:val="00660326"/>
    <w:rsid w:val="00663E64"/>
    <w:rsid w:val="006664C6"/>
    <w:rsid w:val="00677FB3"/>
    <w:rsid w:val="00682AEA"/>
    <w:rsid w:val="00684683"/>
    <w:rsid w:val="006858A8"/>
    <w:rsid w:val="0068599E"/>
    <w:rsid w:val="006877CB"/>
    <w:rsid w:val="00687BA7"/>
    <w:rsid w:val="00690E7A"/>
    <w:rsid w:val="0069554B"/>
    <w:rsid w:val="006A167C"/>
    <w:rsid w:val="006A3B4E"/>
    <w:rsid w:val="006A4B65"/>
    <w:rsid w:val="006A5872"/>
    <w:rsid w:val="006B0036"/>
    <w:rsid w:val="006B1409"/>
    <w:rsid w:val="006B3EAC"/>
    <w:rsid w:val="006C2180"/>
    <w:rsid w:val="006D001A"/>
    <w:rsid w:val="006D37B8"/>
    <w:rsid w:val="006E3F02"/>
    <w:rsid w:val="006F12B7"/>
    <w:rsid w:val="006F5515"/>
    <w:rsid w:val="006F78D1"/>
    <w:rsid w:val="007006B8"/>
    <w:rsid w:val="00702DCC"/>
    <w:rsid w:val="007043A8"/>
    <w:rsid w:val="0071687D"/>
    <w:rsid w:val="00724ECD"/>
    <w:rsid w:val="00730B9A"/>
    <w:rsid w:val="007322FD"/>
    <w:rsid w:val="00743241"/>
    <w:rsid w:val="00747D70"/>
    <w:rsid w:val="00747E23"/>
    <w:rsid w:val="00751900"/>
    <w:rsid w:val="00752779"/>
    <w:rsid w:val="00764798"/>
    <w:rsid w:val="0076772D"/>
    <w:rsid w:val="00775030"/>
    <w:rsid w:val="00780F4A"/>
    <w:rsid w:val="00780F97"/>
    <w:rsid w:val="0078435D"/>
    <w:rsid w:val="00784C6D"/>
    <w:rsid w:val="00792C35"/>
    <w:rsid w:val="00794A80"/>
    <w:rsid w:val="007A4501"/>
    <w:rsid w:val="007B40A6"/>
    <w:rsid w:val="007B411A"/>
    <w:rsid w:val="007B59A4"/>
    <w:rsid w:val="007B5DCD"/>
    <w:rsid w:val="007C0BA9"/>
    <w:rsid w:val="007C378A"/>
    <w:rsid w:val="007C6379"/>
    <w:rsid w:val="007E220C"/>
    <w:rsid w:val="007E7798"/>
    <w:rsid w:val="007F069C"/>
    <w:rsid w:val="008023B5"/>
    <w:rsid w:val="008043BA"/>
    <w:rsid w:val="00810610"/>
    <w:rsid w:val="00814FB4"/>
    <w:rsid w:val="00825327"/>
    <w:rsid w:val="008278E0"/>
    <w:rsid w:val="00837365"/>
    <w:rsid w:val="00842DDF"/>
    <w:rsid w:val="00851727"/>
    <w:rsid w:val="00853D5A"/>
    <w:rsid w:val="0085690D"/>
    <w:rsid w:val="00857C78"/>
    <w:rsid w:val="0086026D"/>
    <w:rsid w:val="008874FC"/>
    <w:rsid w:val="00895FE1"/>
    <w:rsid w:val="00897245"/>
    <w:rsid w:val="00897860"/>
    <w:rsid w:val="00897FD7"/>
    <w:rsid w:val="008A177C"/>
    <w:rsid w:val="008A291F"/>
    <w:rsid w:val="008A33DE"/>
    <w:rsid w:val="008C0589"/>
    <w:rsid w:val="008C05DD"/>
    <w:rsid w:val="008C6441"/>
    <w:rsid w:val="008C74EB"/>
    <w:rsid w:val="008E2B76"/>
    <w:rsid w:val="008E3960"/>
    <w:rsid w:val="008E6253"/>
    <w:rsid w:val="008F2774"/>
    <w:rsid w:val="008F39B9"/>
    <w:rsid w:val="008F5D80"/>
    <w:rsid w:val="00906127"/>
    <w:rsid w:val="00907AEE"/>
    <w:rsid w:val="00907C0F"/>
    <w:rsid w:val="00913D51"/>
    <w:rsid w:val="009205B1"/>
    <w:rsid w:val="00923656"/>
    <w:rsid w:val="0092681F"/>
    <w:rsid w:val="00933363"/>
    <w:rsid w:val="009407E6"/>
    <w:rsid w:val="00941928"/>
    <w:rsid w:val="00945951"/>
    <w:rsid w:val="00945FD7"/>
    <w:rsid w:val="00950192"/>
    <w:rsid w:val="0095570A"/>
    <w:rsid w:val="0095719A"/>
    <w:rsid w:val="00965080"/>
    <w:rsid w:val="00965C49"/>
    <w:rsid w:val="00967395"/>
    <w:rsid w:val="00970B06"/>
    <w:rsid w:val="00971B42"/>
    <w:rsid w:val="00972F87"/>
    <w:rsid w:val="00973C8E"/>
    <w:rsid w:val="00973F4D"/>
    <w:rsid w:val="009750BB"/>
    <w:rsid w:val="009827B9"/>
    <w:rsid w:val="009842D9"/>
    <w:rsid w:val="00986645"/>
    <w:rsid w:val="0099033A"/>
    <w:rsid w:val="00994B82"/>
    <w:rsid w:val="0099563E"/>
    <w:rsid w:val="009957B6"/>
    <w:rsid w:val="009974B3"/>
    <w:rsid w:val="009A322D"/>
    <w:rsid w:val="009A4D91"/>
    <w:rsid w:val="009B0088"/>
    <w:rsid w:val="009B2260"/>
    <w:rsid w:val="009B6FFB"/>
    <w:rsid w:val="009C33BD"/>
    <w:rsid w:val="009C39A9"/>
    <w:rsid w:val="009D165B"/>
    <w:rsid w:val="009E00AA"/>
    <w:rsid w:val="009E2E8B"/>
    <w:rsid w:val="009E7B91"/>
    <w:rsid w:val="009F1974"/>
    <w:rsid w:val="00A055C6"/>
    <w:rsid w:val="00A22160"/>
    <w:rsid w:val="00A22638"/>
    <w:rsid w:val="00A33FC4"/>
    <w:rsid w:val="00A35C24"/>
    <w:rsid w:val="00A377F8"/>
    <w:rsid w:val="00A4000A"/>
    <w:rsid w:val="00A4193A"/>
    <w:rsid w:val="00A46E5C"/>
    <w:rsid w:val="00A47302"/>
    <w:rsid w:val="00A61F96"/>
    <w:rsid w:val="00A626E1"/>
    <w:rsid w:val="00A67D20"/>
    <w:rsid w:val="00A70BB0"/>
    <w:rsid w:val="00A73F40"/>
    <w:rsid w:val="00A77C21"/>
    <w:rsid w:val="00A81349"/>
    <w:rsid w:val="00A82E44"/>
    <w:rsid w:val="00A911AA"/>
    <w:rsid w:val="00A92309"/>
    <w:rsid w:val="00A93FD2"/>
    <w:rsid w:val="00A94DE3"/>
    <w:rsid w:val="00A953B4"/>
    <w:rsid w:val="00A965B6"/>
    <w:rsid w:val="00AA0C47"/>
    <w:rsid w:val="00AA0FC8"/>
    <w:rsid w:val="00AA49A9"/>
    <w:rsid w:val="00AB2963"/>
    <w:rsid w:val="00AB32AF"/>
    <w:rsid w:val="00AC35C0"/>
    <w:rsid w:val="00AC5F15"/>
    <w:rsid w:val="00AC6916"/>
    <w:rsid w:val="00AD3CF1"/>
    <w:rsid w:val="00AE2F5A"/>
    <w:rsid w:val="00AE3158"/>
    <w:rsid w:val="00AE6471"/>
    <w:rsid w:val="00B0212D"/>
    <w:rsid w:val="00B054C5"/>
    <w:rsid w:val="00B10C0F"/>
    <w:rsid w:val="00B10CFB"/>
    <w:rsid w:val="00B127B2"/>
    <w:rsid w:val="00B131BE"/>
    <w:rsid w:val="00B150C9"/>
    <w:rsid w:val="00B167D3"/>
    <w:rsid w:val="00B17BDC"/>
    <w:rsid w:val="00B262B4"/>
    <w:rsid w:val="00B2790A"/>
    <w:rsid w:val="00B327F8"/>
    <w:rsid w:val="00B3561F"/>
    <w:rsid w:val="00B371D8"/>
    <w:rsid w:val="00B37EC5"/>
    <w:rsid w:val="00B45214"/>
    <w:rsid w:val="00B546AF"/>
    <w:rsid w:val="00B61EA1"/>
    <w:rsid w:val="00B770B0"/>
    <w:rsid w:val="00B838C1"/>
    <w:rsid w:val="00B869FD"/>
    <w:rsid w:val="00B9002A"/>
    <w:rsid w:val="00B97C3C"/>
    <w:rsid w:val="00BA2D7B"/>
    <w:rsid w:val="00BB2591"/>
    <w:rsid w:val="00BB3219"/>
    <w:rsid w:val="00BB328A"/>
    <w:rsid w:val="00BB3A2C"/>
    <w:rsid w:val="00BB52B5"/>
    <w:rsid w:val="00BB7969"/>
    <w:rsid w:val="00BC51DF"/>
    <w:rsid w:val="00BD0A08"/>
    <w:rsid w:val="00BD2118"/>
    <w:rsid w:val="00BD4453"/>
    <w:rsid w:val="00BD4A8D"/>
    <w:rsid w:val="00BD6D46"/>
    <w:rsid w:val="00BE1E88"/>
    <w:rsid w:val="00BE6A40"/>
    <w:rsid w:val="00BF1D1E"/>
    <w:rsid w:val="00BF4F63"/>
    <w:rsid w:val="00BF65DF"/>
    <w:rsid w:val="00BF6D8B"/>
    <w:rsid w:val="00BF7BAF"/>
    <w:rsid w:val="00C00963"/>
    <w:rsid w:val="00C11C77"/>
    <w:rsid w:val="00C25883"/>
    <w:rsid w:val="00C307F5"/>
    <w:rsid w:val="00C31B90"/>
    <w:rsid w:val="00C3405F"/>
    <w:rsid w:val="00C341DC"/>
    <w:rsid w:val="00C365D5"/>
    <w:rsid w:val="00C36DC6"/>
    <w:rsid w:val="00C37644"/>
    <w:rsid w:val="00C42DD3"/>
    <w:rsid w:val="00C43C93"/>
    <w:rsid w:val="00C5086B"/>
    <w:rsid w:val="00C517DC"/>
    <w:rsid w:val="00C56FDC"/>
    <w:rsid w:val="00C639BF"/>
    <w:rsid w:val="00C65B5C"/>
    <w:rsid w:val="00C65BAC"/>
    <w:rsid w:val="00C67192"/>
    <w:rsid w:val="00C745C4"/>
    <w:rsid w:val="00C82C62"/>
    <w:rsid w:val="00C851CB"/>
    <w:rsid w:val="00C86B07"/>
    <w:rsid w:val="00C905F9"/>
    <w:rsid w:val="00C93526"/>
    <w:rsid w:val="00C93D9E"/>
    <w:rsid w:val="00C968AF"/>
    <w:rsid w:val="00CA6ED9"/>
    <w:rsid w:val="00CB2219"/>
    <w:rsid w:val="00CB2525"/>
    <w:rsid w:val="00CB304A"/>
    <w:rsid w:val="00CB3BC1"/>
    <w:rsid w:val="00CB3E39"/>
    <w:rsid w:val="00CB786B"/>
    <w:rsid w:val="00CC18A6"/>
    <w:rsid w:val="00CC73A5"/>
    <w:rsid w:val="00CE18C0"/>
    <w:rsid w:val="00CE59A3"/>
    <w:rsid w:val="00CE657E"/>
    <w:rsid w:val="00CE76B6"/>
    <w:rsid w:val="00CE7C70"/>
    <w:rsid w:val="00CF1650"/>
    <w:rsid w:val="00D03385"/>
    <w:rsid w:val="00D04FD1"/>
    <w:rsid w:val="00D1446C"/>
    <w:rsid w:val="00D151C8"/>
    <w:rsid w:val="00D22623"/>
    <w:rsid w:val="00D26FF1"/>
    <w:rsid w:val="00D275A3"/>
    <w:rsid w:val="00D32861"/>
    <w:rsid w:val="00D3672B"/>
    <w:rsid w:val="00D4377F"/>
    <w:rsid w:val="00D45C69"/>
    <w:rsid w:val="00D45D6D"/>
    <w:rsid w:val="00D46367"/>
    <w:rsid w:val="00D50397"/>
    <w:rsid w:val="00D53563"/>
    <w:rsid w:val="00D57520"/>
    <w:rsid w:val="00D60DEC"/>
    <w:rsid w:val="00D64E1B"/>
    <w:rsid w:val="00D72F6E"/>
    <w:rsid w:val="00D76272"/>
    <w:rsid w:val="00D77910"/>
    <w:rsid w:val="00D852D9"/>
    <w:rsid w:val="00D86B08"/>
    <w:rsid w:val="00D90DFB"/>
    <w:rsid w:val="00DA60A5"/>
    <w:rsid w:val="00DB59CE"/>
    <w:rsid w:val="00DB674D"/>
    <w:rsid w:val="00DB7D0E"/>
    <w:rsid w:val="00DC3557"/>
    <w:rsid w:val="00DC36D8"/>
    <w:rsid w:val="00DC45D2"/>
    <w:rsid w:val="00DC61A9"/>
    <w:rsid w:val="00DD43B8"/>
    <w:rsid w:val="00DE5FDE"/>
    <w:rsid w:val="00DE7A50"/>
    <w:rsid w:val="00DF21C2"/>
    <w:rsid w:val="00DF4570"/>
    <w:rsid w:val="00DF57A0"/>
    <w:rsid w:val="00E0273E"/>
    <w:rsid w:val="00E05598"/>
    <w:rsid w:val="00E156A0"/>
    <w:rsid w:val="00E16160"/>
    <w:rsid w:val="00E1666F"/>
    <w:rsid w:val="00E17A46"/>
    <w:rsid w:val="00E24140"/>
    <w:rsid w:val="00E2670D"/>
    <w:rsid w:val="00E426BD"/>
    <w:rsid w:val="00E46043"/>
    <w:rsid w:val="00E5592D"/>
    <w:rsid w:val="00E57674"/>
    <w:rsid w:val="00E62069"/>
    <w:rsid w:val="00E63FE1"/>
    <w:rsid w:val="00E7109A"/>
    <w:rsid w:val="00E773A2"/>
    <w:rsid w:val="00E92EF1"/>
    <w:rsid w:val="00EA0591"/>
    <w:rsid w:val="00EA08ED"/>
    <w:rsid w:val="00EA5413"/>
    <w:rsid w:val="00EA62BB"/>
    <w:rsid w:val="00EB0A5F"/>
    <w:rsid w:val="00EB54B3"/>
    <w:rsid w:val="00EC1D17"/>
    <w:rsid w:val="00EC3116"/>
    <w:rsid w:val="00EC313E"/>
    <w:rsid w:val="00EC44BA"/>
    <w:rsid w:val="00EE049B"/>
    <w:rsid w:val="00EE39F6"/>
    <w:rsid w:val="00EE63F2"/>
    <w:rsid w:val="00EE68BD"/>
    <w:rsid w:val="00F01805"/>
    <w:rsid w:val="00F02665"/>
    <w:rsid w:val="00F07999"/>
    <w:rsid w:val="00F102C6"/>
    <w:rsid w:val="00F1355D"/>
    <w:rsid w:val="00F13684"/>
    <w:rsid w:val="00F20B75"/>
    <w:rsid w:val="00F23FEB"/>
    <w:rsid w:val="00F32573"/>
    <w:rsid w:val="00F370FD"/>
    <w:rsid w:val="00F4515A"/>
    <w:rsid w:val="00F54486"/>
    <w:rsid w:val="00F57CC9"/>
    <w:rsid w:val="00F671E3"/>
    <w:rsid w:val="00F83518"/>
    <w:rsid w:val="00F942C5"/>
    <w:rsid w:val="00F96DDF"/>
    <w:rsid w:val="00FA0ECE"/>
    <w:rsid w:val="00FA1B15"/>
    <w:rsid w:val="00FA297C"/>
    <w:rsid w:val="00FA2B62"/>
    <w:rsid w:val="00FA330E"/>
    <w:rsid w:val="00FA7CCE"/>
    <w:rsid w:val="00FC4075"/>
    <w:rsid w:val="00FC75C0"/>
    <w:rsid w:val="00FD2A7E"/>
    <w:rsid w:val="00FD3431"/>
    <w:rsid w:val="00FD38B9"/>
    <w:rsid w:val="00FD3F4C"/>
    <w:rsid w:val="00FD757C"/>
    <w:rsid w:val="00FE25C3"/>
    <w:rsid w:val="00FE3B52"/>
    <w:rsid w:val="00FE60BD"/>
    <w:rsid w:val="00FF05E6"/>
    <w:rsid w:val="00FF15DA"/>
    <w:rsid w:val="00FF5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BDFF"/>
  <w15:docId w15:val="{60627A66-3632-4A35-BE64-63940BB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63"/>
    <w:rPr>
      <w:rFonts w:ascii="Arial" w:eastAsia="Times New Roman" w:hAnsi="Arial"/>
      <w:szCs w:val="24"/>
      <w:lang w:val="en-US" w:eastAsia="en-US"/>
    </w:rPr>
  </w:style>
  <w:style w:type="paragraph" w:styleId="Titre2">
    <w:name w:val="heading 2"/>
    <w:basedOn w:val="Normal"/>
    <w:next w:val="Normal"/>
    <w:link w:val="Titre2Car"/>
    <w:uiPriority w:val="9"/>
    <w:unhideWhenUsed/>
    <w:qFormat/>
    <w:rsid w:val="009974B3"/>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autoRedefine/>
    <w:qFormat/>
    <w:rsid w:val="009974B3"/>
    <w:pPr>
      <w:ind w:left="709" w:firstLine="11"/>
      <w:jc w:val="both"/>
      <w:outlineLvl w:val="2"/>
    </w:pPr>
    <w:rPr>
      <w:rFonts w:ascii="Calibri" w:hAnsi="Calibri"/>
      <w:b/>
      <w:i/>
      <w:kern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aliases w:val="Bullets,Table/Figure Heading,References,MCHIP_list paragraph,List Paragraph1,Recommendation,Bullet List,FooterText,Lapis Bulleted List,List Paragraph (numbered (a)),Dot pt,F5 List Paragraph,No Spacing1,List Paragraph Char Char Char"/>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uiPriority w:val="39"/>
    <w:rsid w:val="001E0C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A4000A"/>
    <w:pPr>
      <w:spacing w:after="240"/>
    </w:pPr>
    <w:rPr>
      <w:rFonts w:ascii="Times New Roman" w:hAnsi="Times New Roman"/>
      <w:sz w:val="24"/>
      <w:szCs w:val="20"/>
    </w:rPr>
  </w:style>
  <w:style w:type="character" w:customStyle="1" w:styleId="Titre3Car">
    <w:name w:val="Titre 3 Car"/>
    <w:link w:val="Titre3"/>
    <w:rsid w:val="009974B3"/>
    <w:rPr>
      <w:rFonts w:eastAsia="Times New Roman"/>
      <w:b/>
      <w:i/>
      <w:kern w:val="28"/>
    </w:rPr>
  </w:style>
  <w:style w:type="character" w:customStyle="1" w:styleId="Titre2Car">
    <w:name w:val="Titre 2 Car"/>
    <w:link w:val="Titre2"/>
    <w:uiPriority w:val="9"/>
    <w:rsid w:val="009974B3"/>
    <w:rPr>
      <w:rFonts w:ascii="Calibri Light" w:eastAsia="Times New Roman" w:hAnsi="Calibri Light" w:cs="Times New Roman"/>
      <w:b/>
      <w:bCs/>
      <w:i/>
      <w:iCs/>
      <w:sz w:val="28"/>
      <w:szCs w:val="28"/>
      <w:lang w:val="en-US" w:eastAsia="en-US"/>
    </w:rPr>
  </w:style>
  <w:style w:type="paragraph" w:styleId="Notedebasdepage">
    <w:name w:val="footnote text"/>
    <w:basedOn w:val="Normal"/>
    <w:link w:val="NotedebasdepageCar"/>
    <w:uiPriority w:val="99"/>
    <w:semiHidden/>
    <w:unhideWhenUsed/>
    <w:rsid w:val="000541E4"/>
    <w:rPr>
      <w:szCs w:val="20"/>
    </w:rPr>
  </w:style>
  <w:style w:type="character" w:customStyle="1" w:styleId="NotedebasdepageCar">
    <w:name w:val="Note de bas de page Car"/>
    <w:basedOn w:val="Policepardfaut"/>
    <w:link w:val="Notedebasdepage"/>
    <w:uiPriority w:val="99"/>
    <w:semiHidden/>
    <w:rsid w:val="000541E4"/>
    <w:rPr>
      <w:rFonts w:ascii="Arial" w:eastAsia="Times New Roman" w:hAnsi="Arial"/>
      <w:lang w:val="en-US" w:eastAsia="en-US"/>
    </w:rPr>
  </w:style>
  <w:style w:type="character" w:styleId="Appelnotedebasdep">
    <w:name w:val="footnote reference"/>
    <w:basedOn w:val="Policepardfaut"/>
    <w:uiPriority w:val="99"/>
    <w:semiHidden/>
    <w:unhideWhenUsed/>
    <w:rsid w:val="000541E4"/>
    <w:rPr>
      <w:vertAlign w:val="superscript"/>
    </w:rPr>
  </w:style>
  <w:style w:type="paragraph" w:styleId="Textedebulles">
    <w:name w:val="Balloon Text"/>
    <w:basedOn w:val="Normal"/>
    <w:link w:val="TextedebullesCar"/>
    <w:uiPriority w:val="99"/>
    <w:semiHidden/>
    <w:unhideWhenUsed/>
    <w:rsid w:val="00156C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C95"/>
    <w:rPr>
      <w:rFonts w:ascii="Segoe UI" w:eastAsia="Times New Roman" w:hAnsi="Segoe UI" w:cs="Segoe UI"/>
      <w:sz w:val="18"/>
      <w:szCs w:val="18"/>
      <w:lang w:val="en-US" w:eastAsia="en-US"/>
    </w:rPr>
  </w:style>
  <w:style w:type="character" w:customStyle="1" w:styleId="ParagraphedelisteCar">
    <w:name w:val="Paragraphe de liste Car"/>
    <w:aliases w:val="Bullets Car,Table/Figure Heading Car,References Car,MCHIP_list paragraph Car,List Paragraph1 Car,Recommendation Car,Bullet List Car,FooterText Car,Lapis Bulleted List Car,List Paragraph (numbered (a)) Car,Dot pt Car"/>
    <w:link w:val="Paragraphedeliste"/>
    <w:uiPriority w:val="34"/>
    <w:qFormat/>
    <w:rsid w:val="00971B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Conditions_G&#233;n&#233;rales_IC.pdf"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offres.gn@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ic.offres.gn@undp.org"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8C1BF-AE85-479C-831F-3DE342B8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2651</Words>
  <Characters>14586</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Aliou Mamadou Diallo</cp:lastModifiedBy>
  <cp:revision>3</cp:revision>
  <cp:lastPrinted>2018-02-16T13:07:00Z</cp:lastPrinted>
  <dcterms:created xsi:type="dcterms:W3CDTF">2019-03-04T13:40:00Z</dcterms:created>
  <dcterms:modified xsi:type="dcterms:W3CDTF">2019-03-04T14:15:00Z</dcterms:modified>
</cp:coreProperties>
</file>