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1F92" w14:textId="77777777" w:rsidR="0010776F" w:rsidRDefault="00027A8D" w:rsidP="00C706F2">
      <w:pPr>
        <w:jc w:val="center"/>
        <w:rPr>
          <w:b/>
          <w:u w:val="single"/>
        </w:rPr>
      </w:pPr>
      <w:r>
        <w:rPr>
          <w:b/>
          <w:bCs/>
          <w:noProof/>
          <w:color w:val="1F497D"/>
          <w:lang w:eastAsia="fr-FR"/>
        </w:rPr>
        <w:drawing>
          <wp:inline distT="0" distB="0" distL="0" distR="0" wp14:anchorId="4928ECCB" wp14:editId="72CAACBF">
            <wp:extent cx="495300" cy="1049565"/>
            <wp:effectExtent l="0" t="0" r="0" b="0"/>
            <wp:docPr id="1" name="Picture 1" descr="cid:image001.png@01CD1D75.20A0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1D75.20A0F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4" cy="10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F351" w14:textId="77777777" w:rsidR="0010776F" w:rsidRDefault="0010776F" w:rsidP="00C706F2">
      <w:pPr>
        <w:jc w:val="center"/>
        <w:rPr>
          <w:b/>
          <w:u w:val="single"/>
        </w:rPr>
      </w:pPr>
    </w:p>
    <w:p w14:paraId="715124A4" w14:textId="5A69D286" w:rsidR="00EB202B" w:rsidRPr="00D05A5B" w:rsidRDefault="007F6D16" w:rsidP="00C706F2">
      <w:pPr>
        <w:jc w:val="center"/>
        <w:rPr>
          <w:b/>
          <w:u w:val="single"/>
        </w:rPr>
      </w:pPr>
      <w:r>
        <w:rPr>
          <w:b/>
          <w:u w:val="single"/>
        </w:rPr>
        <w:t xml:space="preserve">PROCES </w:t>
      </w:r>
      <w:r w:rsidR="00B765B5">
        <w:rPr>
          <w:b/>
          <w:u w:val="single"/>
        </w:rPr>
        <w:t>VERBAL CONFERENCE</w:t>
      </w:r>
      <w:r>
        <w:rPr>
          <w:b/>
          <w:u w:val="single"/>
        </w:rPr>
        <w:t xml:space="preserve"> </w:t>
      </w:r>
      <w:r w:rsidR="002F5428">
        <w:rPr>
          <w:b/>
          <w:u w:val="single"/>
        </w:rPr>
        <w:t>PREPARATOIRE</w:t>
      </w:r>
      <w:r w:rsidR="002F5428" w:rsidRPr="00D05A5B">
        <w:rPr>
          <w:b/>
          <w:u w:val="single"/>
        </w:rPr>
        <w:t xml:space="preserve"> </w:t>
      </w:r>
    </w:p>
    <w:p w14:paraId="50F7ACF4" w14:textId="77777777" w:rsidR="00653908" w:rsidRDefault="00653908"/>
    <w:p w14:paraId="48B2DACA" w14:textId="77777777" w:rsidR="00653908" w:rsidRDefault="00653908">
      <w:pPr>
        <w:rPr>
          <w:sz w:val="22"/>
          <w:szCs w:val="22"/>
        </w:rPr>
      </w:pPr>
      <w:r w:rsidRPr="00A613C8">
        <w:rPr>
          <w:b/>
          <w:sz w:val="22"/>
          <w:szCs w:val="22"/>
        </w:rPr>
        <w:t>Date </w:t>
      </w:r>
      <w:r w:rsidR="002B6969" w:rsidRPr="00A613C8">
        <w:rPr>
          <w:sz w:val="22"/>
          <w:szCs w:val="22"/>
        </w:rPr>
        <w:t>:</w:t>
      </w:r>
      <w:r w:rsidR="00A10288">
        <w:rPr>
          <w:sz w:val="22"/>
          <w:szCs w:val="22"/>
        </w:rPr>
        <w:t xml:space="preserve"> 18 </w:t>
      </w:r>
      <w:r w:rsidR="00C64E49">
        <w:rPr>
          <w:sz w:val="22"/>
          <w:szCs w:val="22"/>
        </w:rPr>
        <w:t>Février</w:t>
      </w:r>
      <w:r w:rsidR="00A10288">
        <w:rPr>
          <w:sz w:val="22"/>
          <w:szCs w:val="22"/>
        </w:rPr>
        <w:t xml:space="preserve"> 2019</w:t>
      </w:r>
    </w:p>
    <w:p w14:paraId="10806289" w14:textId="77777777" w:rsidR="00A613C8" w:rsidRPr="00A613C8" w:rsidRDefault="00A613C8">
      <w:pPr>
        <w:rPr>
          <w:sz w:val="22"/>
          <w:szCs w:val="22"/>
        </w:rPr>
      </w:pPr>
    </w:p>
    <w:p w14:paraId="576506B0" w14:textId="77777777" w:rsidR="00910D17" w:rsidRPr="00910D17" w:rsidRDefault="00910D17" w:rsidP="00910D17">
      <w:pPr>
        <w:ind w:firstLine="720"/>
      </w:pPr>
      <w:bookmarkStart w:id="0" w:name="_GoBack"/>
      <w:r w:rsidRPr="00910D17">
        <w:t xml:space="preserve">PROCES VERBAL CONFERENCE PREPARATOIRE </w:t>
      </w:r>
    </w:p>
    <w:p w14:paraId="4870529F" w14:textId="77777777" w:rsidR="009466E3" w:rsidRDefault="007B4CCA" w:rsidP="007B4CCA">
      <w:pPr>
        <w:pStyle w:val="Paragraphedeliste"/>
        <w:rPr>
          <w:rStyle w:val="lev"/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333333"/>
          <w:sz w:val="17"/>
          <w:szCs w:val="17"/>
        </w:rPr>
        <w:t>TRAVAUX DE CONSTRUCTION DE 200 km DE PISTES RURALES DANS LES REGIONS DE SEDHIOU, KOLDA, THIES et LOUGA.</w:t>
      </w:r>
    </w:p>
    <w:p w14:paraId="2850CB82" w14:textId="220C2EE9" w:rsidR="007B4CCA" w:rsidRPr="007B4CCA" w:rsidRDefault="007B4CCA" w:rsidP="007B4CCA">
      <w:pPr>
        <w:pStyle w:val="Paragraphedeliste"/>
        <w:rPr>
          <w:sz w:val="22"/>
          <w:szCs w:val="22"/>
        </w:rPr>
      </w:pPr>
      <w:r>
        <w:rPr>
          <w:rStyle w:val="Accentuation"/>
          <w:rFonts w:ascii="Verdana" w:hAnsi="Verdana"/>
          <w:b/>
          <w:bCs/>
          <w:color w:val="333333"/>
          <w:sz w:val="17"/>
          <w:szCs w:val="17"/>
        </w:rPr>
        <w:t>Référence du dossier : DAO/001/2019/PNUD/PUDC-Phase II</w:t>
      </w:r>
    </w:p>
    <w:p w14:paraId="3E9BF45F" w14:textId="77777777" w:rsidR="008036B6" w:rsidRDefault="008036B6" w:rsidP="007B4CCA">
      <w:pPr>
        <w:rPr>
          <w:b/>
        </w:rPr>
      </w:pPr>
    </w:p>
    <w:bookmarkEnd w:id="0"/>
    <w:p w14:paraId="7FFAB88D" w14:textId="77777777" w:rsidR="00653908" w:rsidRDefault="00C64E49" w:rsidP="00B765B5">
      <w:r>
        <w:t>Était</w:t>
      </w:r>
      <w:r w:rsidR="00B765B5">
        <w:t xml:space="preserve"> </w:t>
      </w:r>
      <w:r>
        <w:t>Présent</w:t>
      </w:r>
      <w:r w:rsidR="00B765B5">
        <w:t xml:space="preserve"> Pour le PNUD : </w:t>
      </w:r>
    </w:p>
    <w:p w14:paraId="5086E378" w14:textId="77777777" w:rsidR="002F5428" w:rsidRDefault="002F5428" w:rsidP="002F5428">
      <w:pPr>
        <w:pStyle w:val="Paragraphedeliste"/>
        <w:numPr>
          <w:ilvl w:val="0"/>
          <w:numId w:val="6"/>
        </w:numPr>
      </w:pPr>
      <w:r>
        <w:t xml:space="preserve">El hadj Oumar Diallo </w:t>
      </w:r>
    </w:p>
    <w:p w14:paraId="38B56A3C" w14:textId="2F6E74B8" w:rsidR="00B765B5" w:rsidRDefault="00B765B5" w:rsidP="00B765B5">
      <w:pPr>
        <w:pStyle w:val="Paragraphedeliste"/>
        <w:numPr>
          <w:ilvl w:val="0"/>
          <w:numId w:val="6"/>
        </w:numPr>
      </w:pPr>
      <w:r>
        <w:t>Pap</w:t>
      </w:r>
      <w:r w:rsidR="000D539A">
        <w:t>a</w:t>
      </w:r>
      <w:r>
        <w:t xml:space="preserve"> Elimane Diouf </w:t>
      </w:r>
    </w:p>
    <w:p w14:paraId="3982ECFA" w14:textId="77777777" w:rsidR="00B765B5" w:rsidRDefault="00C64E49" w:rsidP="00B765B5">
      <w:pPr>
        <w:pStyle w:val="Paragraphedeliste"/>
        <w:numPr>
          <w:ilvl w:val="0"/>
          <w:numId w:val="6"/>
        </w:numPr>
      </w:pPr>
      <w:r>
        <w:t xml:space="preserve">Fatoumata Seck Sibi </w:t>
      </w:r>
    </w:p>
    <w:p w14:paraId="6ECA0610" w14:textId="77777777" w:rsidR="00C64E49" w:rsidRDefault="00C64E49" w:rsidP="00B765B5">
      <w:pPr>
        <w:pStyle w:val="Paragraphedeliste"/>
        <w:numPr>
          <w:ilvl w:val="0"/>
          <w:numId w:val="6"/>
        </w:numPr>
      </w:pPr>
      <w:proofErr w:type="spellStart"/>
      <w:r>
        <w:t>Tacko</w:t>
      </w:r>
      <w:proofErr w:type="spellEnd"/>
      <w:r>
        <w:t xml:space="preserve"> Ba </w:t>
      </w:r>
    </w:p>
    <w:p w14:paraId="57578C72" w14:textId="77777777" w:rsidR="00C64E49" w:rsidRDefault="00C64E49" w:rsidP="00C64E49"/>
    <w:p w14:paraId="54B3DC56" w14:textId="77777777" w:rsidR="00C64E49" w:rsidRDefault="00C64E49" w:rsidP="00C64E49">
      <w:r>
        <w:t xml:space="preserve">Pour le PUDC </w:t>
      </w:r>
    </w:p>
    <w:p w14:paraId="1318B0CD" w14:textId="77777777" w:rsidR="00C64E49" w:rsidRDefault="00C64E49" w:rsidP="00C64E49"/>
    <w:p w14:paraId="35436EFB" w14:textId="743C0F96" w:rsidR="00C64E49" w:rsidRDefault="00C64E49" w:rsidP="00C64E49">
      <w:pPr>
        <w:pStyle w:val="Paragraphedeliste"/>
        <w:numPr>
          <w:ilvl w:val="0"/>
          <w:numId w:val="6"/>
        </w:numPr>
      </w:pPr>
      <w:r>
        <w:t xml:space="preserve">Mme Awa Toure </w:t>
      </w:r>
    </w:p>
    <w:p w14:paraId="77056A19" w14:textId="77777777" w:rsidR="00C64E49" w:rsidRDefault="00C64E49" w:rsidP="00C64E49">
      <w:pPr>
        <w:pStyle w:val="Paragraphedeliste"/>
        <w:numPr>
          <w:ilvl w:val="0"/>
          <w:numId w:val="6"/>
        </w:numPr>
      </w:pPr>
      <w:r>
        <w:t>Mme Marie Eugenie Mbengue</w:t>
      </w:r>
    </w:p>
    <w:p w14:paraId="25C435E6" w14:textId="06CBF28E" w:rsidR="00C64E49" w:rsidRDefault="00C64E49" w:rsidP="00C64E49">
      <w:pPr>
        <w:pStyle w:val="Paragraphedeliste"/>
        <w:numPr>
          <w:ilvl w:val="0"/>
          <w:numId w:val="6"/>
        </w:numPr>
      </w:pPr>
      <w:r>
        <w:t xml:space="preserve">Mme Aticata Ly </w:t>
      </w:r>
    </w:p>
    <w:p w14:paraId="5924E596" w14:textId="0FB8AA40" w:rsidR="00330095" w:rsidRDefault="00330095" w:rsidP="00C64E49">
      <w:pPr>
        <w:pStyle w:val="Paragraphedeliste"/>
        <w:numPr>
          <w:ilvl w:val="0"/>
          <w:numId w:val="6"/>
        </w:numPr>
      </w:pPr>
      <w:r>
        <w:t>M. Abdoulaye Diouf</w:t>
      </w:r>
    </w:p>
    <w:p w14:paraId="735472EC" w14:textId="77777777" w:rsidR="00C64E49" w:rsidRDefault="00C64E49" w:rsidP="00C64E49">
      <w:pPr>
        <w:ind w:left="360"/>
      </w:pPr>
    </w:p>
    <w:p w14:paraId="09C9B4AF" w14:textId="77777777" w:rsidR="00C64E49" w:rsidRDefault="00C64E49" w:rsidP="00C64E49">
      <w:pPr>
        <w:ind w:left="360"/>
      </w:pPr>
      <w:r>
        <w:t>Soumissionnaires : Confére</w:t>
      </w:r>
      <w:r w:rsidR="002A5F20">
        <w:t>nce</w:t>
      </w:r>
      <w:r>
        <w:t xml:space="preserve"> liste de présence </w:t>
      </w:r>
    </w:p>
    <w:p w14:paraId="1A255540" w14:textId="77777777" w:rsidR="00C64E49" w:rsidRDefault="00C64E49" w:rsidP="00C64E49">
      <w:pPr>
        <w:ind w:left="360"/>
      </w:pPr>
    </w:p>
    <w:p w14:paraId="25442A27" w14:textId="77777777" w:rsidR="00C85D74" w:rsidRDefault="00F85C8D" w:rsidP="004B5A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CONTEXTE </w:t>
      </w:r>
    </w:p>
    <w:p w14:paraId="4311F2F5" w14:textId="69B4EAFE" w:rsidR="00996321" w:rsidRPr="00677631" w:rsidRDefault="00996321" w:rsidP="00996321">
      <w:pPr>
        <w:tabs>
          <w:tab w:val="center" w:pos="4680"/>
        </w:tabs>
        <w:jc w:val="both"/>
        <w:rPr>
          <w:rFonts w:eastAsia="Times New Roman" w:cstheme="minorHAnsi"/>
          <w:snapToGrid w:val="0"/>
          <w:sz w:val="22"/>
          <w:szCs w:val="22"/>
        </w:rPr>
      </w:pPr>
      <w:r w:rsidRPr="00BD47FC">
        <w:rPr>
          <w:rFonts w:eastAsia="Times New Roman" w:cstheme="minorHAnsi"/>
          <w:snapToGrid w:val="0"/>
          <w:sz w:val="22"/>
          <w:szCs w:val="22"/>
        </w:rPr>
        <w:t xml:space="preserve">D’importantes </w:t>
      </w:r>
      <w:r w:rsidRPr="00677631">
        <w:rPr>
          <w:rFonts w:eastAsia="Times New Roman" w:cstheme="minorHAnsi"/>
          <w:bCs/>
          <w:snapToGrid w:val="0"/>
          <w:sz w:val="22"/>
          <w:szCs w:val="22"/>
        </w:rPr>
        <w:t xml:space="preserve">réalisations ont été faites dans les domaines de l’accès à l’énergie, à l’eau potable, </w:t>
      </w:r>
      <w:r w:rsidR="009466E3">
        <w:rPr>
          <w:rFonts w:eastAsia="Times New Roman" w:cstheme="minorHAnsi"/>
          <w:bCs/>
          <w:snapToGrid w:val="0"/>
          <w:sz w:val="22"/>
          <w:szCs w:val="22"/>
        </w:rPr>
        <w:t>a</w:t>
      </w:r>
      <w:r w:rsidR="009466E3" w:rsidRPr="00677631">
        <w:rPr>
          <w:rFonts w:eastAsia="Times New Roman" w:cstheme="minorHAnsi"/>
          <w:bCs/>
          <w:snapToGrid w:val="0"/>
          <w:sz w:val="22"/>
          <w:szCs w:val="22"/>
        </w:rPr>
        <w:t xml:space="preserve">u </w:t>
      </w:r>
      <w:r w:rsidRPr="00677631">
        <w:rPr>
          <w:rFonts w:eastAsia="Times New Roman" w:cstheme="minorHAnsi"/>
          <w:bCs/>
          <w:snapToGrid w:val="0"/>
          <w:sz w:val="22"/>
          <w:szCs w:val="22"/>
        </w:rPr>
        <w:t xml:space="preserve">désenclavement et </w:t>
      </w:r>
      <w:r w:rsidR="009466E3">
        <w:rPr>
          <w:rFonts w:eastAsia="Times New Roman" w:cstheme="minorHAnsi"/>
          <w:bCs/>
          <w:snapToGrid w:val="0"/>
          <w:sz w:val="22"/>
          <w:szCs w:val="22"/>
        </w:rPr>
        <w:t>à</w:t>
      </w:r>
      <w:r w:rsidR="009466E3" w:rsidRPr="00677631">
        <w:rPr>
          <w:rFonts w:eastAsia="Times New Roman" w:cstheme="minorHAnsi"/>
          <w:bCs/>
          <w:snapToGrid w:val="0"/>
          <w:sz w:val="22"/>
          <w:szCs w:val="22"/>
        </w:rPr>
        <w:t xml:space="preserve"> </w:t>
      </w:r>
      <w:r w:rsidRPr="00677631">
        <w:rPr>
          <w:rFonts w:eastAsia="Times New Roman" w:cstheme="minorHAnsi"/>
          <w:bCs/>
          <w:snapToGrid w:val="0"/>
          <w:sz w:val="22"/>
          <w:szCs w:val="22"/>
        </w:rPr>
        <w:t>la transformation agricole durant la phase I du PUDC.</w:t>
      </w:r>
      <w:r w:rsidRPr="00677631">
        <w:rPr>
          <w:rFonts w:eastAsia="Times New Roman" w:cstheme="minorHAnsi"/>
          <w:snapToGrid w:val="0"/>
          <w:sz w:val="22"/>
          <w:szCs w:val="22"/>
        </w:rPr>
        <w:t xml:space="preserve"> Cependant la demande d’accès aux services sociaux de base reste forte.</w:t>
      </w:r>
    </w:p>
    <w:p w14:paraId="3CCA4028" w14:textId="5CA7F374" w:rsidR="009466E3" w:rsidRDefault="00996321" w:rsidP="00996321">
      <w:pPr>
        <w:tabs>
          <w:tab w:val="center" w:pos="4680"/>
        </w:tabs>
        <w:jc w:val="both"/>
        <w:rPr>
          <w:rFonts w:eastAsia="Times New Roman" w:cstheme="minorHAnsi"/>
          <w:snapToGrid w:val="0"/>
          <w:sz w:val="22"/>
          <w:szCs w:val="22"/>
        </w:rPr>
      </w:pPr>
      <w:r w:rsidRPr="00CE2F6C">
        <w:rPr>
          <w:rFonts w:eastAsia="Times New Roman" w:cstheme="minorHAnsi"/>
          <w:snapToGrid w:val="0"/>
          <w:sz w:val="22"/>
          <w:szCs w:val="22"/>
        </w:rPr>
        <w:t>La mise en œuvre de la seconde phase du PUDC est attendue. Elle permettra de</w:t>
      </w:r>
      <w:r w:rsidR="009466E3">
        <w:rPr>
          <w:rFonts w:eastAsia="Times New Roman" w:cstheme="minorHAnsi"/>
          <w:snapToGrid w:val="0"/>
          <w:sz w:val="22"/>
          <w:szCs w:val="22"/>
        </w:rPr>
        <w:t xml:space="preserve"> : </w:t>
      </w:r>
    </w:p>
    <w:p w14:paraId="07357B87" w14:textId="77777777" w:rsidR="009466E3" w:rsidRDefault="009466E3" w:rsidP="00996321">
      <w:pPr>
        <w:tabs>
          <w:tab w:val="center" w:pos="4680"/>
        </w:tabs>
        <w:jc w:val="both"/>
        <w:rPr>
          <w:rFonts w:eastAsia="Times New Roman" w:cstheme="minorHAnsi"/>
          <w:snapToGrid w:val="0"/>
          <w:sz w:val="22"/>
          <w:szCs w:val="22"/>
        </w:rPr>
      </w:pPr>
    </w:p>
    <w:p w14:paraId="103D0CB0" w14:textId="54FF1A26" w:rsidR="009466E3" w:rsidRPr="00330095" w:rsidRDefault="00150588" w:rsidP="00330095">
      <w:pPr>
        <w:pStyle w:val="Paragraphedeliste"/>
        <w:numPr>
          <w:ilvl w:val="0"/>
          <w:numId w:val="7"/>
        </w:numPr>
        <w:tabs>
          <w:tab w:val="center" w:pos="4680"/>
        </w:tabs>
        <w:jc w:val="both"/>
        <w:rPr>
          <w:rFonts w:eastAsia="Times New Roman" w:cstheme="minorHAnsi"/>
          <w:snapToGrid w:val="0"/>
          <w:sz w:val="22"/>
          <w:szCs w:val="22"/>
        </w:rPr>
      </w:pPr>
      <w:r w:rsidRPr="00330095">
        <w:rPr>
          <w:rFonts w:eastAsia="Times New Roman" w:cstheme="minorHAnsi"/>
          <w:snapToGrid w:val="0"/>
          <w:sz w:val="22"/>
          <w:szCs w:val="22"/>
        </w:rPr>
        <w:t>Consolider</w:t>
      </w:r>
      <w:r w:rsidR="00F15F48" w:rsidRPr="00330095">
        <w:rPr>
          <w:rFonts w:eastAsia="Times New Roman" w:cstheme="minorHAnsi"/>
          <w:snapToGrid w:val="0"/>
          <w:sz w:val="22"/>
          <w:szCs w:val="22"/>
        </w:rPr>
        <w:t xml:space="preserve"> les</w:t>
      </w:r>
      <w:r w:rsidR="00996321" w:rsidRPr="00330095">
        <w:rPr>
          <w:rFonts w:eastAsia="Times New Roman" w:cstheme="minorHAnsi"/>
          <w:snapToGrid w:val="0"/>
          <w:sz w:val="22"/>
          <w:szCs w:val="22"/>
        </w:rPr>
        <w:t xml:space="preserve"> acquis de la première phase tout en procédant à l’expansion de ces derniers par une emphase sur la réponse à la demande en infrastructures de santé, la promotion de projets d’agrégation ciblés sur des chaines à haute valeur ajoutée dans le domaine de l’agriculture et de l’élevage et </w:t>
      </w:r>
    </w:p>
    <w:p w14:paraId="22A28436" w14:textId="2C8557A5" w:rsidR="00996321" w:rsidRPr="00CE2F6C" w:rsidRDefault="00F15F48" w:rsidP="00330095">
      <w:pPr>
        <w:pStyle w:val="Paragraphedeliste"/>
        <w:numPr>
          <w:ilvl w:val="0"/>
          <w:numId w:val="7"/>
        </w:numPr>
        <w:tabs>
          <w:tab w:val="center" w:pos="4680"/>
        </w:tabs>
        <w:jc w:val="both"/>
        <w:rPr>
          <w:rFonts w:eastAsia="Times New Roman" w:cstheme="minorHAnsi"/>
          <w:snapToGrid w:val="0"/>
          <w:sz w:val="22"/>
          <w:szCs w:val="22"/>
        </w:rPr>
      </w:pPr>
      <w:r>
        <w:rPr>
          <w:rFonts w:eastAsia="Times New Roman" w:cstheme="minorHAnsi"/>
          <w:snapToGrid w:val="0"/>
          <w:sz w:val="22"/>
          <w:szCs w:val="22"/>
        </w:rPr>
        <w:t>Couvrir</w:t>
      </w:r>
      <w:r w:rsidR="000D539A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0D539A" w:rsidRPr="00CE2F6C">
        <w:rPr>
          <w:rFonts w:eastAsia="Times New Roman" w:cstheme="minorHAnsi"/>
          <w:snapToGrid w:val="0"/>
          <w:sz w:val="22"/>
          <w:szCs w:val="22"/>
        </w:rPr>
        <w:t>de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nouvelles zones qui, dans la première phase ont été insuffisamment couverte</w:t>
      </w:r>
      <w:r w:rsidR="009466E3">
        <w:rPr>
          <w:rFonts w:eastAsia="Times New Roman" w:cstheme="minorHAnsi"/>
          <w:snapToGrid w:val="0"/>
          <w:sz w:val="22"/>
          <w:szCs w:val="22"/>
        </w:rPr>
        <w:t>s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par les services du programme. Il s’agit des départements de </w:t>
      </w:r>
      <w:proofErr w:type="spellStart"/>
      <w:r w:rsidR="00996321" w:rsidRPr="00CE2F6C">
        <w:rPr>
          <w:rFonts w:eastAsia="Times New Roman" w:cstheme="minorHAnsi"/>
          <w:snapToGrid w:val="0"/>
          <w:sz w:val="22"/>
          <w:szCs w:val="22"/>
        </w:rPr>
        <w:t>MBacké</w:t>
      </w:r>
      <w:proofErr w:type="spellEnd"/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0D539A">
        <w:rPr>
          <w:rFonts w:eastAsia="Times New Roman" w:cstheme="minorHAnsi"/>
          <w:snapToGrid w:val="0"/>
          <w:sz w:val="22"/>
          <w:szCs w:val="22"/>
        </w:rPr>
        <w:t>(</w:t>
      </w:r>
      <w:r w:rsidR="000D539A" w:rsidRPr="00CE2F6C">
        <w:rPr>
          <w:rFonts w:eastAsia="Times New Roman" w:cstheme="minorHAnsi"/>
          <w:snapToGrid w:val="0"/>
          <w:sz w:val="22"/>
          <w:szCs w:val="22"/>
        </w:rPr>
        <w:t>région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de Diourbel</w:t>
      </w:r>
      <w:r w:rsidR="009466E3">
        <w:rPr>
          <w:rFonts w:eastAsia="Times New Roman" w:cstheme="minorHAnsi"/>
          <w:snapToGrid w:val="0"/>
          <w:sz w:val="22"/>
          <w:szCs w:val="22"/>
        </w:rPr>
        <w:t>)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, de </w:t>
      </w:r>
      <w:proofErr w:type="spellStart"/>
      <w:r w:rsidR="00996321" w:rsidRPr="00CE2F6C">
        <w:rPr>
          <w:rFonts w:eastAsia="Times New Roman" w:cstheme="minorHAnsi"/>
          <w:snapToGrid w:val="0"/>
          <w:sz w:val="22"/>
          <w:szCs w:val="22"/>
        </w:rPr>
        <w:t>Malem</w:t>
      </w:r>
      <w:proofErr w:type="spellEnd"/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</w:t>
      </w:r>
      <w:proofErr w:type="spellStart"/>
      <w:r w:rsidR="00996321" w:rsidRPr="00CE2F6C">
        <w:rPr>
          <w:rFonts w:eastAsia="Times New Roman" w:cstheme="minorHAnsi"/>
          <w:snapToGrid w:val="0"/>
          <w:sz w:val="22"/>
          <w:szCs w:val="22"/>
        </w:rPr>
        <w:t>Hoddar</w:t>
      </w:r>
      <w:proofErr w:type="spellEnd"/>
      <w:r w:rsidR="009466E3">
        <w:rPr>
          <w:rFonts w:eastAsia="Times New Roman" w:cstheme="minorHAnsi"/>
          <w:snapToGrid w:val="0"/>
          <w:sz w:val="22"/>
          <w:szCs w:val="22"/>
        </w:rPr>
        <w:t xml:space="preserve"> </w:t>
      </w:r>
      <w:r>
        <w:rPr>
          <w:rFonts w:eastAsia="Times New Roman" w:cstheme="minorHAnsi"/>
          <w:snapToGrid w:val="0"/>
          <w:sz w:val="22"/>
          <w:szCs w:val="22"/>
        </w:rPr>
        <w:t xml:space="preserve">et </w:t>
      </w:r>
      <w:proofErr w:type="spellStart"/>
      <w:r w:rsidRPr="00CE2F6C">
        <w:rPr>
          <w:rFonts w:eastAsia="Times New Roman" w:cstheme="minorHAnsi"/>
          <w:snapToGrid w:val="0"/>
          <w:sz w:val="22"/>
          <w:szCs w:val="22"/>
        </w:rPr>
        <w:t>MBirkelane</w:t>
      </w:r>
      <w:proofErr w:type="spellEnd"/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9466E3">
        <w:rPr>
          <w:rFonts w:eastAsia="Times New Roman" w:cstheme="minorHAnsi"/>
          <w:snapToGrid w:val="0"/>
          <w:sz w:val="22"/>
          <w:szCs w:val="22"/>
        </w:rPr>
        <w:t>(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>région de Kaffrine</w:t>
      </w:r>
      <w:r w:rsidR="009466E3">
        <w:rPr>
          <w:rFonts w:eastAsia="Times New Roman" w:cstheme="minorHAnsi"/>
          <w:snapToGrid w:val="0"/>
          <w:sz w:val="22"/>
          <w:szCs w:val="22"/>
        </w:rPr>
        <w:t>)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, de </w:t>
      </w:r>
      <w:proofErr w:type="spellStart"/>
      <w:r w:rsidR="00996321" w:rsidRPr="00CE2F6C">
        <w:rPr>
          <w:rFonts w:eastAsia="Times New Roman" w:cstheme="minorHAnsi"/>
          <w:snapToGrid w:val="0"/>
          <w:sz w:val="22"/>
          <w:szCs w:val="22"/>
        </w:rPr>
        <w:t>MBour</w:t>
      </w:r>
      <w:proofErr w:type="spellEnd"/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9466E3">
        <w:rPr>
          <w:rFonts w:eastAsia="Times New Roman" w:cstheme="minorHAnsi"/>
          <w:snapToGrid w:val="0"/>
          <w:sz w:val="22"/>
          <w:szCs w:val="22"/>
        </w:rPr>
        <w:t>(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>région de Thiès</w:t>
      </w:r>
      <w:r w:rsidR="00150588">
        <w:rPr>
          <w:rFonts w:eastAsia="Times New Roman" w:cstheme="minorHAnsi"/>
          <w:snapToGrid w:val="0"/>
          <w:sz w:val="22"/>
          <w:szCs w:val="22"/>
        </w:rPr>
        <w:t>),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de </w:t>
      </w:r>
      <w:proofErr w:type="spellStart"/>
      <w:r w:rsidR="00996321" w:rsidRPr="00CE2F6C">
        <w:rPr>
          <w:rFonts w:eastAsia="Times New Roman" w:cstheme="minorHAnsi"/>
          <w:snapToGrid w:val="0"/>
          <w:sz w:val="22"/>
          <w:szCs w:val="22"/>
        </w:rPr>
        <w:t>Kébémer</w:t>
      </w:r>
      <w:proofErr w:type="spellEnd"/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9466E3">
        <w:rPr>
          <w:rFonts w:eastAsia="Times New Roman" w:cstheme="minorHAnsi"/>
          <w:snapToGrid w:val="0"/>
          <w:sz w:val="22"/>
          <w:szCs w:val="22"/>
        </w:rPr>
        <w:t>(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>région de Louga</w:t>
      </w:r>
      <w:r w:rsidR="009466E3">
        <w:rPr>
          <w:rFonts w:eastAsia="Times New Roman" w:cstheme="minorHAnsi"/>
          <w:snapToGrid w:val="0"/>
          <w:sz w:val="22"/>
          <w:szCs w:val="22"/>
        </w:rPr>
        <w:t>)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, de Bakel </w:t>
      </w:r>
      <w:r w:rsidR="009466E3">
        <w:rPr>
          <w:rFonts w:eastAsia="Times New Roman" w:cstheme="minorHAnsi"/>
          <w:snapToGrid w:val="0"/>
          <w:sz w:val="22"/>
          <w:szCs w:val="22"/>
        </w:rPr>
        <w:t>(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>région de Tambacounda</w:t>
      </w:r>
      <w:r w:rsidR="009466E3">
        <w:rPr>
          <w:rFonts w:eastAsia="Times New Roman" w:cstheme="minorHAnsi"/>
          <w:snapToGrid w:val="0"/>
          <w:sz w:val="22"/>
          <w:szCs w:val="22"/>
        </w:rPr>
        <w:t>)</w:t>
      </w:r>
      <w:r w:rsidR="00996321" w:rsidRPr="00CE2F6C">
        <w:rPr>
          <w:rFonts w:eastAsia="Times New Roman" w:cstheme="minorHAnsi"/>
          <w:snapToGrid w:val="0"/>
          <w:sz w:val="22"/>
          <w:szCs w:val="22"/>
        </w:rPr>
        <w:t xml:space="preserve"> et les départements des régions de Ziguinchor, de Kolda, et de Sédhiou.</w:t>
      </w:r>
    </w:p>
    <w:p w14:paraId="4FB6D1F9" w14:textId="77777777" w:rsidR="00996321" w:rsidRDefault="00996321" w:rsidP="004B5AB9">
      <w:pPr>
        <w:rPr>
          <w:b/>
          <w:sz w:val="22"/>
          <w:szCs w:val="22"/>
          <w:u w:val="single"/>
        </w:rPr>
      </w:pPr>
    </w:p>
    <w:p w14:paraId="33A22CCD" w14:textId="3836CB97" w:rsidR="00884AFA" w:rsidRDefault="00F85C8D" w:rsidP="00330095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C’est dans cette optiqu</w:t>
      </w:r>
      <w:r w:rsidR="00996321">
        <w:rPr>
          <w:b/>
          <w:sz w:val="22"/>
          <w:szCs w:val="22"/>
          <w:u w:val="single"/>
        </w:rPr>
        <w:t xml:space="preserve">e qu’une </w:t>
      </w:r>
      <w:r w:rsidR="002C22AF">
        <w:rPr>
          <w:b/>
          <w:sz w:val="22"/>
          <w:szCs w:val="22"/>
          <w:u w:val="single"/>
        </w:rPr>
        <w:t>conférence</w:t>
      </w:r>
      <w:r w:rsidR="00996321">
        <w:rPr>
          <w:b/>
          <w:sz w:val="22"/>
          <w:szCs w:val="22"/>
          <w:u w:val="single"/>
        </w:rPr>
        <w:t xml:space="preserve"> </w:t>
      </w:r>
      <w:r w:rsidR="0085390D">
        <w:rPr>
          <w:b/>
          <w:sz w:val="22"/>
          <w:szCs w:val="22"/>
          <w:u w:val="single"/>
        </w:rPr>
        <w:t>préparatoire a</w:t>
      </w:r>
      <w:r>
        <w:rPr>
          <w:b/>
          <w:sz w:val="22"/>
          <w:szCs w:val="22"/>
          <w:u w:val="single"/>
        </w:rPr>
        <w:t xml:space="preserve"> été organisé</w:t>
      </w:r>
      <w:r w:rsidR="006C4607">
        <w:rPr>
          <w:b/>
          <w:sz w:val="22"/>
          <w:szCs w:val="22"/>
          <w:u w:val="single"/>
        </w:rPr>
        <w:t>e</w:t>
      </w:r>
      <w:r w:rsidR="00996321">
        <w:rPr>
          <w:b/>
          <w:sz w:val="22"/>
          <w:szCs w:val="22"/>
          <w:u w:val="single"/>
        </w:rPr>
        <w:t xml:space="preserve"> le Lundi 18 </w:t>
      </w:r>
      <w:r w:rsidR="0085390D">
        <w:rPr>
          <w:b/>
          <w:sz w:val="22"/>
          <w:szCs w:val="22"/>
          <w:u w:val="single"/>
        </w:rPr>
        <w:t>février</w:t>
      </w:r>
      <w:r w:rsidR="00996321">
        <w:rPr>
          <w:b/>
          <w:sz w:val="22"/>
          <w:szCs w:val="22"/>
          <w:u w:val="single"/>
        </w:rPr>
        <w:t xml:space="preserve"> 2018 à 10 heures dans les locaux du PNUD BUREAU </w:t>
      </w:r>
      <w:r w:rsidR="00257E55">
        <w:rPr>
          <w:b/>
          <w:sz w:val="22"/>
          <w:szCs w:val="22"/>
          <w:u w:val="single"/>
        </w:rPr>
        <w:t>PAYS</w:t>
      </w:r>
      <w:r w:rsidR="006C4607">
        <w:rPr>
          <w:b/>
          <w:sz w:val="22"/>
          <w:szCs w:val="22"/>
          <w:u w:val="single"/>
        </w:rPr>
        <w:t>,</w:t>
      </w:r>
      <w:r w:rsidR="00257E55">
        <w:rPr>
          <w:b/>
          <w:sz w:val="22"/>
          <w:szCs w:val="22"/>
          <w:u w:val="single"/>
        </w:rPr>
        <w:t xml:space="preserve"> à</w:t>
      </w:r>
      <w:r w:rsidR="00996321">
        <w:rPr>
          <w:b/>
          <w:sz w:val="22"/>
          <w:szCs w:val="22"/>
          <w:u w:val="single"/>
        </w:rPr>
        <w:t xml:space="preserve"> la salle </w:t>
      </w:r>
      <w:r w:rsidR="00C457D4">
        <w:rPr>
          <w:b/>
          <w:sz w:val="22"/>
          <w:szCs w:val="22"/>
          <w:u w:val="single"/>
        </w:rPr>
        <w:t>Almadies</w:t>
      </w:r>
      <w:r w:rsidR="002A5F20">
        <w:rPr>
          <w:b/>
          <w:sz w:val="22"/>
          <w:szCs w:val="22"/>
          <w:u w:val="single"/>
        </w:rPr>
        <w:t xml:space="preserve"> 1</w:t>
      </w:r>
      <w:r w:rsidR="00C457D4">
        <w:rPr>
          <w:b/>
          <w:sz w:val="22"/>
          <w:szCs w:val="22"/>
          <w:u w:val="single"/>
        </w:rPr>
        <w:t xml:space="preserve"> </w:t>
      </w:r>
      <w:r w:rsidR="0073737C" w:rsidRPr="00B431BE">
        <w:rPr>
          <w:sz w:val="22"/>
          <w:szCs w:val="22"/>
        </w:rPr>
        <w:t>pour</w:t>
      </w:r>
      <w:r w:rsidR="0073737C">
        <w:rPr>
          <w:b/>
          <w:sz w:val="22"/>
          <w:szCs w:val="22"/>
          <w:u w:val="single"/>
        </w:rPr>
        <w:t xml:space="preserve"> </w:t>
      </w:r>
      <w:r w:rsidR="0073737C">
        <w:rPr>
          <w:sz w:val="22"/>
          <w:szCs w:val="22"/>
        </w:rPr>
        <w:t>permettre</w:t>
      </w:r>
      <w:r w:rsidR="00996321">
        <w:rPr>
          <w:sz w:val="22"/>
          <w:szCs w:val="22"/>
        </w:rPr>
        <w:t xml:space="preserve"> aux </w:t>
      </w:r>
      <w:r w:rsidR="0085390D">
        <w:rPr>
          <w:sz w:val="22"/>
          <w:szCs w:val="22"/>
        </w:rPr>
        <w:t>soumissionnaires</w:t>
      </w:r>
      <w:r w:rsidR="00996321">
        <w:rPr>
          <w:sz w:val="22"/>
          <w:szCs w:val="22"/>
        </w:rPr>
        <w:t xml:space="preserve"> de se familiariser avec le DAO et pos</w:t>
      </w:r>
      <w:r w:rsidR="00A72093">
        <w:rPr>
          <w:sz w:val="22"/>
          <w:szCs w:val="22"/>
        </w:rPr>
        <w:t>er</w:t>
      </w:r>
      <w:r w:rsidR="00996321">
        <w:rPr>
          <w:sz w:val="22"/>
          <w:szCs w:val="22"/>
        </w:rPr>
        <w:t xml:space="preserve"> </w:t>
      </w:r>
      <w:r w:rsidR="0073737C">
        <w:rPr>
          <w:sz w:val="22"/>
          <w:szCs w:val="22"/>
        </w:rPr>
        <w:t>toute</w:t>
      </w:r>
      <w:r w:rsidR="00A72093">
        <w:rPr>
          <w:sz w:val="22"/>
          <w:szCs w:val="22"/>
        </w:rPr>
        <w:t>s</w:t>
      </w:r>
      <w:r w:rsidR="0073737C">
        <w:rPr>
          <w:sz w:val="22"/>
          <w:szCs w:val="22"/>
        </w:rPr>
        <w:t xml:space="preserve"> l</w:t>
      </w:r>
      <w:r w:rsidR="00A72093">
        <w:rPr>
          <w:sz w:val="22"/>
          <w:szCs w:val="22"/>
        </w:rPr>
        <w:t>es</w:t>
      </w:r>
      <w:r w:rsidR="0073737C">
        <w:rPr>
          <w:sz w:val="22"/>
          <w:szCs w:val="22"/>
        </w:rPr>
        <w:t xml:space="preserve"> question</w:t>
      </w:r>
      <w:r w:rsidR="00A72093">
        <w:rPr>
          <w:sz w:val="22"/>
          <w:szCs w:val="22"/>
        </w:rPr>
        <w:t>s</w:t>
      </w:r>
      <w:r w:rsidR="0073737C">
        <w:rPr>
          <w:sz w:val="22"/>
          <w:szCs w:val="22"/>
        </w:rPr>
        <w:t xml:space="preserve"> nécessaire</w:t>
      </w:r>
      <w:r w:rsidR="00A72093">
        <w:rPr>
          <w:sz w:val="22"/>
          <w:szCs w:val="22"/>
        </w:rPr>
        <w:t>s</w:t>
      </w:r>
      <w:r w:rsidR="00996321">
        <w:rPr>
          <w:sz w:val="22"/>
          <w:szCs w:val="22"/>
        </w:rPr>
        <w:t xml:space="preserve"> </w:t>
      </w:r>
      <w:r w:rsidR="000D621F">
        <w:rPr>
          <w:sz w:val="22"/>
          <w:szCs w:val="22"/>
        </w:rPr>
        <w:t xml:space="preserve">pour faire un bon dossier d’appel d’offres. </w:t>
      </w:r>
    </w:p>
    <w:p w14:paraId="5D959BD8" w14:textId="77777777" w:rsidR="009466E3" w:rsidRDefault="009466E3" w:rsidP="000D621F">
      <w:pPr>
        <w:rPr>
          <w:u w:val="double"/>
        </w:rPr>
      </w:pPr>
    </w:p>
    <w:p w14:paraId="6F9D8B2A" w14:textId="5B18B2F1" w:rsidR="00472DBE" w:rsidRPr="000D621F" w:rsidRDefault="00A05069" w:rsidP="00330095">
      <w:pPr>
        <w:jc w:val="both"/>
        <w:rPr>
          <w:u w:val="double"/>
        </w:rPr>
      </w:pPr>
      <w:r>
        <w:rPr>
          <w:u w:val="double"/>
        </w:rPr>
        <w:t>Après le mot de bienvenue, a</w:t>
      </w:r>
      <w:r w:rsidR="00472DBE">
        <w:rPr>
          <w:u w:val="double"/>
        </w:rPr>
        <w:t xml:space="preserve">u nom du PNUD et du PUDC, M. Elhadj Oumar Diallo et Mme Awa Touré ont pris respectivement la parole pour expliquer </w:t>
      </w:r>
      <w:r>
        <w:rPr>
          <w:u w:val="double"/>
        </w:rPr>
        <w:t xml:space="preserve">aux soumissionnaires </w:t>
      </w:r>
      <w:r w:rsidR="009F3125">
        <w:rPr>
          <w:u w:val="double"/>
        </w:rPr>
        <w:t xml:space="preserve">le contexte de partenariat entre le PNUD et le PUDC </w:t>
      </w:r>
      <w:r>
        <w:rPr>
          <w:u w:val="double"/>
        </w:rPr>
        <w:t>pour</w:t>
      </w:r>
      <w:r w:rsidR="009F3125">
        <w:rPr>
          <w:u w:val="double"/>
        </w:rPr>
        <w:t xml:space="preserve"> la mise </w:t>
      </w:r>
      <w:r w:rsidR="009F3125">
        <w:rPr>
          <w:u w:val="double"/>
        </w:rPr>
        <w:lastRenderedPageBreak/>
        <w:t>en œuvre de cette deuxième phase du P</w:t>
      </w:r>
      <w:r>
        <w:rPr>
          <w:u w:val="double"/>
        </w:rPr>
        <w:t>rogramme</w:t>
      </w:r>
      <w:r w:rsidR="009F3125">
        <w:rPr>
          <w:u w:val="double"/>
        </w:rPr>
        <w:t xml:space="preserve"> ainsi que les rôles et les responsabilités de chacune des parties.</w:t>
      </w:r>
    </w:p>
    <w:p w14:paraId="09F0AA2B" w14:textId="77777777" w:rsidR="00AA09DA" w:rsidRDefault="00AA09DA" w:rsidP="00DC1E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BCFA47" w14:textId="058CCA6D" w:rsidR="000D621F" w:rsidRDefault="000D621F" w:rsidP="00DC1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Monsieur </w:t>
      </w:r>
      <w:r w:rsidR="009466E3">
        <w:rPr>
          <w:sz w:val="22"/>
          <w:szCs w:val="22"/>
        </w:rPr>
        <w:t>P</w:t>
      </w:r>
      <w:r>
        <w:rPr>
          <w:sz w:val="22"/>
          <w:szCs w:val="22"/>
        </w:rPr>
        <w:t xml:space="preserve">ape Elimane Diouf du Pnud a pris la parole, </w:t>
      </w:r>
      <w:r w:rsidR="0073737C">
        <w:rPr>
          <w:sz w:val="22"/>
          <w:szCs w:val="22"/>
        </w:rPr>
        <w:t>pour</w:t>
      </w:r>
      <w:r w:rsidR="002C22AF">
        <w:rPr>
          <w:sz w:val="22"/>
          <w:szCs w:val="22"/>
        </w:rPr>
        <w:t xml:space="preserve"> expliquer les </w:t>
      </w:r>
      <w:r w:rsidR="007D3BAA">
        <w:rPr>
          <w:sz w:val="22"/>
          <w:szCs w:val="22"/>
        </w:rPr>
        <w:t>critères</w:t>
      </w:r>
      <w:r w:rsidR="002C22AF">
        <w:rPr>
          <w:sz w:val="22"/>
          <w:szCs w:val="22"/>
        </w:rPr>
        <w:t xml:space="preserve"> de </w:t>
      </w:r>
      <w:r w:rsidR="007D3BAA">
        <w:rPr>
          <w:sz w:val="22"/>
          <w:szCs w:val="22"/>
        </w:rPr>
        <w:t>sélection</w:t>
      </w:r>
      <w:r w:rsidR="002C22AF">
        <w:rPr>
          <w:sz w:val="22"/>
          <w:szCs w:val="22"/>
        </w:rPr>
        <w:t xml:space="preserve"> et de soumission du DAO</w:t>
      </w:r>
      <w:r w:rsidR="009466E3">
        <w:rPr>
          <w:sz w:val="22"/>
          <w:szCs w:val="22"/>
        </w:rPr>
        <w:t xml:space="preserve"> </w:t>
      </w:r>
      <w:r w:rsidR="007D3BAA">
        <w:rPr>
          <w:sz w:val="22"/>
          <w:szCs w:val="22"/>
        </w:rPr>
        <w:t xml:space="preserve">et de </w:t>
      </w:r>
      <w:r w:rsidR="0085390D">
        <w:rPr>
          <w:sz w:val="22"/>
          <w:szCs w:val="22"/>
        </w:rPr>
        <w:t>toute la partie administrative</w:t>
      </w:r>
      <w:r w:rsidR="00C93E0A">
        <w:rPr>
          <w:sz w:val="22"/>
          <w:szCs w:val="22"/>
        </w:rPr>
        <w:t xml:space="preserve"> pour</w:t>
      </w:r>
      <w:r w:rsidR="009A706F">
        <w:rPr>
          <w:sz w:val="22"/>
          <w:szCs w:val="22"/>
        </w:rPr>
        <w:t xml:space="preserve"> permettre une bonne compréhension du dossier</w:t>
      </w:r>
    </w:p>
    <w:p w14:paraId="1CDA5AA6" w14:textId="77777777" w:rsidR="00A10288" w:rsidRDefault="00A10288" w:rsidP="007D2678">
      <w:pPr>
        <w:jc w:val="both"/>
        <w:rPr>
          <w:sz w:val="22"/>
          <w:szCs w:val="22"/>
        </w:rPr>
      </w:pPr>
    </w:p>
    <w:p w14:paraId="7FD458A9" w14:textId="393B5279" w:rsidR="00572397" w:rsidRDefault="00187990" w:rsidP="00D05A5B">
      <w:pPr>
        <w:jc w:val="both"/>
      </w:pPr>
      <w:r>
        <w:rPr>
          <w:color w:val="000000" w:themeColor="text1"/>
          <w:sz w:val="22"/>
          <w:szCs w:val="22"/>
        </w:rPr>
        <w:t xml:space="preserve">A la suite </w:t>
      </w:r>
      <w:r w:rsidR="00EF4C9B">
        <w:rPr>
          <w:color w:val="000000" w:themeColor="text1"/>
          <w:sz w:val="22"/>
          <w:szCs w:val="22"/>
        </w:rPr>
        <w:t xml:space="preserve">de cette présentation </w:t>
      </w:r>
      <w:r>
        <w:rPr>
          <w:color w:val="000000" w:themeColor="text1"/>
          <w:sz w:val="22"/>
          <w:szCs w:val="22"/>
        </w:rPr>
        <w:t>de Monsieur Pape Elimane</w:t>
      </w:r>
      <w:r w:rsidR="00EF4C9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les soumissionnaires ont été invités à poser des questions</w:t>
      </w:r>
      <w:r w:rsidR="00821534">
        <w:rPr>
          <w:color w:val="000000" w:themeColor="text1"/>
          <w:sz w:val="22"/>
          <w:szCs w:val="22"/>
        </w:rPr>
        <w:t xml:space="preserve"> dont </w:t>
      </w:r>
      <w:r w:rsidR="00150588">
        <w:rPr>
          <w:color w:val="000000" w:themeColor="text1"/>
          <w:sz w:val="22"/>
          <w:szCs w:val="22"/>
        </w:rPr>
        <w:t>une liste</w:t>
      </w:r>
      <w:r>
        <w:rPr>
          <w:color w:val="000000" w:themeColor="text1"/>
          <w:sz w:val="22"/>
          <w:szCs w:val="22"/>
        </w:rPr>
        <w:t xml:space="preserve"> est </w:t>
      </w:r>
      <w:r w:rsidR="00B765B5">
        <w:rPr>
          <w:color w:val="000000" w:themeColor="text1"/>
          <w:sz w:val="22"/>
          <w:szCs w:val="22"/>
        </w:rPr>
        <w:t>compilé</w:t>
      </w:r>
      <w:r w:rsidR="00C93E0A">
        <w:rPr>
          <w:color w:val="000000" w:themeColor="text1"/>
          <w:sz w:val="22"/>
          <w:szCs w:val="22"/>
        </w:rPr>
        <w:t>e</w:t>
      </w:r>
      <w:r w:rsidR="00B765B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ci-dessous</w:t>
      </w:r>
      <w:r w:rsidR="00B765B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</w:p>
    <w:p w14:paraId="105A3ABE" w14:textId="77777777" w:rsidR="005A340A" w:rsidRPr="00ED255B" w:rsidRDefault="005A340A" w:rsidP="00D05A5B">
      <w:pPr>
        <w:jc w:val="both"/>
      </w:pPr>
    </w:p>
    <w:p w14:paraId="708C3B80" w14:textId="77777777" w:rsidR="00653908" w:rsidRPr="00ED255B" w:rsidRDefault="00653908" w:rsidP="00D05A5B">
      <w:pPr>
        <w:jc w:val="both"/>
      </w:pPr>
    </w:p>
    <w:p w14:paraId="4ED38B58" w14:textId="77777777" w:rsidR="00B765B5" w:rsidRPr="00D269C0" w:rsidRDefault="00B765B5" w:rsidP="00B765B5">
      <w:pPr>
        <w:rPr>
          <w:b/>
          <w:u w:val="single"/>
          <w:lang w:val="fr-SN"/>
        </w:rPr>
      </w:pPr>
      <w:r w:rsidRPr="00D269C0">
        <w:rPr>
          <w:b/>
          <w:u w:val="single"/>
          <w:lang w:val="fr-SN"/>
        </w:rPr>
        <w:t xml:space="preserve">CSAR AFRIQUE FILIALE GTRANS </w:t>
      </w:r>
    </w:p>
    <w:p w14:paraId="249593E6" w14:textId="77777777" w:rsidR="00B765B5" w:rsidRDefault="00EF4C9B" w:rsidP="00330095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>
        <w:rPr>
          <w:lang w:val="fr-SN"/>
        </w:rPr>
        <w:t xml:space="preserve"> : </w:t>
      </w:r>
      <w:r w:rsidR="00B765B5">
        <w:rPr>
          <w:lang w:val="fr-SN"/>
        </w:rPr>
        <w:t>Nous sommes une entreprise née en 2017 et nous n’avons pas encore 5 ans d’expérience que peut-on faire ?</w:t>
      </w:r>
    </w:p>
    <w:p w14:paraId="1957ABBC" w14:textId="7507BD51" w:rsidR="00B765B5" w:rsidRDefault="00B765B5" w:rsidP="00330095">
      <w:pPr>
        <w:pStyle w:val="Paragraphedeliste"/>
        <w:numPr>
          <w:ilvl w:val="0"/>
          <w:numId w:val="5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>
        <w:rPr>
          <w:lang w:val="fr-SN"/>
        </w:rPr>
        <w:t xml:space="preserve"> : Postulez avec vos années d’expérience, les membres de comité d’évaluation </w:t>
      </w:r>
      <w:r w:rsidR="00821534">
        <w:rPr>
          <w:lang w:val="fr-SN"/>
        </w:rPr>
        <w:t xml:space="preserve">vous </w:t>
      </w:r>
      <w:r>
        <w:rPr>
          <w:lang w:val="fr-SN"/>
        </w:rPr>
        <w:t xml:space="preserve">jugeront sur pièce et aucune </w:t>
      </w:r>
      <w:r w:rsidR="00C93E0A">
        <w:rPr>
          <w:lang w:val="fr-SN"/>
        </w:rPr>
        <w:t>entreprise</w:t>
      </w:r>
      <w:r>
        <w:rPr>
          <w:lang w:val="fr-SN"/>
        </w:rPr>
        <w:t xml:space="preserve"> n</w:t>
      </w:r>
      <w:r w:rsidR="00C93E0A">
        <w:rPr>
          <w:lang w:val="fr-SN"/>
        </w:rPr>
        <w:t xml:space="preserve">e </w:t>
      </w:r>
      <w:r w:rsidR="000D539A">
        <w:rPr>
          <w:lang w:val="fr-SN"/>
        </w:rPr>
        <w:t>sera éliminée</w:t>
      </w:r>
      <w:r>
        <w:rPr>
          <w:lang w:val="fr-SN"/>
        </w:rPr>
        <w:t xml:space="preserve"> avant d’être </w:t>
      </w:r>
      <w:r w:rsidR="00821534">
        <w:rPr>
          <w:lang w:val="fr-SN"/>
        </w:rPr>
        <w:t>évaluée</w:t>
      </w:r>
      <w:r>
        <w:rPr>
          <w:lang w:val="fr-SN"/>
        </w:rPr>
        <w:t>.</w:t>
      </w:r>
    </w:p>
    <w:p w14:paraId="53640238" w14:textId="77777777" w:rsidR="00B765B5" w:rsidRPr="00D269C0" w:rsidRDefault="00B765B5" w:rsidP="00B431BE">
      <w:pPr>
        <w:pStyle w:val="Paragraphedeliste"/>
        <w:spacing w:after="160" w:line="259" w:lineRule="auto"/>
        <w:rPr>
          <w:lang w:val="fr-SN"/>
        </w:rPr>
      </w:pPr>
    </w:p>
    <w:p w14:paraId="3EB5FDA7" w14:textId="77777777" w:rsidR="00B765B5" w:rsidRPr="00330095" w:rsidRDefault="00B765B5" w:rsidP="00B765B5">
      <w:pPr>
        <w:rPr>
          <w:b/>
          <w:u w:val="single"/>
          <w:lang w:val="fr-SN"/>
        </w:rPr>
      </w:pPr>
      <w:r w:rsidRPr="00330095">
        <w:rPr>
          <w:b/>
          <w:u w:val="single"/>
          <w:lang w:val="fr-SN"/>
        </w:rPr>
        <w:t xml:space="preserve">JEAN LEFBEVRE. </w:t>
      </w:r>
    </w:p>
    <w:p w14:paraId="66D0CB4E" w14:textId="248284EF" w:rsidR="00B765B5" w:rsidRDefault="000D539A" w:rsidP="00330095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>
        <w:rPr>
          <w:lang w:val="fr-SN"/>
        </w:rPr>
        <w:t> </w:t>
      </w:r>
      <w:proofErr w:type="gramStart"/>
      <w:r>
        <w:rPr>
          <w:lang w:val="fr-SN"/>
        </w:rPr>
        <w:t>1</w:t>
      </w:r>
      <w:r w:rsidR="0061675D">
        <w:rPr>
          <w:lang w:val="fr-SN"/>
        </w:rPr>
        <w:t>:</w:t>
      </w:r>
      <w:proofErr w:type="gramEnd"/>
      <w:r w:rsidR="0061675D">
        <w:rPr>
          <w:lang w:val="fr-SN"/>
        </w:rPr>
        <w:t xml:space="preserve"> </w:t>
      </w:r>
      <w:r w:rsidR="00B765B5">
        <w:rPr>
          <w:lang w:val="fr-SN"/>
        </w:rPr>
        <w:t>Quels sont les banques habilitées pour l’appel d’offres</w:t>
      </w:r>
      <w:r w:rsidR="0061675D">
        <w:rPr>
          <w:lang w:val="fr-SN"/>
        </w:rPr>
        <w:t> ?</w:t>
      </w:r>
      <w:r w:rsidR="00821534">
        <w:rPr>
          <w:lang w:val="fr-SN"/>
        </w:rPr>
        <w:t xml:space="preserve"> </w:t>
      </w:r>
      <w:r w:rsidR="00B765B5">
        <w:rPr>
          <w:lang w:val="fr-SN"/>
        </w:rPr>
        <w:t xml:space="preserve">y’a-t-il une </w:t>
      </w:r>
      <w:r w:rsidR="00821534">
        <w:rPr>
          <w:lang w:val="fr-SN"/>
        </w:rPr>
        <w:t>l</w:t>
      </w:r>
      <w:r w:rsidR="00B765B5" w:rsidRPr="008A0E78">
        <w:rPr>
          <w:lang w:val="fr-SN"/>
        </w:rPr>
        <w:t>istes des banques</w:t>
      </w:r>
      <w:r w:rsidR="00B765B5">
        <w:rPr>
          <w:lang w:val="fr-SN"/>
        </w:rPr>
        <w:t xml:space="preserve"> </w:t>
      </w:r>
      <w:r w:rsidR="0061675D">
        <w:rPr>
          <w:lang w:val="fr-SN"/>
        </w:rPr>
        <w:t xml:space="preserve">certifiées </w:t>
      </w:r>
      <w:r w:rsidR="00B765B5">
        <w:rPr>
          <w:lang w:val="fr-SN"/>
        </w:rPr>
        <w:t>ou c</w:t>
      </w:r>
      <w:r w:rsidR="0061675D">
        <w:rPr>
          <w:lang w:val="fr-SN"/>
        </w:rPr>
        <w:t>e sont</w:t>
      </w:r>
      <w:r w:rsidR="00B765B5">
        <w:rPr>
          <w:lang w:val="fr-SN"/>
        </w:rPr>
        <w:t xml:space="preserve"> les </w:t>
      </w:r>
      <w:r w:rsidR="00B765B5" w:rsidRPr="008A0E78">
        <w:rPr>
          <w:lang w:val="fr-SN"/>
        </w:rPr>
        <w:t>banques habituelles</w:t>
      </w:r>
      <w:r w:rsidR="00B765B5">
        <w:rPr>
          <w:lang w:val="fr-SN"/>
        </w:rPr>
        <w:t>?</w:t>
      </w:r>
    </w:p>
    <w:p w14:paraId="73144ECB" w14:textId="77777777" w:rsidR="00B765B5" w:rsidRDefault="00B765B5" w:rsidP="00B765B5">
      <w:pPr>
        <w:pStyle w:val="Paragraphedeliste"/>
        <w:rPr>
          <w:lang w:val="fr-SN"/>
        </w:rPr>
      </w:pPr>
    </w:p>
    <w:p w14:paraId="6D1FAB51" w14:textId="34C9A198" w:rsidR="00B765B5" w:rsidRDefault="00B765B5" w:rsidP="00330095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lang w:val="fr-SN"/>
        </w:rPr>
      </w:pPr>
      <w:r w:rsidRPr="008A0E78">
        <w:rPr>
          <w:lang w:val="fr-SN"/>
        </w:rPr>
        <w:t xml:space="preserve"> </w:t>
      </w:r>
      <w:r w:rsidRPr="00330095">
        <w:rPr>
          <w:b/>
          <w:u w:val="single"/>
          <w:lang w:val="fr-SN"/>
        </w:rPr>
        <w:t>Réponse</w:t>
      </w:r>
      <w:r w:rsidR="00821534">
        <w:rPr>
          <w:b/>
          <w:u w:val="single"/>
          <w:lang w:val="fr-SN"/>
        </w:rPr>
        <w:t xml:space="preserve"> 1</w:t>
      </w:r>
      <w:r>
        <w:rPr>
          <w:lang w:val="fr-SN"/>
        </w:rPr>
        <w:t xml:space="preserve"> : </w:t>
      </w:r>
      <w:r w:rsidR="00C733E0">
        <w:rPr>
          <w:lang w:val="fr-SN"/>
        </w:rPr>
        <w:t>Il s’agit de t</w:t>
      </w:r>
      <w:r>
        <w:rPr>
          <w:lang w:val="fr-SN"/>
        </w:rPr>
        <w:t xml:space="preserve">outes les </w:t>
      </w:r>
      <w:r w:rsidRPr="008A0E78">
        <w:rPr>
          <w:lang w:val="fr-SN"/>
        </w:rPr>
        <w:t>banque agrées par le gouvernement du Sénégal</w:t>
      </w:r>
      <w:r>
        <w:rPr>
          <w:lang w:val="fr-SN"/>
        </w:rPr>
        <w:t xml:space="preserve"> et </w:t>
      </w:r>
      <w:r w:rsidRPr="008A0E78">
        <w:rPr>
          <w:lang w:val="fr-SN"/>
        </w:rPr>
        <w:t xml:space="preserve">la BCEAO </w:t>
      </w:r>
      <w:r w:rsidR="00C93E0A">
        <w:rPr>
          <w:lang w:val="fr-SN"/>
        </w:rPr>
        <w:t>ainsi que</w:t>
      </w:r>
      <w:r w:rsidRPr="008A0E78">
        <w:rPr>
          <w:lang w:val="fr-SN"/>
        </w:rPr>
        <w:t xml:space="preserve"> les compagnies d’assurances</w:t>
      </w:r>
      <w:r w:rsidR="00C93E0A">
        <w:rPr>
          <w:lang w:val="fr-SN"/>
        </w:rPr>
        <w:t xml:space="preserve"> autorisées</w:t>
      </w:r>
      <w:r>
        <w:rPr>
          <w:lang w:val="fr-SN"/>
        </w:rPr>
        <w:t>.</w:t>
      </w:r>
    </w:p>
    <w:p w14:paraId="72FC4014" w14:textId="77777777" w:rsidR="00B765B5" w:rsidRPr="00D269C0" w:rsidRDefault="00B765B5" w:rsidP="00B765B5">
      <w:pPr>
        <w:pStyle w:val="Paragraphedeliste"/>
        <w:rPr>
          <w:lang w:val="fr-SN"/>
        </w:rPr>
      </w:pPr>
    </w:p>
    <w:p w14:paraId="523330A2" w14:textId="1B95BAB1" w:rsidR="00B765B5" w:rsidRDefault="00C733E0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 w:rsidR="00821534" w:rsidRPr="00330095">
        <w:rPr>
          <w:b/>
          <w:u w:val="single"/>
          <w:lang w:val="fr-SN"/>
        </w:rPr>
        <w:t xml:space="preserve"> 2</w:t>
      </w:r>
      <w:r>
        <w:rPr>
          <w:lang w:val="fr-SN"/>
        </w:rPr>
        <w:t xml:space="preserve"> : </w:t>
      </w:r>
      <w:r w:rsidR="00B765B5">
        <w:rPr>
          <w:lang w:val="fr-SN"/>
        </w:rPr>
        <w:t>Que</w:t>
      </w:r>
      <w:r w:rsidR="00821534">
        <w:rPr>
          <w:lang w:val="fr-SN"/>
        </w:rPr>
        <w:t xml:space="preserve"> faut -il considérer </w:t>
      </w:r>
      <w:r w:rsidR="00B765B5">
        <w:rPr>
          <w:lang w:val="fr-SN"/>
        </w:rPr>
        <w:t>pour les attestations</w:t>
      </w:r>
      <w:r>
        <w:rPr>
          <w:lang w:val="fr-SN"/>
        </w:rPr>
        <w:t xml:space="preserve"> : </w:t>
      </w:r>
      <w:r w:rsidR="00821534">
        <w:rPr>
          <w:lang w:val="fr-SN"/>
        </w:rPr>
        <w:t>c</w:t>
      </w:r>
      <w:r w:rsidR="00821534" w:rsidRPr="008A0E78">
        <w:rPr>
          <w:lang w:val="fr-SN"/>
        </w:rPr>
        <w:t xml:space="preserve">inq </w:t>
      </w:r>
      <w:r w:rsidR="00B765B5" w:rsidRPr="008A0E78">
        <w:rPr>
          <w:lang w:val="fr-SN"/>
        </w:rPr>
        <w:t>attestations</w:t>
      </w:r>
      <w:r w:rsidR="00B765B5">
        <w:rPr>
          <w:lang w:val="fr-SN"/>
        </w:rPr>
        <w:t xml:space="preserve"> </w:t>
      </w:r>
      <w:r w:rsidR="00821534">
        <w:rPr>
          <w:lang w:val="fr-SN"/>
        </w:rPr>
        <w:t xml:space="preserve">sont </w:t>
      </w:r>
      <w:r w:rsidR="00B765B5">
        <w:rPr>
          <w:lang w:val="fr-SN"/>
        </w:rPr>
        <w:t>demandé</w:t>
      </w:r>
      <w:r w:rsidR="00C93E0A">
        <w:rPr>
          <w:lang w:val="fr-SN"/>
        </w:rPr>
        <w:t>e</w:t>
      </w:r>
      <w:r w:rsidR="00B765B5">
        <w:rPr>
          <w:lang w:val="fr-SN"/>
        </w:rPr>
        <w:t>s sur l</w:t>
      </w:r>
      <w:r w:rsidR="00821534">
        <w:rPr>
          <w:lang w:val="fr-SN"/>
        </w:rPr>
        <w:t xml:space="preserve">a rubrique </w:t>
      </w:r>
      <w:r w:rsidR="00B765B5">
        <w:rPr>
          <w:lang w:val="fr-SN"/>
        </w:rPr>
        <w:t>critères</w:t>
      </w:r>
      <w:r w:rsidR="00821534">
        <w:rPr>
          <w:lang w:val="fr-SN"/>
        </w:rPr>
        <w:t xml:space="preserve"> d’évaluation et par ailleurs on nous parle </w:t>
      </w:r>
      <w:r w:rsidR="000D539A">
        <w:rPr>
          <w:lang w:val="fr-SN"/>
        </w:rPr>
        <w:t xml:space="preserve">de </w:t>
      </w:r>
      <w:r w:rsidR="000D539A" w:rsidRPr="008A0E78">
        <w:rPr>
          <w:lang w:val="fr-SN"/>
        </w:rPr>
        <w:t>dix</w:t>
      </w:r>
      <w:r w:rsidR="00C93E0A">
        <w:rPr>
          <w:lang w:val="fr-SN"/>
        </w:rPr>
        <w:t xml:space="preserve"> (</w:t>
      </w:r>
      <w:r w:rsidR="00B765B5" w:rsidRPr="008A0E78">
        <w:rPr>
          <w:lang w:val="fr-SN"/>
        </w:rPr>
        <w:t>10</w:t>
      </w:r>
      <w:r w:rsidR="00C93E0A">
        <w:rPr>
          <w:lang w:val="fr-SN"/>
        </w:rPr>
        <w:t>)</w:t>
      </w:r>
      <w:r w:rsidR="00B765B5" w:rsidRPr="008A0E78">
        <w:rPr>
          <w:lang w:val="fr-SN"/>
        </w:rPr>
        <w:t xml:space="preserve"> attestations</w:t>
      </w:r>
      <w:r w:rsidR="00B765B5">
        <w:rPr>
          <w:lang w:val="fr-SN"/>
        </w:rPr>
        <w:t xml:space="preserve"> dans le formulaire de soumission </w:t>
      </w:r>
      <w:r w:rsidR="00821534">
        <w:rPr>
          <w:lang w:val="fr-SN"/>
        </w:rPr>
        <w:t xml:space="preserve">de la </w:t>
      </w:r>
      <w:r w:rsidR="00B765B5">
        <w:rPr>
          <w:lang w:val="fr-SN"/>
        </w:rPr>
        <w:t>page</w:t>
      </w:r>
      <w:r w:rsidR="00B765B5" w:rsidRPr="008A0E78">
        <w:rPr>
          <w:lang w:val="fr-SN"/>
        </w:rPr>
        <w:t xml:space="preserve"> 32</w:t>
      </w:r>
      <w:r w:rsidR="00B765B5">
        <w:rPr>
          <w:lang w:val="fr-SN"/>
        </w:rPr>
        <w:t xml:space="preserve"> : </w:t>
      </w:r>
    </w:p>
    <w:p w14:paraId="10DD89F3" w14:textId="12139AA8" w:rsidR="00B765B5" w:rsidRDefault="00B765B5" w:rsidP="00B765B5">
      <w:pPr>
        <w:pStyle w:val="Paragraphedeliste"/>
        <w:numPr>
          <w:ilvl w:val="0"/>
          <w:numId w:val="3"/>
        </w:numPr>
        <w:spacing w:after="160" w:line="259" w:lineRule="auto"/>
        <w:rPr>
          <w:lang w:val="fr-SN"/>
        </w:rPr>
      </w:pPr>
      <w:r>
        <w:rPr>
          <w:lang w:val="fr-SN"/>
        </w:rPr>
        <w:t xml:space="preserve"> </w:t>
      </w:r>
      <w:r w:rsidRPr="00330095">
        <w:rPr>
          <w:b/>
          <w:u w:val="single"/>
          <w:lang w:val="fr-SN"/>
        </w:rPr>
        <w:t xml:space="preserve">Réponse </w:t>
      </w:r>
      <w:proofErr w:type="gramStart"/>
      <w:r w:rsidR="00821534" w:rsidRPr="00330095">
        <w:rPr>
          <w:b/>
          <w:u w:val="single"/>
          <w:lang w:val="fr-SN"/>
        </w:rPr>
        <w:t>2</w:t>
      </w:r>
      <w:r>
        <w:rPr>
          <w:lang w:val="fr-SN"/>
        </w:rPr>
        <w:t>:</w:t>
      </w:r>
      <w:proofErr w:type="gramEnd"/>
      <w:r>
        <w:rPr>
          <w:lang w:val="fr-SN"/>
        </w:rPr>
        <w:t xml:space="preserve"> Cinq attestations </w:t>
      </w:r>
      <w:r w:rsidR="00821534">
        <w:rPr>
          <w:lang w:val="fr-SN"/>
        </w:rPr>
        <w:t xml:space="preserve">sont </w:t>
      </w:r>
      <w:r>
        <w:rPr>
          <w:lang w:val="fr-SN"/>
        </w:rPr>
        <w:t xml:space="preserve">demandées, le formulaire de la page 32 est juste un </w:t>
      </w:r>
      <w:r w:rsidR="00A57BC2">
        <w:rPr>
          <w:lang w:val="fr-SN"/>
        </w:rPr>
        <w:t xml:space="preserve">formulaire </w:t>
      </w:r>
      <w:r>
        <w:rPr>
          <w:lang w:val="fr-SN"/>
        </w:rPr>
        <w:t>qui sert de modèle</w:t>
      </w:r>
      <w:r w:rsidR="00C733E0">
        <w:rPr>
          <w:lang w:val="fr-SN"/>
        </w:rPr>
        <w:t>.</w:t>
      </w:r>
    </w:p>
    <w:p w14:paraId="1E01F39D" w14:textId="77777777" w:rsidR="008F2281" w:rsidRPr="00D269C0" w:rsidRDefault="008F2281" w:rsidP="00B431BE">
      <w:pPr>
        <w:pStyle w:val="Paragraphedeliste"/>
        <w:spacing w:after="160" w:line="259" w:lineRule="auto"/>
        <w:rPr>
          <w:lang w:val="fr-SN"/>
        </w:rPr>
      </w:pPr>
    </w:p>
    <w:p w14:paraId="4BEB9AB0" w14:textId="1520CB2B" w:rsidR="00B765B5" w:rsidRPr="00D269C0" w:rsidRDefault="008F2281" w:rsidP="00B765B5">
      <w:pPr>
        <w:pStyle w:val="Paragraphedeliste"/>
        <w:numPr>
          <w:ilvl w:val="0"/>
          <w:numId w:val="3"/>
        </w:numPr>
        <w:spacing w:after="160" w:line="259" w:lineRule="auto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 w:rsidR="00821534" w:rsidRPr="00330095">
        <w:rPr>
          <w:b/>
          <w:u w:val="single"/>
          <w:lang w:val="fr-SN"/>
        </w:rPr>
        <w:t xml:space="preserve"> 3</w:t>
      </w:r>
      <w:r>
        <w:rPr>
          <w:lang w:val="fr-SN"/>
        </w:rPr>
        <w:t xml:space="preserve"> : </w:t>
      </w:r>
      <w:r w:rsidR="00B765B5" w:rsidRPr="00D269C0">
        <w:rPr>
          <w:lang w:val="fr-SN"/>
        </w:rPr>
        <w:t>Est-il possible de remplacer les cinq attestations par deux gros projets de 10 milliards</w:t>
      </w:r>
      <w:r w:rsidR="00A57BC2">
        <w:rPr>
          <w:lang w:val="fr-SN"/>
        </w:rPr>
        <w:t xml:space="preserve"> par exemple</w:t>
      </w:r>
      <w:r w:rsidR="00B765B5" w:rsidRPr="00D269C0">
        <w:rPr>
          <w:lang w:val="fr-SN"/>
        </w:rPr>
        <w:t> ?</w:t>
      </w:r>
    </w:p>
    <w:p w14:paraId="289A24CF" w14:textId="27CE1092" w:rsidR="00B765B5" w:rsidRDefault="000D539A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 </w:t>
      </w:r>
      <w:proofErr w:type="gramStart"/>
      <w:r w:rsidRPr="00330095">
        <w:rPr>
          <w:b/>
          <w:u w:val="single"/>
          <w:lang w:val="fr-SN"/>
        </w:rPr>
        <w:t>3</w:t>
      </w:r>
      <w:r w:rsidR="008F2281">
        <w:rPr>
          <w:lang w:val="fr-SN"/>
        </w:rPr>
        <w:t>:</w:t>
      </w:r>
      <w:proofErr w:type="gramEnd"/>
      <w:r w:rsidR="00B765B5" w:rsidRPr="00D269C0">
        <w:rPr>
          <w:lang w:val="fr-SN"/>
        </w:rPr>
        <w:t xml:space="preserve"> l’évaluation sera faite par d</w:t>
      </w:r>
      <w:r w:rsidR="00A57BC2">
        <w:rPr>
          <w:lang w:val="fr-SN"/>
        </w:rPr>
        <w:t xml:space="preserve">es </w:t>
      </w:r>
      <w:r w:rsidR="00B765B5" w:rsidRPr="00D269C0">
        <w:rPr>
          <w:lang w:val="fr-SN"/>
        </w:rPr>
        <w:t xml:space="preserve">experts </w:t>
      </w:r>
      <w:r w:rsidR="00A57BC2">
        <w:rPr>
          <w:lang w:val="fr-SN"/>
        </w:rPr>
        <w:t xml:space="preserve">(qui ne sont peut-être pas dans cette salle) </w:t>
      </w:r>
      <w:r w:rsidR="00B765B5" w:rsidRPr="00D269C0">
        <w:rPr>
          <w:lang w:val="fr-SN"/>
        </w:rPr>
        <w:t xml:space="preserve">et </w:t>
      </w:r>
      <w:r w:rsidR="008F2281">
        <w:rPr>
          <w:lang w:val="fr-SN"/>
        </w:rPr>
        <w:t xml:space="preserve">c’est à eux de juger lors de l’évaluation </w:t>
      </w:r>
      <w:r w:rsidR="00B765B5" w:rsidRPr="00D269C0">
        <w:rPr>
          <w:lang w:val="fr-SN"/>
        </w:rPr>
        <w:t xml:space="preserve">si les deux gros projets </w:t>
      </w:r>
      <w:r w:rsidR="00A57BC2">
        <w:rPr>
          <w:lang w:val="fr-SN"/>
        </w:rPr>
        <w:t xml:space="preserve">peuvent </w:t>
      </w:r>
      <w:r w:rsidR="00B765B5" w:rsidRPr="00D269C0">
        <w:rPr>
          <w:lang w:val="fr-SN"/>
        </w:rPr>
        <w:t>remplace</w:t>
      </w:r>
      <w:r w:rsidR="00A57BC2">
        <w:rPr>
          <w:lang w:val="fr-SN"/>
        </w:rPr>
        <w:t>r</w:t>
      </w:r>
      <w:r w:rsidR="00B765B5" w:rsidRPr="00D269C0">
        <w:rPr>
          <w:lang w:val="fr-SN"/>
        </w:rPr>
        <w:t xml:space="preserve"> </w:t>
      </w:r>
      <w:r w:rsidR="00A57BC2">
        <w:rPr>
          <w:lang w:val="fr-SN"/>
        </w:rPr>
        <w:t xml:space="preserve">en valeur </w:t>
      </w:r>
      <w:r w:rsidR="00B765B5" w:rsidRPr="00D269C0">
        <w:rPr>
          <w:lang w:val="fr-SN"/>
        </w:rPr>
        <w:t>les attestations</w:t>
      </w:r>
      <w:r w:rsidR="00A57BC2">
        <w:rPr>
          <w:lang w:val="fr-SN"/>
        </w:rPr>
        <w:t xml:space="preserve"> demandées</w:t>
      </w:r>
      <w:r w:rsidR="00B765B5" w:rsidRPr="00D269C0">
        <w:rPr>
          <w:lang w:val="fr-SN"/>
        </w:rPr>
        <w:t xml:space="preserve">. </w:t>
      </w:r>
    </w:p>
    <w:p w14:paraId="3C82EEFE" w14:textId="77777777" w:rsidR="00B765B5" w:rsidRPr="00D269C0" w:rsidRDefault="00B765B5" w:rsidP="00B765B5">
      <w:pPr>
        <w:pStyle w:val="Paragraphedeliste"/>
        <w:rPr>
          <w:lang w:val="fr-SN"/>
        </w:rPr>
      </w:pPr>
    </w:p>
    <w:p w14:paraId="06175F4B" w14:textId="6E65A855" w:rsidR="00B765B5" w:rsidRPr="00D269C0" w:rsidRDefault="00FD6F4A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 w:rsidR="00A57BC2" w:rsidRPr="00330095">
        <w:rPr>
          <w:b/>
          <w:u w:val="single"/>
          <w:lang w:val="fr-SN"/>
        </w:rPr>
        <w:t xml:space="preserve"> 4</w:t>
      </w:r>
      <w:r>
        <w:rPr>
          <w:lang w:val="fr-SN"/>
        </w:rPr>
        <w:t xml:space="preserve"> : </w:t>
      </w:r>
      <w:r w:rsidR="00B765B5">
        <w:rPr>
          <w:lang w:val="fr-SN"/>
        </w:rPr>
        <w:t xml:space="preserve">En phase de soumission est- ce qu’on peut faire des déclarations </w:t>
      </w:r>
      <w:r w:rsidR="00D051BE">
        <w:rPr>
          <w:lang w:val="fr-SN"/>
        </w:rPr>
        <w:t xml:space="preserve">sur </w:t>
      </w:r>
      <w:r w:rsidR="00B765B5">
        <w:rPr>
          <w:lang w:val="fr-SN"/>
        </w:rPr>
        <w:t xml:space="preserve">l’honneur avant de recevoir les documents. ? </w:t>
      </w:r>
    </w:p>
    <w:p w14:paraId="49AF6BA1" w14:textId="71DDAA6D" w:rsidR="00B765B5" w:rsidRPr="00D269C0" w:rsidRDefault="00B765B5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A57BC2" w:rsidRPr="00330095">
        <w:rPr>
          <w:b/>
          <w:u w:val="single"/>
          <w:lang w:val="fr-SN"/>
        </w:rPr>
        <w:t xml:space="preserve"> 4</w:t>
      </w:r>
      <w:r>
        <w:rPr>
          <w:lang w:val="fr-SN"/>
        </w:rPr>
        <w:t xml:space="preserve"> : </w:t>
      </w:r>
      <w:r w:rsidR="00A57BC2">
        <w:rPr>
          <w:lang w:val="fr-SN"/>
        </w:rPr>
        <w:t xml:space="preserve">comme stipulé dans le </w:t>
      </w:r>
      <w:r w:rsidR="000D539A">
        <w:rPr>
          <w:lang w:val="fr-SN"/>
        </w:rPr>
        <w:t>DAO,</w:t>
      </w:r>
      <w:r w:rsidR="00A57BC2">
        <w:rPr>
          <w:lang w:val="fr-SN"/>
        </w:rPr>
        <w:t xml:space="preserve"> l</w:t>
      </w:r>
      <w:r>
        <w:rPr>
          <w:lang w:val="fr-SN"/>
        </w:rPr>
        <w:t>’élimination sera de facto pour tou</w:t>
      </w:r>
      <w:r w:rsidR="00A57BC2">
        <w:rPr>
          <w:lang w:val="fr-SN"/>
        </w:rPr>
        <w:t xml:space="preserve">t manquement pour les documents </w:t>
      </w:r>
      <w:r>
        <w:rPr>
          <w:lang w:val="fr-SN"/>
        </w:rPr>
        <w:t xml:space="preserve">de soumission </w:t>
      </w:r>
      <w:r w:rsidR="00A57BC2">
        <w:rPr>
          <w:lang w:val="fr-SN"/>
        </w:rPr>
        <w:t xml:space="preserve">de la </w:t>
      </w:r>
      <w:r>
        <w:rPr>
          <w:lang w:val="fr-SN"/>
        </w:rPr>
        <w:t>list</w:t>
      </w:r>
      <w:r w:rsidR="00A57BC2">
        <w:rPr>
          <w:lang w:val="fr-SN"/>
        </w:rPr>
        <w:t>e du 1</w:t>
      </w:r>
      <w:r w:rsidR="00A57BC2" w:rsidRPr="00330095">
        <w:rPr>
          <w:vertAlign w:val="superscript"/>
          <w:lang w:val="fr-SN"/>
        </w:rPr>
        <w:t>er</w:t>
      </w:r>
      <w:r w:rsidR="00A57BC2">
        <w:rPr>
          <w:lang w:val="fr-SN"/>
        </w:rPr>
        <w:t xml:space="preserve"> groupe intitulé </w:t>
      </w:r>
      <w:r w:rsidR="00745416">
        <w:rPr>
          <w:lang w:val="fr-SN"/>
        </w:rPr>
        <w:t>« obligatoires</w:t>
      </w:r>
      <w:r>
        <w:rPr>
          <w:lang w:val="fr-SN"/>
        </w:rPr>
        <w:t xml:space="preserve"> dans le DAO</w:t>
      </w:r>
      <w:r w:rsidR="00F3158A">
        <w:rPr>
          <w:lang w:val="fr-SN"/>
        </w:rPr>
        <w:t xml:space="preserve">. </w:t>
      </w:r>
      <w:proofErr w:type="gramStart"/>
      <w:r w:rsidR="00F3158A">
        <w:rPr>
          <w:lang w:val="fr-SN"/>
        </w:rPr>
        <w:t>Par contre</w:t>
      </w:r>
      <w:proofErr w:type="gramEnd"/>
      <w:r w:rsidR="00F3158A">
        <w:rPr>
          <w:lang w:val="fr-SN"/>
        </w:rPr>
        <w:t xml:space="preserve"> pour le 2</w:t>
      </w:r>
      <w:r w:rsidR="00F3158A" w:rsidRPr="00330095">
        <w:rPr>
          <w:vertAlign w:val="superscript"/>
          <w:lang w:val="fr-SN"/>
        </w:rPr>
        <w:t>ème</w:t>
      </w:r>
      <w:r w:rsidR="00F3158A">
        <w:rPr>
          <w:lang w:val="fr-SN"/>
        </w:rPr>
        <w:t xml:space="preserve"> groupe des </w:t>
      </w:r>
      <w:r w:rsidRPr="00D269C0">
        <w:rPr>
          <w:lang w:val="fr-SN"/>
        </w:rPr>
        <w:t>compléments de dossier</w:t>
      </w:r>
      <w:r>
        <w:rPr>
          <w:lang w:val="fr-SN"/>
        </w:rPr>
        <w:t xml:space="preserve"> </w:t>
      </w:r>
      <w:r w:rsidR="00F3158A">
        <w:rPr>
          <w:lang w:val="fr-SN"/>
        </w:rPr>
        <w:t xml:space="preserve">seront </w:t>
      </w:r>
      <w:r w:rsidR="000D539A">
        <w:rPr>
          <w:lang w:val="fr-SN"/>
        </w:rPr>
        <w:t>possibles avant</w:t>
      </w:r>
      <w:r>
        <w:rPr>
          <w:lang w:val="fr-SN"/>
        </w:rPr>
        <w:t xml:space="preserve"> toute signature</w:t>
      </w:r>
      <w:r w:rsidR="008059C0">
        <w:rPr>
          <w:lang w:val="fr-SN"/>
        </w:rPr>
        <w:t xml:space="preserve"> de contrat.</w:t>
      </w:r>
    </w:p>
    <w:p w14:paraId="69C0DFD8" w14:textId="31DD60C6" w:rsidR="00B765B5" w:rsidRPr="00D269C0" w:rsidRDefault="00F3158A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lang w:val="fr-SN"/>
        </w:rPr>
      </w:pPr>
      <w:r>
        <w:rPr>
          <w:lang w:val="fr-SN"/>
        </w:rPr>
        <w:t>Pour d</w:t>
      </w:r>
      <w:r w:rsidR="00B765B5">
        <w:rPr>
          <w:lang w:val="fr-SN"/>
        </w:rPr>
        <w:t>es p</w:t>
      </w:r>
      <w:r w:rsidR="00B765B5" w:rsidRPr="00D269C0">
        <w:rPr>
          <w:lang w:val="fr-SN"/>
        </w:rPr>
        <w:t xml:space="preserve">récisions </w:t>
      </w:r>
      <w:r w:rsidR="00B765B5">
        <w:rPr>
          <w:lang w:val="fr-SN"/>
        </w:rPr>
        <w:t>supplémentaires :</w:t>
      </w:r>
      <w:r w:rsidR="00B765B5" w:rsidRPr="00D269C0">
        <w:rPr>
          <w:lang w:val="fr-SN"/>
        </w:rPr>
        <w:t xml:space="preserve"> </w:t>
      </w:r>
      <w:r>
        <w:rPr>
          <w:lang w:val="fr-SN"/>
        </w:rPr>
        <w:t>il faut déposer d</w:t>
      </w:r>
      <w:r w:rsidR="00B765B5" w:rsidRPr="00D269C0">
        <w:rPr>
          <w:lang w:val="fr-SN"/>
        </w:rPr>
        <w:t xml:space="preserve">eux </w:t>
      </w:r>
      <w:r>
        <w:rPr>
          <w:lang w:val="fr-SN"/>
        </w:rPr>
        <w:t xml:space="preserve">(2) </w:t>
      </w:r>
      <w:r w:rsidR="00B765B5" w:rsidRPr="00D269C0">
        <w:rPr>
          <w:lang w:val="fr-SN"/>
        </w:rPr>
        <w:t>dossier</w:t>
      </w:r>
      <w:r w:rsidR="00B765B5">
        <w:rPr>
          <w:lang w:val="fr-SN"/>
        </w:rPr>
        <w:t xml:space="preserve">s </w:t>
      </w:r>
      <w:r w:rsidR="00B765B5" w:rsidRPr="00D269C0">
        <w:rPr>
          <w:lang w:val="fr-SN"/>
        </w:rPr>
        <w:t xml:space="preserve">originaux et </w:t>
      </w:r>
      <w:r>
        <w:rPr>
          <w:lang w:val="fr-SN"/>
        </w:rPr>
        <w:t xml:space="preserve">un (1) </w:t>
      </w:r>
      <w:r w:rsidR="00B765B5" w:rsidRPr="00D269C0">
        <w:rPr>
          <w:lang w:val="fr-SN"/>
        </w:rPr>
        <w:t xml:space="preserve">copie plus </w:t>
      </w:r>
      <w:r>
        <w:rPr>
          <w:lang w:val="fr-SN"/>
        </w:rPr>
        <w:t xml:space="preserve">une (1) version électronique sous </w:t>
      </w:r>
      <w:r w:rsidR="00B765B5" w:rsidRPr="00D269C0">
        <w:rPr>
          <w:lang w:val="fr-SN"/>
        </w:rPr>
        <w:t>clé</w:t>
      </w:r>
      <w:r>
        <w:rPr>
          <w:lang w:val="fr-SN"/>
        </w:rPr>
        <w:t xml:space="preserve"> USB</w:t>
      </w:r>
      <w:r w:rsidR="00B765B5">
        <w:rPr>
          <w:lang w:val="fr-SN"/>
        </w:rPr>
        <w:t>.</w:t>
      </w:r>
      <w:r w:rsidR="00B765B5" w:rsidRPr="00D269C0">
        <w:rPr>
          <w:lang w:val="fr-SN"/>
        </w:rPr>
        <w:t xml:space="preserve"> </w:t>
      </w:r>
    </w:p>
    <w:p w14:paraId="275851F0" w14:textId="77777777" w:rsidR="00B765B5" w:rsidRPr="00D269C0" w:rsidRDefault="00B765B5" w:rsidP="00B765B5">
      <w:pPr>
        <w:rPr>
          <w:color w:val="FF0000"/>
          <w:lang w:val="fr-SN"/>
        </w:rPr>
      </w:pPr>
    </w:p>
    <w:p w14:paraId="024C3052" w14:textId="77777777" w:rsidR="00B765B5" w:rsidRPr="00745416" w:rsidRDefault="00B765B5" w:rsidP="00330095">
      <w:pPr>
        <w:jc w:val="both"/>
        <w:rPr>
          <w:color w:val="000000" w:themeColor="text1"/>
          <w:lang w:val="fr-SN"/>
        </w:rPr>
      </w:pPr>
      <w:r w:rsidRPr="00745416">
        <w:rPr>
          <w:color w:val="000000" w:themeColor="text1"/>
          <w:lang w:val="fr-SN"/>
        </w:rPr>
        <w:t xml:space="preserve">TOUTRAGE </w:t>
      </w:r>
    </w:p>
    <w:p w14:paraId="3FE65BE2" w14:textId="3535443B" w:rsidR="001808C1" w:rsidRPr="00745416" w:rsidRDefault="00745416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color w:val="000000" w:themeColor="text1"/>
          <w:lang w:val="fr-SN"/>
        </w:rPr>
      </w:pPr>
      <w:r w:rsidRPr="00745416">
        <w:rPr>
          <w:color w:val="000000" w:themeColor="text1"/>
          <w:lang w:val="fr-SN"/>
        </w:rPr>
        <w:t>Question 1 :</w:t>
      </w:r>
      <w:r w:rsidR="001808C1" w:rsidRPr="00745416">
        <w:rPr>
          <w:color w:val="000000" w:themeColor="text1"/>
          <w:lang w:val="fr-SN"/>
        </w:rPr>
        <w:t xml:space="preserve"> </w:t>
      </w:r>
      <w:r w:rsidR="00B765B5" w:rsidRPr="00745416">
        <w:rPr>
          <w:color w:val="000000" w:themeColor="text1"/>
          <w:lang w:val="fr-SN"/>
        </w:rPr>
        <w:t xml:space="preserve">Poste 700 au niveau de SEDHIOU, au niveau de l’environnement 702 et 703, et l’autre 701 et 704, on aurait dû parler de sous-total, </w:t>
      </w:r>
    </w:p>
    <w:p w14:paraId="0A57ABA3" w14:textId="2D219B4E" w:rsidR="00B765B5" w:rsidRPr="00745416" w:rsidRDefault="001808C1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color w:val="000000" w:themeColor="text1"/>
          <w:lang w:val="fr-SN"/>
        </w:rPr>
      </w:pPr>
      <w:r w:rsidRPr="00745416">
        <w:rPr>
          <w:color w:val="000000" w:themeColor="text1"/>
          <w:lang w:val="fr-SN"/>
        </w:rPr>
        <w:t>Réponse</w:t>
      </w:r>
      <w:r w:rsidR="00710819" w:rsidRPr="00745416">
        <w:rPr>
          <w:color w:val="000000" w:themeColor="text1"/>
          <w:lang w:val="fr-SN"/>
        </w:rPr>
        <w:t xml:space="preserve"> 2</w:t>
      </w:r>
      <w:r w:rsidRPr="00745416">
        <w:rPr>
          <w:color w:val="000000" w:themeColor="text1"/>
          <w:lang w:val="fr-SN"/>
        </w:rPr>
        <w:t xml:space="preserve"> : </w:t>
      </w:r>
      <w:r w:rsidR="0084363A" w:rsidRPr="00745416">
        <w:rPr>
          <w:color w:val="000000" w:themeColor="text1"/>
          <w:lang w:val="fr-SN"/>
        </w:rPr>
        <w:t xml:space="preserve">Excepté le lot n°2 (Kolda), tous les autres lots sont constitués de plusieurs tronçons donc il faut noter que : </w:t>
      </w:r>
    </w:p>
    <w:p w14:paraId="6E7FDFBE" w14:textId="34F24EB4" w:rsidR="0084363A" w:rsidRPr="00745416" w:rsidRDefault="0084363A" w:rsidP="00EC2EDA">
      <w:pPr>
        <w:pStyle w:val="Paragraphedeliste"/>
        <w:numPr>
          <w:ilvl w:val="1"/>
          <w:numId w:val="3"/>
        </w:numPr>
        <w:spacing w:after="160" w:line="259" w:lineRule="auto"/>
        <w:jc w:val="both"/>
        <w:rPr>
          <w:color w:val="000000" w:themeColor="text1"/>
          <w:lang w:val="fr-SN"/>
        </w:rPr>
      </w:pPr>
      <w:r w:rsidRPr="00745416">
        <w:rPr>
          <w:color w:val="000000" w:themeColor="text1"/>
          <w:lang w:val="fr-SN"/>
        </w:rPr>
        <w:t xml:space="preserve">Les postes </w:t>
      </w:r>
      <w:r w:rsidR="00EC2EDA" w:rsidRPr="00745416">
        <w:rPr>
          <w:color w:val="000000" w:themeColor="text1"/>
          <w:lang w:val="fr-SN"/>
        </w:rPr>
        <w:t xml:space="preserve">relatifs à l’installation de chantier </w:t>
      </w:r>
      <w:r w:rsidRPr="00745416">
        <w:rPr>
          <w:color w:val="000000" w:themeColor="text1"/>
          <w:lang w:val="fr-SN"/>
        </w:rPr>
        <w:t>«</w:t>
      </w:r>
      <w:r w:rsidR="00EC2EDA" w:rsidRPr="00745416">
        <w:rPr>
          <w:color w:val="000000" w:themeColor="text1"/>
          <w:lang w:val="fr-SN"/>
        </w:rPr>
        <w:t>001-</w:t>
      </w:r>
      <w:r w:rsidRPr="00745416">
        <w:rPr>
          <w:color w:val="000000" w:themeColor="text1"/>
          <w:lang w:val="fr-SN"/>
        </w:rPr>
        <w:t>Intallation de chant</w:t>
      </w:r>
      <w:r w:rsidR="00EC2EDA" w:rsidRPr="00745416">
        <w:rPr>
          <w:color w:val="000000" w:themeColor="text1"/>
          <w:lang w:val="fr-SN"/>
        </w:rPr>
        <w:t xml:space="preserve">ier » ; et à l’environnement « 701-Application des clauses environnementales et sociales » et « 703- Provision pour action sensibilisation IST/SIDA » sont forfaitaires et concernent l’ensemble des tronçons du lot. </w:t>
      </w:r>
    </w:p>
    <w:p w14:paraId="0259B48B" w14:textId="52F2B13D" w:rsidR="00EC2EDA" w:rsidRPr="00745416" w:rsidRDefault="00EC2EDA" w:rsidP="00EC2EDA">
      <w:pPr>
        <w:pStyle w:val="Paragraphedeliste"/>
        <w:numPr>
          <w:ilvl w:val="1"/>
          <w:numId w:val="3"/>
        </w:numPr>
        <w:spacing w:after="160" w:line="259" w:lineRule="auto"/>
        <w:jc w:val="both"/>
        <w:rPr>
          <w:color w:val="000000" w:themeColor="text1"/>
          <w:lang w:val="fr-SN"/>
        </w:rPr>
      </w:pPr>
      <w:proofErr w:type="gramStart"/>
      <w:r w:rsidRPr="00745416">
        <w:rPr>
          <w:color w:val="000000" w:themeColor="text1"/>
          <w:lang w:val="fr-SN"/>
        </w:rPr>
        <w:t>Par contre</w:t>
      </w:r>
      <w:proofErr w:type="gramEnd"/>
      <w:r w:rsidRPr="00745416">
        <w:rPr>
          <w:color w:val="000000" w:themeColor="text1"/>
          <w:lang w:val="fr-SN"/>
        </w:rPr>
        <w:t>, tous les autres postes sont à coût unitaires doivent être coter pour chaque tronçon et pour chaque lot.</w:t>
      </w:r>
    </w:p>
    <w:p w14:paraId="43865C15" w14:textId="4D50F7FA" w:rsidR="00EC2EDA" w:rsidRPr="00745416" w:rsidRDefault="00EC2EDA" w:rsidP="0033009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color w:val="000000" w:themeColor="text1"/>
          <w:lang w:val="fr-SN"/>
        </w:rPr>
      </w:pPr>
      <w:r w:rsidRPr="00745416">
        <w:rPr>
          <w:color w:val="000000" w:themeColor="text1"/>
          <w:lang w:val="fr-SN"/>
        </w:rPr>
        <w:t xml:space="preserve">Par ailleurs, merci de considérer qu’il faut un sous total pour rubrique de dépense à l’exemple </w:t>
      </w:r>
      <w:r w:rsidR="00B23879" w:rsidRPr="00745416">
        <w:rPr>
          <w:color w:val="000000" w:themeColor="text1"/>
          <w:lang w:val="fr-SN"/>
        </w:rPr>
        <w:t>de l’Environnement.</w:t>
      </w:r>
    </w:p>
    <w:p w14:paraId="6060472F" w14:textId="77777777" w:rsidR="00B765B5" w:rsidRPr="00941F1E" w:rsidRDefault="00B765B5" w:rsidP="00B765B5">
      <w:pPr>
        <w:rPr>
          <w:lang w:val="fr-SN"/>
        </w:rPr>
      </w:pPr>
    </w:p>
    <w:p w14:paraId="6897AE0A" w14:textId="77777777" w:rsidR="00B765B5" w:rsidRPr="00330095" w:rsidRDefault="00B765B5" w:rsidP="00B765B5">
      <w:pPr>
        <w:ind w:left="360"/>
        <w:rPr>
          <w:b/>
          <w:u w:val="single"/>
          <w:lang w:val="fr-SN"/>
        </w:rPr>
      </w:pPr>
      <w:r w:rsidRPr="00330095">
        <w:rPr>
          <w:b/>
          <w:u w:val="single"/>
          <w:lang w:val="fr-SN"/>
        </w:rPr>
        <w:t xml:space="preserve">DAROSA </w:t>
      </w:r>
    </w:p>
    <w:p w14:paraId="1DFC98EA" w14:textId="659FAC1D" w:rsidR="00B765B5" w:rsidRDefault="006649DE" w:rsidP="00330095">
      <w:pPr>
        <w:pStyle w:val="Paragraphedeliste"/>
        <w:numPr>
          <w:ilvl w:val="0"/>
          <w:numId w:val="8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 1</w:t>
      </w:r>
      <w:r>
        <w:rPr>
          <w:lang w:val="fr-SN"/>
        </w:rPr>
        <w:t xml:space="preserve"> : </w:t>
      </w:r>
      <w:r w:rsidR="00B765B5" w:rsidRPr="00941F1E">
        <w:rPr>
          <w:lang w:val="fr-SN"/>
        </w:rPr>
        <w:t xml:space="preserve">Installation de </w:t>
      </w:r>
      <w:r w:rsidR="00B765B5" w:rsidRPr="004E4246">
        <w:t>chantier</w:t>
      </w:r>
      <w:r w:rsidR="00B765B5" w:rsidRPr="00941F1E">
        <w:rPr>
          <w:lang w:val="fr-SN"/>
        </w:rPr>
        <w:t xml:space="preserve">, grille forfaitaire, PGS ensemble des lots, page 49 </w:t>
      </w:r>
    </w:p>
    <w:p w14:paraId="399AB1BF" w14:textId="4DC40263" w:rsidR="006649DE" w:rsidRDefault="006649DE" w:rsidP="00330095">
      <w:pPr>
        <w:pStyle w:val="Paragraphedeliste"/>
        <w:numPr>
          <w:ilvl w:val="0"/>
          <w:numId w:val="8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 1</w:t>
      </w:r>
      <w:r>
        <w:rPr>
          <w:lang w:val="fr-SN"/>
        </w:rPr>
        <w:t xml:space="preserve"> : </w:t>
      </w:r>
      <w:r w:rsidR="00EC2EDA">
        <w:rPr>
          <w:lang w:val="fr-SN"/>
        </w:rPr>
        <w:t xml:space="preserve">voir réponse apportée ci-dessus. </w:t>
      </w:r>
    </w:p>
    <w:p w14:paraId="7E831655" w14:textId="77777777" w:rsidR="006B6C13" w:rsidRDefault="006B6C13" w:rsidP="00B765B5">
      <w:pPr>
        <w:rPr>
          <w:lang w:val="fr-SN"/>
        </w:rPr>
      </w:pPr>
    </w:p>
    <w:p w14:paraId="05FCA61B" w14:textId="77777777" w:rsidR="00B765B5" w:rsidRPr="00330095" w:rsidRDefault="00B765B5" w:rsidP="00330095">
      <w:pPr>
        <w:ind w:left="360"/>
        <w:rPr>
          <w:b/>
          <w:u w:val="single"/>
          <w:lang w:val="fr-SN"/>
        </w:rPr>
      </w:pPr>
      <w:r w:rsidRPr="00330095">
        <w:rPr>
          <w:b/>
          <w:u w:val="single"/>
          <w:lang w:val="fr-SN"/>
        </w:rPr>
        <w:t xml:space="preserve">ICONS </w:t>
      </w:r>
    </w:p>
    <w:p w14:paraId="487D0A96" w14:textId="45033CD6" w:rsidR="00B765B5" w:rsidRPr="006649DE" w:rsidRDefault="00F3158A" w:rsidP="00330095">
      <w:pPr>
        <w:pStyle w:val="Paragraphedeliste"/>
        <w:numPr>
          <w:ilvl w:val="0"/>
          <w:numId w:val="8"/>
        </w:numPr>
        <w:jc w:val="both"/>
        <w:rPr>
          <w:lang w:val="fr-SN"/>
        </w:rPr>
      </w:pPr>
      <w:r w:rsidRPr="006649DE">
        <w:rPr>
          <w:b/>
          <w:u w:val="single"/>
          <w:lang w:val="fr-SN"/>
        </w:rPr>
        <w:t>Question </w:t>
      </w:r>
      <w:proofErr w:type="gramStart"/>
      <w:r w:rsidRPr="006649DE">
        <w:rPr>
          <w:b/>
          <w:u w:val="single"/>
          <w:lang w:val="fr-SN"/>
        </w:rPr>
        <w:t>1</w:t>
      </w:r>
      <w:r w:rsidR="008D56B5" w:rsidRPr="006649DE">
        <w:rPr>
          <w:lang w:val="fr-SN"/>
        </w:rPr>
        <w:t>:</w:t>
      </w:r>
      <w:proofErr w:type="gramEnd"/>
      <w:r w:rsidR="008D56B5" w:rsidRPr="006649DE">
        <w:rPr>
          <w:lang w:val="fr-SN"/>
        </w:rPr>
        <w:t xml:space="preserve"> </w:t>
      </w:r>
      <w:r w:rsidR="00B765B5" w:rsidRPr="006649DE">
        <w:rPr>
          <w:lang w:val="fr-SN"/>
        </w:rPr>
        <w:t xml:space="preserve">Les Procès-verbaux de travaux </w:t>
      </w:r>
      <w:r w:rsidR="000D539A" w:rsidRPr="006649DE">
        <w:rPr>
          <w:lang w:val="fr-SN"/>
        </w:rPr>
        <w:t>terminés peuvent</w:t>
      </w:r>
      <w:r w:rsidR="00B765B5" w:rsidRPr="006649DE">
        <w:rPr>
          <w:lang w:val="fr-SN"/>
        </w:rPr>
        <w:t xml:space="preserve">-ils remplacer les </w:t>
      </w:r>
      <w:r w:rsidRPr="006649DE">
        <w:rPr>
          <w:lang w:val="fr-SN"/>
        </w:rPr>
        <w:t xml:space="preserve">attestations </w:t>
      </w:r>
      <w:r w:rsidR="00B765B5" w:rsidRPr="006649DE">
        <w:rPr>
          <w:lang w:val="fr-SN"/>
        </w:rPr>
        <w:t>de bonne exécution</w:t>
      </w:r>
      <w:r w:rsidR="00C93E0A" w:rsidRPr="006649DE">
        <w:rPr>
          <w:lang w:val="fr-SN"/>
        </w:rPr>
        <w:t> ?</w:t>
      </w:r>
    </w:p>
    <w:p w14:paraId="5B6F3EBA" w14:textId="2659DAD3" w:rsidR="00B765B5" w:rsidRDefault="00B765B5" w:rsidP="00330095">
      <w:pPr>
        <w:ind w:left="720"/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8B1B75" w:rsidRPr="006649DE">
        <w:rPr>
          <w:b/>
          <w:u w:val="single"/>
          <w:lang w:val="fr-SN"/>
        </w:rPr>
        <w:t xml:space="preserve"> 1</w:t>
      </w:r>
      <w:r w:rsidRPr="006649DE">
        <w:rPr>
          <w:lang w:val="fr-SN"/>
        </w:rPr>
        <w:t xml:space="preserve"> : les seules attestations valables sont celles demandés dans le DAO.</w:t>
      </w:r>
      <w:r w:rsidR="00F3158A" w:rsidRPr="006649DE">
        <w:rPr>
          <w:lang w:val="fr-SN"/>
        </w:rPr>
        <w:t xml:space="preserve"> Et pour plus de </w:t>
      </w:r>
      <w:r w:rsidR="000D539A" w:rsidRPr="006649DE">
        <w:rPr>
          <w:lang w:val="fr-SN"/>
        </w:rPr>
        <w:t xml:space="preserve">précision </w:t>
      </w:r>
      <w:r w:rsidR="000D539A">
        <w:rPr>
          <w:lang w:val="fr-SN"/>
        </w:rPr>
        <w:t>les</w:t>
      </w:r>
      <w:r>
        <w:rPr>
          <w:lang w:val="fr-SN"/>
        </w:rPr>
        <w:t xml:space="preserve"> attestations demandées dans le DAO</w:t>
      </w:r>
      <w:r w:rsidR="00F3158A">
        <w:rPr>
          <w:lang w:val="fr-SN"/>
        </w:rPr>
        <w:t xml:space="preserve"> sont celles portant la mention sur la valeur des travaux exécutés. De plus </w:t>
      </w:r>
      <w:r>
        <w:rPr>
          <w:lang w:val="fr-SN"/>
        </w:rPr>
        <w:t>si les travaux sont terminés</w:t>
      </w:r>
      <w:r w:rsidR="008D56B5">
        <w:rPr>
          <w:lang w:val="fr-SN"/>
        </w:rPr>
        <w:t xml:space="preserve"> et qu’il n’existe aucune </w:t>
      </w:r>
      <w:r w:rsidR="000D539A">
        <w:rPr>
          <w:lang w:val="fr-SN"/>
        </w:rPr>
        <w:t>réserve mentionnée</w:t>
      </w:r>
      <w:r w:rsidR="008B1B75">
        <w:rPr>
          <w:lang w:val="fr-SN"/>
        </w:rPr>
        <w:t xml:space="preserve"> sur le procès-verbal de réception ; le maitre d’ouvrage ne pourrait </w:t>
      </w:r>
      <w:r w:rsidR="00150588">
        <w:rPr>
          <w:lang w:val="fr-SN"/>
        </w:rPr>
        <w:t>vous refuser</w:t>
      </w:r>
      <w:r>
        <w:rPr>
          <w:lang w:val="fr-SN"/>
        </w:rPr>
        <w:t xml:space="preserve"> de </w:t>
      </w:r>
      <w:r w:rsidR="008B1B75">
        <w:rPr>
          <w:lang w:val="fr-SN"/>
        </w:rPr>
        <w:t xml:space="preserve">vous </w:t>
      </w:r>
      <w:r>
        <w:rPr>
          <w:lang w:val="fr-SN"/>
        </w:rPr>
        <w:t>donner une attestation.</w:t>
      </w:r>
    </w:p>
    <w:p w14:paraId="55C64AA6" w14:textId="5451D749" w:rsidR="00B765B5" w:rsidRPr="006649DE" w:rsidRDefault="006B6C13" w:rsidP="00330095">
      <w:pPr>
        <w:pStyle w:val="Paragraphedeliste"/>
        <w:numPr>
          <w:ilvl w:val="0"/>
          <w:numId w:val="8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 w:rsidR="008B1B75" w:rsidRPr="006649DE">
        <w:rPr>
          <w:b/>
          <w:u w:val="single"/>
          <w:lang w:val="fr-SN"/>
        </w:rPr>
        <w:t xml:space="preserve"> 2</w:t>
      </w:r>
      <w:r w:rsidRPr="00330095">
        <w:rPr>
          <w:b/>
          <w:u w:val="single"/>
          <w:lang w:val="fr-SN"/>
        </w:rPr>
        <w:t> </w:t>
      </w:r>
      <w:r w:rsidRPr="006649DE">
        <w:rPr>
          <w:lang w:val="fr-SN"/>
        </w:rPr>
        <w:t xml:space="preserve">: </w:t>
      </w:r>
      <w:r w:rsidR="00B765B5" w:rsidRPr="006649DE">
        <w:rPr>
          <w:lang w:val="fr-SN"/>
        </w:rPr>
        <w:t>La partie o</w:t>
      </w:r>
      <w:r w:rsidRPr="006649DE">
        <w:rPr>
          <w:lang w:val="fr-SN"/>
        </w:rPr>
        <w:t>ù</w:t>
      </w:r>
      <w:r w:rsidR="00B765B5" w:rsidRPr="006649DE">
        <w:rPr>
          <w:lang w:val="fr-SN"/>
        </w:rPr>
        <w:t xml:space="preserve"> on dit que le directeur </w:t>
      </w:r>
      <w:r w:rsidR="008B1B75" w:rsidRPr="006649DE">
        <w:rPr>
          <w:lang w:val="fr-SN"/>
        </w:rPr>
        <w:t xml:space="preserve">de la structure </w:t>
      </w:r>
      <w:r w:rsidR="00B765B5" w:rsidRPr="006649DE">
        <w:rPr>
          <w:lang w:val="fr-SN"/>
        </w:rPr>
        <w:t>ne peut pas être directeur des Travaux, est ce que le DGA peut être directeur des travaux ?</w:t>
      </w:r>
    </w:p>
    <w:p w14:paraId="332A9D6B" w14:textId="79D2B69C" w:rsidR="00B765B5" w:rsidRDefault="00B765B5" w:rsidP="006649DE">
      <w:pPr>
        <w:pStyle w:val="Paragraphedeliste"/>
        <w:numPr>
          <w:ilvl w:val="0"/>
          <w:numId w:val="8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8B1B75" w:rsidRPr="006649DE">
        <w:rPr>
          <w:b/>
          <w:u w:val="single"/>
          <w:lang w:val="fr-SN"/>
        </w:rPr>
        <w:t xml:space="preserve"> 2</w:t>
      </w:r>
      <w:r w:rsidRPr="006649DE">
        <w:rPr>
          <w:lang w:val="fr-SN"/>
        </w:rPr>
        <w:t xml:space="preserve"> : </w:t>
      </w:r>
      <w:r w:rsidR="008B1B75" w:rsidRPr="006649DE">
        <w:rPr>
          <w:lang w:val="fr-SN"/>
        </w:rPr>
        <w:t>le DGA ne peut pas occuper le poste de directeur des travaux. Ce poste est obligatoire pour les entreprises qui gagneront plus d’un lot et les critères d’évaluations sont les suivants </w:t>
      </w:r>
      <w:r w:rsidR="008B1B75" w:rsidRPr="00710819">
        <w:rPr>
          <w:lang w:val="fr-SN"/>
        </w:rPr>
        <w:t xml:space="preserve">: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44"/>
        <w:gridCol w:w="1393"/>
        <w:gridCol w:w="2020"/>
        <w:gridCol w:w="2020"/>
      </w:tblGrid>
      <w:tr w:rsidR="00B23879" w:rsidRPr="00CC5552" w14:paraId="085AAF41" w14:textId="77777777" w:rsidTr="006B7A92">
        <w:trPr>
          <w:jc w:val="center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7081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</w:rPr>
            </w:pPr>
            <w:r w:rsidRPr="00CC5552">
              <w:rPr>
                <w:b/>
                <w:kern w:val="28"/>
                <w:sz w:val="22"/>
                <w:szCs w:val="22"/>
              </w:rPr>
              <w:t>No.</w:t>
            </w:r>
          </w:p>
        </w:tc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7CC7F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</w:rPr>
            </w:pPr>
            <w:r w:rsidRPr="00CC5552">
              <w:rPr>
                <w:b/>
                <w:kern w:val="28"/>
                <w:sz w:val="22"/>
                <w:szCs w:val="22"/>
              </w:rPr>
              <w:t>Position / Qualification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CF07D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</w:rPr>
            </w:pPr>
            <w:r w:rsidRPr="00CC5552">
              <w:rPr>
                <w:b/>
                <w:kern w:val="28"/>
                <w:sz w:val="22"/>
                <w:szCs w:val="22"/>
              </w:rPr>
              <w:t>Expérience globale en travaux (années)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C8C5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Effectif proposé par poste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D13D8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</w:rPr>
            </w:pPr>
            <w:r w:rsidRPr="00CC5552">
              <w:rPr>
                <w:b/>
                <w:kern w:val="28"/>
                <w:sz w:val="22"/>
                <w:szCs w:val="22"/>
              </w:rPr>
              <w:t xml:space="preserve">Expérience dans des travaux similaires </w:t>
            </w:r>
          </w:p>
          <w:p w14:paraId="378F1D10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28"/>
              </w:rPr>
            </w:pPr>
            <w:r w:rsidRPr="00CC5552">
              <w:rPr>
                <w:b/>
                <w:kern w:val="28"/>
                <w:sz w:val="22"/>
                <w:szCs w:val="22"/>
              </w:rPr>
              <w:t>(Nombre de projets exécutés)</w:t>
            </w:r>
          </w:p>
        </w:tc>
      </w:tr>
      <w:tr w:rsidR="00B23879" w:rsidRPr="00CC5552" w14:paraId="1600DC32" w14:textId="77777777" w:rsidTr="006B7A92">
        <w:trPr>
          <w:trHeight w:val="851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0C2F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</w:rPr>
            </w:pPr>
            <w:r w:rsidRPr="00CC5552">
              <w:rPr>
                <w:kern w:val="28"/>
              </w:rPr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2A0F" w14:textId="29D8C9DC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Directeur des</w:t>
            </w:r>
            <w:r w:rsidRPr="00CC5552">
              <w:rPr>
                <w:kern w:val="28"/>
                <w:sz w:val="22"/>
                <w:szCs w:val="22"/>
              </w:rPr>
              <w:t xml:space="preserve"> travaux</w:t>
            </w:r>
            <w:r>
              <w:rPr>
                <w:rStyle w:val="Appelnotedebasdep"/>
                <w:kern w:val="28"/>
                <w:sz w:val="22"/>
                <w:szCs w:val="22"/>
              </w:rPr>
              <w:footnoteReference w:id="1"/>
            </w:r>
            <w:r w:rsidRPr="00CC5552">
              <w:rPr>
                <w:kern w:val="28"/>
                <w:sz w:val="22"/>
                <w:szCs w:val="22"/>
              </w:rPr>
              <w:t> : Diplôme Ingénieur Civil ou TP ou équivalent de formation Bac + 4 au minimum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C6A20" w14:textId="1E405EC2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08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1DF3" w14:textId="77777777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kern w:val="28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9C254" w14:textId="2230166B" w:rsidR="00B23879" w:rsidRPr="00CC5552" w:rsidRDefault="00B23879" w:rsidP="006B7A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</w:rPr>
            </w:pPr>
            <w:r w:rsidRPr="00CC5552">
              <w:rPr>
                <w:i/>
                <w:kern w:val="28"/>
                <w:sz w:val="22"/>
                <w:szCs w:val="22"/>
              </w:rPr>
              <w:t>Au moins trois (0</w:t>
            </w:r>
            <w:r>
              <w:rPr>
                <w:i/>
                <w:kern w:val="28"/>
                <w:sz w:val="22"/>
                <w:szCs w:val="22"/>
              </w:rPr>
              <w:t>5</w:t>
            </w:r>
            <w:r w:rsidRPr="00CC5552">
              <w:rPr>
                <w:i/>
                <w:kern w:val="28"/>
                <w:sz w:val="22"/>
                <w:szCs w:val="22"/>
              </w:rPr>
              <w:t>) projets de nature et de complexité similaires dont deux (0</w:t>
            </w:r>
            <w:r>
              <w:rPr>
                <w:i/>
                <w:kern w:val="28"/>
                <w:sz w:val="22"/>
                <w:szCs w:val="22"/>
              </w:rPr>
              <w:t>3</w:t>
            </w:r>
            <w:r w:rsidRPr="00CC5552">
              <w:rPr>
                <w:i/>
                <w:kern w:val="28"/>
                <w:sz w:val="22"/>
                <w:szCs w:val="22"/>
              </w:rPr>
              <w:t xml:space="preserve">) en qualité de </w:t>
            </w:r>
            <w:r>
              <w:rPr>
                <w:i/>
                <w:kern w:val="28"/>
                <w:sz w:val="22"/>
                <w:szCs w:val="22"/>
              </w:rPr>
              <w:t xml:space="preserve">Directeur des </w:t>
            </w:r>
            <w:r w:rsidRPr="00CC5552">
              <w:rPr>
                <w:i/>
                <w:kern w:val="28"/>
                <w:sz w:val="22"/>
                <w:szCs w:val="22"/>
              </w:rPr>
              <w:t>travaux.</w:t>
            </w:r>
          </w:p>
        </w:tc>
      </w:tr>
    </w:tbl>
    <w:p w14:paraId="390EDA7F" w14:textId="77777777" w:rsidR="00B23879" w:rsidRPr="00710819" w:rsidRDefault="00B23879" w:rsidP="00330095">
      <w:pPr>
        <w:pStyle w:val="Paragraphedeliste"/>
        <w:ind w:left="1440"/>
        <w:jc w:val="both"/>
        <w:rPr>
          <w:lang w:val="fr-SN"/>
        </w:rPr>
      </w:pPr>
    </w:p>
    <w:p w14:paraId="04E5E6EB" w14:textId="77777777" w:rsidR="006B6C13" w:rsidRDefault="006B6C13" w:rsidP="00B765B5">
      <w:pPr>
        <w:rPr>
          <w:lang w:val="fr-SN"/>
        </w:rPr>
      </w:pPr>
    </w:p>
    <w:p w14:paraId="02D87F12" w14:textId="2612F73E" w:rsidR="006B6C13" w:rsidRDefault="00B765B5" w:rsidP="00B765B5">
      <w:pPr>
        <w:rPr>
          <w:lang w:val="fr-SN"/>
        </w:rPr>
      </w:pPr>
      <w:r w:rsidRPr="00B431BE">
        <w:rPr>
          <w:b/>
          <w:lang w:val="fr-SN"/>
        </w:rPr>
        <w:t xml:space="preserve">GEOTOP </w:t>
      </w:r>
    </w:p>
    <w:p w14:paraId="468F83C5" w14:textId="12A8E656" w:rsidR="00B765B5" w:rsidRPr="006649DE" w:rsidRDefault="008B1B75" w:rsidP="00330095">
      <w:pPr>
        <w:pStyle w:val="Paragraphedeliste"/>
        <w:numPr>
          <w:ilvl w:val="0"/>
          <w:numId w:val="9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 1</w:t>
      </w:r>
      <w:r w:rsidRPr="006649DE">
        <w:rPr>
          <w:lang w:val="fr-SN"/>
        </w:rPr>
        <w:t xml:space="preserve"> : </w:t>
      </w:r>
      <w:r w:rsidR="00B765B5" w:rsidRPr="006649DE">
        <w:rPr>
          <w:lang w:val="fr-SN"/>
        </w:rPr>
        <w:t xml:space="preserve">D’après sa compréhension, il n’est pas indiqué directeur des travaux, mais conducteur des travaux dans le DAO. </w:t>
      </w:r>
    </w:p>
    <w:p w14:paraId="0ABEF92F" w14:textId="34AEFB29" w:rsidR="00B765B5" w:rsidRPr="006649DE" w:rsidRDefault="002B6381" w:rsidP="00330095">
      <w:pPr>
        <w:pStyle w:val="Paragraphedeliste"/>
        <w:numPr>
          <w:ilvl w:val="0"/>
          <w:numId w:val="9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8B1B75" w:rsidRPr="00330095">
        <w:rPr>
          <w:b/>
          <w:u w:val="single"/>
          <w:lang w:val="fr-SN"/>
        </w:rPr>
        <w:t xml:space="preserve"> 1</w:t>
      </w:r>
      <w:r w:rsidRPr="006649DE">
        <w:rPr>
          <w:lang w:val="fr-SN"/>
        </w:rPr>
        <w:t xml:space="preserve"> : </w:t>
      </w:r>
      <w:r w:rsidR="00B765B5" w:rsidRPr="006649DE">
        <w:rPr>
          <w:lang w:val="fr-SN"/>
        </w:rPr>
        <w:t>celui qui gagnera plus d’un lot devra fournir un directeur des travaux et la précision sera rajoutée dans le DAO.</w:t>
      </w:r>
    </w:p>
    <w:p w14:paraId="5B6A37AB" w14:textId="657B35DA" w:rsidR="00B765B5" w:rsidRDefault="00B765B5" w:rsidP="00330095">
      <w:pPr>
        <w:ind w:left="720"/>
        <w:jc w:val="both"/>
        <w:rPr>
          <w:lang w:val="fr-SN"/>
        </w:rPr>
      </w:pPr>
      <w:r>
        <w:rPr>
          <w:lang w:val="fr-SN"/>
        </w:rPr>
        <w:t>En outre une SOP sera signé</w:t>
      </w:r>
      <w:r w:rsidR="00C93E0A">
        <w:rPr>
          <w:lang w:val="fr-SN"/>
        </w:rPr>
        <w:t>e</w:t>
      </w:r>
      <w:r>
        <w:rPr>
          <w:lang w:val="fr-SN"/>
        </w:rPr>
        <w:t xml:space="preserve"> entre les prestataires et le PUDC avant toute signature de contrat.</w:t>
      </w:r>
    </w:p>
    <w:p w14:paraId="14E692C9" w14:textId="4D021418" w:rsidR="00B765B5" w:rsidRDefault="00B765B5" w:rsidP="00330095">
      <w:pPr>
        <w:ind w:left="720"/>
        <w:jc w:val="both"/>
        <w:rPr>
          <w:lang w:val="fr-SN"/>
        </w:rPr>
      </w:pPr>
      <w:r>
        <w:rPr>
          <w:lang w:val="fr-SN"/>
        </w:rPr>
        <w:t xml:space="preserve">Précision importante : Tous les dossiers d’appel d’offres du PNUD sont gratuits via </w:t>
      </w:r>
      <w:r w:rsidR="00640BA2">
        <w:rPr>
          <w:lang w:val="fr-SN"/>
        </w:rPr>
        <w:t>s</w:t>
      </w:r>
      <w:r>
        <w:rPr>
          <w:lang w:val="fr-SN"/>
        </w:rPr>
        <w:t xml:space="preserve">es réseaux </w:t>
      </w:r>
      <w:r w:rsidR="00640BA2">
        <w:rPr>
          <w:lang w:val="fr-SN"/>
        </w:rPr>
        <w:t>dédiés</w:t>
      </w:r>
      <w:r>
        <w:rPr>
          <w:lang w:val="fr-SN"/>
        </w:rPr>
        <w:t>. Aucune vente ni échange avec du papier ou autre</w:t>
      </w:r>
      <w:r w:rsidR="00640BA2">
        <w:rPr>
          <w:lang w:val="fr-SN"/>
        </w:rPr>
        <w:t>s</w:t>
      </w:r>
      <w:r>
        <w:rPr>
          <w:lang w:val="fr-SN"/>
        </w:rPr>
        <w:t xml:space="preserve"> </w:t>
      </w:r>
      <w:r w:rsidR="00640BA2">
        <w:rPr>
          <w:lang w:val="fr-SN"/>
        </w:rPr>
        <w:t>ne sont acceptés.</w:t>
      </w:r>
    </w:p>
    <w:p w14:paraId="6C99DF91" w14:textId="77777777" w:rsidR="00640BA2" w:rsidRDefault="00640BA2" w:rsidP="00B765B5">
      <w:pPr>
        <w:rPr>
          <w:b/>
          <w:lang w:val="fr-SN"/>
        </w:rPr>
      </w:pPr>
    </w:p>
    <w:p w14:paraId="6E44EE04" w14:textId="77777777" w:rsidR="006649DE" w:rsidRDefault="00B765B5" w:rsidP="00B765B5">
      <w:pPr>
        <w:rPr>
          <w:lang w:val="fr-SN"/>
        </w:rPr>
      </w:pPr>
      <w:r w:rsidRPr="00330095">
        <w:rPr>
          <w:b/>
          <w:u w:val="single"/>
          <w:lang w:val="fr-SN"/>
        </w:rPr>
        <w:t>RC SENEGAL SAV</w:t>
      </w:r>
      <w:r>
        <w:rPr>
          <w:lang w:val="fr-SN"/>
        </w:rPr>
        <w:t xml:space="preserve"> : </w:t>
      </w:r>
    </w:p>
    <w:p w14:paraId="6622A081" w14:textId="23B466D3" w:rsidR="00B765B5" w:rsidRPr="006649DE" w:rsidRDefault="006649DE" w:rsidP="00330095">
      <w:pPr>
        <w:pStyle w:val="Paragraphedeliste"/>
        <w:numPr>
          <w:ilvl w:val="0"/>
          <w:numId w:val="10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 1</w:t>
      </w:r>
      <w:r w:rsidRPr="006649DE">
        <w:rPr>
          <w:lang w:val="fr-SN"/>
        </w:rPr>
        <w:t xml:space="preserve"> : </w:t>
      </w:r>
      <w:r w:rsidR="00B765B5" w:rsidRPr="006649DE">
        <w:rPr>
          <w:lang w:val="fr-SN"/>
        </w:rPr>
        <w:t xml:space="preserve">A </w:t>
      </w:r>
      <w:r w:rsidRPr="006649DE">
        <w:rPr>
          <w:lang w:val="fr-SN"/>
        </w:rPr>
        <w:t xml:space="preserve">signaler </w:t>
      </w:r>
      <w:r w:rsidR="00B765B5" w:rsidRPr="006649DE">
        <w:rPr>
          <w:lang w:val="fr-SN"/>
        </w:rPr>
        <w:t>le manque de plan et de géolocalisation précise du site </w:t>
      </w:r>
    </w:p>
    <w:p w14:paraId="5974652E" w14:textId="6EA14749" w:rsidR="00B765B5" w:rsidRPr="00710819" w:rsidRDefault="00B765B5" w:rsidP="00330095">
      <w:pPr>
        <w:pStyle w:val="Paragraphedeliste"/>
        <w:numPr>
          <w:ilvl w:val="0"/>
          <w:numId w:val="10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 xml:space="preserve">Réponse </w:t>
      </w:r>
      <w:r w:rsidR="00150588" w:rsidRPr="00330095">
        <w:rPr>
          <w:b/>
          <w:u w:val="single"/>
          <w:lang w:val="fr-SN"/>
        </w:rPr>
        <w:t>1</w:t>
      </w:r>
      <w:r w:rsidR="00150588" w:rsidRPr="006649DE">
        <w:rPr>
          <w:lang w:val="fr-SN"/>
        </w:rPr>
        <w:t xml:space="preserve"> :</w:t>
      </w:r>
      <w:r w:rsidRPr="006649DE">
        <w:rPr>
          <w:lang w:val="fr-SN"/>
        </w:rPr>
        <w:t xml:space="preserve"> le DAO comporte bien des plan</w:t>
      </w:r>
      <w:r w:rsidR="006649DE" w:rsidRPr="006649DE">
        <w:rPr>
          <w:lang w:val="fr-SN"/>
        </w:rPr>
        <w:t xml:space="preserve">s de </w:t>
      </w:r>
      <w:r w:rsidRPr="006649DE">
        <w:rPr>
          <w:lang w:val="fr-SN"/>
        </w:rPr>
        <w:t>localisation d</w:t>
      </w:r>
      <w:r w:rsidR="006649DE" w:rsidRPr="006649DE">
        <w:rPr>
          <w:lang w:val="fr-SN"/>
        </w:rPr>
        <w:t>es s</w:t>
      </w:r>
      <w:r w:rsidRPr="006649DE">
        <w:rPr>
          <w:lang w:val="fr-SN"/>
        </w:rPr>
        <w:t>ite</w:t>
      </w:r>
      <w:r w:rsidR="006649DE" w:rsidRPr="006649DE">
        <w:rPr>
          <w:lang w:val="fr-SN"/>
        </w:rPr>
        <w:t>s</w:t>
      </w:r>
      <w:r w:rsidRPr="006649DE">
        <w:rPr>
          <w:lang w:val="fr-SN"/>
        </w:rPr>
        <w:t xml:space="preserve"> </w:t>
      </w:r>
      <w:r w:rsidR="006649DE" w:rsidRPr="006649DE">
        <w:rPr>
          <w:lang w:val="fr-SN"/>
        </w:rPr>
        <w:t xml:space="preserve">(cf. </w:t>
      </w:r>
      <w:r w:rsidR="006649DE" w:rsidRPr="00710819">
        <w:rPr>
          <w:lang w:val="fr-SN"/>
        </w:rPr>
        <w:t>dossier DAO - P</w:t>
      </w:r>
      <w:r w:rsidRPr="00710819">
        <w:rPr>
          <w:lang w:val="fr-SN"/>
        </w:rPr>
        <w:t>artie 4</w:t>
      </w:r>
      <w:r w:rsidR="006649DE" w:rsidRPr="00710819">
        <w:rPr>
          <w:lang w:val="fr-SN"/>
        </w:rPr>
        <w:t>)</w:t>
      </w:r>
      <w:r w:rsidRPr="00710819">
        <w:rPr>
          <w:lang w:val="fr-SN"/>
        </w:rPr>
        <w:t xml:space="preserve">. </w:t>
      </w:r>
    </w:p>
    <w:p w14:paraId="615A7A43" w14:textId="4858532A" w:rsidR="00B765B5" w:rsidRPr="006649DE" w:rsidRDefault="00B765B5" w:rsidP="00330095">
      <w:pPr>
        <w:pStyle w:val="Paragraphedeliste"/>
        <w:numPr>
          <w:ilvl w:val="0"/>
          <w:numId w:val="10"/>
        </w:numPr>
        <w:rPr>
          <w:lang w:val="fr-SN"/>
        </w:rPr>
      </w:pPr>
      <w:r w:rsidRPr="00330095">
        <w:rPr>
          <w:b/>
          <w:u w:val="single"/>
          <w:lang w:val="fr-SN"/>
        </w:rPr>
        <w:t>Question</w:t>
      </w:r>
      <w:r w:rsidR="006649DE" w:rsidRPr="00330095">
        <w:rPr>
          <w:b/>
          <w:u w:val="single"/>
          <w:lang w:val="fr-SN"/>
        </w:rPr>
        <w:t xml:space="preserve"> </w:t>
      </w:r>
      <w:r w:rsidR="00150588" w:rsidRPr="006649DE">
        <w:rPr>
          <w:b/>
          <w:u w:val="single"/>
          <w:lang w:val="fr-SN"/>
        </w:rPr>
        <w:t>2</w:t>
      </w:r>
      <w:r w:rsidR="00150588" w:rsidRPr="006649DE">
        <w:rPr>
          <w:lang w:val="fr-SN"/>
        </w:rPr>
        <w:t xml:space="preserve"> :</w:t>
      </w:r>
      <w:r w:rsidRPr="006649DE">
        <w:rPr>
          <w:lang w:val="fr-SN"/>
        </w:rPr>
        <w:t xml:space="preserve"> Compte tenu du fait que le programme est financé par la BID, est ce que seules les entreprises, islamiques peuvent postuler ? </w:t>
      </w:r>
    </w:p>
    <w:p w14:paraId="67115366" w14:textId="68A69687" w:rsidR="00B765B5" w:rsidRPr="00710819" w:rsidRDefault="00B765B5" w:rsidP="00330095">
      <w:pPr>
        <w:pStyle w:val="Paragraphedeliste"/>
        <w:numPr>
          <w:ilvl w:val="0"/>
          <w:numId w:val="10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6649DE" w:rsidRPr="00330095">
        <w:rPr>
          <w:b/>
          <w:u w:val="single"/>
          <w:lang w:val="fr-SN"/>
        </w:rPr>
        <w:t xml:space="preserve"> 2</w:t>
      </w:r>
      <w:r w:rsidRPr="006649DE">
        <w:rPr>
          <w:lang w:val="fr-SN"/>
        </w:rPr>
        <w:t xml:space="preserve"> : le PNUD ne fonctionne pas comme ça, le financement n’a aucun lien avec la religion ; c’est </w:t>
      </w:r>
      <w:r w:rsidR="00C93E0A" w:rsidRPr="006649DE">
        <w:rPr>
          <w:lang w:val="fr-SN"/>
        </w:rPr>
        <w:t xml:space="preserve">un </w:t>
      </w:r>
      <w:r w:rsidRPr="006649DE">
        <w:rPr>
          <w:lang w:val="fr-SN"/>
        </w:rPr>
        <w:t>financement de la BID pour le gouvernement du Sénégal, les principes u</w:t>
      </w:r>
      <w:r w:rsidRPr="00710819">
        <w:rPr>
          <w:lang w:val="fr-SN"/>
        </w:rPr>
        <w:t>niverselles, sont les mêmes que pour le PNUD</w:t>
      </w:r>
      <w:r w:rsidR="007009A1" w:rsidRPr="00710819">
        <w:rPr>
          <w:lang w:val="fr-SN"/>
        </w:rPr>
        <w:t>, la BID et le Gouvernement du Sénégal</w:t>
      </w:r>
      <w:r w:rsidRPr="00710819">
        <w:rPr>
          <w:lang w:val="fr-SN"/>
        </w:rPr>
        <w:t> ;</w:t>
      </w:r>
    </w:p>
    <w:p w14:paraId="1EB961F3" w14:textId="77777777" w:rsidR="00B765B5" w:rsidRDefault="00B765B5" w:rsidP="00B765B5">
      <w:pPr>
        <w:rPr>
          <w:lang w:val="fr-SN"/>
        </w:rPr>
      </w:pPr>
    </w:p>
    <w:p w14:paraId="48EF5E59" w14:textId="77777777" w:rsidR="00B765B5" w:rsidRPr="00330095" w:rsidRDefault="00B765B5" w:rsidP="00B765B5">
      <w:pPr>
        <w:rPr>
          <w:b/>
          <w:u w:val="single"/>
          <w:lang w:val="fr-SN"/>
        </w:rPr>
      </w:pPr>
      <w:r w:rsidRPr="00330095">
        <w:rPr>
          <w:b/>
          <w:u w:val="single"/>
          <w:lang w:val="fr-SN"/>
        </w:rPr>
        <w:t xml:space="preserve">BARRY JUNIOR ETS </w:t>
      </w:r>
    </w:p>
    <w:p w14:paraId="22036994" w14:textId="144BA0C1" w:rsidR="00B765B5" w:rsidRPr="006649DE" w:rsidRDefault="000D539A" w:rsidP="00330095">
      <w:pPr>
        <w:pStyle w:val="Paragraphedeliste"/>
        <w:numPr>
          <w:ilvl w:val="0"/>
          <w:numId w:val="11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Question </w:t>
      </w:r>
      <w:r w:rsidR="00150588" w:rsidRPr="00330095">
        <w:rPr>
          <w:b/>
          <w:u w:val="single"/>
          <w:lang w:val="fr-SN"/>
        </w:rPr>
        <w:t>1</w:t>
      </w:r>
      <w:r w:rsidR="00150588" w:rsidRPr="006649DE">
        <w:rPr>
          <w:lang w:val="fr-SN"/>
        </w:rPr>
        <w:t xml:space="preserve"> :</w:t>
      </w:r>
      <w:r w:rsidR="00B765B5" w:rsidRPr="006649DE">
        <w:rPr>
          <w:lang w:val="fr-SN"/>
        </w:rPr>
        <w:t xml:space="preserve"> Si une entreprise, ne parvient pas à finaliser son dossier à l’arrivée du deadline, est ce qu’on peut appeler ou envoyer un email</w:t>
      </w:r>
      <w:r w:rsidR="002F5428" w:rsidRPr="006649DE">
        <w:rPr>
          <w:lang w:val="fr-SN"/>
        </w:rPr>
        <w:t> ?</w:t>
      </w:r>
    </w:p>
    <w:p w14:paraId="77F62628" w14:textId="1E97FED7" w:rsidR="00B765B5" w:rsidRPr="00710819" w:rsidRDefault="002F5428" w:rsidP="00330095">
      <w:pPr>
        <w:pStyle w:val="Paragraphedeliste"/>
        <w:numPr>
          <w:ilvl w:val="0"/>
          <w:numId w:val="11"/>
        </w:numPr>
        <w:jc w:val="both"/>
        <w:rPr>
          <w:lang w:val="fr-SN"/>
        </w:rPr>
      </w:pPr>
      <w:r w:rsidRPr="00330095">
        <w:rPr>
          <w:b/>
          <w:u w:val="single"/>
          <w:lang w:val="fr-SN"/>
        </w:rPr>
        <w:t>Réponse</w:t>
      </w:r>
      <w:r w:rsidR="006649DE" w:rsidRPr="00330095">
        <w:rPr>
          <w:b/>
          <w:u w:val="single"/>
          <w:lang w:val="fr-SN"/>
        </w:rPr>
        <w:t xml:space="preserve"> 1</w:t>
      </w:r>
      <w:r w:rsidRPr="006649DE">
        <w:rPr>
          <w:lang w:val="fr-SN"/>
        </w:rPr>
        <w:t xml:space="preserve"> : </w:t>
      </w:r>
      <w:r w:rsidR="00B765B5" w:rsidRPr="00710819">
        <w:rPr>
          <w:lang w:val="fr-SN"/>
        </w:rPr>
        <w:t>Le deadline doit être respecté, au-delà le soumissionnaire est forclos même si un mail est envoyé</w:t>
      </w:r>
    </w:p>
    <w:p w14:paraId="3922D31A" w14:textId="77777777" w:rsidR="00B765B5" w:rsidRDefault="00B765B5" w:rsidP="00B765B5">
      <w:pPr>
        <w:rPr>
          <w:lang w:val="fr-SN"/>
        </w:rPr>
      </w:pPr>
    </w:p>
    <w:p w14:paraId="2321222D" w14:textId="2740990B" w:rsidR="00653908" w:rsidRPr="00ED255B" w:rsidRDefault="00B765B5" w:rsidP="006649DE">
      <w:pPr>
        <w:jc w:val="both"/>
      </w:pPr>
      <w:r>
        <w:rPr>
          <w:lang w:val="fr-SN"/>
        </w:rPr>
        <w:t xml:space="preserve"> </w:t>
      </w:r>
    </w:p>
    <w:sectPr w:rsidR="00653908" w:rsidRPr="00ED255B" w:rsidSect="004903EA">
      <w:footerReference w:type="even" r:id="rId8"/>
      <w:footerReference w:type="default" r:id="rId9"/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C929" w14:textId="77777777" w:rsidR="00623205" w:rsidRDefault="00623205" w:rsidP="00B5010F">
      <w:r>
        <w:separator/>
      </w:r>
    </w:p>
  </w:endnote>
  <w:endnote w:type="continuationSeparator" w:id="0">
    <w:p w14:paraId="6FBB89FE" w14:textId="77777777" w:rsidR="00623205" w:rsidRDefault="00623205" w:rsidP="00B5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7A1" w14:textId="77777777" w:rsidR="00884AFA" w:rsidRDefault="00884AFA" w:rsidP="007169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9BFC60" w14:textId="77777777" w:rsidR="00884AFA" w:rsidRDefault="00884A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923D" w14:textId="77777777" w:rsidR="00884AFA" w:rsidRDefault="00884AFA" w:rsidP="007169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5D7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/3</w:t>
    </w:r>
  </w:p>
  <w:p w14:paraId="5EDAF2B8" w14:textId="77777777" w:rsidR="00884AFA" w:rsidRDefault="00884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D168" w14:textId="77777777" w:rsidR="00623205" w:rsidRDefault="00623205" w:rsidP="00B5010F">
      <w:r>
        <w:separator/>
      </w:r>
    </w:p>
  </w:footnote>
  <w:footnote w:type="continuationSeparator" w:id="0">
    <w:p w14:paraId="0A4BE1BB" w14:textId="77777777" w:rsidR="00623205" w:rsidRDefault="00623205" w:rsidP="00B5010F">
      <w:r>
        <w:continuationSeparator/>
      </w:r>
    </w:p>
  </w:footnote>
  <w:footnote w:id="1">
    <w:p w14:paraId="3A0C2F2C" w14:textId="77777777" w:rsidR="00B23879" w:rsidRDefault="00B23879" w:rsidP="00B23879">
      <w:pPr>
        <w:pStyle w:val="Notedebasdepage"/>
      </w:pPr>
      <w:r>
        <w:rPr>
          <w:rStyle w:val="Appelnotedebasdep"/>
        </w:rPr>
        <w:footnoteRef/>
      </w:r>
      <w:r>
        <w:t xml:space="preserve"> Pour le lot 4 de la région de Louga prévoir dans l’offre deux (02) conducteurs de travaux.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312"/>
    <w:multiLevelType w:val="hybridMultilevel"/>
    <w:tmpl w:val="1168446E"/>
    <w:lvl w:ilvl="0" w:tplc="DC4E3D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3E"/>
    <w:multiLevelType w:val="hybridMultilevel"/>
    <w:tmpl w:val="04AEC208"/>
    <w:lvl w:ilvl="0" w:tplc="B84A9F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B80"/>
    <w:multiLevelType w:val="hybridMultilevel"/>
    <w:tmpl w:val="735E4FB2"/>
    <w:lvl w:ilvl="0" w:tplc="B84A9F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637B"/>
    <w:multiLevelType w:val="hybridMultilevel"/>
    <w:tmpl w:val="19F2CAA8"/>
    <w:lvl w:ilvl="0" w:tplc="B84A9F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30D"/>
    <w:multiLevelType w:val="hybridMultilevel"/>
    <w:tmpl w:val="5AFC0CD2"/>
    <w:lvl w:ilvl="0" w:tplc="0006370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6950"/>
    <w:multiLevelType w:val="hybridMultilevel"/>
    <w:tmpl w:val="C804B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4E40"/>
    <w:multiLevelType w:val="hybridMultilevel"/>
    <w:tmpl w:val="12627854"/>
    <w:lvl w:ilvl="0" w:tplc="B84A9F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7700"/>
    <w:multiLevelType w:val="hybridMultilevel"/>
    <w:tmpl w:val="E1AE71BE"/>
    <w:lvl w:ilvl="0" w:tplc="46B4C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5658C"/>
    <w:multiLevelType w:val="hybridMultilevel"/>
    <w:tmpl w:val="83DE570C"/>
    <w:lvl w:ilvl="0" w:tplc="5C0A6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7A32"/>
    <w:multiLevelType w:val="hybridMultilevel"/>
    <w:tmpl w:val="7C7CFDF2"/>
    <w:lvl w:ilvl="0" w:tplc="B84A9F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268"/>
    <w:multiLevelType w:val="hybridMultilevel"/>
    <w:tmpl w:val="ABD80A0A"/>
    <w:lvl w:ilvl="0" w:tplc="B1DCD9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08"/>
    <w:rsid w:val="00027A8D"/>
    <w:rsid w:val="0003032E"/>
    <w:rsid w:val="00095C3D"/>
    <w:rsid w:val="000A3691"/>
    <w:rsid w:val="000A38B7"/>
    <w:rsid w:val="000A6219"/>
    <w:rsid w:val="000D539A"/>
    <w:rsid w:val="000D621F"/>
    <w:rsid w:val="0010003A"/>
    <w:rsid w:val="00100DF3"/>
    <w:rsid w:val="0010776F"/>
    <w:rsid w:val="001214BE"/>
    <w:rsid w:val="00141E87"/>
    <w:rsid w:val="0014201A"/>
    <w:rsid w:val="00150588"/>
    <w:rsid w:val="001540FD"/>
    <w:rsid w:val="001808C1"/>
    <w:rsid w:val="00187990"/>
    <w:rsid w:val="001E759B"/>
    <w:rsid w:val="0021676D"/>
    <w:rsid w:val="00253047"/>
    <w:rsid w:val="00257E55"/>
    <w:rsid w:val="0026271B"/>
    <w:rsid w:val="00281BFA"/>
    <w:rsid w:val="002939D1"/>
    <w:rsid w:val="00297C35"/>
    <w:rsid w:val="002A5F20"/>
    <w:rsid w:val="002B2B33"/>
    <w:rsid w:val="002B6381"/>
    <w:rsid w:val="002B6969"/>
    <w:rsid w:val="002C22AF"/>
    <w:rsid w:val="002E014F"/>
    <w:rsid w:val="002E1018"/>
    <w:rsid w:val="002E1503"/>
    <w:rsid w:val="002F11F8"/>
    <w:rsid w:val="002F27A3"/>
    <w:rsid w:val="002F5428"/>
    <w:rsid w:val="00302E10"/>
    <w:rsid w:val="00330095"/>
    <w:rsid w:val="00344C30"/>
    <w:rsid w:val="003567AC"/>
    <w:rsid w:val="00362937"/>
    <w:rsid w:val="003650DD"/>
    <w:rsid w:val="00365C1C"/>
    <w:rsid w:val="00395B42"/>
    <w:rsid w:val="00407279"/>
    <w:rsid w:val="00412CB3"/>
    <w:rsid w:val="004377EF"/>
    <w:rsid w:val="0044377E"/>
    <w:rsid w:val="00454214"/>
    <w:rsid w:val="0046428E"/>
    <w:rsid w:val="00472DBE"/>
    <w:rsid w:val="004903EA"/>
    <w:rsid w:val="004B38F2"/>
    <w:rsid w:val="004B5AB9"/>
    <w:rsid w:val="004F5770"/>
    <w:rsid w:val="004F768C"/>
    <w:rsid w:val="005047B4"/>
    <w:rsid w:val="00554093"/>
    <w:rsid w:val="0055734C"/>
    <w:rsid w:val="00572397"/>
    <w:rsid w:val="00572E59"/>
    <w:rsid w:val="005A340A"/>
    <w:rsid w:val="005B3E53"/>
    <w:rsid w:val="00612ED5"/>
    <w:rsid w:val="0061675D"/>
    <w:rsid w:val="00623205"/>
    <w:rsid w:val="00640BA2"/>
    <w:rsid w:val="00645FF6"/>
    <w:rsid w:val="00653908"/>
    <w:rsid w:val="006649DE"/>
    <w:rsid w:val="00664A73"/>
    <w:rsid w:val="006926B2"/>
    <w:rsid w:val="006933A8"/>
    <w:rsid w:val="006A78D8"/>
    <w:rsid w:val="006B6C13"/>
    <w:rsid w:val="006C4607"/>
    <w:rsid w:val="006D4896"/>
    <w:rsid w:val="006F36A1"/>
    <w:rsid w:val="007009A1"/>
    <w:rsid w:val="00710819"/>
    <w:rsid w:val="007169A4"/>
    <w:rsid w:val="00727A8D"/>
    <w:rsid w:val="0073737C"/>
    <w:rsid w:val="00745416"/>
    <w:rsid w:val="007A761B"/>
    <w:rsid w:val="007B4CCA"/>
    <w:rsid w:val="007D2678"/>
    <w:rsid w:val="007D3BAA"/>
    <w:rsid w:val="007F6D16"/>
    <w:rsid w:val="00800F12"/>
    <w:rsid w:val="00802A27"/>
    <w:rsid w:val="008036B6"/>
    <w:rsid w:val="008059C0"/>
    <w:rsid w:val="008173F1"/>
    <w:rsid w:val="00821534"/>
    <w:rsid w:val="0084363A"/>
    <w:rsid w:val="0085390D"/>
    <w:rsid w:val="00884AFA"/>
    <w:rsid w:val="008B1B75"/>
    <w:rsid w:val="008D56B5"/>
    <w:rsid w:val="008E1888"/>
    <w:rsid w:val="008E5141"/>
    <w:rsid w:val="008F2281"/>
    <w:rsid w:val="008F3BC8"/>
    <w:rsid w:val="00910D17"/>
    <w:rsid w:val="009136F2"/>
    <w:rsid w:val="009466E3"/>
    <w:rsid w:val="00947AC4"/>
    <w:rsid w:val="00996321"/>
    <w:rsid w:val="0099636E"/>
    <w:rsid w:val="009A706F"/>
    <w:rsid w:val="009D75C7"/>
    <w:rsid w:val="009E5E33"/>
    <w:rsid w:val="009F3125"/>
    <w:rsid w:val="009F6124"/>
    <w:rsid w:val="00A05069"/>
    <w:rsid w:val="00A10288"/>
    <w:rsid w:val="00A24DF1"/>
    <w:rsid w:val="00A2610E"/>
    <w:rsid w:val="00A445FC"/>
    <w:rsid w:val="00A45BA0"/>
    <w:rsid w:val="00A57BC2"/>
    <w:rsid w:val="00A613C8"/>
    <w:rsid w:val="00A62E4C"/>
    <w:rsid w:val="00A6354C"/>
    <w:rsid w:val="00A72093"/>
    <w:rsid w:val="00AA09DA"/>
    <w:rsid w:val="00AE2187"/>
    <w:rsid w:val="00AE5352"/>
    <w:rsid w:val="00B13712"/>
    <w:rsid w:val="00B234B1"/>
    <w:rsid w:val="00B23879"/>
    <w:rsid w:val="00B431BE"/>
    <w:rsid w:val="00B5010F"/>
    <w:rsid w:val="00B63DA4"/>
    <w:rsid w:val="00B765B5"/>
    <w:rsid w:val="00BA3519"/>
    <w:rsid w:val="00BB611F"/>
    <w:rsid w:val="00BC337C"/>
    <w:rsid w:val="00BE3E62"/>
    <w:rsid w:val="00C059AB"/>
    <w:rsid w:val="00C207A6"/>
    <w:rsid w:val="00C457D4"/>
    <w:rsid w:val="00C64E49"/>
    <w:rsid w:val="00C706F2"/>
    <w:rsid w:val="00C733E0"/>
    <w:rsid w:val="00C81C10"/>
    <w:rsid w:val="00C85D74"/>
    <w:rsid w:val="00C93E0A"/>
    <w:rsid w:val="00C94D7C"/>
    <w:rsid w:val="00CA4B53"/>
    <w:rsid w:val="00CB67DD"/>
    <w:rsid w:val="00CC331A"/>
    <w:rsid w:val="00CC4BCB"/>
    <w:rsid w:val="00CF5EC5"/>
    <w:rsid w:val="00D051BE"/>
    <w:rsid w:val="00D05A5B"/>
    <w:rsid w:val="00D10210"/>
    <w:rsid w:val="00D220B4"/>
    <w:rsid w:val="00D50C9B"/>
    <w:rsid w:val="00DC1E9D"/>
    <w:rsid w:val="00DE12B8"/>
    <w:rsid w:val="00DE5B23"/>
    <w:rsid w:val="00DF7ADE"/>
    <w:rsid w:val="00E00DCA"/>
    <w:rsid w:val="00E2376F"/>
    <w:rsid w:val="00E26157"/>
    <w:rsid w:val="00E57DF9"/>
    <w:rsid w:val="00EB202B"/>
    <w:rsid w:val="00EC2EDA"/>
    <w:rsid w:val="00ED255B"/>
    <w:rsid w:val="00EE4ADA"/>
    <w:rsid w:val="00EF4C9B"/>
    <w:rsid w:val="00F12E7C"/>
    <w:rsid w:val="00F15F48"/>
    <w:rsid w:val="00F3158A"/>
    <w:rsid w:val="00F31FA7"/>
    <w:rsid w:val="00F70650"/>
    <w:rsid w:val="00F85C8D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A462"/>
  <w14:defaultImageDpi w14:val="300"/>
  <w15:docId w15:val="{5F49DDED-DCE4-436A-8A63-02CA2CD5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90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01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10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5010F"/>
  </w:style>
  <w:style w:type="paragraph" w:styleId="En-tte">
    <w:name w:val="header"/>
    <w:basedOn w:val="Normal"/>
    <w:link w:val="En-tteCar"/>
    <w:uiPriority w:val="99"/>
    <w:unhideWhenUsed/>
    <w:rsid w:val="00B501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010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9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9A4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7B4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B4CCA"/>
    <w:rPr>
      <w:b/>
      <w:bCs/>
    </w:rPr>
  </w:style>
  <w:style w:type="character" w:styleId="Accentuation">
    <w:name w:val="Emphasis"/>
    <w:basedOn w:val="Policepardfaut"/>
    <w:uiPriority w:val="20"/>
    <w:qFormat/>
    <w:rsid w:val="007B4CC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540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0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093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0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093"/>
    <w:rPr>
      <w:b/>
      <w:bCs/>
      <w:sz w:val="20"/>
      <w:szCs w:val="20"/>
      <w:lang w:val="fr-FR"/>
    </w:rPr>
  </w:style>
  <w:style w:type="paragraph" w:styleId="Notedebasdepage">
    <w:name w:val="footnote text"/>
    <w:aliases w:val="fn,ADB,single space,footnote text Char,Footnote Text Char,fn Char,ADB Char,single space Char Char,Fußnotentextf,single space Char "/>
    <w:basedOn w:val="Normal"/>
    <w:link w:val="NotedebasdepageCar"/>
    <w:unhideWhenUsed/>
    <w:rsid w:val="00B2387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fn Car,ADB Car,single space Car,footnote text Char Car,Footnote Text Char Car,fn Char Car,ADB Char Car,single space Char Char Car,Fußnotentextf Car,single space Char  Car"/>
    <w:basedOn w:val="Policepardfaut"/>
    <w:link w:val="Notedebasdepage"/>
    <w:rsid w:val="00B23879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sid w:val="00B2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Seck Sibi</dc:creator>
  <cp:keywords/>
  <dc:description/>
  <cp:lastModifiedBy>Papa Elimane Diouf</cp:lastModifiedBy>
  <cp:revision>10</cp:revision>
  <cp:lastPrinted>2018-05-14T09:43:00Z</cp:lastPrinted>
  <dcterms:created xsi:type="dcterms:W3CDTF">2019-02-25T12:01:00Z</dcterms:created>
  <dcterms:modified xsi:type="dcterms:W3CDTF">2019-02-25T12:05:00Z</dcterms:modified>
</cp:coreProperties>
</file>