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DD" w:rsidRPr="004B5D7D" w:rsidRDefault="00DB77DD" w:rsidP="00DB77DD">
      <w:pPr>
        <w:tabs>
          <w:tab w:val="left" w:pos="1410"/>
        </w:tabs>
        <w:ind w:left="1410"/>
        <w:jc w:val="center"/>
        <w:rPr>
          <w:rFonts w:cstheme="minorHAnsi"/>
        </w:rPr>
      </w:pPr>
      <w:r w:rsidRPr="004B5D7D">
        <w:rPr>
          <w:rFonts w:cstheme="minorHAnsi"/>
          <w:b/>
        </w:rPr>
        <w:t>INDIVIDUAL CONSULTANT PROCUREMENT NOTICE</w:t>
      </w:r>
      <w:r w:rsidRPr="004B5D7D">
        <w:rPr>
          <w:rFonts w:cstheme="minorHAnsi"/>
        </w:rPr>
        <w:t xml:space="preserve">  </w:t>
      </w:r>
      <w:r w:rsidR="009E2B22" w:rsidRPr="004B5D7D">
        <w:rPr>
          <w:rFonts w:cstheme="minorHAnsi"/>
        </w:rPr>
        <w:t xml:space="preserve">      </w:t>
      </w:r>
      <w:r w:rsidRPr="004B5D7D">
        <w:rPr>
          <w:rFonts w:cstheme="minorHAnsi"/>
        </w:rPr>
        <w:t xml:space="preserve">              </w:t>
      </w:r>
      <w:r w:rsidR="009E2B22" w:rsidRPr="004B5D7D">
        <w:rPr>
          <w:rFonts w:cstheme="minorHAnsi"/>
        </w:rPr>
        <w:t xml:space="preserve"> </w:t>
      </w:r>
      <w:r w:rsidRPr="004B5D7D">
        <w:rPr>
          <w:rFonts w:cstheme="minorHAnsi"/>
          <w:noProof/>
        </w:rPr>
        <w:drawing>
          <wp:inline distT="0" distB="0" distL="0" distR="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4B5D7D">
        <w:rPr>
          <w:rFonts w:cstheme="minorHAnsi"/>
        </w:rPr>
        <w:t xml:space="preserve">                                      </w:t>
      </w:r>
      <w:r w:rsidRPr="004B5D7D">
        <w:rPr>
          <w:rFonts w:cstheme="minorHAnsi"/>
        </w:rPr>
        <w:t xml:space="preserve">                                                                                                                                                  </w:t>
      </w:r>
    </w:p>
    <w:p w:rsidR="009E2B22" w:rsidRPr="004B5D7D" w:rsidRDefault="009E2B22" w:rsidP="00DB77DD">
      <w:pPr>
        <w:tabs>
          <w:tab w:val="left" w:pos="1410"/>
        </w:tabs>
        <w:rPr>
          <w:rFonts w:cstheme="minorHAnsi"/>
        </w:rPr>
      </w:pPr>
      <w:r w:rsidRPr="004B5D7D">
        <w:rPr>
          <w:rFonts w:cstheme="minorHAnsi"/>
        </w:rPr>
        <w:t xml:space="preserve">                           </w:t>
      </w:r>
    </w:p>
    <w:p w:rsidR="009E2B22" w:rsidRPr="004B5D7D" w:rsidRDefault="009E2B22" w:rsidP="009E2B22">
      <w:pPr>
        <w:tabs>
          <w:tab w:val="left" w:pos="1410"/>
        </w:tabs>
        <w:rPr>
          <w:rFonts w:cstheme="minorHAnsi"/>
        </w:rPr>
      </w:pPr>
      <w:r w:rsidRPr="004B5D7D">
        <w:rPr>
          <w:rFonts w:cstheme="minorHAnsi"/>
        </w:rPr>
        <w:t xml:space="preserve">                                                                                                                                   </w:t>
      </w:r>
      <w:r w:rsidR="00086485" w:rsidRPr="004B5D7D">
        <w:rPr>
          <w:rFonts w:cstheme="minorHAnsi"/>
        </w:rPr>
        <w:t xml:space="preserve">              </w:t>
      </w:r>
      <w:r w:rsidR="00EF2FEA">
        <w:rPr>
          <w:rFonts w:cstheme="minorHAnsi"/>
        </w:rPr>
        <w:t>Date: 19/03</w:t>
      </w:r>
      <w:r w:rsidR="005469CC" w:rsidRPr="004B5D7D">
        <w:rPr>
          <w:rFonts w:cstheme="minorHAnsi"/>
        </w:rPr>
        <w:t>/2019</w:t>
      </w:r>
      <w:r w:rsidRPr="004B5D7D">
        <w:rPr>
          <w:rFonts w:cstheme="minorHAnsi"/>
        </w:rPr>
        <w:t xml:space="preserve">                                        </w:t>
      </w:r>
    </w:p>
    <w:p w:rsidR="009E2B22" w:rsidRPr="004B5D7D" w:rsidRDefault="00EE539E" w:rsidP="009E2B22">
      <w:pPr>
        <w:tabs>
          <w:tab w:val="left" w:pos="1410"/>
        </w:tabs>
        <w:rPr>
          <w:rFonts w:cstheme="minorHAnsi"/>
          <w:b/>
        </w:rPr>
      </w:pPr>
      <w:r w:rsidRPr="004B5D7D">
        <w:rPr>
          <w:rFonts w:cstheme="minorHAnsi"/>
          <w:b/>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1D9D2"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65710B" w:rsidRPr="004B5D7D" w:rsidRDefault="0065710B" w:rsidP="0065710B">
      <w:pPr>
        <w:tabs>
          <w:tab w:val="left" w:pos="1410"/>
        </w:tabs>
        <w:rPr>
          <w:rFonts w:cstheme="minorHAnsi"/>
          <w:b/>
        </w:rPr>
      </w:pPr>
      <w:r w:rsidRPr="004B5D7D">
        <w:rPr>
          <w:rFonts w:cstheme="minorHAnsi"/>
          <w:b/>
        </w:rPr>
        <w:t>Country:</w:t>
      </w:r>
      <w:r w:rsidR="00413AE8" w:rsidRPr="004B5D7D">
        <w:rPr>
          <w:rFonts w:cstheme="minorHAnsi"/>
          <w:b/>
        </w:rPr>
        <w:t xml:space="preserve"> </w:t>
      </w:r>
      <w:r w:rsidR="005469CC" w:rsidRPr="004B5D7D">
        <w:rPr>
          <w:rFonts w:cstheme="minorHAnsi"/>
          <w:b/>
        </w:rPr>
        <w:t>NIGERIA</w:t>
      </w:r>
    </w:p>
    <w:p w:rsidR="00413AE8" w:rsidRPr="004B5D7D" w:rsidRDefault="0065710B" w:rsidP="0065710B">
      <w:pPr>
        <w:tabs>
          <w:tab w:val="left" w:pos="1410"/>
        </w:tabs>
        <w:rPr>
          <w:rFonts w:cstheme="minorHAnsi"/>
          <w:b/>
        </w:rPr>
      </w:pPr>
      <w:r w:rsidRPr="004B5D7D">
        <w:rPr>
          <w:rFonts w:cstheme="minorHAnsi"/>
          <w:b/>
        </w:rPr>
        <w:t>Description of the assignment:</w:t>
      </w:r>
      <w:r w:rsidR="005469CC" w:rsidRPr="004B5D7D">
        <w:rPr>
          <w:rFonts w:cstheme="minorHAnsi"/>
          <w:b/>
        </w:rPr>
        <w:t xml:space="preserve"> </w:t>
      </w:r>
      <w:r w:rsidR="00413AE8" w:rsidRPr="004B5D7D">
        <w:rPr>
          <w:rFonts w:cstheme="minorHAnsi"/>
          <w:b/>
        </w:rPr>
        <w:t xml:space="preserve"> </w:t>
      </w:r>
      <w:r w:rsidR="004B5D7D" w:rsidRPr="004B5D7D">
        <w:rPr>
          <w:rFonts w:cstheme="minorHAnsi"/>
          <w:b/>
        </w:rPr>
        <w:t>CONSULTANCY SERVICES FOR THE DEVELOPMENTOF A GENDER ANALYSIS FOR THE DE-RISKING RENEWABLE ENERGY PROJECT</w:t>
      </w:r>
    </w:p>
    <w:p w:rsidR="0065710B" w:rsidRPr="004B5D7D" w:rsidRDefault="00413AE8" w:rsidP="004B5D7D">
      <w:pPr>
        <w:tabs>
          <w:tab w:val="left" w:pos="1410"/>
        </w:tabs>
        <w:rPr>
          <w:rFonts w:cstheme="minorHAnsi"/>
          <w:b/>
        </w:rPr>
      </w:pPr>
      <w:r w:rsidRPr="004B5D7D">
        <w:rPr>
          <w:rFonts w:cstheme="minorHAnsi"/>
          <w:b/>
        </w:rPr>
        <w:t xml:space="preserve">Project Name: </w:t>
      </w:r>
      <w:r w:rsidR="004B5D7D" w:rsidRPr="004B5D7D">
        <w:rPr>
          <w:rFonts w:cstheme="minorHAnsi"/>
          <w:b/>
        </w:rPr>
        <w:t>DE-RISKING RENEWABLE ENERGY</w:t>
      </w:r>
    </w:p>
    <w:p w:rsidR="0065710B" w:rsidRPr="004B5D7D" w:rsidRDefault="0065710B" w:rsidP="0065710B">
      <w:pPr>
        <w:tabs>
          <w:tab w:val="left" w:pos="1410"/>
        </w:tabs>
        <w:rPr>
          <w:rFonts w:cstheme="minorHAnsi"/>
          <w:b/>
        </w:rPr>
      </w:pPr>
      <w:r w:rsidRPr="004B5D7D">
        <w:rPr>
          <w:rFonts w:cstheme="minorHAnsi"/>
          <w:b/>
        </w:rPr>
        <w:t>Period of assignment/services (if applicable):</w:t>
      </w:r>
      <w:r w:rsidR="00B40654" w:rsidRPr="004B5D7D">
        <w:rPr>
          <w:rFonts w:cstheme="minorHAnsi"/>
          <w:b/>
        </w:rPr>
        <w:t xml:space="preserve"> </w:t>
      </w:r>
      <w:r w:rsidR="004B5D7D" w:rsidRPr="004B5D7D">
        <w:rPr>
          <w:rFonts w:cstheme="minorHAnsi"/>
          <w:b/>
        </w:rPr>
        <w:t>THRITY FI</w:t>
      </w:r>
      <w:bookmarkStart w:id="0" w:name="_GoBack"/>
      <w:bookmarkEnd w:id="0"/>
      <w:r w:rsidR="004B5D7D" w:rsidRPr="004B5D7D">
        <w:rPr>
          <w:rFonts w:cstheme="minorHAnsi"/>
          <w:b/>
        </w:rPr>
        <w:t xml:space="preserve">VE (35) to </w:t>
      </w:r>
      <w:r w:rsidR="005469CC" w:rsidRPr="004B5D7D">
        <w:rPr>
          <w:rFonts w:cstheme="minorHAnsi"/>
          <w:b/>
        </w:rPr>
        <w:t>FORTY (40) DAYS</w:t>
      </w:r>
    </w:p>
    <w:p w:rsidR="0065710B" w:rsidRPr="004B5D7D" w:rsidRDefault="0065710B" w:rsidP="0065710B">
      <w:pPr>
        <w:tabs>
          <w:tab w:val="left" w:pos="1410"/>
        </w:tabs>
        <w:rPr>
          <w:rFonts w:cstheme="minorHAnsi"/>
        </w:rPr>
      </w:pPr>
      <w:r w:rsidRPr="004B5D7D">
        <w:rPr>
          <w:rFonts w:cstheme="minorHAnsi"/>
        </w:rPr>
        <w:t>Proposal should be submitted at the following address</w:t>
      </w:r>
      <w:r w:rsidR="0045515F" w:rsidRPr="004B5D7D">
        <w:rPr>
          <w:rFonts w:cstheme="minorHAnsi"/>
        </w:rPr>
        <w:t xml:space="preserve"> </w:t>
      </w:r>
      <w:hyperlink r:id="rId13" w:history="1">
        <w:r w:rsidR="0045515F" w:rsidRPr="004B5D7D">
          <w:rPr>
            <w:rStyle w:val="Hyperlink"/>
            <w:rFonts w:cstheme="minorHAnsi"/>
          </w:rPr>
          <w:t>icrecruitments.ng@undp.org</w:t>
        </w:r>
      </w:hyperlink>
      <w:r w:rsidR="0045515F" w:rsidRPr="004B5D7D">
        <w:rPr>
          <w:rFonts w:cstheme="minorHAnsi"/>
        </w:rPr>
        <w:t xml:space="preserve"> </w:t>
      </w:r>
      <w:r w:rsidRPr="004B5D7D">
        <w:rPr>
          <w:rFonts w:cstheme="minorHAnsi"/>
        </w:rPr>
        <w:t xml:space="preserve"> </w:t>
      </w:r>
      <w:r w:rsidR="0045515F" w:rsidRPr="004B5D7D">
        <w:rPr>
          <w:rFonts w:cstheme="minorHAnsi"/>
        </w:rPr>
        <w:t xml:space="preserve"> </w:t>
      </w:r>
      <w:r w:rsidRPr="004B5D7D">
        <w:rPr>
          <w:rFonts w:cstheme="minorHAnsi"/>
        </w:rPr>
        <w:t xml:space="preserve">no later than </w:t>
      </w:r>
      <w:r w:rsidR="00EF2FEA">
        <w:rPr>
          <w:rFonts w:cstheme="minorHAnsi"/>
        </w:rPr>
        <w:t>2</w:t>
      </w:r>
      <w:r w:rsidR="00EF2FEA">
        <w:rPr>
          <w:rFonts w:cstheme="minorHAnsi"/>
          <w:vertAlign w:val="superscript"/>
        </w:rPr>
        <w:t>nd</w:t>
      </w:r>
      <w:r w:rsidR="00EF2FEA">
        <w:rPr>
          <w:rFonts w:cstheme="minorHAnsi"/>
        </w:rPr>
        <w:t xml:space="preserve"> April</w:t>
      </w:r>
      <w:r w:rsidR="00413AE8" w:rsidRPr="004B5D7D">
        <w:rPr>
          <w:rFonts w:cstheme="minorHAnsi"/>
        </w:rPr>
        <w:t xml:space="preserve"> 2019</w:t>
      </w:r>
      <w:r w:rsidR="00EF2FEA">
        <w:rPr>
          <w:rFonts w:cstheme="minorHAnsi"/>
        </w:rPr>
        <w:t>.</w:t>
      </w:r>
    </w:p>
    <w:p w:rsidR="0065710B" w:rsidRPr="004B5D7D" w:rsidRDefault="0065710B" w:rsidP="0065710B">
      <w:pPr>
        <w:tabs>
          <w:tab w:val="left" w:pos="1410"/>
        </w:tabs>
        <w:rPr>
          <w:rFonts w:cstheme="minorHAnsi"/>
        </w:rPr>
      </w:pPr>
      <w:r w:rsidRPr="004B5D7D">
        <w:rPr>
          <w:rFonts w:cstheme="minorHAnsi"/>
        </w:rPr>
        <w:t>Any request for clarification must be sent in writing, or by standard electronic communication to the addr</w:t>
      </w:r>
      <w:r w:rsidR="0045515F" w:rsidRPr="004B5D7D">
        <w:rPr>
          <w:rFonts w:cstheme="minorHAnsi"/>
        </w:rPr>
        <w:t xml:space="preserve">ess or e-mail indicated above. UNDP </w:t>
      </w:r>
      <w:r w:rsidRPr="004B5D7D">
        <w:rPr>
          <w:rFonts w:cstheme="minorHAnsi"/>
        </w:rPr>
        <w:t>will respond in writing or by standard electronic mail and will send written copies of the response, including an explanation of the query without identifying the source of inquiry, to all consultants.</w:t>
      </w:r>
    </w:p>
    <w:p w:rsidR="009E2B22" w:rsidRPr="004B5D7D" w:rsidRDefault="00EE539E" w:rsidP="009E2B22">
      <w:pPr>
        <w:tabs>
          <w:tab w:val="left" w:pos="1410"/>
        </w:tabs>
        <w:rPr>
          <w:rFonts w:cstheme="minorHAnsi"/>
        </w:rPr>
      </w:pPr>
      <w:r w:rsidRPr="004B5D7D">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D8E7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rsidR="009E2B22" w:rsidRPr="004B5D7D" w:rsidRDefault="009E2B22" w:rsidP="009E2B22">
      <w:pPr>
        <w:tabs>
          <w:tab w:val="left" w:pos="1410"/>
        </w:tabs>
        <w:rPr>
          <w:rFonts w:cstheme="minorHAnsi"/>
          <w:b/>
        </w:rPr>
      </w:pPr>
      <w:r w:rsidRPr="004B5D7D">
        <w:rPr>
          <w:rFonts w:cstheme="minorHAnsi"/>
          <w:b/>
        </w:rPr>
        <w:t>1. BACKGROUND</w:t>
      </w:r>
    </w:p>
    <w:tbl>
      <w:tblPr>
        <w:tblStyle w:val="TableGrid"/>
        <w:tblW w:w="9985" w:type="dxa"/>
        <w:tblLook w:val="04A0" w:firstRow="1" w:lastRow="0" w:firstColumn="1" w:lastColumn="0" w:noHBand="0" w:noVBand="1"/>
      </w:tblPr>
      <w:tblGrid>
        <w:gridCol w:w="9985"/>
      </w:tblGrid>
      <w:tr w:rsidR="0065710B" w:rsidRPr="004B5D7D" w:rsidTr="004B5D7D">
        <w:tc>
          <w:tcPr>
            <w:tcW w:w="9985" w:type="dxa"/>
          </w:tcPr>
          <w:p w:rsidR="004B5D7D" w:rsidRPr="004B5D7D" w:rsidRDefault="004B5D7D" w:rsidP="004B5D7D">
            <w:pPr>
              <w:tabs>
                <w:tab w:val="left" w:pos="1410"/>
              </w:tabs>
              <w:rPr>
                <w:rFonts w:cstheme="minorHAnsi"/>
              </w:rPr>
            </w:pPr>
            <w:r w:rsidRPr="004B5D7D">
              <w:rPr>
                <w:rFonts w:cstheme="minorHAnsi"/>
              </w:rPr>
              <w:t xml:space="preserve">The GEF Council has recently approved the Project Identification Form (PIF) for the full-sized project titled De-risking Renewable Energy NAMA for the Nigerian Power Sector (PIF 5345) implemented through the United Nations Development Programme (UNDP)/Energy Commission of Nigeria (ECN).  </w:t>
            </w:r>
          </w:p>
          <w:p w:rsidR="004B5D7D" w:rsidRPr="004B5D7D" w:rsidRDefault="004B5D7D" w:rsidP="004B5D7D">
            <w:pPr>
              <w:tabs>
                <w:tab w:val="left" w:pos="1410"/>
              </w:tabs>
              <w:rPr>
                <w:rFonts w:cstheme="minorHAnsi"/>
              </w:rPr>
            </w:pPr>
          </w:p>
          <w:p w:rsidR="004B5D7D" w:rsidRPr="004B5D7D" w:rsidRDefault="004B5D7D" w:rsidP="004B5D7D">
            <w:pPr>
              <w:tabs>
                <w:tab w:val="left" w:pos="1410"/>
              </w:tabs>
              <w:rPr>
                <w:rFonts w:cstheme="minorHAnsi"/>
              </w:rPr>
            </w:pPr>
            <w:r w:rsidRPr="004B5D7D">
              <w:rPr>
                <w:rFonts w:cstheme="minorHAnsi"/>
              </w:rPr>
              <w:t>The energy sector is the largest source of GHG emissions in Nigeria, accounting for over 70% of the country’s total GHG emissions (155.34 MtCO2e in 2000). Over 85% of energy sector emissions emanated from fuel combustion activities, and the remaining from fugitive fuel emissions. The epileptic state of the power sector has been identified as a main constraint for achieving the objectives of the NV20:2020. Consequently, renewable energy development in the power sector is seen as a means for energy mix diversification and increasing energy security, improving the reliability of grid power, and delivering job creation and global environmental benefits simultaneously.</w:t>
            </w:r>
          </w:p>
          <w:p w:rsidR="004B5D7D" w:rsidRPr="004B5D7D" w:rsidRDefault="004B5D7D" w:rsidP="004B5D7D">
            <w:pPr>
              <w:tabs>
                <w:tab w:val="left" w:pos="1410"/>
              </w:tabs>
              <w:rPr>
                <w:rFonts w:cstheme="minorHAnsi"/>
              </w:rPr>
            </w:pPr>
          </w:p>
          <w:p w:rsidR="004B5D7D" w:rsidRPr="004B5D7D" w:rsidRDefault="004B5D7D" w:rsidP="004B5D7D">
            <w:pPr>
              <w:tabs>
                <w:tab w:val="left" w:pos="1410"/>
              </w:tabs>
              <w:rPr>
                <w:rFonts w:cstheme="minorHAnsi"/>
              </w:rPr>
            </w:pPr>
            <w:r w:rsidRPr="004B5D7D">
              <w:rPr>
                <w:rFonts w:cstheme="minorHAnsi"/>
              </w:rPr>
              <w:t xml:space="preserve">The UNDP-GEF project therefore, is designed to support the Government of Nigeria to develop a Nationally Appropriate Mitigation Action (NAMA) for the Nigerian Power Sector. This project is targeting solar PV primarily in order to achieve a transformation in the electricity mix such that at least 20GW of Nigeria’s electricity is generated from solar PV by 2030. The project will use UNDP’s De-risking Renewable Energy </w:t>
            </w:r>
            <w:r w:rsidRPr="004B5D7D">
              <w:rPr>
                <w:rFonts w:cstheme="minorHAnsi"/>
              </w:rPr>
              <w:lastRenderedPageBreak/>
              <w:t>Investment (DREI) methodology to develop Nationally Appropriate Mitigation Action (NAMA) architecture and enabling conditions through a combination of complementary policy and financial de-risking instruments, which will be validated through the implementation of a 100 MW Photovoltaic (PV) project in Nigeria.</w:t>
            </w:r>
          </w:p>
          <w:p w:rsidR="004B5D7D" w:rsidRPr="004B5D7D" w:rsidRDefault="004B5D7D" w:rsidP="004B5D7D">
            <w:pPr>
              <w:tabs>
                <w:tab w:val="left" w:pos="1410"/>
              </w:tabs>
              <w:rPr>
                <w:rFonts w:cstheme="minorHAnsi"/>
              </w:rPr>
            </w:pPr>
            <w:r w:rsidRPr="004B5D7D">
              <w:rPr>
                <w:rFonts w:cstheme="minorHAnsi"/>
              </w:rPr>
              <w:t>The project is designed in two broad elements: (1) technical assistance – to establish the enabling conditions for a Nigerian power sector RE NAMA and (2) investment – the elements of the Renewable Energy (RE) NAMA will be tested by supporting one baseline project that has been identified as having several deficiencies.</w:t>
            </w:r>
          </w:p>
          <w:p w:rsidR="004B5D7D" w:rsidRPr="004B5D7D" w:rsidRDefault="004B5D7D" w:rsidP="004B5D7D">
            <w:pPr>
              <w:tabs>
                <w:tab w:val="left" w:pos="1410"/>
              </w:tabs>
              <w:rPr>
                <w:rFonts w:cstheme="minorHAnsi"/>
              </w:rPr>
            </w:pPr>
            <w:r w:rsidRPr="004B5D7D">
              <w:rPr>
                <w:rFonts w:cstheme="minorHAnsi"/>
              </w:rPr>
              <w:t>UNDP is seeking to recruit a Gender Specialist to ensure that gender considerations are fully mainstreamed into all relevant components of the project document as well as produce a participatory gender analysis and action plan for the project. The objective of the work is to explain how the project will contribute to gender equality and women’s empowerment, identify entry points for mainstreaming gender considerations in project components, ensure that the project results framework and theory of change are gender responsive and to develop a gender action plan to advance women’s empowerment and promote gender equality.</w:t>
            </w:r>
          </w:p>
          <w:p w:rsidR="004B5D7D" w:rsidRPr="004B5D7D" w:rsidRDefault="004B5D7D" w:rsidP="004B5D7D">
            <w:pPr>
              <w:tabs>
                <w:tab w:val="left" w:pos="1410"/>
              </w:tabs>
              <w:rPr>
                <w:rFonts w:cstheme="minorHAnsi"/>
              </w:rPr>
            </w:pPr>
            <w:r w:rsidRPr="004B5D7D">
              <w:rPr>
                <w:rFonts w:cstheme="minorHAnsi"/>
              </w:rPr>
              <w:t>The project preparation phase will include stakeholders’ consultations and data collection for the establishment of baseline data for the project results framework. The consultant will work with the project development team to ensure that stakeholder consultations are gender responsive, to integrate the gender analysis results into the project document and to use the results to identify opportunities and gaps to help better understand and address gender concerns within the project context.</w:t>
            </w:r>
          </w:p>
          <w:p w:rsidR="0065710B" w:rsidRPr="004B5D7D" w:rsidRDefault="004B5D7D" w:rsidP="004B5D7D">
            <w:pPr>
              <w:tabs>
                <w:tab w:val="left" w:pos="1410"/>
              </w:tabs>
              <w:rPr>
                <w:rFonts w:cstheme="minorHAnsi"/>
              </w:rPr>
            </w:pPr>
            <w:r w:rsidRPr="004B5D7D">
              <w:rPr>
                <w:rFonts w:cstheme="minorHAnsi"/>
              </w:rPr>
              <w:t>The consultant may assist with other capacity building and other aspects of project preparation to ensure gender considerations are mainstreamed into the development of the project.</w:t>
            </w:r>
          </w:p>
        </w:tc>
      </w:tr>
    </w:tbl>
    <w:p w:rsidR="00A24134" w:rsidRPr="004B5D7D" w:rsidRDefault="00A24134" w:rsidP="009E2B22">
      <w:pPr>
        <w:tabs>
          <w:tab w:val="left" w:pos="1410"/>
        </w:tabs>
        <w:rPr>
          <w:rFonts w:cstheme="minorHAnsi"/>
          <w:b/>
        </w:rPr>
      </w:pPr>
    </w:p>
    <w:p w:rsidR="00944F40" w:rsidRPr="004B5D7D" w:rsidRDefault="00944F40" w:rsidP="00A24134">
      <w:pPr>
        <w:rPr>
          <w:rFonts w:cstheme="minorHAnsi"/>
          <w:b/>
        </w:rPr>
      </w:pPr>
      <w:r w:rsidRPr="004B5D7D">
        <w:rPr>
          <w:rFonts w:cstheme="minorHAnsi"/>
          <w:b/>
        </w:rPr>
        <w:t xml:space="preserve">2. SCOPE OF WORK, </w:t>
      </w:r>
      <w:r w:rsidR="00DE1432" w:rsidRPr="004B5D7D">
        <w:rPr>
          <w:rFonts w:cstheme="minorHAnsi"/>
          <w:b/>
        </w:rPr>
        <w:t>RESPONSIBILITIES</w:t>
      </w:r>
      <w:r w:rsidRPr="004B5D7D">
        <w:rPr>
          <w:rFonts w:cstheme="minorHAnsi"/>
          <w:b/>
        </w:rPr>
        <w:t xml:space="preserve"> AND DESCRIPTION OF THE PROPOSED ANALYTICAL WORK </w:t>
      </w:r>
    </w:p>
    <w:tbl>
      <w:tblPr>
        <w:tblStyle w:val="TableGrid"/>
        <w:tblW w:w="9625" w:type="dxa"/>
        <w:tblLook w:val="04A0" w:firstRow="1" w:lastRow="0" w:firstColumn="1" w:lastColumn="0" w:noHBand="0" w:noVBand="1"/>
      </w:tblPr>
      <w:tblGrid>
        <w:gridCol w:w="10031"/>
      </w:tblGrid>
      <w:tr w:rsidR="0065710B" w:rsidRPr="004B5D7D" w:rsidTr="004B5D7D">
        <w:tc>
          <w:tcPr>
            <w:tcW w:w="9625" w:type="dxa"/>
          </w:tcPr>
          <w:p w:rsidR="00386620" w:rsidRPr="004B5D7D" w:rsidRDefault="00386620" w:rsidP="004B5D7D">
            <w:pPr>
              <w:autoSpaceDE w:val="0"/>
              <w:autoSpaceDN w:val="0"/>
              <w:adjustRightInd w:val="0"/>
              <w:jc w:val="both"/>
              <w:rPr>
                <w:rFonts w:cstheme="minorHAnsi"/>
              </w:rPr>
            </w:pPr>
          </w:p>
          <w:p w:rsidR="004B5D7D" w:rsidRPr="004B5D7D" w:rsidRDefault="004B5D7D" w:rsidP="004B5D7D">
            <w:pPr>
              <w:jc w:val="both"/>
              <w:rPr>
                <w:rFonts w:cstheme="minorHAnsi"/>
              </w:rPr>
            </w:pPr>
            <w:r w:rsidRPr="004B5D7D">
              <w:rPr>
                <w:rFonts w:cstheme="minorHAnsi"/>
              </w:rPr>
              <w:t xml:space="preserve">The objective of the work is to explain how the project will contribute to gender equality and women’s empowerment, identify entry points for mainstreaming gender considerations in project components, ensure that the project results framework and theory of change are gender responsive and to develop a gender action plan to advance women’s empowerment and promote gender equality. Specifically: </w:t>
            </w:r>
          </w:p>
          <w:p w:rsidR="004B5D7D" w:rsidRPr="004B5D7D" w:rsidRDefault="004B5D7D" w:rsidP="004B5D7D">
            <w:pPr>
              <w:jc w:val="both"/>
              <w:rPr>
                <w:rFonts w:cstheme="minorHAnsi"/>
              </w:rPr>
            </w:pPr>
          </w:p>
          <w:p w:rsidR="004B5D7D" w:rsidRPr="004B5D7D" w:rsidRDefault="004B5D7D" w:rsidP="004B5D7D">
            <w:pPr>
              <w:jc w:val="both"/>
              <w:rPr>
                <w:rFonts w:cstheme="minorHAnsi"/>
              </w:rPr>
            </w:pPr>
            <w:r w:rsidRPr="004B5D7D">
              <w:rPr>
                <w:rFonts w:cstheme="minorHAnsi"/>
              </w:rPr>
              <w:t>The project preparation phase will include stakeholders’ consultations and data collection for the establishment of baseline data for the project results framework.</w:t>
            </w:r>
          </w:p>
          <w:p w:rsidR="004B5D7D" w:rsidRPr="004B5D7D" w:rsidRDefault="004B5D7D" w:rsidP="004B5D7D">
            <w:pPr>
              <w:jc w:val="both"/>
              <w:rPr>
                <w:rFonts w:cstheme="minorHAnsi"/>
              </w:rPr>
            </w:pPr>
            <w:r w:rsidRPr="004B5D7D">
              <w:rPr>
                <w:rFonts w:cstheme="minorHAnsi"/>
              </w:rPr>
              <w:t xml:space="preserve"> The consultant will work with the project development team to ensure that stakeholder consultations are gender responsive, to integrate </w:t>
            </w:r>
            <w:r w:rsidRPr="004B5D7D">
              <w:rPr>
                <w:rFonts w:cstheme="minorHAnsi"/>
                <w:color w:val="231F20"/>
              </w:rPr>
              <w:t>the gender analysis results into the project document and to use the results to identify opportunities and gaps to help better understand and address gender concerns within the project context.</w:t>
            </w:r>
          </w:p>
          <w:p w:rsidR="004B5D7D" w:rsidRPr="004B5D7D" w:rsidRDefault="004B5D7D" w:rsidP="004B5D7D">
            <w:pPr>
              <w:jc w:val="both"/>
              <w:rPr>
                <w:rFonts w:cstheme="minorHAnsi"/>
              </w:rPr>
            </w:pPr>
            <w:r w:rsidRPr="004B5D7D">
              <w:rPr>
                <w:rFonts w:cstheme="minorHAnsi"/>
              </w:rPr>
              <w:t xml:space="preserve">The consultant may assist with other capacity building </w:t>
            </w:r>
            <w:r w:rsidRPr="004B5D7D">
              <w:rPr>
                <w:rFonts w:cstheme="minorHAnsi"/>
                <w:color w:val="000000"/>
              </w:rPr>
              <w:t>and other aspects of project preparation to ensure gender considerations are mainstreamed into the development of the project.</w:t>
            </w:r>
          </w:p>
          <w:p w:rsidR="004B5D7D" w:rsidRPr="004B5D7D" w:rsidRDefault="004B5D7D" w:rsidP="004B5D7D">
            <w:pPr>
              <w:pStyle w:val="Heading5"/>
              <w:outlineLvl w:val="4"/>
              <w:rPr>
                <w:rFonts w:asciiTheme="minorHAnsi" w:hAnsiTheme="minorHAnsi" w:cstheme="minorHAnsi"/>
                <w:b/>
                <w:color w:val="auto"/>
                <w:sz w:val="22"/>
                <w:szCs w:val="22"/>
              </w:rPr>
            </w:pPr>
          </w:p>
          <w:p w:rsidR="004B5D7D" w:rsidRDefault="004B5D7D" w:rsidP="004B5D7D">
            <w:pPr>
              <w:pStyle w:val="Heading5"/>
              <w:outlineLvl w:val="4"/>
              <w:rPr>
                <w:rFonts w:asciiTheme="minorHAnsi" w:hAnsiTheme="minorHAnsi" w:cstheme="minorHAnsi"/>
                <w:b/>
                <w:color w:val="auto"/>
                <w:sz w:val="22"/>
                <w:szCs w:val="22"/>
              </w:rPr>
            </w:pPr>
            <w:r w:rsidRPr="004B5D7D">
              <w:rPr>
                <w:rFonts w:asciiTheme="minorHAnsi" w:hAnsiTheme="minorHAnsi" w:cstheme="minorHAnsi"/>
                <w:b/>
                <w:color w:val="auto"/>
                <w:sz w:val="22"/>
                <w:szCs w:val="22"/>
              </w:rPr>
              <w:t>Scope of the Work</w:t>
            </w:r>
          </w:p>
          <w:p w:rsidR="00F57898" w:rsidRPr="00F57898" w:rsidRDefault="00F57898" w:rsidP="00F57898"/>
          <w:p w:rsidR="004B5D7D" w:rsidRPr="004B5D7D" w:rsidRDefault="004B5D7D" w:rsidP="004B5D7D">
            <w:pPr>
              <w:jc w:val="both"/>
              <w:rPr>
                <w:rFonts w:cstheme="minorHAnsi"/>
              </w:rPr>
            </w:pPr>
            <w:r w:rsidRPr="004B5D7D">
              <w:rPr>
                <w:rFonts w:cstheme="minorHAnsi"/>
              </w:rPr>
              <w:t xml:space="preserve">The Consultant will work under the supervision of a supervisory team consisting of </w:t>
            </w:r>
            <w:r w:rsidRPr="004B5D7D">
              <w:rPr>
                <w:rFonts w:cstheme="minorHAnsi"/>
                <w:i/>
                <w:lang w:val="en-GB"/>
              </w:rPr>
              <w:t>UNDP Country Office, Nigeria and the Project’s PMU</w:t>
            </w:r>
            <w:r w:rsidRPr="004B5D7D">
              <w:rPr>
                <w:rFonts w:cstheme="minorHAnsi"/>
                <w:lang w:val="en-GB"/>
              </w:rPr>
              <w:t>. T</w:t>
            </w:r>
            <w:r w:rsidRPr="004B5D7D">
              <w:rPr>
                <w:rFonts w:cstheme="minorHAnsi"/>
              </w:rPr>
              <w:t>he overall work will be coordinated by UNDP’s Specialist, New York, but supported by Local Consultant to undertake the following services:</w:t>
            </w:r>
          </w:p>
          <w:p w:rsidR="004B5D7D" w:rsidRPr="004B5D7D" w:rsidRDefault="004B5D7D" w:rsidP="004B5D7D">
            <w:pPr>
              <w:jc w:val="both"/>
              <w:rPr>
                <w:rFonts w:cstheme="minorHAnsi"/>
              </w:rPr>
            </w:pPr>
          </w:p>
          <w:p w:rsidR="004B5D7D" w:rsidRPr="004B5D7D" w:rsidRDefault="004B5D7D" w:rsidP="004B5D7D">
            <w:pPr>
              <w:pStyle w:val="ListParagraph"/>
              <w:numPr>
                <w:ilvl w:val="0"/>
                <w:numId w:val="26"/>
              </w:numPr>
              <w:jc w:val="both"/>
              <w:rPr>
                <w:rFonts w:eastAsia="Times New Roman" w:cstheme="minorHAnsi"/>
              </w:rPr>
            </w:pPr>
            <w:r w:rsidRPr="004B5D7D">
              <w:rPr>
                <w:rFonts w:eastAsia="Times New Roman" w:cstheme="minorHAnsi"/>
              </w:rPr>
              <w:t xml:space="preserve">Carry out a participatory gender analysis </w:t>
            </w:r>
            <w:r w:rsidRPr="004B5D7D">
              <w:rPr>
                <w:rFonts w:cstheme="minorHAnsi"/>
              </w:rPr>
              <w:t xml:space="preserve">to fully consider the different needs, roles, benefits, impacts, risks and access to/control over resources of women and men (including considerations of intersecting categories of identity such as age, social status, ethnicity, marital status, etc.) given a project’s context, </w:t>
            </w:r>
            <w:r w:rsidRPr="004B5D7D">
              <w:rPr>
                <w:rFonts w:cstheme="minorHAnsi"/>
              </w:rPr>
              <w:lastRenderedPageBreak/>
              <w:t xml:space="preserve">and appropriate measures taken to address and these and promote gender equality; collect gender responsive baseline data relevant to project planning and monitoring; identify the share of female and male direct beneficiaries.  </w:t>
            </w:r>
          </w:p>
          <w:p w:rsidR="004B5D7D" w:rsidRPr="004B5D7D" w:rsidRDefault="004B5D7D" w:rsidP="004B5D7D">
            <w:pPr>
              <w:pStyle w:val="ListParagraph"/>
              <w:numPr>
                <w:ilvl w:val="0"/>
                <w:numId w:val="26"/>
              </w:numPr>
              <w:jc w:val="both"/>
              <w:rPr>
                <w:rFonts w:eastAsia="Times New Roman" w:cstheme="minorHAnsi"/>
              </w:rPr>
            </w:pPr>
            <w:r w:rsidRPr="004B5D7D">
              <w:rPr>
                <w:rFonts w:cstheme="minorHAnsi"/>
                <w:color w:val="000000"/>
              </w:rPr>
              <w:t xml:space="preserve">Assist in organizing and carrying out gender responsive stakeholder consultation sessions in order to solicit inputs and ensure both male and female stakeholder involvement and buy-in to the project. </w:t>
            </w:r>
            <w:r w:rsidRPr="004B5D7D">
              <w:rPr>
                <w:rFonts w:cstheme="minorHAnsi"/>
              </w:rPr>
              <w:t xml:space="preserve">Guide the project development team in using </w:t>
            </w:r>
            <w:r w:rsidRPr="004B5D7D">
              <w:rPr>
                <w:rFonts w:cstheme="minorHAnsi"/>
                <w:color w:val="000000"/>
              </w:rPr>
              <w:t>participatory techniques that involve both women and men in assessments and discussions.</w:t>
            </w:r>
          </w:p>
          <w:p w:rsidR="004B5D7D" w:rsidRPr="004B5D7D" w:rsidRDefault="004B5D7D" w:rsidP="004B5D7D">
            <w:pPr>
              <w:pStyle w:val="ListParagraph"/>
              <w:numPr>
                <w:ilvl w:val="0"/>
                <w:numId w:val="26"/>
              </w:numPr>
              <w:jc w:val="both"/>
              <w:rPr>
                <w:rFonts w:eastAsia="Times New Roman" w:cstheme="minorHAnsi"/>
              </w:rPr>
            </w:pPr>
            <w:r w:rsidRPr="004B5D7D">
              <w:rPr>
                <w:rFonts w:cstheme="minorHAnsi"/>
              </w:rPr>
              <w:t>Ensure that all aspects of the project documents are gender responsive: work with the project development team to devise the projects results framework and theory of change: d</w:t>
            </w:r>
            <w:r w:rsidRPr="004B5D7D">
              <w:rPr>
                <w:rFonts w:eastAsia="Times New Roman" w:cstheme="minorHAnsi"/>
              </w:rPr>
              <w:t xml:space="preserve">evelop </w:t>
            </w:r>
            <w:r w:rsidRPr="004B5D7D">
              <w:rPr>
                <w:rFonts w:cstheme="minorHAnsi"/>
              </w:rPr>
              <w:t xml:space="preserve">gender-responsive outcomes, baselines, targets, and indicators </w:t>
            </w:r>
            <w:r w:rsidRPr="004B5D7D">
              <w:rPr>
                <w:rFonts w:eastAsia="Times New Roman" w:cstheme="minorHAnsi"/>
              </w:rPr>
              <w:t>for the project results framework and ensure that all applicable indicators are disaggregated by sex and other relevant, intersecting forms of identity; ensure that gender considerations are integrated into the project’s theory of change, including in the discussion of impact, assumptions, evidence and risks</w:t>
            </w:r>
          </w:p>
          <w:p w:rsidR="004B5D7D" w:rsidRPr="004B5D7D" w:rsidRDefault="004B5D7D" w:rsidP="004B5D7D">
            <w:pPr>
              <w:pStyle w:val="ListParagraph"/>
              <w:numPr>
                <w:ilvl w:val="0"/>
                <w:numId w:val="26"/>
              </w:numPr>
              <w:jc w:val="both"/>
              <w:rPr>
                <w:rFonts w:eastAsia="Times New Roman" w:cstheme="minorHAnsi"/>
              </w:rPr>
            </w:pPr>
            <w:r w:rsidRPr="004B5D7D">
              <w:rPr>
                <w:rFonts w:eastAsia="Times New Roman" w:cstheme="minorHAnsi"/>
              </w:rPr>
              <w:t xml:space="preserve">Develop a Gender Action Plan for the project with annual outputs to facilitate implementation of </w:t>
            </w:r>
            <w:r w:rsidRPr="004B5D7D">
              <w:rPr>
                <w:rFonts w:cstheme="minorHAnsi"/>
              </w:rPr>
              <w:t>activities that promote gender equality and women’s empowerment</w:t>
            </w:r>
            <w:r w:rsidRPr="004B5D7D">
              <w:rPr>
                <w:rFonts w:eastAsia="Times New Roman" w:cstheme="minorHAnsi"/>
              </w:rPr>
              <w:t>.</w:t>
            </w:r>
          </w:p>
          <w:p w:rsidR="004B5D7D" w:rsidRPr="004B5D7D" w:rsidRDefault="004B5D7D" w:rsidP="004B5D7D">
            <w:pPr>
              <w:pStyle w:val="ListParagraph"/>
              <w:numPr>
                <w:ilvl w:val="0"/>
                <w:numId w:val="26"/>
              </w:numPr>
              <w:jc w:val="both"/>
              <w:rPr>
                <w:rFonts w:eastAsia="Times New Roman" w:cstheme="minorHAnsi"/>
              </w:rPr>
            </w:pPr>
            <w:r w:rsidRPr="004B5D7D">
              <w:rPr>
                <w:rFonts w:eastAsia="Times New Roman" w:cstheme="minorHAnsi"/>
              </w:rPr>
              <w:t xml:space="preserve">Provide inputs to the UNDP Social and Environmental Screening Procedure including assessing potential negative impacts of the project on gender equality and specific activities to mitigate and/or minimize them. </w:t>
            </w:r>
          </w:p>
          <w:p w:rsidR="004B5D7D" w:rsidRPr="004B5D7D" w:rsidRDefault="004B5D7D" w:rsidP="004B5D7D">
            <w:pPr>
              <w:pStyle w:val="ListParagraph"/>
              <w:numPr>
                <w:ilvl w:val="0"/>
                <w:numId w:val="26"/>
              </w:numPr>
              <w:jc w:val="both"/>
              <w:rPr>
                <w:rFonts w:eastAsia="Times New Roman" w:cstheme="minorHAnsi"/>
              </w:rPr>
            </w:pPr>
            <w:r w:rsidRPr="004B5D7D">
              <w:rPr>
                <w:rFonts w:cstheme="minorHAnsi"/>
              </w:rPr>
              <w:t>Assist the project development team in identifying and developing partnerships with gender equality/women’s governmental institutions, local women’s NGOs/CSOs and relevant national stakeholders.</w:t>
            </w:r>
          </w:p>
          <w:p w:rsidR="004B5D7D" w:rsidRPr="004B5D7D" w:rsidRDefault="004B5D7D" w:rsidP="004B5D7D">
            <w:pPr>
              <w:pStyle w:val="ListParagraph"/>
              <w:numPr>
                <w:ilvl w:val="0"/>
                <w:numId w:val="26"/>
              </w:numPr>
              <w:jc w:val="both"/>
              <w:rPr>
                <w:rFonts w:eastAsia="Times New Roman" w:cstheme="minorHAnsi"/>
              </w:rPr>
            </w:pPr>
            <w:r w:rsidRPr="004B5D7D">
              <w:rPr>
                <w:rFonts w:cstheme="minorHAnsi"/>
                <w:color w:val="000000"/>
              </w:rPr>
              <w:t>As requested by the project development team, assist with capacity building and other aspects of project preparation to ensure gender considerations are mainstreamed into the project document.</w:t>
            </w:r>
            <w:r w:rsidRPr="004B5D7D">
              <w:rPr>
                <w:rFonts w:cstheme="minorHAnsi"/>
                <w:color w:val="000000"/>
              </w:rPr>
              <w:br/>
            </w:r>
          </w:p>
          <w:p w:rsidR="004B5D7D" w:rsidRPr="004B5D7D" w:rsidRDefault="004B5D7D" w:rsidP="004B5D7D">
            <w:pPr>
              <w:jc w:val="both"/>
              <w:rPr>
                <w:rFonts w:cstheme="minorHAnsi"/>
                <w:b/>
              </w:rPr>
            </w:pPr>
            <w:r w:rsidRPr="004B5D7D">
              <w:rPr>
                <w:rFonts w:cstheme="minorHAnsi"/>
                <w:b/>
              </w:rPr>
              <w:t xml:space="preserve">Final Outputs: </w:t>
            </w:r>
          </w:p>
          <w:p w:rsidR="004B5D7D" w:rsidRPr="004B5D7D" w:rsidRDefault="004B5D7D" w:rsidP="004B5D7D">
            <w:pPr>
              <w:pStyle w:val="ListParagraph"/>
              <w:numPr>
                <w:ilvl w:val="0"/>
                <w:numId w:val="25"/>
              </w:numPr>
              <w:spacing w:after="160" w:line="259" w:lineRule="auto"/>
              <w:jc w:val="both"/>
              <w:rPr>
                <w:rFonts w:cstheme="minorHAnsi"/>
                <w:b/>
                <w:bCs/>
                <w:lang w:val="en-GB"/>
              </w:rPr>
            </w:pPr>
            <w:r w:rsidRPr="004B5D7D">
              <w:rPr>
                <w:rFonts w:cstheme="minorHAnsi"/>
              </w:rPr>
              <w:t xml:space="preserve">A gender analysis to </w:t>
            </w:r>
            <w:r w:rsidRPr="004B5D7D">
              <w:rPr>
                <w:rFonts w:eastAsia="Times New Roman" w:cstheme="minorHAnsi"/>
              </w:rPr>
              <w:t>explain how the project will contribute to gender equality and women’s empowerment and identify entry points for mainstreaming gender considerations in project components will be produced.</w:t>
            </w:r>
          </w:p>
          <w:p w:rsidR="004B5D7D" w:rsidRPr="004B5D7D" w:rsidRDefault="004B5D7D" w:rsidP="004B5D7D">
            <w:pPr>
              <w:pStyle w:val="Heading5"/>
              <w:jc w:val="both"/>
              <w:outlineLvl w:val="4"/>
              <w:rPr>
                <w:rFonts w:asciiTheme="minorHAnsi" w:hAnsiTheme="minorHAnsi" w:cstheme="minorHAnsi"/>
                <w:b/>
                <w:color w:val="auto"/>
                <w:sz w:val="22"/>
                <w:szCs w:val="22"/>
              </w:rPr>
            </w:pPr>
            <w:r w:rsidRPr="004B5D7D">
              <w:rPr>
                <w:rFonts w:asciiTheme="minorHAnsi" w:hAnsiTheme="minorHAnsi" w:cstheme="minorHAnsi"/>
                <w:b/>
                <w:color w:val="auto"/>
                <w:sz w:val="22"/>
                <w:szCs w:val="22"/>
              </w:rPr>
              <w:t>Deliverables/Timeline</w:t>
            </w:r>
          </w:p>
          <w:p w:rsidR="004B5D7D" w:rsidRPr="004B5D7D" w:rsidRDefault="004B5D7D" w:rsidP="004B5D7D">
            <w:pPr>
              <w:jc w:val="both"/>
              <w:rPr>
                <w:rFonts w:cstheme="minorHAnsi"/>
                <w:lang w:val="en-GB"/>
              </w:rPr>
            </w:pPr>
          </w:p>
          <w:p w:rsidR="004B5D7D" w:rsidRPr="004B5D7D" w:rsidRDefault="004B5D7D" w:rsidP="004B5D7D">
            <w:pPr>
              <w:pStyle w:val="ListParagraph"/>
              <w:ind w:left="0"/>
              <w:jc w:val="both"/>
              <w:rPr>
                <w:rFonts w:cstheme="minorHAnsi"/>
              </w:rPr>
            </w:pPr>
            <w:r w:rsidRPr="004B5D7D">
              <w:rPr>
                <w:rFonts w:cstheme="minorHAnsi"/>
              </w:rPr>
              <w:t>The following is a list of key deliverables, timelines and corresponding payments</w:t>
            </w:r>
          </w:p>
          <w:p w:rsidR="004B5D7D" w:rsidRPr="004B5D7D" w:rsidRDefault="004B5D7D" w:rsidP="004B5D7D">
            <w:pPr>
              <w:pStyle w:val="ListParagraph"/>
              <w:ind w:left="0"/>
              <w:jc w:val="both"/>
              <w:rPr>
                <w:rFonts w:cstheme="minorHAnsi"/>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5206"/>
              <w:gridCol w:w="1869"/>
              <w:gridCol w:w="1551"/>
            </w:tblGrid>
            <w:tr w:rsidR="004B5D7D" w:rsidRPr="004B5D7D" w:rsidTr="00E23A27">
              <w:tc>
                <w:tcPr>
                  <w:tcW w:w="1179" w:type="dxa"/>
                  <w:shd w:val="clear" w:color="auto" w:fill="auto"/>
                </w:tcPr>
                <w:p w:rsidR="004B5D7D" w:rsidRPr="004B5D7D" w:rsidRDefault="004B5D7D" w:rsidP="004B5D7D">
                  <w:pPr>
                    <w:pStyle w:val="ListParagraph"/>
                    <w:ind w:left="0"/>
                    <w:jc w:val="both"/>
                    <w:rPr>
                      <w:rFonts w:cstheme="minorHAnsi"/>
                    </w:rPr>
                  </w:pPr>
                  <w:r w:rsidRPr="004B5D7D">
                    <w:rPr>
                      <w:rFonts w:cstheme="minorHAnsi"/>
                    </w:rPr>
                    <w:t>Activity</w:t>
                  </w:r>
                </w:p>
              </w:tc>
              <w:tc>
                <w:tcPr>
                  <w:tcW w:w="5206" w:type="dxa"/>
                  <w:shd w:val="clear" w:color="auto" w:fill="auto"/>
                </w:tcPr>
                <w:p w:rsidR="004B5D7D" w:rsidRPr="004B5D7D" w:rsidRDefault="004B5D7D" w:rsidP="004B5D7D">
                  <w:pPr>
                    <w:pStyle w:val="ListParagraph"/>
                    <w:ind w:left="0"/>
                    <w:jc w:val="both"/>
                    <w:rPr>
                      <w:rFonts w:cstheme="minorHAnsi"/>
                    </w:rPr>
                  </w:pPr>
                  <w:r w:rsidRPr="004B5D7D">
                    <w:rPr>
                      <w:rFonts w:cstheme="minorHAnsi"/>
                    </w:rPr>
                    <w:t>Deliverables</w:t>
                  </w:r>
                </w:p>
              </w:tc>
              <w:tc>
                <w:tcPr>
                  <w:tcW w:w="1869" w:type="dxa"/>
                  <w:shd w:val="clear" w:color="auto" w:fill="auto"/>
                </w:tcPr>
                <w:p w:rsidR="004B5D7D" w:rsidRPr="004B5D7D" w:rsidRDefault="004B5D7D" w:rsidP="004B5D7D">
                  <w:pPr>
                    <w:pStyle w:val="ListParagraph"/>
                    <w:ind w:left="0"/>
                    <w:jc w:val="both"/>
                    <w:rPr>
                      <w:rFonts w:cstheme="minorHAnsi"/>
                    </w:rPr>
                  </w:pPr>
                  <w:r w:rsidRPr="004B5D7D">
                    <w:rPr>
                      <w:rFonts w:cstheme="minorHAnsi"/>
                    </w:rPr>
                    <w:t>Timeline</w:t>
                  </w:r>
                </w:p>
              </w:tc>
              <w:tc>
                <w:tcPr>
                  <w:tcW w:w="1551" w:type="dxa"/>
                  <w:shd w:val="clear" w:color="auto" w:fill="auto"/>
                </w:tcPr>
                <w:p w:rsidR="004B5D7D" w:rsidRPr="004B5D7D" w:rsidRDefault="004B5D7D" w:rsidP="004B5D7D">
                  <w:pPr>
                    <w:pStyle w:val="ListParagraph"/>
                    <w:ind w:left="0"/>
                    <w:jc w:val="both"/>
                    <w:rPr>
                      <w:rFonts w:cstheme="minorHAnsi"/>
                    </w:rPr>
                  </w:pPr>
                  <w:r w:rsidRPr="004B5D7D">
                    <w:rPr>
                      <w:rFonts w:cstheme="minorHAnsi"/>
                    </w:rPr>
                    <w:t>Payment</w:t>
                  </w:r>
                </w:p>
              </w:tc>
            </w:tr>
            <w:tr w:rsidR="004B5D7D" w:rsidRPr="004B5D7D" w:rsidTr="00E23A27">
              <w:tc>
                <w:tcPr>
                  <w:tcW w:w="1179" w:type="dxa"/>
                  <w:shd w:val="clear" w:color="auto" w:fill="auto"/>
                </w:tcPr>
                <w:p w:rsidR="004B5D7D" w:rsidRPr="004B5D7D" w:rsidRDefault="004B5D7D" w:rsidP="004B5D7D">
                  <w:pPr>
                    <w:pStyle w:val="ListParagraph"/>
                    <w:ind w:left="0"/>
                    <w:jc w:val="both"/>
                    <w:rPr>
                      <w:rFonts w:cstheme="minorHAnsi"/>
                    </w:rPr>
                  </w:pPr>
                  <w:r w:rsidRPr="004B5D7D">
                    <w:rPr>
                      <w:rFonts w:cstheme="minorHAnsi"/>
                    </w:rPr>
                    <w:t>Activity 1</w:t>
                  </w:r>
                </w:p>
              </w:tc>
              <w:tc>
                <w:tcPr>
                  <w:tcW w:w="5206" w:type="dxa"/>
                  <w:shd w:val="clear" w:color="auto" w:fill="auto"/>
                </w:tcPr>
                <w:p w:rsidR="004B5D7D" w:rsidRPr="004B5D7D" w:rsidRDefault="004B5D7D" w:rsidP="004B5D7D">
                  <w:pPr>
                    <w:pStyle w:val="NoSpacing"/>
                    <w:rPr>
                      <w:rFonts w:asciiTheme="minorHAnsi" w:hAnsiTheme="minorHAnsi" w:cstheme="minorHAnsi"/>
                      <w:b/>
                    </w:rPr>
                  </w:pPr>
                  <w:r w:rsidRPr="004B5D7D">
                    <w:rPr>
                      <w:rFonts w:asciiTheme="minorHAnsi" w:hAnsiTheme="minorHAnsi" w:cstheme="minorHAnsi"/>
                      <w:b/>
                    </w:rPr>
                    <w:t>Participatory Gender Analysis:</w:t>
                  </w:r>
                </w:p>
                <w:p w:rsidR="004B5D7D" w:rsidRPr="004B5D7D" w:rsidRDefault="004B5D7D" w:rsidP="004B5D7D">
                  <w:pPr>
                    <w:pStyle w:val="ListParagraph"/>
                    <w:numPr>
                      <w:ilvl w:val="0"/>
                      <w:numId w:val="27"/>
                    </w:numPr>
                    <w:shd w:val="clear" w:color="auto" w:fill="FFFFFF"/>
                    <w:spacing w:after="0" w:line="240" w:lineRule="auto"/>
                    <w:jc w:val="both"/>
                    <w:rPr>
                      <w:rFonts w:cstheme="minorHAnsi"/>
                    </w:rPr>
                  </w:pPr>
                  <w:r w:rsidRPr="004B5D7D">
                    <w:rPr>
                      <w:rFonts w:cstheme="minorHAnsi"/>
                      <w:lang w:eastAsia="es-ES"/>
                    </w:rPr>
                    <w:t>Analysis using the guiding questions in the gender analysis template (Annex 2) to understand the national and local context, and understand issues around gendered division of labour and time use, access and control, power and decision making, and knowledge and capacities.  A review of national gender statistics, time-use surveys, national action plans, and qualitative data generated through policy and academic research and participation assessments should be used to inform the analysis</w:t>
                  </w:r>
                  <w:r w:rsidRPr="004B5D7D">
                    <w:rPr>
                      <w:rFonts w:cstheme="minorHAnsi"/>
                    </w:rPr>
                    <w:t>;</w:t>
                  </w:r>
                </w:p>
                <w:p w:rsidR="004B5D7D" w:rsidRPr="004B5D7D" w:rsidRDefault="004B5D7D" w:rsidP="004B5D7D">
                  <w:pPr>
                    <w:pStyle w:val="ListParagraph"/>
                    <w:numPr>
                      <w:ilvl w:val="0"/>
                      <w:numId w:val="27"/>
                    </w:numPr>
                    <w:shd w:val="clear" w:color="auto" w:fill="FFFFFF"/>
                    <w:spacing w:after="0" w:line="240" w:lineRule="auto"/>
                    <w:jc w:val="both"/>
                    <w:rPr>
                      <w:rFonts w:cstheme="minorHAnsi"/>
                    </w:rPr>
                  </w:pPr>
                  <w:r w:rsidRPr="004B5D7D">
                    <w:rPr>
                      <w:rFonts w:cstheme="minorHAnsi"/>
                    </w:rPr>
                    <w:lastRenderedPageBreak/>
                    <w:t>Stakeholder consultation analysis, interviews and relevant information;</w:t>
                  </w:r>
                </w:p>
                <w:p w:rsidR="004B5D7D" w:rsidRPr="004B5D7D" w:rsidRDefault="004B5D7D" w:rsidP="004B5D7D">
                  <w:pPr>
                    <w:pStyle w:val="ListParagraph"/>
                    <w:numPr>
                      <w:ilvl w:val="0"/>
                      <w:numId w:val="27"/>
                    </w:numPr>
                    <w:shd w:val="clear" w:color="auto" w:fill="FFFFFF"/>
                    <w:spacing w:after="0" w:line="240" w:lineRule="auto"/>
                    <w:jc w:val="both"/>
                    <w:rPr>
                      <w:rFonts w:cstheme="minorHAnsi"/>
                    </w:rPr>
                  </w:pPr>
                  <w:r w:rsidRPr="004B5D7D">
                    <w:rPr>
                      <w:rFonts w:cstheme="minorHAnsi"/>
                    </w:rPr>
                    <w:t>A baseline survey on women’s      participation in project activities/ meetings; women’s livelihood and economic activities; women’s: women and men’s participation in decision making processes; men and women as project beneficiaries</w:t>
                  </w:r>
                </w:p>
                <w:p w:rsidR="004B5D7D" w:rsidRPr="004B5D7D" w:rsidRDefault="004B5D7D" w:rsidP="004B5D7D">
                  <w:pPr>
                    <w:pStyle w:val="NoSpacing"/>
                    <w:rPr>
                      <w:rFonts w:asciiTheme="minorHAnsi" w:hAnsiTheme="minorHAnsi" w:cstheme="minorHAnsi"/>
                    </w:rPr>
                  </w:pPr>
                </w:p>
              </w:tc>
              <w:tc>
                <w:tcPr>
                  <w:tcW w:w="1869" w:type="dxa"/>
                  <w:shd w:val="clear" w:color="auto" w:fill="auto"/>
                </w:tcPr>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rPr>
                  </w:pPr>
                  <w:r w:rsidRPr="004B5D7D">
                    <w:rPr>
                      <w:rFonts w:cstheme="minorHAnsi"/>
                      <w:i/>
                    </w:rPr>
                    <w:t>[End of Month 1]</w:t>
                  </w:r>
                </w:p>
              </w:tc>
              <w:tc>
                <w:tcPr>
                  <w:tcW w:w="1551" w:type="dxa"/>
                  <w:shd w:val="clear" w:color="auto" w:fill="auto"/>
                </w:tcPr>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r w:rsidRPr="004B5D7D">
                    <w:rPr>
                      <w:rFonts w:cstheme="minorHAnsi"/>
                    </w:rPr>
                    <w:t>30%</w:t>
                  </w:r>
                </w:p>
              </w:tc>
            </w:tr>
            <w:tr w:rsidR="004B5D7D" w:rsidRPr="004B5D7D" w:rsidTr="00E23A27">
              <w:tc>
                <w:tcPr>
                  <w:tcW w:w="1179" w:type="dxa"/>
                  <w:shd w:val="clear" w:color="auto" w:fill="auto"/>
                </w:tcPr>
                <w:p w:rsidR="004B5D7D" w:rsidRPr="004B5D7D" w:rsidRDefault="004B5D7D" w:rsidP="004B5D7D">
                  <w:pPr>
                    <w:pStyle w:val="ListParagraph"/>
                    <w:ind w:left="0"/>
                    <w:jc w:val="both"/>
                    <w:rPr>
                      <w:rFonts w:cstheme="minorHAnsi"/>
                    </w:rPr>
                  </w:pPr>
                  <w:r w:rsidRPr="004B5D7D">
                    <w:rPr>
                      <w:rFonts w:cstheme="minorHAnsi"/>
                    </w:rPr>
                    <w:lastRenderedPageBreak/>
                    <w:t>Activity 2</w:t>
                  </w:r>
                </w:p>
              </w:tc>
              <w:tc>
                <w:tcPr>
                  <w:tcW w:w="5206" w:type="dxa"/>
                  <w:shd w:val="clear" w:color="auto" w:fill="auto"/>
                </w:tcPr>
                <w:p w:rsidR="004B5D7D" w:rsidRPr="004B5D7D" w:rsidRDefault="004B5D7D" w:rsidP="004B5D7D">
                  <w:pPr>
                    <w:pStyle w:val="ListParagraph"/>
                    <w:ind w:left="0"/>
                    <w:jc w:val="both"/>
                    <w:rPr>
                      <w:rFonts w:cstheme="minorHAnsi"/>
                    </w:rPr>
                  </w:pPr>
                  <w:r w:rsidRPr="004B5D7D">
                    <w:rPr>
                      <w:rFonts w:cstheme="minorHAnsi"/>
                      <w:b/>
                      <w:u w:val="single"/>
                    </w:rPr>
                    <w:t>Gender considerations fully mainstreamed into project document, including</w:t>
                  </w:r>
                  <w:r w:rsidRPr="004B5D7D">
                    <w:rPr>
                      <w:rFonts w:cstheme="minorHAnsi"/>
                    </w:rPr>
                    <w:t>:</w:t>
                  </w: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numPr>
                      <w:ilvl w:val="0"/>
                      <w:numId w:val="28"/>
                    </w:numPr>
                    <w:shd w:val="clear" w:color="auto" w:fill="FFFFFF"/>
                    <w:spacing w:after="0" w:line="240" w:lineRule="auto"/>
                    <w:jc w:val="both"/>
                    <w:rPr>
                      <w:rFonts w:cstheme="minorHAnsi"/>
                    </w:rPr>
                  </w:pPr>
                  <w:r w:rsidRPr="004B5D7D">
                    <w:rPr>
                      <w:rFonts w:cstheme="minorHAnsi"/>
                    </w:rPr>
                    <w:t>Working with the project development team using the findings from the gender analysis, develop the project’s results framework ensuring that gender-responsive outcomes, baselines, targets, and indicators are included;</w:t>
                  </w:r>
                  <w:r w:rsidRPr="004B5D7D">
                    <w:rPr>
                      <w:rFonts w:eastAsia="Times New Roman" w:cstheme="minorHAnsi"/>
                    </w:rPr>
                    <w:t xml:space="preserve"> ensure that all applicable indicators are disaggregated by sex and other relevant, intersecting forms of identity.</w:t>
                  </w:r>
                </w:p>
                <w:p w:rsidR="004B5D7D" w:rsidRPr="004B5D7D" w:rsidRDefault="004B5D7D" w:rsidP="004B5D7D">
                  <w:pPr>
                    <w:pStyle w:val="ListParagraph"/>
                    <w:numPr>
                      <w:ilvl w:val="0"/>
                      <w:numId w:val="28"/>
                    </w:numPr>
                    <w:shd w:val="clear" w:color="auto" w:fill="FFFFFF"/>
                    <w:spacing w:after="0" w:line="240" w:lineRule="auto"/>
                    <w:jc w:val="both"/>
                    <w:rPr>
                      <w:rFonts w:cstheme="minorHAnsi"/>
                      <w:i/>
                      <w:color w:val="FF0000"/>
                    </w:rPr>
                  </w:pPr>
                  <w:r w:rsidRPr="004B5D7D">
                    <w:rPr>
                      <w:rFonts w:cstheme="minorHAnsi"/>
                    </w:rPr>
                    <w:t>Working with the project development team using the findings from the gender analysis, develop a gender-responsive theory of change;</w:t>
                  </w:r>
                  <w:r w:rsidRPr="004B5D7D">
                    <w:rPr>
                      <w:rFonts w:eastAsia="Times New Roman" w:cstheme="minorHAnsi"/>
                    </w:rPr>
                    <w:t xml:space="preserve"> ensure gender considerations are integrated into the project’s theory of change, including discussion of impact, assumptions, evidence and risks.</w:t>
                  </w:r>
                </w:p>
              </w:tc>
              <w:tc>
                <w:tcPr>
                  <w:tcW w:w="1869" w:type="dxa"/>
                  <w:vMerge w:val="restart"/>
                  <w:shd w:val="clear" w:color="auto" w:fill="auto"/>
                </w:tcPr>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rPr>
                  </w:pPr>
                  <w:r w:rsidRPr="004B5D7D">
                    <w:rPr>
                      <w:rFonts w:cstheme="minorHAnsi"/>
                      <w:i/>
                    </w:rPr>
                    <w:t>[End of Month 3]</w:t>
                  </w:r>
                </w:p>
              </w:tc>
              <w:tc>
                <w:tcPr>
                  <w:tcW w:w="1551" w:type="dxa"/>
                  <w:vMerge w:val="restart"/>
                  <w:shd w:val="clear" w:color="auto" w:fill="auto"/>
                </w:tcPr>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r w:rsidRPr="004B5D7D">
                    <w:rPr>
                      <w:rFonts w:cstheme="minorHAnsi"/>
                    </w:rPr>
                    <w:t>30%</w:t>
                  </w:r>
                </w:p>
              </w:tc>
            </w:tr>
            <w:tr w:rsidR="004B5D7D" w:rsidRPr="004B5D7D" w:rsidTr="00E23A27">
              <w:tc>
                <w:tcPr>
                  <w:tcW w:w="1179" w:type="dxa"/>
                  <w:shd w:val="clear" w:color="auto" w:fill="auto"/>
                </w:tcPr>
                <w:p w:rsidR="004B5D7D" w:rsidRPr="004B5D7D" w:rsidRDefault="004B5D7D" w:rsidP="004B5D7D">
                  <w:pPr>
                    <w:pStyle w:val="ListParagraph"/>
                    <w:ind w:left="0"/>
                    <w:jc w:val="both"/>
                    <w:rPr>
                      <w:rFonts w:cstheme="minorHAnsi"/>
                    </w:rPr>
                  </w:pPr>
                  <w:r w:rsidRPr="004B5D7D">
                    <w:rPr>
                      <w:rFonts w:cstheme="minorHAnsi"/>
                    </w:rPr>
                    <w:t>Activity 3</w:t>
                  </w:r>
                </w:p>
              </w:tc>
              <w:tc>
                <w:tcPr>
                  <w:tcW w:w="5206" w:type="dxa"/>
                  <w:shd w:val="clear" w:color="auto" w:fill="auto"/>
                </w:tcPr>
                <w:p w:rsidR="004B5D7D" w:rsidRPr="004B5D7D" w:rsidRDefault="004B5D7D" w:rsidP="004B5D7D">
                  <w:pPr>
                    <w:pStyle w:val="ListParagraph"/>
                    <w:numPr>
                      <w:ilvl w:val="0"/>
                      <w:numId w:val="24"/>
                    </w:numPr>
                    <w:spacing w:after="160" w:line="259" w:lineRule="auto"/>
                    <w:jc w:val="both"/>
                    <w:rPr>
                      <w:rFonts w:cstheme="minorHAnsi"/>
                      <w:b/>
                      <w:lang w:val="en-GB"/>
                    </w:rPr>
                  </w:pPr>
                  <w:r w:rsidRPr="004B5D7D">
                    <w:rPr>
                      <w:rFonts w:cstheme="minorHAnsi"/>
                      <w:b/>
                      <w:u w:val="single"/>
                    </w:rPr>
                    <w:t>Gender Action Plan</w:t>
                  </w:r>
                  <w:r w:rsidRPr="004B5D7D">
                    <w:rPr>
                      <w:rFonts w:cstheme="minorHAnsi"/>
                      <w:b/>
                    </w:rPr>
                    <w:t>:</w:t>
                  </w:r>
                  <w:r w:rsidRPr="004B5D7D">
                    <w:rPr>
                      <w:rFonts w:cstheme="minorHAnsi"/>
                    </w:rPr>
                    <w:t xml:space="preserve"> A G</w:t>
                  </w:r>
                  <w:r w:rsidRPr="004B5D7D">
                    <w:rPr>
                      <w:rFonts w:cstheme="minorHAnsi"/>
                      <w:color w:val="000000"/>
                    </w:rPr>
                    <w:t xml:space="preserve">ender Action Plan for the project with concrete outputs to </w:t>
                  </w:r>
                  <w:r w:rsidRPr="004B5D7D">
                    <w:rPr>
                      <w:rFonts w:eastAsia="Times New Roman" w:cstheme="minorHAnsi"/>
                    </w:rPr>
                    <w:t xml:space="preserve">facilitate implementation of </w:t>
                  </w:r>
                  <w:r w:rsidRPr="004B5D7D">
                    <w:rPr>
                      <w:rFonts w:cstheme="minorHAnsi"/>
                    </w:rPr>
                    <w:t>activities that promote gender equality and women’s empowerment</w:t>
                  </w:r>
                  <w:r w:rsidRPr="004B5D7D">
                    <w:rPr>
                      <w:rFonts w:eastAsia="Times New Roman" w:cstheme="minorHAnsi"/>
                    </w:rPr>
                    <w:t>.</w:t>
                  </w:r>
                </w:p>
              </w:tc>
              <w:tc>
                <w:tcPr>
                  <w:tcW w:w="1869" w:type="dxa"/>
                  <w:vMerge/>
                  <w:shd w:val="clear" w:color="auto" w:fill="auto"/>
                </w:tcPr>
                <w:p w:rsidR="004B5D7D" w:rsidRPr="004B5D7D" w:rsidRDefault="004B5D7D" w:rsidP="004B5D7D">
                  <w:pPr>
                    <w:pStyle w:val="ListParagraph"/>
                    <w:ind w:left="0"/>
                    <w:jc w:val="both"/>
                    <w:rPr>
                      <w:rFonts w:cstheme="minorHAnsi"/>
                    </w:rPr>
                  </w:pPr>
                </w:p>
              </w:tc>
              <w:tc>
                <w:tcPr>
                  <w:tcW w:w="1551" w:type="dxa"/>
                  <w:vMerge/>
                  <w:shd w:val="clear" w:color="auto" w:fill="auto"/>
                </w:tcPr>
                <w:p w:rsidR="004B5D7D" w:rsidRPr="004B5D7D" w:rsidRDefault="004B5D7D" w:rsidP="004B5D7D">
                  <w:pPr>
                    <w:pStyle w:val="ListParagraph"/>
                    <w:ind w:left="0"/>
                    <w:jc w:val="both"/>
                    <w:rPr>
                      <w:rFonts w:cstheme="minorHAnsi"/>
                    </w:rPr>
                  </w:pPr>
                </w:p>
              </w:tc>
            </w:tr>
            <w:tr w:rsidR="004B5D7D" w:rsidRPr="004B5D7D" w:rsidTr="00E23A27">
              <w:tc>
                <w:tcPr>
                  <w:tcW w:w="1179" w:type="dxa"/>
                  <w:shd w:val="clear" w:color="auto" w:fill="auto"/>
                </w:tcPr>
                <w:p w:rsidR="004B5D7D" w:rsidRPr="004B5D7D" w:rsidRDefault="004B5D7D" w:rsidP="004B5D7D">
                  <w:pPr>
                    <w:pStyle w:val="ListParagraph"/>
                    <w:ind w:left="0"/>
                    <w:jc w:val="both"/>
                    <w:rPr>
                      <w:rFonts w:cstheme="minorHAnsi"/>
                    </w:rPr>
                  </w:pPr>
                  <w:r w:rsidRPr="004B5D7D">
                    <w:rPr>
                      <w:rFonts w:cstheme="minorHAnsi"/>
                    </w:rPr>
                    <w:t xml:space="preserve">Activity 4 </w:t>
                  </w: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r w:rsidRPr="004B5D7D">
                    <w:rPr>
                      <w:rFonts w:cstheme="minorHAnsi"/>
                    </w:rPr>
                    <w:t>Activity 5</w:t>
                  </w:r>
                </w:p>
              </w:tc>
              <w:tc>
                <w:tcPr>
                  <w:tcW w:w="5206" w:type="dxa"/>
                  <w:shd w:val="clear" w:color="auto" w:fill="auto"/>
                </w:tcPr>
                <w:p w:rsidR="004B5D7D" w:rsidRPr="004B5D7D" w:rsidRDefault="004B5D7D" w:rsidP="004B5D7D">
                  <w:pPr>
                    <w:pStyle w:val="NoSpacing"/>
                    <w:rPr>
                      <w:rFonts w:asciiTheme="minorHAnsi" w:hAnsiTheme="minorHAnsi" w:cstheme="minorHAnsi"/>
                      <w:b/>
                      <w:u w:val="single"/>
                    </w:rPr>
                  </w:pPr>
                  <w:r w:rsidRPr="004B5D7D">
                    <w:rPr>
                      <w:rFonts w:asciiTheme="minorHAnsi" w:hAnsiTheme="minorHAnsi" w:cstheme="minorHAnsi"/>
                      <w:b/>
                    </w:rPr>
                    <w:t>Note to file on process to mainstream gender considerations into the project document:</w:t>
                  </w:r>
                  <w:r w:rsidRPr="004B5D7D">
                    <w:rPr>
                      <w:rFonts w:asciiTheme="minorHAnsi" w:hAnsiTheme="minorHAnsi" w:cstheme="minorHAnsi"/>
                      <w:b/>
                      <w:u w:val="single"/>
                    </w:rPr>
                    <w:t xml:space="preserve"> </w:t>
                  </w:r>
                </w:p>
                <w:p w:rsidR="004B5D7D" w:rsidRPr="004B5D7D" w:rsidRDefault="004B5D7D" w:rsidP="004B5D7D">
                  <w:pPr>
                    <w:pStyle w:val="NoSpacing"/>
                    <w:rPr>
                      <w:rFonts w:asciiTheme="minorHAnsi" w:hAnsiTheme="minorHAnsi" w:cstheme="minorHAnsi"/>
                    </w:rPr>
                  </w:pPr>
                  <w:r w:rsidRPr="004B5D7D">
                    <w:rPr>
                      <w:rFonts w:asciiTheme="minorHAnsi" w:hAnsiTheme="minorHAnsi" w:cstheme="minorHAnsi"/>
                    </w:rPr>
                    <w:t>The note to file is an opportunity for the consultant to highlight any key lessons, issues, risks and recommendations (for example, notes for the mid-term review, recommendations to the Regional Technical Advisor or Project Manager) related to gender mainstreaming during any aspect of the project document development process and project implementation not covered elsewhere</w:t>
                  </w:r>
                </w:p>
                <w:p w:rsidR="004B5D7D" w:rsidRPr="004B5D7D" w:rsidRDefault="004B5D7D" w:rsidP="004B5D7D">
                  <w:pPr>
                    <w:pStyle w:val="NoSpacing"/>
                    <w:rPr>
                      <w:rFonts w:asciiTheme="minorHAnsi" w:hAnsiTheme="minorHAnsi" w:cstheme="minorHAnsi"/>
                      <w:b/>
                    </w:rPr>
                  </w:pPr>
                </w:p>
                <w:p w:rsidR="004B5D7D" w:rsidRPr="004B5D7D" w:rsidRDefault="004B5D7D" w:rsidP="004B5D7D">
                  <w:pPr>
                    <w:pStyle w:val="NoSpacing"/>
                    <w:rPr>
                      <w:rFonts w:asciiTheme="minorHAnsi" w:hAnsiTheme="minorHAnsi" w:cstheme="minorHAnsi"/>
                      <w:b/>
                    </w:rPr>
                  </w:pPr>
                </w:p>
                <w:p w:rsidR="004B5D7D" w:rsidRPr="004B5D7D" w:rsidRDefault="004B5D7D" w:rsidP="004B5D7D">
                  <w:pPr>
                    <w:pStyle w:val="NoSpacing"/>
                    <w:rPr>
                      <w:rFonts w:asciiTheme="minorHAnsi" w:hAnsiTheme="minorHAnsi" w:cstheme="minorHAnsi"/>
                    </w:rPr>
                  </w:pPr>
                  <w:r w:rsidRPr="004B5D7D">
                    <w:rPr>
                      <w:rFonts w:asciiTheme="minorHAnsi" w:hAnsiTheme="minorHAnsi" w:cstheme="minorHAnsi"/>
                    </w:rPr>
                    <w:t>Final, proof-read (word, [translation}, designer’s PDF) versions of Tap report</w:t>
                  </w:r>
                </w:p>
              </w:tc>
              <w:tc>
                <w:tcPr>
                  <w:tcW w:w="1869" w:type="dxa"/>
                  <w:shd w:val="clear" w:color="auto" w:fill="auto"/>
                </w:tcPr>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i/>
                    </w:rPr>
                  </w:pPr>
                </w:p>
                <w:p w:rsidR="004B5D7D" w:rsidRPr="004B5D7D" w:rsidRDefault="004B5D7D" w:rsidP="004B5D7D">
                  <w:pPr>
                    <w:pStyle w:val="ListParagraph"/>
                    <w:ind w:left="0"/>
                    <w:jc w:val="both"/>
                    <w:rPr>
                      <w:rFonts w:cstheme="minorHAnsi"/>
                    </w:rPr>
                  </w:pPr>
                  <w:r w:rsidRPr="004B5D7D">
                    <w:rPr>
                      <w:rFonts w:cstheme="minorHAnsi"/>
                      <w:i/>
                    </w:rPr>
                    <w:t>[End of Month 6]</w:t>
                  </w:r>
                </w:p>
              </w:tc>
              <w:tc>
                <w:tcPr>
                  <w:tcW w:w="1551" w:type="dxa"/>
                  <w:shd w:val="clear" w:color="auto" w:fill="auto"/>
                </w:tcPr>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p>
                <w:p w:rsidR="004B5D7D" w:rsidRPr="004B5D7D" w:rsidRDefault="004B5D7D" w:rsidP="004B5D7D">
                  <w:pPr>
                    <w:pStyle w:val="ListParagraph"/>
                    <w:ind w:left="0"/>
                    <w:jc w:val="both"/>
                    <w:rPr>
                      <w:rFonts w:cstheme="minorHAnsi"/>
                    </w:rPr>
                  </w:pPr>
                  <w:r w:rsidRPr="004B5D7D">
                    <w:rPr>
                      <w:rFonts w:cstheme="minorHAnsi"/>
                    </w:rPr>
                    <w:t>40%</w:t>
                  </w:r>
                </w:p>
              </w:tc>
            </w:tr>
          </w:tbl>
          <w:p w:rsidR="004B5D7D" w:rsidRPr="004B5D7D" w:rsidRDefault="004B5D7D" w:rsidP="004B5D7D">
            <w:pPr>
              <w:pStyle w:val="ListParagraph"/>
              <w:ind w:left="0"/>
              <w:jc w:val="both"/>
              <w:rPr>
                <w:rFonts w:cstheme="minorHAnsi"/>
              </w:rPr>
            </w:pPr>
          </w:p>
          <w:p w:rsidR="004B5D7D" w:rsidRPr="004B5D7D" w:rsidRDefault="004B5D7D" w:rsidP="004B5D7D">
            <w:pPr>
              <w:pStyle w:val="Heading5"/>
              <w:jc w:val="both"/>
              <w:outlineLvl w:val="4"/>
              <w:rPr>
                <w:rFonts w:asciiTheme="minorHAnsi" w:hAnsiTheme="minorHAnsi" w:cstheme="minorHAnsi"/>
                <w:b/>
                <w:color w:val="auto"/>
                <w:sz w:val="22"/>
                <w:szCs w:val="22"/>
              </w:rPr>
            </w:pPr>
            <w:r w:rsidRPr="004B5D7D">
              <w:rPr>
                <w:rFonts w:asciiTheme="minorHAnsi" w:hAnsiTheme="minorHAnsi" w:cstheme="minorHAnsi"/>
                <w:b/>
                <w:color w:val="auto"/>
                <w:sz w:val="22"/>
                <w:szCs w:val="22"/>
              </w:rPr>
              <w:t>******Travel (tbc)</w:t>
            </w:r>
          </w:p>
          <w:p w:rsidR="004B5D7D" w:rsidRPr="004B5D7D" w:rsidRDefault="004B5D7D" w:rsidP="004B5D7D">
            <w:pPr>
              <w:jc w:val="both"/>
              <w:rPr>
                <w:rFonts w:cstheme="minorHAnsi"/>
                <w:b/>
                <w:lang w:val="en-GB"/>
              </w:rPr>
            </w:pPr>
          </w:p>
          <w:p w:rsidR="004B5D7D" w:rsidRPr="004B5D7D" w:rsidRDefault="004B5D7D" w:rsidP="004B5D7D">
            <w:pPr>
              <w:pStyle w:val="ListParagraph"/>
              <w:ind w:left="0"/>
              <w:jc w:val="both"/>
              <w:rPr>
                <w:rFonts w:cstheme="minorHAnsi"/>
              </w:rPr>
            </w:pPr>
            <w:r w:rsidRPr="004B5D7D">
              <w:rPr>
                <w:rFonts w:cstheme="minorHAnsi"/>
              </w:rPr>
              <w:t>In the course of the assignment, the Service Provider will be expected to undertake two missions to Nigeria. The first mission is anticipated to last approximately [3] work days, the second mission [2] work days (excluding travel time). The dates for the missions will be agreed upon between the Service Provider and UNDP in Nigeria.</w:t>
            </w:r>
          </w:p>
          <w:p w:rsidR="004B5D7D" w:rsidRPr="004B5D7D" w:rsidRDefault="004B5D7D" w:rsidP="004B5D7D">
            <w:pPr>
              <w:autoSpaceDE w:val="0"/>
              <w:autoSpaceDN w:val="0"/>
              <w:adjustRightInd w:val="0"/>
              <w:jc w:val="both"/>
              <w:rPr>
                <w:rFonts w:cstheme="minorHAnsi"/>
              </w:rPr>
            </w:pPr>
          </w:p>
        </w:tc>
      </w:tr>
    </w:tbl>
    <w:p w:rsidR="00DA646F" w:rsidRPr="004B5D7D" w:rsidRDefault="00DA646F" w:rsidP="00A24134">
      <w:pPr>
        <w:rPr>
          <w:rFonts w:cstheme="minorHAnsi"/>
          <w:b/>
        </w:rPr>
      </w:pPr>
    </w:p>
    <w:p w:rsidR="002223E0" w:rsidRPr="004B5D7D" w:rsidRDefault="002223E0" w:rsidP="00A24134">
      <w:pPr>
        <w:rPr>
          <w:rFonts w:cstheme="minorHAnsi"/>
          <w:b/>
        </w:rPr>
      </w:pPr>
      <w:r w:rsidRPr="004B5D7D">
        <w:rPr>
          <w:rFonts w:cstheme="minorHAnsi"/>
          <w:b/>
        </w:rPr>
        <w:t xml:space="preserve">3. </w:t>
      </w:r>
      <w:r w:rsidR="00C22E07" w:rsidRPr="004B5D7D">
        <w:rPr>
          <w:rFonts w:cstheme="minorHAnsi"/>
          <w:b/>
        </w:rPr>
        <w:t xml:space="preserve">REQUIREMENTS FOR EXPERIENCE AND </w:t>
      </w:r>
      <w:r w:rsidRPr="004B5D7D">
        <w:rPr>
          <w:rFonts w:cstheme="minorHAnsi"/>
          <w:b/>
        </w:rPr>
        <w:t>QUALIFICATIONS</w:t>
      </w:r>
    </w:p>
    <w:tbl>
      <w:tblPr>
        <w:tblStyle w:val="TableGrid"/>
        <w:tblW w:w="10075" w:type="dxa"/>
        <w:tblLook w:val="04A0" w:firstRow="1" w:lastRow="0" w:firstColumn="1" w:lastColumn="0" w:noHBand="0" w:noVBand="1"/>
      </w:tblPr>
      <w:tblGrid>
        <w:gridCol w:w="10075"/>
      </w:tblGrid>
      <w:tr w:rsidR="00443E94" w:rsidRPr="004B5D7D" w:rsidTr="004B5D7D">
        <w:tc>
          <w:tcPr>
            <w:tcW w:w="10075" w:type="dxa"/>
          </w:tcPr>
          <w:p w:rsidR="0065710B" w:rsidRPr="004B5D7D" w:rsidRDefault="0065710B" w:rsidP="0065710B">
            <w:pPr>
              <w:spacing w:before="120" w:after="120" w:line="288" w:lineRule="auto"/>
              <w:jc w:val="both"/>
              <w:rPr>
                <w:rFonts w:cstheme="minorHAnsi"/>
                <w:u w:val="single"/>
              </w:rPr>
            </w:pPr>
            <w:r w:rsidRPr="004B5D7D">
              <w:rPr>
                <w:rFonts w:cstheme="minorHAnsi"/>
                <w:u w:val="single"/>
              </w:rPr>
              <w:t>I. Academic Qualifications:</w:t>
            </w:r>
          </w:p>
          <w:p w:rsidR="007E5D3F" w:rsidRPr="00F57898" w:rsidRDefault="00F57898" w:rsidP="00F57898">
            <w:pPr>
              <w:pStyle w:val="ListParagraph"/>
              <w:numPr>
                <w:ilvl w:val="0"/>
                <w:numId w:val="23"/>
              </w:numPr>
              <w:spacing w:before="120" w:after="120" w:line="288" w:lineRule="auto"/>
              <w:jc w:val="both"/>
              <w:rPr>
                <w:rFonts w:cstheme="minorHAnsi"/>
                <w:u w:val="single"/>
              </w:rPr>
            </w:pPr>
            <w:r w:rsidRPr="00F57898">
              <w:rPr>
                <w:rFonts w:cstheme="minorHAnsi"/>
              </w:rPr>
              <w:t xml:space="preserve">Master’s degree in gender studies, gender and development, environment, sustainable development or closely related area </w:t>
            </w:r>
          </w:p>
          <w:p w:rsidR="0065710B" w:rsidRPr="004B5D7D" w:rsidRDefault="0065710B" w:rsidP="00F75D47">
            <w:pPr>
              <w:spacing w:before="120" w:after="120" w:line="288" w:lineRule="auto"/>
              <w:jc w:val="both"/>
              <w:rPr>
                <w:rFonts w:cstheme="minorHAnsi"/>
                <w:u w:val="single"/>
              </w:rPr>
            </w:pPr>
            <w:r w:rsidRPr="004B5D7D">
              <w:rPr>
                <w:rFonts w:cstheme="minorHAnsi"/>
                <w:u w:val="single"/>
              </w:rPr>
              <w:t>II. Years of experience:</w:t>
            </w:r>
          </w:p>
          <w:p w:rsidR="00F57898" w:rsidRPr="00F57898" w:rsidRDefault="00F57898" w:rsidP="00F57898">
            <w:pPr>
              <w:pStyle w:val="ListParagraph"/>
              <w:numPr>
                <w:ilvl w:val="0"/>
                <w:numId w:val="23"/>
              </w:numPr>
              <w:spacing w:before="120" w:after="120" w:line="288" w:lineRule="auto"/>
              <w:jc w:val="both"/>
              <w:rPr>
                <w:rFonts w:cstheme="minorHAnsi"/>
              </w:rPr>
            </w:pPr>
            <w:r w:rsidRPr="00F57898">
              <w:rPr>
                <w:rFonts w:cstheme="minorHAnsi"/>
              </w:rPr>
              <w:t>at least 7 years of practical working experience in gender mainstreaming, women’s empowerment and sustainable development in gender analysis;</w:t>
            </w:r>
          </w:p>
          <w:p w:rsidR="00F57898" w:rsidRPr="00F57898" w:rsidRDefault="00F57898" w:rsidP="00F57898">
            <w:pPr>
              <w:pStyle w:val="ListParagraph"/>
              <w:numPr>
                <w:ilvl w:val="0"/>
                <w:numId w:val="23"/>
              </w:numPr>
              <w:spacing w:before="120" w:after="120" w:line="288" w:lineRule="auto"/>
              <w:jc w:val="both"/>
              <w:rPr>
                <w:rFonts w:cstheme="minorHAnsi"/>
              </w:rPr>
            </w:pPr>
            <w:r w:rsidRPr="00F57898">
              <w:rPr>
                <w:rFonts w:cstheme="minorHAnsi"/>
              </w:rPr>
              <w:t>Experience carrying out participatory gender analysis; experience collecting and formulating gender responsive indicators and sex-disaggregated data and preparing gender responsive project analysis; developing gender action plans.</w:t>
            </w:r>
          </w:p>
          <w:p w:rsidR="00F57898" w:rsidRPr="00F57898" w:rsidRDefault="00F57898" w:rsidP="00F57898">
            <w:pPr>
              <w:pStyle w:val="ListParagraph"/>
              <w:numPr>
                <w:ilvl w:val="0"/>
                <w:numId w:val="23"/>
              </w:numPr>
              <w:spacing w:before="120" w:after="120" w:line="288" w:lineRule="auto"/>
              <w:jc w:val="both"/>
              <w:rPr>
                <w:rFonts w:cstheme="minorHAnsi"/>
              </w:rPr>
            </w:pPr>
            <w:r w:rsidRPr="00F57898">
              <w:rPr>
                <w:rFonts w:cstheme="minorHAnsi"/>
              </w:rPr>
              <w:t>Proven experience in analysis of gender issues in Nigeria.</w:t>
            </w:r>
          </w:p>
          <w:p w:rsidR="00F57898" w:rsidRPr="00F57898" w:rsidRDefault="00F57898" w:rsidP="00F57898">
            <w:pPr>
              <w:pStyle w:val="ListParagraph"/>
              <w:numPr>
                <w:ilvl w:val="0"/>
                <w:numId w:val="23"/>
              </w:numPr>
              <w:spacing w:before="120" w:after="120" w:line="288" w:lineRule="auto"/>
              <w:jc w:val="both"/>
              <w:rPr>
                <w:rFonts w:cstheme="minorHAnsi"/>
              </w:rPr>
            </w:pPr>
            <w:r w:rsidRPr="00F57898">
              <w:rPr>
                <w:rFonts w:cstheme="minorHAnsi"/>
              </w:rPr>
              <w:t xml:space="preserve">Demonstrated experience working on policy and programmatic issues with national and local governments and civil society organizations including community organizations. </w:t>
            </w:r>
          </w:p>
          <w:p w:rsidR="00F57898" w:rsidRPr="00F57898" w:rsidRDefault="00F57898" w:rsidP="00F57898">
            <w:pPr>
              <w:pStyle w:val="ListParagraph"/>
              <w:numPr>
                <w:ilvl w:val="0"/>
                <w:numId w:val="23"/>
              </w:numPr>
              <w:spacing w:before="120" w:after="120" w:line="288" w:lineRule="auto"/>
              <w:jc w:val="both"/>
              <w:rPr>
                <w:rFonts w:cstheme="minorHAnsi"/>
              </w:rPr>
            </w:pPr>
            <w:r w:rsidRPr="00F57898">
              <w:rPr>
                <w:rFonts w:cstheme="minorHAnsi"/>
              </w:rPr>
              <w:t>Experience in facilitating gender responsive stakeholder meetings is highly desired;</w:t>
            </w:r>
          </w:p>
          <w:p w:rsidR="00F57898" w:rsidRPr="00F57898" w:rsidRDefault="00F57898" w:rsidP="00F57898">
            <w:pPr>
              <w:pStyle w:val="ListParagraph"/>
              <w:numPr>
                <w:ilvl w:val="0"/>
                <w:numId w:val="23"/>
              </w:numPr>
              <w:spacing w:before="120" w:after="120" w:line="288" w:lineRule="auto"/>
              <w:jc w:val="both"/>
              <w:rPr>
                <w:rFonts w:cstheme="minorHAnsi"/>
              </w:rPr>
            </w:pPr>
            <w:r w:rsidRPr="00F57898">
              <w:rPr>
                <w:rFonts w:cstheme="minorHAnsi"/>
              </w:rPr>
              <w:t>Experience with project development and results-based management methodologies is highly required;</w:t>
            </w:r>
          </w:p>
          <w:p w:rsidR="0065710B" w:rsidRPr="004B5D7D" w:rsidRDefault="0065710B" w:rsidP="007E5D3F">
            <w:pPr>
              <w:spacing w:before="120" w:after="120" w:line="288" w:lineRule="auto"/>
              <w:jc w:val="both"/>
              <w:rPr>
                <w:rFonts w:cstheme="minorHAnsi"/>
              </w:rPr>
            </w:pPr>
            <w:r w:rsidRPr="004B5D7D">
              <w:rPr>
                <w:rFonts w:cstheme="minorHAnsi"/>
                <w:u w:val="single"/>
              </w:rPr>
              <w:t>III. Competencies:</w:t>
            </w:r>
          </w:p>
          <w:p w:rsidR="000736BF" w:rsidRPr="004B5D7D" w:rsidRDefault="000736BF" w:rsidP="000736BF">
            <w:pPr>
              <w:spacing w:line="20" w:lineRule="atLeast"/>
              <w:jc w:val="both"/>
              <w:rPr>
                <w:rFonts w:cstheme="minorHAnsi"/>
              </w:rPr>
            </w:pPr>
            <w:r w:rsidRPr="004B5D7D">
              <w:rPr>
                <w:rFonts w:cstheme="minorHAnsi"/>
              </w:rPr>
              <w:t xml:space="preserve">The candidate must be sound in technical report writing skill and proven ability to engage with multiple stakeholders to achieve desired results.  </w:t>
            </w:r>
          </w:p>
          <w:p w:rsidR="00443E94" w:rsidRPr="004B5D7D" w:rsidRDefault="000736BF" w:rsidP="007E5D3F">
            <w:pPr>
              <w:spacing w:line="20" w:lineRule="atLeast"/>
              <w:jc w:val="both"/>
              <w:rPr>
                <w:rFonts w:cstheme="minorHAnsi"/>
              </w:rPr>
            </w:pPr>
            <w:r w:rsidRPr="004B5D7D">
              <w:rPr>
                <w:rFonts w:cstheme="minorHAnsi"/>
              </w:rPr>
              <w:t>He/she must be fluent in written and spoken English.  Previous working experience with UN agencies is an asset.</w:t>
            </w:r>
          </w:p>
        </w:tc>
      </w:tr>
    </w:tbl>
    <w:p w:rsidR="0065710B" w:rsidRPr="004B5D7D" w:rsidRDefault="0065710B" w:rsidP="00A24134">
      <w:pPr>
        <w:rPr>
          <w:rFonts w:cstheme="minorHAnsi"/>
          <w:b/>
        </w:rPr>
      </w:pPr>
    </w:p>
    <w:p w:rsidR="002223E0" w:rsidRPr="004B5D7D" w:rsidRDefault="006C491D" w:rsidP="00A24134">
      <w:pPr>
        <w:rPr>
          <w:rFonts w:cstheme="minorHAnsi"/>
          <w:b/>
        </w:rPr>
      </w:pPr>
      <w:r w:rsidRPr="004B5D7D">
        <w:rPr>
          <w:rFonts w:cstheme="minorHAnsi"/>
          <w:b/>
        </w:rPr>
        <w:t xml:space="preserve">4. DOCUMENTS TO BE </w:t>
      </w:r>
      <w:r w:rsidR="004D3F24" w:rsidRPr="004B5D7D">
        <w:rPr>
          <w:rFonts w:cstheme="minorHAnsi"/>
          <w:b/>
        </w:rPr>
        <w:t xml:space="preserve">INCLUDED </w:t>
      </w:r>
      <w:r w:rsidRPr="004B5D7D">
        <w:rPr>
          <w:rFonts w:cstheme="minorHAnsi"/>
          <w:b/>
        </w:rPr>
        <w:t>WHEN SUBMITTING THE PROPOSALS.</w:t>
      </w:r>
    </w:p>
    <w:tbl>
      <w:tblPr>
        <w:tblStyle w:val="TableGrid"/>
        <w:tblW w:w="10075" w:type="dxa"/>
        <w:tblLook w:val="04A0" w:firstRow="1" w:lastRow="0" w:firstColumn="1" w:lastColumn="0" w:noHBand="0" w:noVBand="1"/>
      </w:tblPr>
      <w:tblGrid>
        <w:gridCol w:w="10075"/>
      </w:tblGrid>
      <w:tr w:rsidR="00443E94" w:rsidRPr="004B5D7D" w:rsidTr="00F47BF7">
        <w:tc>
          <w:tcPr>
            <w:tcW w:w="10075" w:type="dxa"/>
          </w:tcPr>
          <w:p w:rsidR="0065710B" w:rsidRPr="004B5D7D" w:rsidRDefault="0065710B" w:rsidP="0065710B">
            <w:pPr>
              <w:rPr>
                <w:rFonts w:cstheme="minorHAnsi"/>
              </w:rPr>
            </w:pPr>
            <w:r w:rsidRPr="004B5D7D">
              <w:rPr>
                <w:rFonts w:cstheme="minorHAnsi"/>
              </w:rPr>
              <w:t>Interested individual consultants must submit the following documents/information to demonstrate their qualifications:</w:t>
            </w:r>
          </w:p>
          <w:p w:rsidR="0065710B" w:rsidRPr="004B5D7D" w:rsidRDefault="0065710B" w:rsidP="0065710B">
            <w:pPr>
              <w:rPr>
                <w:rFonts w:cstheme="minorHAnsi"/>
              </w:rPr>
            </w:pPr>
            <w:r w:rsidRPr="004B5D7D">
              <w:rPr>
                <w:rFonts w:cstheme="minorHAnsi"/>
              </w:rPr>
              <w:t>1. Proposal:</w:t>
            </w:r>
          </w:p>
          <w:p w:rsidR="0065710B" w:rsidRPr="004B5D7D" w:rsidRDefault="0065710B" w:rsidP="0065710B">
            <w:pPr>
              <w:rPr>
                <w:rFonts w:cstheme="minorHAnsi"/>
              </w:rPr>
            </w:pPr>
            <w:r w:rsidRPr="004B5D7D">
              <w:rPr>
                <w:rFonts w:cstheme="minorHAnsi"/>
              </w:rPr>
              <w:t>(i) Explaining why they are the most suitable for the work</w:t>
            </w:r>
          </w:p>
          <w:p w:rsidR="0065710B" w:rsidRPr="004B5D7D" w:rsidRDefault="0065710B" w:rsidP="0065710B">
            <w:pPr>
              <w:rPr>
                <w:rFonts w:cstheme="minorHAnsi"/>
              </w:rPr>
            </w:pPr>
            <w:r w:rsidRPr="004B5D7D">
              <w:rPr>
                <w:rFonts w:cstheme="minorHAnsi"/>
              </w:rPr>
              <w:t>(ii) Provide a brief methodology on how they will approach and conduct the work (if applicable)</w:t>
            </w:r>
          </w:p>
          <w:p w:rsidR="0065710B" w:rsidRPr="004B5D7D" w:rsidRDefault="0065710B" w:rsidP="0065710B">
            <w:pPr>
              <w:rPr>
                <w:rFonts w:cstheme="minorHAnsi"/>
              </w:rPr>
            </w:pPr>
          </w:p>
          <w:p w:rsidR="0065710B" w:rsidRPr="004B5D7D" w:rsidRDefault="0065710B" w:rsidP="0065710B">
            <w:pPr>
              <w:rPr>
                <w:rFonts w:cstheme="minorHAnsi"/>
              </w:rPr>
            </w:pPr>
            <w:r w:rsidRPr="004B5D7D">
              <w:rPr>
                <w:rFonts w:cstheme="minorHAnsi"/>
              </w:rPr>
              <w:t>2. Financial proposal</w:t>
            </w:r>
          </w:p>
          <w:p w:rsidR="0065710B" w:rsidRPr="004B5D7D" w:rsidRDefault="0065710B" w:rsidP="00A24134">
            <w:pPr>
              <w:rPr>
                <w:rFonts w:cstheme="minorHAnsi"/>
                <w:b/>
              </w:rPr>
            </w:pPr>
            <w:r w:rsidRPr="004B5D7D">
              <w:rPr>
                <w:rFonts w:cstheme="minorHAnsi"/>
              </w:rPr>
              <w:t>3. Personal CV including past experience in similar projects and at least 3 reference</w:t>
            </w:r>
            <w:r w:rsidRPr="004B5D7D">
              <w:rPr>
                <w:rFonts w:cstheme="minorHAnsi"/>
                <w:b/>
              </w:rPr>
              <w:t>s</w:t>
            </w:r>
          </w:p>
        </w:tc>
      </w:tr>
    </w:tbl>
    <w:p w:rsidR="003836C0" w:rsidRPr="004B5D7D" w:rsidRDefault="003836C0" w:rsidP="0033411B">
      <w:pPr>
        <w:autoSpaceDE w:val="0"/>
        <w:autoSpaceDN w:val="0"/>
        <w:adjustRightInd w:val="0"/>
        <w:spacing w:after="0" w:line="240" w:lineRule="auto"/>
        <w:rPr>
          <w:rFonts w:cstheme="minorHAnsi"/>
          <w:b/>
        </w:rPr>
      </w:pPr>
    </w:p>
    <w:p w:rsidR="0065710B" w:rsidRPr="004B5D7D" w:rsidRDefault="0065710B" w:rsidP="0033411B">
      <w:pPr>
        <w:autoSpaceDE w:val="0"/>
        <w:autoSpaceDN w:val="0"/>
        <w:adjustRightInd w:val="0"/>
        <w:spacing w:after="0" w:line="240" w:lineRule="auto"/>
        <w:rPr>
          <w:rFonts w:cstheme="minorHAnsi"/>
          <w:b/>
        </w:rPr>
      </w:pPr>
    </w:p>
    <w:p w:rsidR="0033411B" w:rsidRPr="004B5D7D" w:rsidRDefault="00FE7C9D" w:rsidP="00A6756E">
      <w:pPr>
        <w:autoSpaceDE w:val="0"/>
        <w:autoSpaceDN w:val="0"/>
        <w:adjustRightInd w:val="0"/>
        <w:spacing w:after="0" w:line="240" w:lineRule="auto"/>
        <w:rPr>
          <w:rFonts w:cstheme="minorHAnsi"/>
          <w:b/>
        </w:rPr>
      </w:pPr>
      <w:r w:rsidRPr="004B5D7D">
        <w:rPr>
          <w:rFonts w:cstheme="minorHAnsi"/>
          <w:b/>
        </w:rPr>
        <w:t xml:space="preserve">5. </w:t>
      </w:r>
      <w:r w:rsidR="0001012F" w:rsidRPr="004B5D7D">
        <w:rPr>
          <w:rFonts w:cstheme="minorHAnsi"/>
          <w:b/>
        </w:rPr>
        <w:t>FINANCIAL PROPOSAL</w:t>
      </w:r>
    </w:p>
    <w:tbl>
      <w:tblPr>
        <w:tblStyle w:val="TableGrid"/>
        <w:tblW w:w="0" w:type="auto"/>
        <w:tblLook w:val="04A0" w:firstRow="1" w:lastRow="0" w:firstColumn="1" w:lastColumn="0" w:noHBand="0" w:noVBand="1"/>
      </w:tblPr>
      <w:tblGrid>
        <w:gridCol w:w="9350"/>
      </w:tblGrid>
      <w:tr w:rsidR="00443E94" w:rsidRPr="004B5D7D" w:rsidTr="00443E94">
        <w:tc>
          <w:tcPr>
            <w:tcW w:w="9576" w:type="dxa"/>
          </w:tcPr>
          <w:p w:rsidR="00324B6D" w:rsidRPr="004B5D7D" w:rsidRDefault="00324B6D" w:rsidP="00324B6D">
            <w:pPr>
              <w:spacing w:line="20" w:lineRule="atLeast"/>
              <w:ind w:left="360"/>
              <w:jc w:val="both"/>
              <w:rPr>
                <w:rFonts w:cstheme="minorHAnsi"/>
              </w:rPr>
            </w:pPr>
            <w:r w:rsidRPr="004B5D7D">
              <w:rPr>
                <w:rFonts w:cstheme="minorHAnsi"/>
              </w:rPr>
              <w:t>The consul</w:t>
            </w:r>
            <w:r w:rsidR="00311E98" w:rsidRPr="004B5D7D">
              <w:rPr>
                <w:rFonts w:cstheme="minorHAnsi"/>
              </w:rPr>
              <w:t>tancy shall be for 40 days spread over a period of 4 months (February to May, 2019,</w:t>
            </w:r>
            <w:r w:rsidR="0045515F" w:rsidRPr="004B5D7D">
              <w:rPr>
                <w:rFonts w:cstheme="minorHAnsi"/>
              </w:rPr>
              <w:t xml:space="preserve"> and carries </w:t>
            </w:r>
            <w:r w:rsidRPr="004B5D7D">
              <w:rPr>
                <w:rFonts w:cstheme="minorHAnsi"/>
              </w:rPr>
              <w:t>no expectation of continuity.  The consultancy is deliverable based and the fees shall be paid in three installments and contingent on the deliverables specified against each installment. The milestones shall be paid upon satisfactory acceptance of the deliverable by UNDP.  Upon acceptance of the deliverables, UNDP shall issue a Certificate of Satisfactory Performance to the consultant which shall form the basis for the payment of the due milestone.</w:t>
            </w:r>
          </w:p>
          <w:p w:rsidR="00324B6D" w:rsidRPr="004B5D7D" w:rsidRDefault="00324B6D" w:rsidP="0045515F">
            <w:pPr>
              <w:spacing w:line="20" w:lineRule="atLeast"/>
              <w:jc w:val="both"/>
              <w:rPr>
                <w:rFonts w:cstheme="minorHAnsi"/>
              </w:rPr>
            </w:pPr>
          </w:p>
          <w:tbl>
            <w:tblPr>
              <w:tblStyle w:val="TableGrid"/>
              <w:tblW w:w="0" w:type="auto"/>
              <w:tblInd w:w="1555" w:type="dxa"/>
              <w:tblLook w:val="04A0" w:firstRow="1" w:lastRow="0" w:firstColumn="1" w:lastColumn="0" w:noHBand="0" w:noVBand="1"/>
            </w:tblPr>
            <w:tblGrid>
              <w:gridCol w:w="2126"/>
              <w:gridCol w:w="4111"/>
            </w:tblGrid>
            <w:tr w:rsidR="00324B6D" w:rsidRPr="004B5D7D" w:rsidTr="00EC5650">
              <w:tc>
                <w:tcPr>
                  <w:tcW w:w="2126" w:type="dxa"/>
                </w:tcPr>
                <w:p w:rsidR="00324B6D" w:rsidRPr="004B5D7D" w:rsidRDefault="00324B6D" w:rsidP="00324B6D">
                  <w:pPr>
                    <w:spacing w:line="20" w:lineRule="atLeast"/>
                    <w:jc w:val="both"/>
                    <w:rPr>
                      <w:rFonts w:cstheme="minorHAnsi"/>
                    </w:rPr>
                  </w:pPr>
                  <w:r w:rsidRPr="004B5D7D">
                    <w:rPr>
                      <w:rFonts w:cstheme="minorHAnsi"/>
                    </w:rPr>
                    <w:t>1</w:t>
                  </w:r>
                  <w:r w:rsidRPr="004B5D7D">
                    <w:rPr>
                      <w:rFonts w:cstheme="minorHAnsi"/>
                      <w:vertAlign w:val="superscript"/>
                    </w:rPr>
                    <w:t>st</w:t>
                  </w:r>
                  <w:r w:rsidRPr="004B5D7D">
                    <w:rPr>
                      <w:rFonts w:cstheme="minorHAnsi"/>
                    </w:rPr>
                    <w:t xml:space="preserve"> Installment (20%)</w:t>
                  </w:r>
                </w:p>
              </w:tc>
              <w:tc>
                <w:tcPr>
                  <w:tcW w:w="4111" w:type="dxa"/>
                </w:tcPr>
                <w:p w:rsidR="00324B6D" w:rsidRPr="004B5D7D" w:rsidRDefault="00324B6D" w:rsidP="00324B6D">
                  <w:pPr>
                    <w:spacing w:line="20" w:lineRule="atLeast"/>
                    <w:jc w:val="both"/>
                    <w:rPr>
                      <w:rFonts w:cstheme="minorHAnsi"/>
                    </w:rPr>
                  </w:pPr>
                  <w:r w:rsidRPr="004B5D7D">
                    <w:rPr>
                      <w:rFonts w:cstheme="minorHAnsi"/>
                    </w:rPr>
                    <w:t>Upon submission of Inception Report/Plan</w:t>
                  </w:r>
                </w:p>
              </w:tc>
            </w:tr>
            <w:tr w:rsidR="00324B6D" w:rsidRPr="004B5D7D" w:rsidTr="00EC5650">
              <w:tc>
                <w:tcPr>
                  <w:tcW w:w="2126" w:type="dxa"/>
                </w:tcPr>
                <w:p w:rsidR="00324B6D" w:rsidRPr="004B5D7D" w:rsidRDefault="00324B6D" w:rsidP="00324B6D">
                  <w:pPr>
                    <w:spacing w:line="20" w:lineRule="atLeast"/>
                    <w:jc w:val="both"/>
                    <w:rPr>
                      <w:rFonts w:cstheme="minorHAnsi"/>
                    </w:rPr>
                  </w:pPr>
                  <w:r w:rsidRPr="004B5D7D">
                    <w:rPr>
                      <w:rFonts w:cstheme="minorHAnsi"/>
                    </w:rPr>
                    <w:t>2</w:t>
                  </w:r>
                  <w:r w:rsidRPr="004B5D7D">
                    <w:rPr>
                      <w:rFonts w:cstheme="minorHAnsi"/>
                      <w:vertAlign w:val="superscript"/>
                    </w:rPr>
                    <w:t>nd</w:t>
                  </w:r>
                  <w:r w:rsidRPr="004B5D7D">
                    <w:rPr>
                      <w:rFonts w:cstheme="minorHAnsi"/>
                    </w:rPr>
                    <w:t xml:space="preserve"> Installment (50%)</w:t>
                  </w:r>
                </w:p>
              </w:tc>
              <w:tc>
                <w:tcPr>
                  <w:tcW w:w="4111" w:type="dxa"/>
                </w:tcPr>
                <w:p w:rsidR="00324B6D" w:rsidRPr="004B5D7D" w:rsidRDefault="00324B6D" w:rsidP="00324B6D">
                  <w:pPr>
                    <w:spacing w:line="20" w:lineRule="atLeast"/>
                    <w:jc w:val="both"/>
                    <w:rPr>
                      <w:rFonts w:cstheme="minorHAnsi"/>
                    </w:rPr>
                  </w:pPr>
                  <w:r w:rsidRPr="004B5D7D">
                    <w:rPr>
                      <w:rFonts w:cstheme="minorHAnsi"/>
                    </w:rPr>
                    <w:t>Upon submission of Mid-Term report</w:t>
                  </w:r>
                </w:p>
              </w:tc>
            </w:tr>
            <w:tr w:rsidR="00324B6D" w:rsidRPr="004B5D7D" w:rsidTr="00EC5650">
              <w:tc>
                <w:tcPr>
                  <w:tcW w:w="2126" w:type="dxa"/>
                </w:tcPr>
                <w:p w:rsidR="00324B6D" w:rsidRPr="004B5D7D" w:rsidRDefault="00324B6D" w:rsidP="00324B6D">
                  <w:pPr>
                    <w:spacing w:line="20" w:lineRule="atLeast"/>
                    <w:jc w:val="both"/>
                    <w:rPr>
                      <w:rFonts w:cstheme="minorHAnsi"/>
                    </w:rPr>
                  </w:pPr>
                  <w:r w:rsidRPr="004B5D7D">
                    <w:rPr>
                      <w:rFonts w:cstheme="minorHAnsi"/>
                    </w:rPr>
                    <w:t>3</w:t>
                  </w:r>
                  <w:r w:rsidRPr="004B5D7D">
                    <w:rPr>
                      <w:rFonts w:cstheme="minorHAnsi"/>
                      <w:vertAlign w:val="superscript"/>
                    </w:rPr>
                    <w:t>rd</w:t>
                  </w:r>
                  <w:r w:rsidRPr="004B5D7D">
                    <w:rPr>
                      <w:rFonts w:cstheme="minorHAnsi"/>
                    </w:rPr>
                    <w:t xml:space="preserve"> Installment (30%)</w:t>
                  </w:r>
                </w:p>
              </w:tc>
              <w:tc>
                <w:tcPr>
                  <w:tcW w:w="4111" w:type="dxa"/>
                </w:tcPr>
                <w:p w:rsidR="00324B6D" w:rsidRPr="004B5D7D" w:rsidRDefault="00324B6D" w:rsidP="00324B6D">
                  <w:pPr>
                    <w:spacing w:line="20" w:lineRule="atLeast"/>
                    <w:jc w:val="both"/>
                    <w:rPr>
                      <w:rFonts w:cstheme="minorHAnsi"/>
                    </w:rPr>
                  </w:pPr>
                  <w:r w:rsidRPr="004B5D7D">
                    <w:rPr>
                      <w:rFonts w:cstheme="minorHAnsi"/>
                    </w:rPr>
                    <w:t>Upon submission of Final Consultancy Report.</w:t>
                  </w:r>
                </w:p>
              </w:tc>
            </w:tr>
          </w:tbl>
          <w:p w:rsidR="00324B6D" w:rsidRPr="004B5D7D" w:rsidRDefault="00324B6D" w:rsidP="00324B6D">
            <w:pPr>
              <w:spacing w:line="20" w:lineRule="atLeast"/>
              <w:ind w:left="360"/>
              <w:jc w:val="both"/>
              <w:rPr>
                <w:rFonts w:cstheme="minorHAnsi"/>
              </w:rPr>
            </w:pPr>
          </w:p>
          <w:p w:rsidR="0065710B" w:rsidRPr="004B5D7D" w:rsidRDefault="00324B6D" w:rsidP="00311E98">
            <w:pPr>
              <w:spacing w:line="20" w:lineRule="atLeast"/>
              <w:ind w:left="360"/>
              <w:jc w:val="both"/>
              <w:rPr>
                <w:rFonts w:cstheme="minorHAnsi"/>
              </w:rPr>
            </w:pPr>
            <w:r w:rsidRPr="004B5D7D">
              <w:rPr>
                <w:rFonts w:cstheme="minorHAnsi"/>
              </w:rPr>
              <w:t>The consultant shall be entitled to payment of Daily Subsistence Allowance (DSA) and travel costs for any official travel approved by UNDP in line with its financial regulations and rules.</w:t>
            </w:r>
          </w:p>
        </w:tc>
      </w:tr>
    </w:tbl>
    <w:p w:rsidR="00443E94" w:rsidRPr="004B5D7D" w:rsidRDefault="00443E94" w:rsidP="00A24134">
      <w:pPr>
        <w:rPr>
          <w:rFonts w:cstheme="minorHAnsi"/>
          <w:b/>
        </w:rPr>
      </w:pPr>
    </w:p>
    <w:p w:rsidR="00E94857" w:rsidRPr="004B5D7D" w:rsidRDefault="00FE7C9D" w:rsidP="00A24134">
      <w:pPr>
        <w:rPr>
          <w:rFonts w:cstheme="minorHAnsi"/>
          <w:b/>
        </w:rPr>
      </w:pPr>
      <w:r w:rsidRPr="004B5D7D">
        <w:rPr>
          <w:rFonts w:cstheme="minorHAnsi"/>
          <w:b/>
        </w:rPr>
        <w:t>6</w:t>
      </w:r>
      <w:r w:rsidR="00E94857" w:rsidRPr="004B5D7D">
        <w:rPr>
          <w:rFonts w:cstheme="minorHAnsi"/>
          <w:b/>
        </w:rPr>
        <w:t>. EVALUATION</w:t>
      </w:r>
    </w:p>
    <w:tbl>
      <w:tblPr>
        <w:tblStyle w:val="TableGrid"/>
        <w:tblW w:w="0" w:type="auto"/>
        <w:tblLook w:val="04A0" w:firstRow="1" w:lastRow="0" w:firstColumn="1" w:lastColumn="0" w:noHBand="0" w:noVBand="1"/>
      </w:tblPr>
      <w:tblGrid>
        <w:gridCol w:w="9350"/>
      </w:tblGrid>
      <w:tr w:rsidR="00443E94" w:rsidRPr="004B5D7D" w:rsidTr="00443E94">
        <w:tc>
          <w:tcPr>
            <w:tcW w:w="9576" w:type="dxa"/>
          </w:tcPr>
          <w:p w:rsidR="0045515F" w:rsidRPr="004B5D7D" w:rsidRDefault="0045515F" w:rsidP="00324B6D">
            <w:pPr>
              <w:pStyle w:val="ListParagraph"/>
              <w:spacing w:line="20" w:lineRule="atLeast"/>
              <w:ind w:left="360"/>
              <w:jc w:val="both"/>
              <w:rPr>
                <w:rFonts w:cstheme="minorHAnsi"/>
              </w:rPr>
            </w:pPr>
          </w:p>
          <w:p w:rsidR="0045515F" w:rsidRPr="004B5D7D" w:rsidRDefault="0045515F" w:rsidP="0045515F">
            <w:pPr>
              <w:rPr>
                <w:rFonts w:cstheme="minorHAnsi"/>
              </w:rPr>
            </w:pPr>
            <w:r w:rsidRPr="004B5D7D">
              <w:rPr>
                <w:rFonts w:cstheme="minorHAnsi"/>
              </w:rPr>
              <w:t>Individual consultants will be evaluated based on the following methodologies:</w:t>
            </w:r>
            <w:r w:rsidRPr="004B5D7D">
              <w:rPr>
                <w:rFonts w:cstheme="minorHAnsi"/>
                <w:i/>
              </w:rPr>
              <w:t xml:space="preserve"> </w:t>
            </w:r>
          </w:p>
          <w:p w:rsidR="0045515F" w:rsidRPr="004B5D7D" w:rsidRDefault="0045515F" w:rsidP="0045515F">
            <w:pPr>
              <w:rPr>
                <w:rFonts w:cstheme="minorHAnsi"/>
                <w:i/>
              </w:rPr>
            </w:pPr>
          </w:p>
          <w:p w:rsidR="0045515F" w:rsidRPr="004B5D7D" w:rsidRDefault="0045515F" w:rsidP="0045515F">
            <w:pPr>
              <w:rPr>
                <w:rFonts w:cstheme="minorHAnsi"/>
                <w:i/>
                <w:u w:val="thick"/>
              </w:rPr>
            </w:pPr>
            <w:r w:rsidRPr="004B5D7D">
              <w:rPr>
                <w:rFonts w:cstheme="minorHAnsi"/>
                <w:i/>
                <w:u w:val="thick"/>
              </w:rPr>
              <w:t xml:space="preserve">Cumulative analysis </w:t>
            </w:r>
          </w:p>
          <w:p w:rsidR="0045515F" w:rsidRPr="004B5D7D" w:rsidRDefault="0045515F" w:rsidP="0045515F">
            <w:pPr>
              <w:rPr>
                <w:rFonts w:cstheme="minorHAnsi"/>
                <w:i/>
              </w:rPr>
            </w:pPr>
            <w:r w:rsidRPr="004B5D7D">
              <w:rPr>
                <w:rFonts w:cstheme="minorHAnsi"/>
                <w:i/>
              </w:rPr>
              <w:t>The award of the contract shall be made to the individual consultant whose offer has been evaluated and determined as:</w:t>
            </w:r>
          </w:p>
          <w:p w:rsidR="0045515F" w:rsidRPr="004B5D7D" w:rsidRDefault="0045515F" w:rsidP="0045515F">
            <w:pPr>
              <w:rPr>
                <w:rFonts w:cstheme="minorHAnsi"/>
                <w:i/>
              </w:rPr>
            </w:pPr>
            <w:r w:rsidRPr="004B5D7D">
              <w:rPr>
                <w:rFonts w:cstheme="minorHAnsi"/>
                <w:i/>
              </w:rPr>
              <w:t>a) responsive/compliant/acceptable, and</w:t>
            </w:r>
          </w:p>
          <w:p w:rsidR="0045515F" w:rsidRPr="004B5D7D" w:rsidRDefault="0045515F" w:rsidP="0045515F">
            <w:pPr>
              <w:rPr>
                <w:rFonts w:cstheme="minorHAnsi"/>
                <w:i/>
              </w:rPr>
            </w:pPr>
            <w:r w:rsidRPr="004B5D7D">
              <w:rPr>
                <w:rFonts w:cstheme="minorHAnsi"/>
                <w:i/>
              </w:rPr>
              <w:t xml:space="preserve">b) Having received the highest score </w:t>
            </w:r>
          </w:p>
          <w:p w:rsidR="0045515F" w:rsidRPr="004B5D7D" w:rsidRDefault="0045515F" w:rsidP="0045515F">
            <w:pPr>
              <w:spacing w:line="360" w:lineRule="auto"/>
              <w:rPr>
                <w:rFonts w:cstheme="minorHAnsi"/>
                <w:i/>
              </w:rPr>
            </w:pPr>
            <w:r w:rsidRPr="004B5D7D">
              <w:rPr>
                <w:rFonts w:cstheme="minorHAnsi"/>
                <w:i/>
              </w:rPr>
              <w:t>* Technical Criteria weight; [70%]</w:t>
            </w:r>
          </w:p>
          <w:p w:rsidR="0045515F" w:rsidRPr="004B5D7D" w:rsidRDefault="0045515F" w:rsidP="0045515F">
            <w:pPr>
              <w:spacing w:line="360" w:lineRule="auto"/>
              <w:rPr>
                <w:rFonts w:cstheme="minorHAnsi"/>
                <w:i/>
              </w:rPr>
            </w:pPr>
            <w:r w:rsidRPr="004B5D7D">
              <w:rPr>
                <w:rFonts w:cstheme="minorHAnsi"/>
                <w:i/>
              </w:rPr>
              <w:t>* Financial Criteria weight; [30%]</w:t>
            </w:r>
          </w:p>
          <w:p w:rsidR="00EA697D" w:rsidRPr="004B5D7D" w:rsidRDefault="0045515F" w:rsidP="0045515F">
            <w:pPr>
              <w:pStyle w:val="ListParagraph"/>
              <w:spacing w:line="20" w:lineRule="atLeast"/>
              <w:ind w:left="360"/>
              <w:jc w:val="both"/>
              <w:rPr>
                <w:rFonts w:cstheme="minorHAnsi"/>
              </w:rPr>
            </w:pPr>
            <w:r w:rsidRPr="004B5D7D">
              <w:rPr>
                <w:rFonts w:cstheme="minorHAnsi"/>
                <w:i/>
              </w:rPr>
              <w:t>Only candidates obtaining a minimum of 70 points would be considered for the Financial Evaluation</w:t>
            </w:r>
          </w:p>
          <w:tbl>
            <w:tblPr>
              <w:tblStyle w:val="TableGrid"/>
              <w:tblW w:w="0" w:type="auto"/>
              <w:tblLook w:val="04A0" w:firstRow="1" w:lastRow="0" w:firstColumn="1" w:lastColumn="0" w:noHBand="0" w:noVBand="1"/>
            </w:tblPr>
            <w:tblGrid>
              <w:gridCol w:w="3213"/>
              <w:gridCol w:w="2971"/>
              <w:gridCol w:w="2940"/>
            </w:tblGrid>
            <w:tr w:rsidR="00EA697D" w:rsidRPr="004B5D7D" w:rsidTr="0045515F">
              <w:tc>
                <w:tcPr>
                  <w:tcW w:w="3213" w:type="dxa"/>
                </w:tcPr>
                <w:p w:rsidR="00EA697D" w:rsidRPr="004B5D7D" w:rsidRDefault="00EA697D" w:rsidP="0060250C">
                  <w:pPr>
                    <w:spacing w:line="360" w:lineRule="auto"/>
                    <w:rPr>
                      <w:rFonts w:cstheme="minorHAnsi"/>
                      <w:b/>
                      <w:i/>
                    </w:rPr>
                  </w:pPr>
                  <w:r w:rsidRPr="004B5D7D">
                    <w:rPr>
                      <w:rFonts w:cstheme="minorHAnsi"/>
                      <w:b/>
                      <w:i/>
                    </w:rPr>
                    <w:t>Criteria</w:t>
                  </w:r>
                </w:p>
              </w:tc>
              <w:tc>
                <w:tcPr>
                  <w:tcW w:w="2971" w:type="dxa"/>
                </w:tcPr>
                <w:p w:rsidR="00EA697D" w:rsidRPr="004B5D7D" w:rsidRDefault="00EA697D" w:rsidP="0060250C">
                  <w:pPr>
                    <w:spacing w:line="360" w:lineRule="auto"/>
                    <w:rPr>
                      <w:rFonts w:cstheme="minorHAnsi"/>
                      <w:b/>
                      <w:i/>
                    </w:rPr>
                  </w:pPr>
                  <w:r w:rsidRPr="004B5D7D">
                    <w:rPr>
                      <w:rFonts w:cstheme="minorHAnsi"/>
                      <w:b/>
                      <w:i/>
                    </w:rPr>
                    <w:t xml:space="preserve">Weight </w:t>
                  </w:r>
                </w:p>
              </w:tc>
              <w:tc>
                <w:tcPr>
                  <w:tcW w:w="2940" w:type="dxa"/>
                </w:tcPr>
                <w:p w:rsidR="00EA697D" w:rsidRPr="004B5D7D" w:rsidRDefault="00EA697D" w:rsidP="0060250C">
                  <w:pPr>
                    <w:spacing w:line="360" w:lineRule="auto"/>
                    <w:rPr>
                      <w:rFonts w:cstheme="minorHAnsi"/>
                      <w:b/>
                      <w:i/>
                    </w:rPr>
                  </w:pPr>
                  <w:r w:rsidRPr="004B5D7D">
                    <w:rPr>
                      <w:rFonts w:cstheme="minorHAnsi"/>
                      <w:b/>
                      <w:i/>
                    </w:rPr>
                    <w:t>Max. Point</w:t>
                  </w:r>
                </w:p>
              </w:tc>
            </w:tr>
            <w:tr w:rsidR="0045515F" w:rsidRPr="004B5D7D" w:rsidTr="0045515F">
              <w:tc>
                <w:tcPr>
                  <w:tcW w:w="3213" w:type="dxa"/>
                </w:tcPr>
                <w:p w:rsidR="0045515F" w:rsidRPr="004B5D7D" w:rsidRDefault="0045515F" w:rsidP="0060250C">
                  <w:pPr>
                    <w:spacing w:line="360" w:lineRule="auto"/>
                    <w:rPr>
                      <w:rFonts w:cstheme="minorHAnsi"/>
                      <w:i/>
                      <w:u w:val="single"/>
                    </w:rPr>
                  </w:pPr>
                  <w:r w:rsidRPr="004B5D7D">
                    <w:rPr>
                      <w:rFonts w:cstheme="minorHAnsi"/>
                      <w:i/>
                      <w:u w:val="single"/>
                    </w:rPr>
                    <w:t>Technical</w:t>
                  </w:r>
                </w:p>
              </w:tc>
              <w:tc>
                <w:tcPr>
                  <w:tcW w:w="2971" w:type="dxa"/>
                  <w:vMerge w:val="restart"/>
                </w:tcPr>
                <w:p w:rsidR="0045515F" w:rsidRPr="004B5D7D" w:rsidRDefault="0045515F" w:rsidP="0060250C">
                  <w:pPr>
                    <w:spacing w:line="360" w:lineRule="auto"/>
                    <w:rPr>
                      <w:rFonts w:cstheme="minorHAnsi"/>
                      <w:i/>
                    </w:rPr>
                  </w:pPr>
                  <w:r w:rsidRPr="004B5D7D">
                    <w:rPr>
                      <w:rFonts w:cstheme="minorHAnsi"/>
                      <w:i/>
                    </w:rPr>
                    <w:t>70%</w:t>
                  </w:r>
                </w:p>
              </w:tc>
              <w:tc>
                <w:tcPr>
                  <w:tcW w:w="2940" w:type="dxa"/>
                </w:tcPr>
                <w:p w:rsidR="0045515F" w:rsidRPr="004B5D7D" w:rsidRDefault="0045515F" w:rsidP="0060250C">
                  <w:pPr>
                    <w:spacing w:line="360" w:lineRule="auto"/>
                    <w:rPr>
                      <w:rFonts w:cstheme="minorHAnsi"/>
                      <w:i/>
                    </w:rPr>
                  </w:pPr>
                </w:p>
              </w:tc>
            </w:tr>
            <w:tr w:rsidR="0045515F" w:rsidRPr="004B5D7D" w:rsidTr="0045515F">
              <w:trPr>
                <w:trHeight w:val="685"/>
              </w:trPr>
              <w:tc>
                <w:tcPr>
                  <w:tcW w:w="3213" w:type="dxa"/>
                </w:tcPr>
                <w:p w:rsidR="0045515F" w:rsidRPr="009E1C98" w:rsidRDefault="00311E98" w:rsidP="009E1C98">
                  <w:pPr>
                    <w:pStyle w:val="ListParagraph"/>
                    <w:numPr>
                      <w:ilvl w:val="0"/>
                      <w:numId w:val="29"/>
                    </w:numPr>
                    <w:rPr>
                      <w:i/>
                    </w:rPr>
                  </w:pPr>
                  <w:r w:rsidRPr="004B5D7D">
                    <w:t xml:space="preserve">minimum of </w:t>
                  </w:r>
                  <w:r w:rsidR="00E8410D" w:rsidRPr="009E1C98">
                    <w:t>master’s</w:t>
                  </w:r>
                  <w:r w:rsidR="009E1C98" w:rsidRPr="009E1C98">
                    <w:t xml:space="preserve"> degree in gender studies, gender and development, environment, sustainable development or closely related area</w:t>
                  </w:r>
                </w:p>
              </w:tc>
              <w:tc>
                <w:tcPr>
                  <w:tcW w:w="2971" w:type="dxa"/>
                  <w:vMerge/>
                </w:tcPr>
                <w:p w:rsidR="0045515F" w:rsidRPr="004B5D7D" w:rsidRDefault="0045515F" w:rsidP="0060250C">
                  <w:pPr>
                    <w:spacing w:line="360" w:lineRule="auto"/>
                    <w:rPr>
                      <w:rFonts w:cstheme="minorHAnsi"/>
                      <w:i/>
                    </w:rPr>
                  </w:pPr>
                </w:p>
              </w:tc>
              <w:tc>
                <w:tcPr>
                  <w:tcW w:w="2940" w:type="dxa"/>
                </w:tcPr>
                <w:p w:rsidR="0045515F" w:rsidRPr="004B5D7D" w:rsidRDefault="00F47BF7" w:rsidP="0060250C">
                  <w:pPr>
                    <w:spacing w:line="360" w:lineRule="auto"/>
                    <w:rPr>
                      <w:rFonts w:cstheme="minorHAnsi"/>
                      <w:i/>
                    </w:rPr>
                  </w:pPr>
                  <w:r>
                    <w:rPr>
                      <w:rFonts w:cstheme="minorHAnsi"/>
                      <w:i/>
                    </w:rPr>
                    <w:t>10</w:t>
                  </w:r>
                </w:p>
              </w:tc>
            </w:tr>
            <w:tr w:rsidR="0045515F" w:rsidRPr="004B5D7D" w:rsidTr="0045515F">
              <w:tc>
                <w:tcPr>
                  <w:tcW w:w="3213" w:type="dxa"/>
                </w:tcPr>
                <w:p w:rsidR="0045515F" w:rsidRPr="004B5D7D" w:rsidRDefault="00F47BF7" w:rsidP="00E8410D">
                  <w:pPr>
                    <w:pStyle w:val="ListParagraph"/>
                    <w:numPr>
                      <w:ilvl w:val="0"/>
                      <w:numId w:val="4"/>
                    </w:numPr>
                    <w:rPr>
                      <w:rFonts w:cstheme="minorHAnsi"/>
                    </w:rPr>
                  </w:pPr>
                  <w:r w:rsidRPr="00F47BF7">
                    <w:rPr>
                      <w:rFonts w:cstheme="minorHAnsi"/>
                    </w:rPr>
                    <w:t xml:space="preserve">at least </w:t>
                  </w:r>
                  <w:r w:rsidR="00E8410D">
                    <w:rPr>
                      <w:rFonts w:cstheme="minorHAnsi"/>
                    </w:rPr>
                    <w:t>5</w:t>
                  </w:r>
                  <w:r w:rsidRPr="00F47BF7">
                    <w:rPr>
                      <w:rFonts w:cstheme="minorHAnsi"/>
                    </w:rPr>
                    <w:t xml:space="preserve"> years of practical working experience in gender mainstreaming, women’s empowerment and sustainable development in gender analysis;</w:t>
                  </w:r>
                  <w:r>
                    <w:rPr>
                      <w:rFonts w:cstheme="minorHAnsi"/>
                    </w:rPr>
                    <w:t xml:space="preserve"> </w:t>
                  </w:r>
                </w:p>
              </w:tc>
              <w:tc>
                <w:tcPr>
                  <w:tcW w:w="2971" w:type="dxa"/>
                  <w:vMerge w:val="restart"/>
                </w:tcPr>
                <w:p w:rsidR="0045515F" w:rsidRPr="004B5D7D" w:rsidRDefault="0045515F" w:rsidP="0060250C">
                  <w:pPr>
                    <w:spacing w:line="360" w:lineRule="auto"/>
                    <w:rPr>
                      <w:rFonts w:cstheme="minorHAnsi"/>
                      <w:i/>
                    </w:rPr>
                  </w:pPr>
                </w:p>
              </w:tc>
              <w:tc>
                <w:tcPr>
                  <w:tcW w:w="2940" w:type="dxa"/>
                </w:tcPr>
                <w:p w:rsidR="0045515F" w:rsidRPr="004B5D7D" w:rsidRDefault="0045515F" w:rsidP="0060250C">
                  <w:pPr>
                    <w:spacing w:line="360" w:lineRule="auto"/>
                    <w:rPr>
                      <w:rFonts w:cstheme="minorHAnsi"/>
                      <w:i/>
                    </w:rPr>
                  </w:pPr>
                  <w:r w:rsidRPr="004B5D7D">
                    <w:rPr>
                      <w:rFonts w:cstheme="minorHAnsi"/>
                      <w:i/>
                    </w:rPr>
                    <w:t>15</w:t>
                  </w:r>
                </w:p>
              </w:tc>
            </w:tr>
            <w:tr w:rsidR="0045515F" w:rsidRPr="004B5D7D" w:rsidTr="0045515F">
              <w:tc>
                <w:tcPr>
                  <w:tcW w:w="3213" w:type="dxa"/>
                </w:tcPr>
                <w:p w:rsidR="0045515F" w:rsidRPr="00E8410D" w:rsidRDefault="00E8410D" w:rsidP="00E8410D">
                  <w:pPr>
                    <w:pStyle w:val="ListParagraph"/>
                    <w:numPr>
                      <w:ilvl w:val="0"/>
                      <w:numId w:val="30"/>
                    </w:numPr>
                    <w:rPr>
                      <w:rFonts w:cstheme="minorHAnsi"/>
                    </w:rPr>
                  </w:pPr>
                  <w:r w:rsidRPr="00F57898">
                    <w:rPr>
                      <w:rFonts w:cstheme="minorHAnsi"/>
                    </w:rPr>
                    <w:t xml:space="preserve">Demonstrated experience working on policy and </w:t>
                  </w:r>
                  <w:r w:rsidRPr="00F57898">
                    <w:rPr>
                      <w:rFonts w:cstheme="minorHAnsi"/>
                    </w:rPr>
                    <w:lastRenderedPageBreak/>
                    <w:t xml:space="preserve">programmatic issues with national and local governments and civil society organizations </w:t>
                  </w:r>
                  <w:r>
                    <w:rPr>
                      <w:rFonts w:cstheme="minorHAnsi"/>
                    </w:rPr>
                    <w:t>especially</w:t>
                  </w:r>
                  <w:r w:rsidRPr="00F57898">
                    <w:rPr>
                      <w:rFonts w:cstheme="minorHAnsi"/>
                    </w:rPr>
                    <w:t xml:space="preserve"> community-based</w:t>
                  </w:r>
                  <w:r>
                    <w:rPr>
                      <w:rFonts w:cstheme="minorHAnsi"/>
                    </w:rPr>
                    <w:t xml:space="preserve"> </w:t>
                  </w:r>
                  <w:r w:rsidRPr="00F57898">
                    <w:rPr>
                      <w:rFonts w:cstheme="minorHAnsi"/>
                    </w:rPr>
                    <w:t>organizations</w:t>
                  </w:r>
                </w:p>
              </w:tc>
              <w:tc>
                <w:tcPr>
                  <w:tcW w:w="2971" w:type="dxa"/>
                  <w:vMerge/>
                </w:tcPr>
                <w:p w:rsidR="0045515F" w:rsidRPr="004B5D7D" w:rsidRDefault="0045515F" w:rsidP="0060250C">
                  <w:pPr>
                    <w:spacing w:line="360" w:lineRule="auto"/>
                    <w:rPr>
                      <w:rFonts w:cstheme="minorHAnsi"/>
                      <w:i/>
                    </w:rPr>
                  </w:pPr>
                </w:p>
              </w:tc>
              <w:tc>
                <w:tcPr>
                  <w:tcW w:w="2940" w:type="dxa"/>
                </w:tcPr>
                <w:p w:rsidR="0045515F" w:rsidRPr="004B5D7D" w:rsidRDefault="00F47BF7" w:rsidP="0060250C">
                  <w:pPr>
                    <w:spacing w:line="360" w:lineRule="auto"/>
                    <w:rPr>
                      <w:rFonts w:cstheme="minorHAnsi"/>
                      <w:i/>
                    </w:rPr>
                  </w:pPr>
                  <w:r>
                    <w:rPr>
                      <w:rFonts w:cstheme="minorHAnsi"/>
                      <w:i/>
                    </w:rPr>
                    <w:t>25</w:t>
                  </w:r>
                </w:p>
              </w:tc>
            </w:tr>
            <w:tr w:rsidR="0045515F" w:rsidRPr="004B5D7D" w:rsidTr="0045515F">
              <w:tc>
                <w:tcPr>
                  <w:tcW w:w="3213" w:type="dxa"/>
                </w:tcPr>
                <w:p w:rsidR="00E8410D" w:rsidRPr="00E8410D" w:rsidRDefault="0045515F" w:rsidP="00E8410D">
                  <w:pPr>
                    <w:pStyle w:val="ListParagraph"/>
                    <w:numPr>
                      <w:ilvl w:val="0"/>
                      <w:numId w:val="4"/>
                    </w:numPr>
                    <w:rPr>
                      <w:rFonts w:cstheme="minorHAnsi"/>
                      <w:i/>
                    </w:rPr>
                  </w:pPr>
                  <w:r w:rsidRPr="004B5D7D">
                    <w:rPr>
                      <w:rFonts w:cstheme="minorHAnsi"/>
                    </w:rPr>
                    <w:lastRenderedPageBreak/>
                    <w:t>Sound in technical report writing</w:t>
                  </w:r>
                  <w:r w:rsidR="00E8410D">
                    <w:rPr>
                      <w:rFonts w:cstheme="minorHAnsi"/>
                    </w:rPr>
                    <w:t xml:space="preserve">, </w:t>
                  </w:r>
                  <w:r w:rsidR="00E8410D" w:rsidRPr="00F57898">
                    <w:rPr>
                      <w:rFonts w:cstheme="minorHAnsi"/>
                    </w:rPr>
                    <w:t>collecting and formulating gender responsive indicators and sex-disaggregated data</w:t>
                  </w:r>
                  <w:r w:rsidR="00E8410D">
                    <w:rPr>
                      <w:rFonts w:cstheme="minorHAnsi"/>
                    </w:rPr>
                    <w:t xml:space="preserve"> </w:t>
                  </w:r>
                  <w:r w:rsidR="00E8410D" w:rsidRPr="004B5D7D">
                    <w:rPr>
                      <w:rFonts w:cstheme="minorHAnsi"/>
                    </w:rPr>
                    <w:t>skill</w:t>
                  </w:r>
                  <w:r w:rsidRPr="004B5D7D">
                    <w:rPr>
                      <w:rFonts w:cstheme="minorHAnsi"/>
                    </w:rPr>
                    <w:t xml:space="preserve"> and proven ability to engage with multiple stakeholders to achieve desired results</w:t>
                  </w:r>
                </w:p>
              </w:tc>
              <w:tc>
                <w:tcPr>
                  <w:tcW w:w="2971" w:type="dxa"/>
                  <w:vMerge/>
                </w:tcPr>
                <w:p w:rsidR="0045515F" w:rsidRPr="004B5D7D" w:rsidRDefault="0045515F" w:rsidP="0060250C">
                  <w:pPr>
                    <w:spacing w:line="360" w:lineRule="auto"/>
                    <w:rPr>
                      <w:rFonts w:cstheme="minorHAnsi"/>
                      <w:i/>
                    </w:rPr>
                  </w:pPr>
                </w:p>
              </w:tc>
              <w:tc>
                <w:tcPr>
                  <w:tcW w:w="2940" w:type="dxa"/>
                </w:tcPr>
                <w:p w:rsidR="0045515F" w:rsidRPr="004B5D7D" w:rsidRDefault="00F47BF7" w:rsidP="0060250C">
                  <w:pPr>
                    <w:spacing w:line="360" w:lineRule="auto"/>
                    <w:rPr>
                      <w:rFonts w:cstheme="minorHAnsi"/>
                      <w:i/>
                    </w:rPr>
                  </w:pPr>
                  <w:r>
                    <w:rPr>
                      <w:rFonts w:cstheme="minorHAnsi"/>
                      <w:i/>
                    </w:rPr>
                    <w:t>20</w:t>
                  </w:r>
                </w:p>
              </w:tc>
            </w:tr>
            <w:tr w:rsidR="00EA697D" w:rsidRPr="004B5D7D" w:rsidTr="0045515F">
              <w:tc>
                <w:tcPr>
                  <w:tcW w:w="3213" w:type="dxa"/>
                </w:tcPr>
                <w:p w:rsidR="00EA697D" w:rsidRPr="004B5D7D" w:rsidRDefault="00EA697D" w:rsidP="0060250C">
                  <w:pPr>
                    <w:spacing w:line="360" w:lineRule="auto"/>
                    <w:rPr>
                      <w:rFonts w:cstheme="minorHAnsi"/>
                      <w:i/>
                      <w:u w:val="single"/>
                    </w:rPr>
                  </w:pPr>
                  <w:r w:rsidRPr="004B5D7D">
                    <w:rPr>
                      <w:rFonts w:cstheme="minorHAnsi"/>
                      <w:i/>
                      <w:u w:val="single"/>
                    </w:rPr>
                    <w:t>Financial</w:t>
                  </w:r>
                </w:p>
              </w:tc>
              <w:tc>
                <w:tcPr>
                  <w:tcW w:w="2971" w:type="dxa"/>
                </w:tcPr>
                <w:p w:rsidR="00EA697D" w:rsidRPr="004B5D7D" w:rsidRDefault="0045515F" w:rsidP="0060250C">
                  <w:pPr>
                    <w:spacing w:line="360" w:lineRule="auto"/>
                    <w:rPr>
                      <w:rFonts w:cstheme="minorHAnsi"/>
                      <w:i/>
                    </w:rPr>
                  </w:pPr>
                  <w:r w:rsidRPr="004B5D7D">
                    <w:rPr>
                      <w:rFonts w:cstheme="minorHAnsi"/>
                      <w:i/>
                    </w:rPr>
                    <w:t>30%</w:t>
                  </w:r>
                </w:p>
              </w:tc>
              <w:tc>
                <w:tcPr>
                  <w:tcW w:w="2940" w:type="dxa"/>
                </w:tcPr>
                <w:p w:rsidR="00EA697D" w:rsidRPr="004B5D7D" w:rsidRDefault="00EA697D" w:rsidP="0060250C">
                  <w:pPr>
                    <w:spacing w:line="360" w:lineRule="auto"/>
                    <w:rPr>
                      <w:rFonts w:cstheme="minorHAnsi"/>
                      <w:i/>
                    </w:rPr>
                  </w:pPr>
                </w:p>
              </w:tc>
            </w:tr>
          </w:tbl>
          <w:p w:rsidR="00443E94" w:rsidRPr="004B5D7D" w:rsidRDefault="00443E94" w:rsidP="00A24134">
            <w:pPr>
              <w:rPr>
                <w:rFonts w:cstheme="minorHAnsi"/>
                <w:b/>
              </w:rPr>
            </w:pPr>
          </w:p>
        </w:tc>
      </w:tr>
    </w:tbl>
    <w:p w:rsidR="008A6F73" w:rsidRPr="004B5D7D" w:rsidRDefault="008A6F73" w:rsidP="00A24134">
      <w:pPr>
        <w:rPr>
          <w:rFonts w:cstheme="minorHAnsi"/>
          <w:b/>
        </w:rPr>
      </w:pPr>
    </w:p>
    <w:p w:rsidR="00EA50D0" w:rsidRPr="004B5D7D" w:rsidRDefault="002A1486" w:rsidP="00A24134">
      <w:pPr>
        <w:rPr>
          <w:rFonts w:cstheme="minorHAnsi"/>
          <w:b/>
          <w:u w:val="single"/>
        </w:rPr>
      </w:pPr>
      <w:r w:rsidRPr="004B5D7D">
        <w:rPr>
          <w:rFonts w:cstheme="minorHAnsi"/>
          <w:b/>
          <w:u w:val="single"/>
        </w:rPr>
        <w:t>ANNEX</w:t>
      </w:r>
    </w:p>
    <w:p w:rsidR="00103276" w:rsidRPr="004B5D7D" w:rsidRDefault="00103276" w:rsidP="00A24134">
      <w:pPr>
        <w:rPr>
          <w:rFonts w:cstheme="minorHAnsi"/>
          <w:b/>
          <w:u w:val="single"/>
        </w:rPr>
      </w:pPr>
      <w:r w:rsidRPr="004B5D7D">
        <w:rPr>
          <w:rFonts w:cstheme="minorHAnsi"/>
          <w:b/>
        </w:rPr>
        <w:t>ANNEX 1- TERMS OF REFERENCES (TOR</w:t>
      </w:r>
      <w:r w:rsidR="00ED649B" w:rsidRPr="004B5D7D">
        <w:rPr>
          <w:rFonts w:cstheme="minorHAnsi"/>
          <w:b/>
        </w:rPr>
        <w:t>)</w:t>
      </w:r>
      <w:r w:rsidR="007650C2" w:rsidRPr="004B5D7D">
        <w:rPr>
          <w:rFonts w:cstheme="minorHAnsi"/>
          <w:b/>
        </w:rPr>
        <w:t xml:space="preserve"> </w:t>
      </w:r>
    </w:p>
    <w:p w:rsidR="00103276" w:rsidRPr="004B5D7D" w:rsidRDefault="00103276" w:rsidP="00103276">
      <w:pPr>
        <w:rPr>
          <w:rFonts w:cstheme="minorHAnsi"/>
          <w:b/>
        </w:rPr>
      </w:pPr>
      <w:r w:rsidRPr="004B5D7D">
        <w:rPr>
          <w:rFonts w:cstheme="minorHAnsi"/>
          <w:b/>
        </w:rPr>
        <w:t xml:space="preserve">ANNEX 2- INDIVIDUAL CONSULTANT GENERAL TERMS AND CONDITIONS </w:t>
      </w:r>
    </w:p>
    <w:sectPr w:rsidR="00103276" w:rsidRPr="004B5D7D"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B26" w:rsidRDefault="003E5B26" w:rsidP="00A24134">
      <w:pPr>
        <w:spacing w:after="0" w:line="240" w:lineRule="auto"/>
      </w:pPr>
      <w:r>
        <w:separator/>
      </w:r>
    </w:p>
  </w:endnote>
  <w:endnote w:type="continuationSeparator" w:id="0">
    <w:p w:rsidR="003E5B26" w:rsidRDefault="003E5B2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B26" w:rsidRDefault="003E5B26" w:rsidP="00A24134">
      <w:pPr>
        <w:spacing w:after="0" w:line="240" w:lineRule="auto"/>
      </w:pPr>
      <w:r>
        <w:separator/>
      </w:r>
    </w:p>
  </w:footnote>
  <w:footnote w:type="continuationSeparator" w:id="0">
    <w:p w:rsidR="003E5B26" w:rsidRDefault="003E5B26"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39" type="#_x0000_t75" style="width:3.75pt;height:3.75pt" o:bullet="t">
        <v:imagedata r:id="rId1" o:title="bullet"/>
      </v:shape>
    </w:pict>
  </w:numPicBullet>
  <w:numPicBullet w:numPicBulletId="3">
    <w:pict>
      <v:shape id="_x0000_i1040" type="#_x0000_t75" style="width:3in;height:3in" o:bullet="t"/>
    </w:pict>
  </w:numPicBullet>
  <w:numPicBullet w:numPicBulletId="4">
    <w:pict>
      <v:shape id="_x0000_i1041" type="#_x0000_t75" style="width:3in;height:3in" o:bullet="t"/>
    </w:pict>
  </w:numPicBullet>
  <w:numPicBullet w:numPicBulletId="5">
    <w:pict>
      <v:shape id="_x0000_i1042" type="#_x0000_t75" style="width:3in;height:3in" o:bullet="t"/>
    </w:pict>
  </w:numPicBullet>
  <w:numPicBullet w:numPicBulletId="6">
    <w:pict>
      <v:shape id="_x0000_i1043" type="#_x0000_t75" style="width:3in;height:3in" o:bullet="t"/>
    </w:pict>
  </w:numPicBullet>
  <w:numPicBullet w:numPicBulletId="7">
    <w:pict>
      <v:shape id="_x0000_i1044" type="#_x0000_t75" style="width:3in;height:3in" o:bullet="t"/>
    </w:pict>
  </w:numPicBullet>
  <w:numPicBullet w:numPicBulletId="8">
    <w:pict>
      <v:shape id="_x0000_i1045" type="#_x0000_t75" style="width:3in;height:3in" o:bullet="t"/>
    </w:pict>
  </w:numPicBullet>
  <w:numPicBullet w:numPicBulletId="9">
    <w:pict>
      <v:shape id="_x0000_i1046" type="#_x0000_t75" style="width:3in;height:3in" o:bullet="t"/>
    </w:pict>
  </w:numPicBullet>
  <w:numPicBullet w:numPicBulletId="10">
    <w:pict>
      <v:shape id="_x0000_i1047" type="#_x0000_t75" style="width:3in;height:3in" o:bullet="t"/>
    </w:pict>
  </w:numPicBullet>
  <w:abstractNum w:abstractNumId="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147BF6"/>
    <w:multiLevelType w:val="hybridMultilevel"/>
    <w:tmpl w:val="C5A840BE"/>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D4D92"/>
    <w:multiLevelType w:val="hybridMultilevel"/>
    <w:tmpl w:val="12DE4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268A4"/>
    <w:multiLevelType w:val="multilevel"/>
    <w:tmpl w:val="556A1A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7"/>
      <w:lvlJc w:val="left"/>
      <w:pPr>
        <w:tabs>
          <w:tab w:val="num" w:pos="1080"/>
        </w:tabs>
        <w:ind w:left="1080" w:hanging="360"/>
      </w:pPr>
      <w:rPr>
        <w:rFonts w:ascii="Courier New" w:hAnsi="Courier New" w:hint="default"/>
        <w:sz w:val="20"/>
      </w:rPr>
    </w:lvl>
    <w:lvl w:ilvl="2" w:tentative="1">
      <w:start w:val="1"/>
      <w:numFmt w:val="bullet"/>
      <w:lvlText w:val=""/>
      <w:lvlPicBulletId w:val="8"/>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C5A0E43"/>
    <w:multiLevelType w:val="hybridMultilevel"/>
    <w:tmpl w:val="D214D8C6"/>
    <w:lvl w:ilvl="0" w:tplc="CFAC7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E102E"/>
    <w:multiLevelType w:val="hybridMultilevel"/>
    <w:tmpl w:val="49B2B2A2"/>
    <w:lvl w:ilvl="0" w:tplc="00000001">
      <w:start w:val="1"/>
      <w:numFmt w:val="bullet"/>
      <w:lvlText w:val=""/>
      <w:lvlJc w:val="left"/>
      <w:pPr>
        <w:ind w:left="360" w:hanging="360"/>
      </w:pPr>
      <w:rPr>
        <w:rFonts w:ascii="Symbol" w:hAnsi="Symbol" w:hint="default"/>
      </w:rPr>
    </w:lvl>
    <w:lvl w:ilvl="1" w:tplc="00000003" w:tentative="1">
      <w:start w:val="1"/>
      <w:numFmt w:val="bullet"/>
      <w:lvlText w:val="o"/>
      <w:lvlJc w:val="left"/>
      <w:pPr>
        <w:ind w:left="1080" w:hanging="360"/>
      </w:pPr>
      <w:rPr>
        <w:rFonts w:ascii="Courier New" w:hAnsi="Courier New" w:cs="Courier New" w:hint="default"/>
      </w:rPr>
    </w:lvl>
    <w:lvl w:ilvl="2" w:tplc="00000005" w:tentative="1">
      <w:start w:val="1"/>
      <w:numFmt w:val="bullet"/>
      <w:lvlText w:val=""/>
      <w:lvlJc w:val="left"/>
      <w:pPr>
        <w:ind w:left="1800" w:hanging="360"/>
      </w:pPr>
      <w:rPr>
        <w:rFonts w:ascii="Wingdings" w:hAnsi="Wingdings" w:hint="default"/>
      </w:rPr>
    </w:lvl>
    <w:lvl w:ilvl="3" w:tplc="00000001" w:tentative="1">
      <w:start w:val="1"/>
      <w:numFmt w:val="bullet"/>
      <w:lvlText w:val=""/>
      <w:lvlJc w:val="left"/>
      <w:pPr>
        <w:ind w:left="2520" w:hanging="360"/>
      </w:pPr>
      <w:rPr>
        <w:rFonts w:ascii="Symbol" w:hAnsi="Symbol" w:hint="default"/>
      </w:rPr>
    </w:lvl>
    <w:lvl w:ilvl="4" w:tplc="00000003"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1" w:tentative="1">
      <w:start w:val="1"/>
      <w:numFmt w:val="bullet"/>
      <w:lvlText w:val=""/>
      <w:lvlJc w:val="left"/>
      <w:pPr>
        <w:ind w:left="4680" w:hanging="360"/>
      </w:pPr>
      <w:rPr>
        <w:rFonts w:ascii="Symbol" w:hAnsi="Symbol" w:hint="default"/>
      </w:rPr>
    </w:lvl>
    <w:lvl w:ilvl="7" w:tplc="00000003" w:tentative="1">
      <w:start w:val="1"/>
      <w:numFmt w:val="bullet"/>
      <w:lvlText w:val="o"/>
      <w:lvlJc w:val="left"/>
      <w:pPr>
        <w:ind w:left="5400" w:hanging="360"/>
      </w:pPr>
      <w:rPr>
        <w:rFonts w:ascii="Courier New" w:hAnsi="Courier New" w:cs="Courier New" w:hint="default"/>
      </w:rPr>
    </w:lvl>
    <w:lvl w:ilvl="8" w:tplc="00000005" w:tentative="1">
      <w:start w:val="1"/>
      <w:numFmt w:val="bullet"/>
      <w:lvlText w:val=""/>
      <w:lvlJc w:val="left"/>
      <w:pPr>
        <w:ind w:left="6120" w:hanging="360"/>
      </w:pPr>
      <w:rPr>
        <w:rFonts w:ascii="Wingdings" w:hAnsi="Wingdings" w:hint="default"/>
      </w:rPr>
    </w:lvl>
  </w:abstractNum>
  <w:abstractNum w:abstractNumId="7">
    <w:nsid w:val="2A437C6F"/>
    <w:multiLevelType w:val="hybridMultilevel"/>
    <w:tmpl w:val="00BC6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DE1DC1"/>
    <w:multiLevelType w:val="hybridMultilevel"/>
    <w:tmpl w:val="60B8F53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nsid w:val="34E5036E"/>
    <w:multiLevelType w:val="hybridMultilevel"/>
    <w:tmpl w:val="76D2F172"/>
    <w:lvl w:ilvl="0" w:tplc="6AC442F4">
      <w:start w:val="1"/>
      <w:numFmt w:val="lowerRoman"/>
      <w:lvlText w:val="%1."/>
      <w:lvlJc w:val="left"/>
      <w:pPr>
        <w:ind w:left="1080" w:hanging="72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5085D"/>
    <w:multiLevelType w:val="multilevel"/>
    <w:tmpl w:val="048E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64342"/>
    <w:multiLevelType w:val="hybridMultilevel"/>
    <w:tmpl w:val="DD2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81089"/>
    <w:multiLevelType w:val="hybridMultilevel"/>
    <w:tmpl w:val="16983CF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nsid w:val="4252186C"/>
    <w:multiLevelType w:val="multilevel"/>
    <w:tmpl w:val="24F2D0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9003CF5"/>
    <w:multiLevelType w:val="hybridMultilevel"/>
    <w:tmpl w:val="4D4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35415"/>
    <w:multiLevelType w:val="hybridMultilevel"/>
    <w:tmpl w:val="F6E8E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25E71"/>
    <w:multiLevelType w:val="hybridMultilevel"/>
    <w:tmpl w:val="1F66F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05207C"/>
    <w:multiLevelType w:val="hybridMultilevel"/>
    <w:tmpl w:val="B44C7444"/>
    <w:lvl w:ilvl="0" w:tplc="BD6C6DDC">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82050"/>
    <w:multiLevelType w:val="hybridMultilevel"/>
    <w:tmpl w:val="D8F49970"/>
    <w:lvl w:ilvl="0" w:tplc="6AC442F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067CB"/>
    <w:multiLevelType w:val="multilevel"/>
    <w:tmpl w:val="A1C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007383"/>
    <w:multiLevelType w:val="hybridMultilevel"/>
    <w:tmpl w:val="56E8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D6294"/>
    <w:multiLevelType w:val="hybridMultilevel"/>
    <w:tmpl w:val="7F28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19343D"/>
    <w:multiLevelType w:val="hybridMultilevel"/>
    <w:tmpl w:val="A330E8D0"/>
    <w:lvl w:ilvl="0" w:tplc="F620B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6F35E2"/>
    <w:multiLevelType w:val="multilevel"/>
    <w:tmpl w:val="9F004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6B1BB4"/>
    <w:multiLevelType w:val="hybridMultilevel"/>
    <w:tmpl w:val="DEACF63A"/>
    <w:lvl w:ilvl="0" w:tplc="04090001">
      <w:start w:val="1"/>
      <w:numFmt w:val="bullet"/>
      <w:lvlText w:val=""/>
      <w:lvlJc w:val="left"/>
      <w:pPr>
        <w:ind w:left="720" w:hanging="360"/>
      </w:pPr>
      <w:rPr>
        <w:rFonts w:ascii="Symbol" w:hAnsi="Symbol" w:hint="default"/>
      </w:rPr>
    </w:lvl>
    <w:lvl w:ilvl="1" w:tplc="4DA05C7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5"/>
  </w:num>
  <w:num w:numId="4">
    <w:abstractNumId w:val="1"/>
  </w:num>
  <w:num w:numId="5">
    <w:abstractNumId w:val="17"/>
  </w:num>
  <w:num w:numId="6">
    <w:abstractNumId w:val="18"/>
  </w:num>
  <w:num w:numId="7">
    <w:abstractNumId w:val="26"/>
  </w:num>
  <w:num w:numId="8">
    <w:abstractNumId w:val="11"/>
  </w:num>
  <w:num w:numId="9">
    <w:abstractNumId w:val="24"/>
  </w:num>
  <w:num w:numId="10">
    <w:abstractNumId w:val="28"/>
  </w:num>
  <w:num w:numId="11">
    <w:abstractNumId w:val="22"/>
  </w:num>
  <w:num w:numId="12">
    <w:abstractNumId w:val="3"/>
  </w:num>
  <w:num w:numId="13">
    <w:abstractNumId w:val="6"/>
  </w:num>
  <w:num w:numId="14">
    <w:abstractNumId w:val="10"/>
  </w:num>
  <w:num w:numId="15">
    <w:abstractNumId w:val="20"/>
  </w:num>
  <w:num w:numId="16">
    <w:abstractNumId w:val="4"/>
  </w:num>
  <w:num w:numId="17">
    <w:abstractNumId w:val="2"/>
  </w:num>
  <w:num w:numId="18">
    <w:abstractNumId w:val="14"/>
  </w:num>
  <w:num w:numId="19">
    <w:abstractNumId w:val="21"/>
  </w:num>
  <w:num w:numId="20">
    <w:abstractNumId w:val="13"/>
  </w:num>
  <w:num w:numId="21">
    <w:abstractNumId w:val="9"/>
  </w:num>
  <w:num w:numId="22">
    <w:abstractNumId w:val="7"/>
  </w:num>
  <w:num w:numId="23">
    <w:abstractNumId w:val="15"/>
  </w:num>
  <w:num w:numId="24">
    <w:abstractNumId w:val="29"/>
  </w:num>
  <w:num w:numId="25">
    <w:abstractNumId w:val="23"/>
  </w:num>
  <w:num w:numId="26">
    <w:abstractNumId w:val="12"/>
  </w:num>
  <w:num w:numId="27">
    <w:abstractNumId w:val="19"/>
  </w:num>
  <w:num w:numId="28">
    <w:abstractNumId w:val="27"/>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2367D"/>
    <w:rsid w:val="00057DA8"/>
    <w:rsid w:val="000736BF"/>
    <w:rsid w:val="00086485"/>
    <w:rsid w:val="000964DE"/>
    <w:rsid w:val="000E2C6B"/>
    <w:rsid w:val="000E45E5"/>
    <w:rsid w:val="00103276"/>
    <w:rsid w:val="00134A66"/>
    <w:rsid w:val="001473B3"/>
    <w:rsid w:val="00170428"/>
    <w:rsid w:val="00180DF8"/>
    <w:rsid w:val="00181F5B"/>
    <w:rsid w:val="001A0DCE"/>
    <w:rsid w:val="001E30BA"/>
    <w:rsid w:val="002223E0"/>
    <w:rsid w:val="002A1486"/>
    <w:rsid w:val="002B197A"/>
    <w:rsid w:val="002F799A"/>
    <w:rsid w:val="00311E98"/>
    <w:rsid w:val="00324B6D"/>
    <w:rsid w:val="0033411B"/>
    <w:rsid w:val="003754C3"/>
    <w:rsid w:val="003812A9"/>
    <w:rsid w:val="003836C0"/>
    <w:rsid w:val="00386620"/>
    <w:rsid w:val="003A22D4"/>
    <w:rsid w:val="003B0C3C"/>
    <w:rsid w:val="003E5B26"/>
    <w:rsid w:val="003F0258"/>
    <w:rsid w:val="00413AE8"/>
    <w:rsid w:val="00432027"/>
    <w:rsid w:val="00440ECE"/>
    <w:rsid w:val="00443E94"/>
    <w:rsid w:val="0045515F"/>
    <w:rsid w:val="004758AA"/>
    <w:rsid w:val="004A2B79"/>
    <w:rsid w:val="004B5D7D"/>
    <w:rsid w:val="004D3F24"/>
    <w:rsid w:val="005469CC"/>
    <w:rsid w:val="005B038A"/>
    <w:rsid w:val="005C61EE"/>
    <w:rsid w:val="005F1B65"/>
    <w:rsid w:val="0063524A"/>
    <w:rsid w:val="0065710B"/>
    <w:rsid w:val="00676AD5"/>
    <w:rsid w:val="006C491D"/>
    <w:rsid w:val="006D7555"/>
    <w:rsid w:val="006E1090"/>
    <w:rsid w:val="007354EA"/>
    <w:rsid w:val="00752790"/>
    <w:rsid w:val="007650C2"/>
    <w:rsid w:val="00772A1D"/>
    <w:rsid w:val="0078276F"/>
    <w:rsid w:val="007C4235"/>
    <w:rsid w:val="007D382E"/>
    <w:rsid w:val="007E4F76"/>
    <w:rsid w:val="007E5D3F"/>
    <w:rsid w:val="00810FC3"/>
    <w:rsid w:val="00816B78"/>
    <w:rsid w:val="00834D1A"/>
    <w:rsid w:val="0083711D"/>
    <w:rsid w:val="00837F09"/>
    <w:rsid w:val="00882780"/>
    <w:rsid w:val="008A0260"/>
    <w:rsid w:val="008A4E69"/>
    <w:rsid w:val="008A6F73"/>
    <w:rsid w:val="008B33D2"/>
    <w:rsid w:val="008E21EC"/>
    <w:rsid w:val="0090365F"/>
    <w:rsid w:val="00944F40"/>
    <w:rsid w:val="0094779C"/>
    <w:rsid w:val="009723CE"/>
    <w:rsid w:val="009912B9"/>
    <w:rsid w:val="00993E07"/>
    <w:rsid w:val="009E1C98"/>
    <w:rsid w:val="009E2B22"/>
    <w:rsid w:val="00A030A0"/>
    <w:rsid w:val="00A24134"/>
    <w:rsid w:val="00A55CB5"/>
    <w:rsid w:val="00A6756E"/>
    <w:rsid w:val="00A83454"/>
    <w:rsid w:val="00A84AEE"/>
    <w:rsid w:val="00AA4872"/>
    <w:rsid w:val="00AA76B6"/>
    <w:rsid w:val="00AC6F4C"/>
    <w:rsid w:val="00AF3C0C"/>
    <w:rsid w:val="00AF6929"/>
    <w:rsid w:val="00B2445F"/>
    <w:rsid w:val="00B40654"/>
    <w:rsid w:val="00B438A3"/>
    <w:rsid w:val="00B60FD8"/>
    <w:rsid w:val="00B879BD"/>
    <w:rsid w:val="00C22E07"/>
    <w:rsid w:val="00C32055"/>
    <w:rsid w:val="00C62F49"/>
    <w:rsid w:val="00C64099"/>
    <w:rsid w:val="00CB403B"/>
    <w:rsid w:val="00CF522C"/>
    <w:rsid w:val="00D17475"/>
    <w:rsid w:val="00D2659A"/>
    <w:rsid w:val="00D4293C"/>
    <w:rsid w:val="00D64504"/>
    <w:rsid w:val="00D92FCE"/>
    <w:rsid w:val="00DA646F"/>
    <w:rsid w:val="00DB0EB6"/>
    <w:rsid w:val="00DB77DD"/>
    <w:rsid w:val="00DB7F57"/>
    <w:rsid w:val="00DD3BA3"/>
    <w:rsid w:val="00DE1432"/>
    <w:rsid w:val="00E009D9"/>
    <w:rsid w:val="00E430E5"/>
    <w:rsid w:val="00E56341"/>
    <w:rsid w:val="00E8310E"/>
    <w:rsid w:val="00E8410D"/>
    <w:rsid w:val="00E8783F"/>
    <w:rsid w:val="00E90323"/>
    <w:rsid w:val="00E94857"/>
    <w:rsid w:val="00EA50D0"/>
    <w:rsid w:val="00EA697D"/>
    <w:rsid w:val="00ED392A"/>
    <w:rsid w:val="00ED649B"/>
    <w:rsid w:val="00EE539E"/>
    <w:rsid w:val="00EF2FEA"/>
    <w:rsid w:val="00F40EEB"/>
    <w:rsid w:val="00F47BF7"/>
    <w:rsid w:val="00F57898"/>
    <w:rsid w:val="00F662A3"/>
    <w:rsid w:val="00F75D47"/>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81C88-84FB-46F1-9F58-7CB88366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Heading1">
    <w:name w:val="heading 1"/>
    <w:basedOn w:val="Normal"/>
    <w:next w:val="Normal"/>
    <w:link w:val="Heading1Char"/>
    <w:uiPriority w:val="9"/>
    <w:qFormat/>
    <w:rsid w:val="00386620"/>
    <w:pPr>
      <w:keepNext/>
      <w:keepLines/>
      <w:widowControl w:val="0"/>
      <w:spacing w:before="240" w:after="0" w:line="240" w:lineRule="auto"/>
      <w:jc w:val="both"/>
      <w:outlineLvl w:val="0"/>
    </w:pPr>
    <w:rPr>
      <w:rFonts w:asciiTheme="majorHAnsi" w:eastAsiaTheme="majorEastAsia" w:hAnsiTheme="majorHAnsi" w:cstheme="majorBidi"/>
      <w:color w:val="365F91" w:themeColor="accent1" w:themeShade="BF"/>
      <w:kern w:val="2"/>
      <w:sz w:val="32"/>
      <w:szCs w:val="32"/>
      <w:lang w:eastAsia="zh-CN"/>
    </w:rPr>
  </w:style>
  <w:style w:type="paragraph" w:styleId="Heading5">
    <w:name w:val="heading 5"/>
    <w:basedOn w:val="Normal"/>
    <w:next w:val="Normal"/>
    <w:link w:val="Heading5Char"/>
    <w:uiPriority w:val="9"/>
    <w:unhideWhenUsed/>
    <w:qFormat/>
    <w:rsid w:val="004B5D7D"/>
    <w:pPr>
      <w:keepNext/>
      <w:keepLines/>
      <w:spacing w:before="40" w:after="0" w:line="240" w:lineRule="auto"/>
      <w:outlineLvl w:val="4"/>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apis Bulleted List,List Paragraph (numbered (a)),Dot pt,F5 List Paragraph,List Paragraph1,List Paragraph Char Char Char,Indicator Text,Numbered Para 1,Bullet 1,List Paragraph12,Bullet Points,MAIN CONTENT,WB Para,List 100s,List 100,Bullet"/>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customStyle="1" w:styleId="Default">
    <w:name w:val="Default"/>
    <w:rsid w:val="00D6450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Lapis Bulleted List Char,List Paragraph (numbered (a)) Char,Dot pt Char,F5 List Paragraph Char,List Paragraph1 Char,List Paragraph Char Char Char Char,Indicator Text Char,Numbered Para 1 Char,Bullet 1 Char,List Paragraph12 Char"/>
    <w:link w:val="ListParagraph"/>
    <w:uiPriority w:val="99"/>
    <w:qFormat/>
    <w:locked/>
    <w:rsid w:val="00D64504"/>
  </w:style>
  <w:style w:type="character" w:customStyle="1" w:styleId="UnresolvedMention1">
    <w:name w:val="Unresolved Mention1"/>
    <w:basedOn w:val="DefaultParagraphFont"/>
    <w:uiPriority w:val="99"/>
    <w:semiHidden/>
    <w:unhideWhenUsed/>
    <w:rsid w:val="0045515F"/>
    <w:rPr>
      <w:color w:val="808080"/>
      <w:shd w:val="clear" w:color="auto" w:fill="E6E6E6"/>
    </w:rPr>
  </w:style>
  <w:style w:type="character" w:customStyle="1" w:styleId="Heading1Char">
    <w:name w:val="Heading 1 Char"/>
    <w:basedOn w:val="DefaultParagraphFont"/>
    <w:link w:val="Heading1"/>
    <w:uiPriority w:val="9"/>
    <w:rsid w:val="00386620"/>
    <w:rPr>
      <w:rFonts w:asciiTheme="majorHAnsi" w:eastAsiaTheme="majorEastAsia" w:hAnsiTheme="majorHAnsi" w:cstheme="majorBidi"/>
      <w:color w:val="365F91" w:themeColor="accent1" w:themeShade="BF"/>
      <w:kern w:val="2"/>
      <w:sz w:val="32"/>
      <w:szCs w:val="32"/>
      <w:lang w:eastAsia="zh-CN"/>
    </w:rPr>
  </w:style>
  <w:style w:type="character" w:customStyle="1" w:styleId="Heading5Char">
    <w:name w:val="Heading 5 Char"/>
    <w:basedOn w:val="DefaultParagraphFont"/>
    <w:link w:val="Heading5"/>
    <w:uiPriority w:val="9"/>
    <w:rsid w:val="004B5D7D"/>
    <w:rPr>
      <w:rFonts w:asciiTheme="majorHAnsi" w:eastAsiaTheme="majorEastAsia" w:hAnsiTheme="majorHAnsi" w:cstheme="majorBidi"/>
      <w:color w:val="365F91" w:themeColor="accent1" w:themeShade="BF"/>
      <w:sz w:val="24"/>
      <w:szCs w:val="24"/>
    </w:rPr>
  </w:style>
  <w:style w:type="paragraph" w:styleId="NoSpacing">
    <w:name w:val="No Spacing"/>
    <w:uiPriority w:val="1"/>
    <w:qFormat/>
    <w:rsid w:val="004B5D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crecruitments.ng@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02790B23-F46F-4BA8-881D-AFB5A787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Emmanuel Ango</dc:creator>
  <cp:lastModifiedBy>Emmanuel Ango</cp:lastModifiedBy>
  <cp:revision>3</cp:revision>
  <cp:lastPrinted>2011-03-24T14:16:00Z</cp:lastPrinted>
  <dcterms:created xsi:type="dcterms:W3CDTF">2019-03-14T10:19:00Z</dcterms:created>
  <dcterms:modified xsi:type="dcterms:W3CDTF">2019-03-19T15:46:00Z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