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6A3C" w14:textId="77777777" w:rsidR="00463993" w:rsidRPr="000062FA" w:rsidRDefault="00463993" w:rsidP="00463993">
      <w:pPr>
        <w:pStyle w:val="NoSpacing1"/>
        <w:jc w:val="center"/>
        <w:rPr>
          <w:rFonts w:asciiTheme="minorHAnsi" w:eastAsia="Times New Roman" w:hAnsiTheme="minorHAnsi" w:cstheme="minorHAnsi"/>
          <w:b/>
          <w:bCs/>
          <w:sz w:val="24"/>
          <w:szCs w:val="24"/>
          <w:lang w:val="en-US"/>
        </w:rPr>
      </w:pPr>
    </w:p>
    <w:p w14:paraId="69777959" w14:textId="3361573E" w:rsidR="00463993" w:rsidRPr="000062FA" w:rsidRDefault="00463993" w:rsidP="00463993">
      <w:pPr>
        <w:pStyle w:val="NoSpacing1"/>
        <w:jc w:val="right"/>
        <w:rPr>
          <w:rFonts w:asciiTheme="minorHAnsi" w:eastAsia="Times New Roman" w:hAnsiTheme="minorHAnsi" w:cstheme="minorHAnsi"/>
          <w:b/>
          <w:bCs/>
          <w:sz w:val="24"/>
          <w:szCs w:val="24"/>
          <w:lang w:val="en-US"/>
        </w:rPr>
      </w:pPr>
      <w:r w:rsidRPr="000062FA">
        <w:rPr>
          <w:rFonts w:asciiTheme="minorHAnsi" w:hAnsiTheme="minorHAnsi" w:cstheme="minorHAnsi"/>
          <w:b/>
          <w:noProof/>
          <w:sz w:val="24"/>
          <w:szCs w:val="24"/>
        </w:rPr>
        <w:drawing>
          <wp:inline distT="0" distB="0" distL="0" distR="0" wp14:anchorId="27774611" wp14:editId="7D3D4A89">
            <wp:extent cx="712470" cy="1341755"/>
            <wp:effectExtent l="0" t="0" r="0" b="0"/>
            <wp:docPr id="1" name="Picture 1" descr="UNDP_logo_tagline_en_for_doc&amp;vacan&amp;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tagline_en_for_doc&amp;vacan&amp;te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0" cy="1341755"/>
                    </a:xfrm>
                    <a:prstGeom prst="rect">
                      <a:avLst/>
                    </a:prstGeom>
                    <a:noFill/>
                    <a:ln>
                      <a:noFill/>
                    </a:ln>
                  </pic:spPr>
                </pic:pic>
              </a:graphicData>
            </a:graphic>
          </wp:inline>
        </w:drawing>
      </w:r>
    </w:p>
    <w:p w14:paraId="1B076C60" w14:textId="04A9E3CE" w:rsidR="00463993" w:rsidRPr="000062FA" w:rsidRDefault="00463993" w:rsidP="00463993">
      <w:pPr>
        <w:pStyle w:val="NoSpacing1"/>
        <w:jc w:val="center"/>
        <w:rPr>
          <w:rFonts w:asciiTheme="minorHAnsi" w:eastAsia="Times New Roman" w:hAnsiTheme="minorHAnsi" w:cstheme="minorHAnsi"/>
          <w:b/>
          <w:bCs/>
          <w:sz w:val="28"/>
          <w:szCs w:val="28"/>
          <w:lang w:val="en-US"/>
        </w:rPr>
      </w:pPr>
      <w:r w:rsidRPr="000062FA">
        <w:rPr>
          <w:rFonts w:asciiTheme="minorHAnsi" w:eastAsia="Times New Roman" w:hAnsiTheme="minorHAnsi" w:cstheme="minorHAnsi"/>
          <w:b/>
          <w:bCs/>
          <w:sz w:val="28"/>
          <w:szCs w:val="28"/>
          <w:lang w:val="en-US"/>
        </w:rPr>
        <w:t>Ref. RFQ-TKM-0</w:t>
      </w:r>
      <w:r w:rsidR="00DD3F4D" w:rsidRPr="000062FA">
        <w:rPr>
          <w:rFonts w:asciiTheme="minorHAnsi" w:eastAsia="Times New Roman" w:hAnsiTheme="minorHAnsi" w:cstheme="minorHAnsi"/>
          <w:b/>
          <w:bCs/>
          <w:sz w:val="28"/>
          <w:szCs w:val="28"/>
          <w:lang w:val="en-US"/>
        </w:rPr>
        <w:t>08</w:t>
      </w:r>
      <w:r w:rsidRPr="000062FA">
        <w:rPr>
          <w:rFonts w:asciiTheme="minorHAnsi" w:eastAsia="Times New Roman" w:hAnsiTheme="minorHAnsi" w:cstheme="minorHAnsi"/>
          <w:b/>
          <w:bCs/>
          <w:sz w:val="28"/>
          <w:szCs w:val="28"/>
          <w:lang w:val="en-US"/>
        </w:rPr>
        <w:t>-201</w:t>
      </w:r>
      <w:r w:rsidR="00DD3F4D" w:rsidRPr="000062FA">
        <w:rPr>
          <w:rFonts w:asciiTheme="minorHAnsi" w:eastAsia="Times New Roman" w:hAnsiTheme="minorHAnsi" w:cstheme="minorHAnsi"/>
          <w:b/>
          <w:bCs/>
          <w:sz w:val="28"/>
          <w:szCs w:val="28"/>
          <w:lang w:val="en-US"/>
        </w:rPr>
        <w:t>9</w:t>
      </w:r>
    </w:p>
    <w:p w14:paraId="06D5555A" w14:textId="77777777" w:rsidR="00463993" w:rsidRPr="000062FA" w:rsidRDefault="00463993" w:rsidP="00463993">
      <w:pPr>
        <w:pStyle w:val="NoSpacing1"/>
        <w:jc w:val="center"/>
        <w:rPr>
          <w:rFonts w:asciiTheme="minorHAnsi" w:eastAsia="Times New Roman" w:hAnsiTheme="minorHAnsi" w:cstheme="minorHAnsi"/>
          <w:b/>
          <w:bCs/>
          <w:sz w:val="28"/>
          <w:szCs w:val="28"/>
          <w:lang w:val="en-US"/>
        </w:rPr>
      </w:pPr>
    </w:p>
    <w:p w14:paraId="1F45332B" w14:textId="6A532E73" w:rsidR="00463993" w:rsidRPr="000062FA" w:rsidRDefault="00A906F0" w:rsidP="00A906F0">
      <w:pPr>
        <w:pStyle w:val="NoSpacing1"/>
        <w:jc w:val="center"/>
        <w:rPr>
          <w:rFonts w:asciiTheme="minorHAnsi" w:eastAsia="Times New Roman" w:hAnsiTheme="minorHAnsi" w:cstheme="minorHAnsi"/>
          <w:b/>
          <w:bCs/>
          <w:sz w:val="28"/>
          <w:szCs w:val="28"/>
          <w:lang w:val="en-US"/>
        </w:rPr>
      </w:pPr>
      <w:r w:rsidRPr="000062FA">
        <w:rPr>
          <w:rFonts w:asciiTheme="minorHAnsi" w:eastAsia="Times New Roman" w:hAnsiTheme="minorHAnsi" w:cstheme="minorHAnsi"/>
          <w:b/>
          <w:bCs/>
          <w:sz w:val="28"/>
          <w:szCs w:val="28"/>
          <w:lang w:val="en-US"/>
        </w:rPr>
        <w:t xml:space="preserve">Procurement and </w:t>
      </w:r>
      <w:bookmarkStart w:id="0" w:name="_Hlk522614228"/>
      <w:r w:rsidRPr="000062FA">
        <w:rPr>
          <w:rFonts w:asciiTheme="minorHAnsi" w:eastAsia="Times New Roman" w:hAnsiTheme="minorHAnsi" w:cstheme="minorHAnsi"/>
          <w:b/>
          <w:bCs/>
          <w:sz w:val="28"/>
          <w:szCs w:val="28"/>
          <w:lang w:val="en-US"/>
        </w:rPr>
        <w:t xml:space="preserve">supply of a solar power supply system for pumping and desalination of water in the villages of </w:t>
      </w:r>
      <w:proofErr w:type="spellStart"/>
      <w:r w:rsidRPr="000062FA">
        <w:rPr>
          <w:rFonts w:asciiTheme="minorHAnsi" w:eastAsia="Times New Roman" w:hAnsiTheme="minorHAnsi" w:cstheme="minorHAnsi"/>
          <w:b/>
          <w:bCs/>
          <w:sz w:val="28"/>
          <w:szCs w:val="28"/>
          <w:lang w:val="en-US"/>
        </w:rPr>
        <w:t>Yel</w:t>
      </w:r>
      <w:proofErr w:type="spellEnd"/>
      <w:r w:rsidRPr="000062FA">
        <w:rPr>
          <w:rFonts w:asciiTheme="minorHAnsi" w:eastAsia="Times New Roman" w:hAnsiTheme="minorHAnsi" w:cstheme="minorHAnsi"/>
          <w:b/>
          <w:bCs/>
          <w:sz w:val="28"/>
          <w:szCs w:val="28"/>
          <w:lang w:val="en-US"/>
        </w:rPr>
        <w:t xml:space="preserve">, </w:t>
      </w:r>
      <w:proofErr w:type="spellStart"/>
      <w:r w:rsidRPr="000062FA">
        <w:rPr>
          <w:rFonts w:asciiTheme="minorHAnsi" w:eastAsia="Times New Roman" w:hAnsiTheme="minorHAnsi" w:cstheme="minorHAnsi"/>
          <w:b/>
          <w:bCs/>
          <w:sz w:val="28"/>
          <w:szCs w:val="28"/>
          <w:lang w:val="en-US"/>
        </w:rPr>
        <w:t>Byashkak</w:t>
      </w:r>
      <w:proofErr w:type="spellEnd"/>
      <w:r w:rsidRPr="000062FA">
        <w:rPr>
          <w:rFonts w:asciiTheme="minorHAnsi" w:eastAsia="Times New Roman" w:hAnsiTheme="minorHAnsi" w:cstheme="minorHAnsi"/>
          <w:b/>
          <w:bCs/>
          <w:sz w:val="28"/>
          <w:szCs w:val="28"/>
          <w:lang w:val="en-US"/>
        </w:rPr>
        <w:t xml:space="preserve">, </w:t>
      </w:r>
      <w:proofErr w:type="spellStart"/>
      <w:r w:rsidRPr="000062FA">
        <w:rPr>
          <w:rFonts w:asciiTheme="minorHAnsi" w:eastAsia="Times New Roman" w:hAnsiTheme="minorHAnsi" w:cstheme="minorHAnsi"/>
          <w:b/>
          <w:bCs/>
          <w:sz w:val="28"/>
          <w:szCs w:val="28"/>
          <w:lang w:val="en-US"/>
        </w:rPr>
        <w:t>Bori</w:t>
      </w:r>
      <w:proofErr w:type="spellEnd"/>
      <w:r w:rsidRPr="000062FA">
        <w:rPr>
          <w:rFonts w:asciiTheme="minorHAnsi" w:eastAsia="Times New Roman" w:hAnsiTheme="minorHAnsi" w:cstheme="minorHAnsi"/>
          <w:b/>
          <w:bCs/>
          <w:sz w:val="28"/>
          <w:szCs w:val="28"/>
          <w:lang w:val="en-US"/>
        </w:rPr>
        <w:t xml:space="preserve"> of </w:t>
      </w:r>
      <w:proofErr w:type="spellStart"/>
      <w:r w:rsidRPr="000062FA">
        <w:rPr>
          <w:rFonts w:asciiTheme="minorHAnsi" w:eastAsia="Times New Roman" w:hAnsiTheme="minorHAnsi" w:cstheme="minorHAnsi"/>
          <w:b/>
          <w:bCs/>
          <w:sz w:val="28"/>
          <w:szCs w:val="28"/>
          <w:lang w:val="en-US"/>
        </w:rPr>
        <w:t>Ahal</w:t>
      </w:r>
      <w:proofErr w:type="spellEnd"/>
      <w:r w:rsidRPr="000062FA">
        <w:rPr>
          <w:rFonts w:asciiTheme="minorHAnsi" w:eastAsia="Times New Roman" w:hAnsiTheme="minorHAnsi" w:cstheme="minorHAnsi"/>
          <w:b/>
          <w:bCs/>
          <w:sz w:val="28"/>
          <w:szCs w:val="28"/>
          <w:lang w:val="en-US"/>
        </w:rPr>
        <w:t xml:space="preserve"> </w:t>
      </w:r>
      <w:proofErr w:type="spellStart"/>
      <w:r w:rsidRPr="000062FA">
        <w:rPr>
          <w:rFonts w:asciiTheme="minorHAnsi" w:eastAsia="Times New Roman" w:hAnsiTheme="minorHAnsi" w:cstheme="minorHAnsi"/>
          <w:b/>
          <w:bCs/>
          <w:sz w:val="28"/>
          <w:szCs w:val="28"/>
          <w:lang w:val="en-US"/>
        </w:rPr>
        <w:t>velayat</w:t>
      </w:r>
      <w:bookmarkEnd w:id="0"/>
      <w:proofErr w:type="spellEnd"/>
      <w:r w:rsidRPr="000062FA">
        <w:rPr>
          <w:rFonts w:asciiTheme="minorHAnsi" w:eastAsia="Times New Roman" w:hAnsiTheme="minorHAnsi" w:cstheme="minorHAnsi"/>
          <w:b/>
          <w:bCs/>
          <w:sz w:val="28"/>
          <w:szCs w:val="28"/>
          <w:lang w:val="en-US"/>
        </w:rPr>
        <w:t xml:space="preserve"> and in the village of </w:t>
      </w:r>
      <w:proofErr w:type="spellStart"/>
      <w:r w:rsidRPr="000062FA">
        <w:rPr>
          <w:rFonts w:asciiTheme="minorHAnsi" w:eastAsia="Times New Roman" w:hAnsiTheme="minorHAnsi" w:cstheme="minorHAnsi"/>
          <w:b/>
          <w:bCs/>
          <w:sz w:val="28"/>
          <w:szCs w:val="28"/>
          <w:lang w:val="en-US"/>
        </w:rPr>
        <w:t>Esenaman</w:t>
      </w:r>
      <w:proofErr w:type="spellEnd"/>
      <w:r w:rsidRPr="000062FA">
        <w:rPr>
          <w:rFonts w:asciiTheme="minorHAnsi" w:eastAsia="Times New Roman" w:hAnsiTheme="minorHAnsi" w:cstheme="minorHAnsi"/>
          <w:b/>
          <w:bCs/>
          <w:sz w:val="28"/>
          <w:szCs w:val="28"/>
          <w:lang w:val="en-US"/>
        </w:rPr>
        <w:t xml:space="preserve">, </w:t>
      </w:r>
      <w:proofErr w:type="spellStart"/>
      <w:r w:rsidRPr="000062FA">
        <w:rPr>
          <w:rFonts w:asciiTheme="minorHAnsi" w:eastAsia="Times New Roman" w:hAnsiTheme="minorHAnsi" w:cstheme="minorHAnsi"/>
          <w:b/>
          <w:bCs/>
          <w:sz w:val="28"/>
          <w:szCs w:val="28"/>
          <w:lang w:val="en-US"/>
        </w:rPr>
        <w:t>Garagum</w:t>
      </w:r>
      <w:proofErr w:type="spellEnd"/>
      <w:r w:rsidRPr="000062FA">
        <w:rPr>
          <w:rFonts w:asciiTheme="minorHAnsi" w:eastAsia="Times New Roman" w:hAnsiTheme="minorHAnsi" w:cstheme="minorHAnsi"/>
          <w:b/>
          <w:bCs/>
          <w:sz w:val="28"/>
          <w:szCs w:val="28"/>
          <w:lang w:val="en-US"/>
        </w:rPr>
        <w:t xml:space="preserve"> livestock association of </w:t>
      </w:r>
      <w:proofErr w:type="spellStart"/>
      <w:r w:rsidRPr="000062FA">
        <w:rPr>
          <w:rFonts w:asciiTheme="minorHAnsi" w:eastAsia="Times New Roman" w:hAnsiTheme="minorHAnsi" w:cstheme="minorHAnsi"/>
          <w:b/>
          <w:bCs/>
          <w:sz w:val="28"/>
          <w:szCs w:val="28"/>
          <w:lang w:val="en-US"/>
        </w:rPr>
        <w:t>Dashoguz</w:t>
      </w:r>
      <w:proofErr w:type="spellEnd"/>
      <w:r w:rsidRPr="000062FA">
        <w:rPr>
          <w:rFonts w:asciiTheme="minorHAnsi" w:eastAsia="Times New Roman" w:hAnsiTheme="minorHAnsi" w:cstheme="minorHAnsi"/>
          <w:b/>
          <w:bCs/>
          <w:sz w:val="28"/>
          <w:szCs w:val="28"/>
          <w:lang w:val="en-US"/>
        </w:rPr>
        <w:t xml:space="preserve"> </w:t>
      </w:r>
      <w:proofErr w:type="spellStart"/>
      <w:r w:rsidRPr="000062FA">
        <w:rPr>
          <w:rFonts w:asciiTheme="minorHAnsi" w:eastAsia="Times New Roman" w:hAnsiTheme="minorHAnsi" w:cstheme="minorHAnsi"/>
          <w:b/>
          <w:bCs/>
          <w:sz w:val="28"/>
          <w:szCs w:val="28"/>
          <w:lang w:val="en-US"/>
        </w:rPr>
        <w:t>velayat</w:t>
      </w:r>
      <w:proofErr w:type="spellEnd"/>
      <w:r w:rsidRPr="000062FA">
        <w:rPr>
          <w:rFonts w:asciiTheme="minorHAnsi" w:eastAsia="Times New Roman" w:hAnsiTheme="minorHAnsi" w:cstheme="minorHAnsi"/>
          <w:b/>
          <w:bCs/>
          <w:sz w:val="28"/>
          <w:szCs w:val="28"/>
          <w:lang w:val="en-US"/>
        </w:rPr>
        <w:t>.</w:t>
      </w:r>
    </w:p>
    <w:p w14:paraId="1429E7B8" w14:textId="77777777" w:rsidR="00A906F0" w:rsidRPr="000062FA" w:rsidRDefault="00A906F0" w:rsidP="00463993">
      <w:pPr>
        <w:pStyle w:val="NoSpacing"/>
        <w:ind w:left="-90" w:right="-360"/>
        <w:jc w:val="center"/>
        <w:rPr>
          <w:rFonts w:asciiTheme="minorHAnsi" w:eastAsia="Times New Roman" w:hAnsiTheme="minorHAnsi" w:cstheme="minorHAnsi"/>
          <w:b/>
          <w:bCs/>
          <w:sz w:val="24"/>
          <w:szCs w:val="24"/>
          <w:lang w:val="en-US"/>
        </w:rPr>
      </w:pPr>
    </w:p>
    <w:tbl>
      <w:tblPr>
        <w:tblW w:w="1349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1263"/>
        <w:gridCol w:w="1315"/>
        <w:gridCol w:w="5003"/>
        <w:gridCol w:w="5909"/>
      </w:tblGrid>
      <w:tr w:rsidR="00463993" w:rsidRPr="000062FA" w14:paraId="135166F1" w14:textId="77777777" w:rsidTr="00A906F0">
        <w:tc>
          <w:tcPr>
            <w:tcW w:w="1263" w:type="dxa"/>
            <w:shd w:val="clear" w:color="auto" w:fill="BFBFBF"/>
            <w:vAlign w:val="center"/>
          </w:tcPr>
          <w:p w14:paraId="3CC8AF78" w14:textId="77777777" w:rsidR="00463993" w:rsidRPr="000062FA" w:rsidRDefault="00463993" w:rsidP="008E7D96">
            <w:pPr>
              <w:jc w:val="center"/>
              <w:rPr>
                <w:rFonts w:asciiTheme="minorHAnsi" w:hAnsiTheme="minorHAnsi" w:cstheme="minorHAnsi"/>
                <w:b/>
              </w:rPr>
            </w:pPr>
            <w:r w:rsidRPr="000062FA">
              <w:rPr>
                <w:rFonts w:asciiTheme="minorHAnsi" w:hAnsiTheme="minorHAnsi" w:cstheme="minorHAnsi"/>
                <w:b/>
              </w:rPr>
              <w:t>Questions &amp;</w:t>
            </w:r>
          </w:p>
          <w:p w14:paraId="7A0066EE" w14:textId="77777777" w:rsidR="00463993" w:rsidRPr="000062FA" w:rsidRDefault="00463993" w:rsidP="008E7D96">
            <w:pPr>
              <w:jc w:val="center"/>
              <w:rPr>
                <w:rFonts w:asciiTheme="minorHAnsi" w:hAnsiTheme="minorHAnsi" w:cstheme="minorHAnsi"/>
              </w:rPr>
            </w:pPr>
            <w:r w:rsidRPr="000062FA">
              <w:rPr>
                <w:rFonts w:asciiTheme="minorHAnsi" w:hAnsiTheme="minorHAnsi" w:cstheme="minorHAnsi"/>
                <w:b/>
              </w:rPr>
              <w:t>Answers</w:t>
            </w:r>
          </w:p>
        </w:tc>
        <w:tc>
          <w:tcPr>
            <w:tcW w:w="1315" w:type="dxa"/>
            <w:shd w:val="clear" w:color="auto" w:fill="BFBFBF"/>
            <w:vAlign w:val="center"/>
          </w:tcPr>
          <w:p w14:paraId="7C79BE94" w14:textId="77777777" w:rsidR="00463993" w:rsidRPr="000062FA" w:rsidRDefault="00463993" w:rsidP="008E7D96">
            <w:pPr>
              <w:snapToGrid w:val="0"/>
              <w:jc w:val="center"/>
              <w:rPr>
                <w:rFonts w:asciiTheme="minorHAnsi" w:hAnsiTheme="minorHAnsi" w:cstheme="minorHAnsi"/>
                <w:b/>
              </w:rPr>
            </w:pPr>
          </w:p>
          <w:p w14:paraId="6591395C" w14:textId="77777777" w:rsidR="00463993" w:rsidRPr="000062FA" w:rsidRDefault="00463993" w:rsidP="008E7D96">
            <w:pPr>
              <w:jc w:val="center"/>
              <w:rPr>
                <w:rFonts w:asciiTheme="minorHAnsi" w:hAnsiTheme="minorHAnsi" w:cstheme="minorHAnsi"/>
                <w:b/>
              </w:rPr>
            </w:pPr>
            <w:r w:rsidRPr="000062FA">
              <w:rPr>
                <w:rFonts w:asciiTheme="minorHAnsi" w:hAnsiTheme="minorHAnsi" w:cstheme="minorHAnsi"/>
                <w:b/>
              </w:rPr>
              <w:t xml:space="preserve">Date </w:t>
            </w:r>
          </w:p>
          <w:p w14:paraId="0F527988" w14:textId="77777777" w:rsidR="00463993" w:rsidRPr="000062FA" w:rsidRDefault="00463993" w:rsidP="008E7D96">
            <w:pPr>
              <w:jc w:val="center"/>
              <w:rPr>
                <w:rFonts w:asciiTheme="minorHAnsi" w:hAnsiTheme="minorHAnsi" w:cstheme="minorHAnsi"/>
                <w:b/>
                <w:lang w:val="ru-RU"/>
              </w:rPr>
            </w:pPr>
          </w:p>
        </w:tc>
        <w:tc>
          <w:tcPr>
            <w:tcW w:w="5003" w:type="dxa"/>
            <w:shd w:val="clear" w:color="auto" w:fill="BFBFBF"/>
            <w:vAlign w:val="center"/>
          </w:tcPr>
          <w:p w14:paraId="6A0D1A97" w14:textId="77777777" w:rsidR="00463993" w:rsidRPr="000062FA" w:rsidRDefault="00463993" w:rsidP="008E7D96">
            <w:pPr>
              <w:jc w:val="center"/>
              <w:rPr>
                <w:rFonts w:asciiTheme="minorHAnsi" w:hAnsiTheme="minorHAnsi" w:cstheme="minorHAnsi"/>
              </w:rPr>
            </w:pPr>
            <w:r w:rsidRPr="000062FA">
              <w:rPr>
                <w:rFonts w:asciiTheme="minorHAnsi" w:hAnsiTheme="minorHAnsi" w:cstheme="minorHAnsi"/>
                <w:b/>
              </w:rPr>
              <w:t xml:space="preserve">Question </w:t>
            </w:r>
          </w:p>
        </w:tc>
        <w:tc>
          <w:tcPr>
            <w:tcW w:w="5909" w:type="dxa"/>
            <w:shd w:val="clear" w:color="auto" w:fill="BFBFBF"/>
            <w:vAlign w:val="center"/>
          </w:tcPr>
          <w:p w14:paraId="13C1F7F0" w14:textId="77777777" w:rsidR="00463993" w:rsidRPr="000062FA" w:rsidRDefault="00463993" w:rsidP="008E7D96">
            <w:pPr>
              <w:jc w:val="center"/>
              <w:rPr>
                <w:rFonts w:asciiTheme="minorHAnsi" w:hAnsiTheme="minorHAnsi" w:cstheme="minorHAnsi"/>
              </w:rPr>
            </w:pPr>
            <w:r w:rsidRPr="000062FA">
              <w:rPr>
                <w:rFonts w:asciiTheme="minorHAnsi" w:hAnsiTheme="minorHAnsi" w:cstheme="minorHAnsi"/>
                <w:b/>
              </w:rPr>
              <w:t>Answer</w:t>
            </w:r>
          </w:p>
        </w:tc>
      </w:tr>
      <w:tr w:rsidR="00463993" w:rsidRPr="000062FA" w14:paraId="0A62DC74" w14:textId="77777777" w:rsidTr="00A906F0">
        <w:trPr>
          <w:trHeight w:val="4499"/>
        </w:trPr>
        <w:tc>
          <w:tcPr>
            <w:tcW w:w="1263" w:type="dxa"/>
            <w:shd w:val="clear" w:color="auto" w:fill="FFFFFF"/>
          </w:tcPr>
          <w:p w14:paraId="34E6DA3B" w14:textId="77777777" w:rsidR="00463993" w:rsidRPr="000062FA" w:rsidRDefault="00463993" w:rsidP="008E7D96">
            <w:pPr>
              <w:jc w:val="center"/>
              <w:rPr>
                <w:rFonts w:asciiTheme="minorHAnsi" w:hAnsiTheme="minorHAnsi" w:cstheme="minorHAnsi"/>
              </w:rPr>
            </w:pPr>
            <w:r w:rsidRPr="000062FA">
              <w:rPr>
                <w:rFonts w:asciiTheme="minorHAnsi" w:hAnsiTheme="minorHAnsi" w:cstheme="minorHAnsi"/>
              </w:rPr>
              <w:t>Round 1</w:t>
            </w:r>
          </w:p>
        </w:tc>
        <w:tc>
          <w:tcPr>
            <w:tcW w:w="1315" w:type="dxa"/>
            <w:shd w:val="clear" w:color="auto" w:fill="FFFFFF"/>
          </w:tcPr>
          <w:p w14:paraId="174EE97F" w14:textId="7539CEC8" w:rsidR="00463993" w:rsidRPr="000062FA" w:rsidRDefault="00B32EF7" w:rsidP="008E7D96">
            <w:pPr>
              <w:jc w:val="center"/>
              <w:rPr>
                <w:rFonts w:asciiTheme="minorHAnsi" w:hAnsiTheme="minorHAnsi" w:cstheme="minorHAnsi"/>
              </w:rPr>
            </w:pPr>
            <w:r>
              <w:rPr>
                <w:rFonts w:asciiTheme="minorHAnsi" w:hAnsiTheme="minorHAnsi" w:cstheme="minorHAnsi"/>
                <w:lang w:val="ru-RU"/>
              </w:rPr>
              <w:t>21.05</w:t>
            </w:r>
            <w:r w:rsidR="00A906F0" w:rsidRPr="000062FA">
              <w:rPr>
                <w:rFonts w:asciiTheme="minorHAnsi" w:hAnsiTheme="minorHAnsi" w:cstheme="minorHAnsi"/>
              </w:rPr>
              <w:t>.2019</w:t>
            </w:r>
          </w:p>
        </w:tc>
        <w:tc>
          <w:tcPr>
            <w:tcW w:w="5003" w:type="dxa"/>
            <w:shd w:val="clear" w:color="auto" w:fill="FFFFFF"/>
          </w:tcPr>
          <w:p w14:paraId="62EC7696" w14:textId="10233BBB" w:rsidR="00B32EF7"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t xml:space="preserve">1. Manufacturers of equipment for solar energy start production only after receiving the order. Therefore, </w:t>
            </w:r>
            <w:proofErr w:type="gramStart"/>
            <w:r w:rsidRPr="00B32EF7">
              <w:rPr>
                <w:rFonts w:asciiTheme="minorHAnsi" w:hAnsiTheme="minorHAnsi" w:cstheme="minorHAnsi"/>
                <w:color w:val="000000"/>
              </w:rPr>
              <w:t>taking into account</w:t>
            </w:r>
            <w:proofErr w:type="gramEnd"/>
            <w:r w:rsidRPr="00B32EF7">
              <w:rPr>
                <w:rFonts w:asciiTheme="minorHAnsi" w:hAnsiTheme="minorHAnsi" w:cstheme="minorHAnsi"/>
                <w:color w:val="000000"/>
              </w:rPr>
              <w:t xml:space="preserve"> the </w:t>
            </w:r>
            <w:r>
              <w:rPr>
                <w:rFonts w:asciiTheme="minorHAnsi" w:hAnsiTheme="minorHAnsi" w:cstheme="minorHAnsi"/>
                <w:color w:val="000000"/>
              </w:rPr>
              <w:t xml:space="preserve">manufacturing </w:t>
            </w:r>
            <w:r w:rsidRPr="00B32EF7">
              <w:rPr>
                <w:rFonts w:asciiTheme="minorHAnsi" w:hAnsiTheme="minorHAnsi" w:cstheme="minorHAnsi"/>
                <w:color w:val="000000"/>
              </w:rPr>
              <w:t xml:space="preserve">time, delivery and installation, the term of the contract </w:t>
            </w:r>
            <w:r>
              <w:rPr>
                <w:rFonts w:asciiTheme="minorHAnsi" w:hAnsiTheme="minorHAnsi" w:cstheme="minorHAnsi"/>
                <w:color w:val="000000"/>
              </w:rPr>
              <w:t>for delivery-</w:t>
            </w:r>
            <w:r w:rsidRPr="00B32EF7">
              <w:rPr>
                <w:rFonts w:asciiTheme="minorHAnsi" w:hAnsiTheme="minorHAnsi" w:cstheme="minorHAnsi"/>
                <w:color w:val="000000"/>
              </w:rPr>
              <w:t>30 days is not real. In this regard, is it possible to set the deadline for the contact 90 days?</w:t>
            </w:r>
          </w:p>
          <w:p w14:paraId="32B73EE4" w14:textId="3AF46F05" w:rsidR="00822DA3" w:rsidRDefault="00822DA3" w:rsidP="00B32EF7">
            <w:pPr>
              <w:pStyle w:val="xmsonormal"/>
              <w:shd w:val="clear" w:color="auto" w:fill="FFFFFF"/>
              <w:rPr>
                <w:rFonts w:asciiTheme="minorHAnsi" w:hAnsiTheme="minorHAnsi" w:cstheme="minorHAnsi"/>
                <w:color w:val="000000"/>
              </w:rPr>
            </w:pPr>
          </w:p>
          <w:p w14:paraId="523DDAB3" w14:textId="48CDC141" w:rsidR="00B32EF7"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t>2. To select a pump, you must specify the depth of immersion</w:t>
            </w:r>
            <w:r>
              <w:rPr>
                <w:rFonts w:asciiTheme="minorHAnsi" w:hAnsiTheme="minorHAnsi" w:cstheme="minorHAnsi"/>
                <w:color w:val="000000"/>
              </w:rPr>
              <w:t xml:space="preserve"> of </w:t>
            </w:r>
            <w:r w:rsidRPr="00B32EF7">
              <w:rPr>
                <w:rFonts w:asciiTheme="minorHAnsi" w:hAnsiTheme="minorHAnsi" w:cstheme="minorHAnsi"/>
                <w:color w:val="000000"/>
              </w:rPr>
              <w:t>submersible pump or reservoir depth. Therefore, we ask you to let us know these values ​​if possible.</w:t>
            </w:r>
          </w:p>
          <w:p w14:paraId="187BBD85" w14:textId="77777777" w:rsidR="00822DA3" w:rsidRPr="00B32EF7" w:rsidRDefault="00822DA3" w:rsidP="00B32EF7">
            <w:pPr>
              <w:pStyle w:val="xmsonormal"/>
              <w:shd w:val="clear" w:color="auto" w:fill="FFFFFF"/>
              <w:rPr>
                <w:rFonts w:asciiTheme="minorHAnsi" w:hAnsiTheme="minorHAnsi" w:cstheme="minorHAnsi"/>
                <w:color w:val="000000"/>
              </w:rPr>
            </w:pPr>
          </w:p>
          <w:p w14:paraId="588F37C1" w14:textId="5E22682A" w:rsidR="00B32EF7"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lastRenderedPageBreak/>
              <w:t xml:space="preserve">3. In the tables, </w:t>
            </w:r>
            <w:r>
              <w:rPr>
                <w:rFonts w:asciiTheme="minorHAnsi" w:hAnsiTheme="minorHAnsi" w:cstheme="minorHAnsi"/>
                <w:color w:val="000000"/>
              </w:rPr>
              <w:t>there is no specification in the tender of</w:t>
            </w:r>
            <w:r w:rsidRPr="00B32EF7">
              <w:rPr>
                <w:rFonts w:asciiTheme="minorHAnsi" w:hAnsiTheme="minorHAnsi" w:cstheme="minorHAnsi"/>
                <w:color w:val="000000"/>
              </w:rPr>
              <w:t xml:space="preserve"> design supports for solar panels and racks for batteries.</w:t>
            </w:r>
          </w:p>
          <w:p w14:paraId="6902ECB8" w14:textId="30404A67" w:rsidR="00822DA3" w:rsidRDefault="00822DA3" w:rsidP="00B32EF7">
            <w:pPr>
              <w:pStyle w:val="xmsonormal"/>
              <w:shd w:val="clear" w:color="auto" w:fill="FFFFFF"/>
              <w:rPr>
                <w:rFonts w:asciiTheme="minorHAnsi" w:hAnsiTheme="minorHAnsi" w:cstheme="minorHAnsi"/>
                <w:color w:val="000000"/>
              </w:rPr>
            </w:pPr>
          </w:p>
          <w:p w14:paraId="2D73190D" w14:textId="77777777" w:rsidR="00822DA3" w:rsidRPr="00B32EF7" w:rsidRDefault="00822DA3" w:rsidP="00B32EF7">
            <w:pPr>
              <w:pStyle w:val="xmsonormal"/>
              <w:shd w:val="clear" w:color="auto" w:fill="FFFFFF"/>
              <w:rPr>
                <w:rFonts w:asciiTheme="minorHAnsi" w:hAnsiTheme="minorHAnsi" w:cstheme="minorHAnsi"/>
                <w:color w:val="000000"/>
              </w:rPr>
            </w:pPr>
          </w:p>
          <w:p w14:paraId="095ADA5B" w14:textId="6DE43909" w:rsidR="00B32EF7"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t xml:space="preserve">4. For the village of </w:t>
            </w:r>
            <w:proofErr w:type="spellStart"/>
            <w:r w:rsidRPr="00B32EF7">
              <w:rPr>
                <w:rFonts w:asciiTheme="minorHAnsi" w:hAnsiTheme="minorHAnsi" w:cstheme="minorHAnsi"/>
                <w:color w:val="000000"/>
              </w:rPr>
              <w:t>Yel</w:t>
            </w:r>
            <w:proofErr w:type="spellEnd"/>
            <w:r w:rsidRPr="00B32EF7">
              <w:rPr>
                <w:rFonts w:asciiTheme="minorHAnsi" w:hAnsiTheme="minorHAnsi" w:cstheme="minorHAnsi"/>
                <w:color w:val="000000"/>
              </w:rPr>
              <w:t xml:space="preserve"> and </w:t>
            </w:r>
            <w:proofErr w:type="spellStart"/>
            <w:r w:rsidRPr="00B32EF7">
              <w:rPr>
                <w:rFonts w:asciiTheme="minorHAnsi" w:hAnsiTheme="minorHAnsi" w:cstheme="minorHAnsi"/>
                <w:color w:val="000000"/>
              </w:rPr>
              <w:t>Bashkak</w:t>
            </w:r>
            <w:proofErr w:type="spellEnd"/>
            <w:r w:rsidRPr="00B32EF7">
              <w:rPr>
                <w:rFonts w:asciiTheme="minorHAnsi" w:hAnsiTheme="minorHAnsi" w:cstheme="minorHAnsi"/>
                <w:color w:val="000000"/>
              </w:rPr>
              <w:t xml:space="preserve">, inverters with an input voltage of 48 Volts and a 12V 200Ah battery are </w:t>
            </w:r>
            <w:r>
              <w:rPr>
                <w:rFonts w:asciiTheme="minorHAnsi" w:hAnsiTheme="minorHAnsi" w:cstheme="minorHAnsi"/>
                <w:color w:val="000000"/>
              </w:rPr>
              <w:t>specified</w:t>
            </w:r>
            <w:r w:rsidRPr="00B32EF7">
              <w:rPr>
                <w:rFonts w:asciiTheme="minorHAnsi" w:hAnsiTheme="minorHAnsi" w:cstheme="minorHAnsi"/>
                <w:color w:val="000000"/>
              </w:rPr>
              <w:t xml:space="preserve">. Is it possible to use 4 pcs of </w:t>
            </w:r>
            <w:proofErr w:type="gramStart"/>
            <w:r w:rsidRPr="00B32EF7">
              <w:rPr>
                <w:rFonts w:asciiTheme="minorHAnsi" w:hAnsiTheme="minorHAnsi" w:cstheme="minorHAnsi"/>
                <w:color w:val="000000"/>
              </w:rPr>
              <w:t>12 volt</w:t>
            </w:r>
            <w:proofErr w:type="gramEnd"/>
            <w:r w:rsidRPr="00B32EF7">
              <w:rPr>
                <w:rFonts w:asciiTheme="minorHAnsi" w:hAnsiTheme="minorHAnsi" w:cstheme="minorHAnsi"/>
                <w:color w:val="000000"/>
              </w:rPr>
              <w:t xml:space="preserve"> batteries with a capacity of 50Ah each?</w:t>
            </w:r>
          </w:p>
          <w:p w14:paraId="676CFFB5" w14:textId="5B9AC341" w:rsidR="008A0EF4" w:rsidRDefault="008A0EF4" w:rsidP="00B32EF7">
            <w:pPr>
              <w:pStyle w:val="xmsonormal"/>
              <w:shd w:val="clear" w:color="auto" w:fill="FFFFFF"/>
              <w:rPr>
                <w:rFonts w:asciiTheme="minorHAnsi" w:hAnsiTheme="minorHAnsi" w:cstheme="minorHAnsi"/>
                <w:color w:val="000000"/>
              </w:rPr>
            </w:pPr>
          </w:p>
          <w:p w14:paraId="5B418228" w14:textId="77777777" w:rsidR="008A0EF4" w:rsidRDefault="008A0EF4" w:rsidP="00B32EF7">
            <w:pPr>
              <w:pStyle w:val="xmsonormal"/>
              <w:shd w:val="clear" w:color="auto" w:fill="FFFFFF"/>
              <w:rPr>
                <w:rFonts w:asciiTheme="minorHAnsi" w:hAnsiTheme="minorHAnsi" w:cstheme="minorHAnsi"/>
                <w:color w:val="000000"/>
              </w:rPr>
            </w:pPr>
          </w:p>
          <w:p w14:paraId="6F98BA43" w14:textId="512E829E" w:rsidR="00822DA3" w:rsidRDefault="00822DA3" w:rsidP="00B32EF7">
            <w:pPr>
              <w:pStyle w:val="xmsonormal"/>
              <w:shd w:val="clear" w:color="auto" w:fill="FFFFFF"/>
              <w:rPr>
                <w:rFonts w:asciiTheme="minorHAnsi" w:hAnsiTheme="minorHAnsi" w:cstheme="minorHAnsi"/>
                <w:color w:val="000000"/>
              </w:rPr>
            </w:pPr>
          </w:p>
          <w:p w14:paraId="0055BEFE" w14:textId="748CD6B5" w:rsidR="00822DA3" w:rsidRDefault="00822DA3" w:rsidP="00B32EF7">
            <w:pPr>
              <w:pStyle w:val="xmsonormal"/>
              <w:shd w:val="clear" w:color="auto" w:fill="FFFFFF"/>
              <w:rPr>
                <w:rFonts w:asciiTheme="minorHAnsi" w:hAnsiTheme="minorHAnsi" w:cstheme="minorHAnsi"/>
                <w:color w:val="000000"/>
              </w:rPr>
            </w:pPr>
          </w:p>
          <w:p w14:paraId="740DE273" w14:textId="53B550A9" w:rsidR="008A0EF4"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t xml:space="preserve">5. For the village of </w:t>
            </w:r>
            <w:proofErr w:type="spellStart"/>
            <w:r w:rsidRPr="00B32EF7">
              <w:rPr>
                <w:rFonts w:asciiTheme="minorHAnsi" w:hAnsiTheme="minorHAnsi" w:cstheme="minorHAnsi"/>
                <w:color w:val="000000"/>
              </w:rPr>
              <w:t>Esenaman</w:t>
            </w:r>
            <w:proofErr w:type="spellEnd"/>
            <w:r w:rsidRPr="00B32EF7">
              <w:rPr>
                <w:rFonts w:asciiTheme="minorHAnsi" w:hAnsiTheme="minorHAnsi" w:cstheme="minorHAnsi"/>
                <w:color w:val="000000"/>
              </w:rPr>
              <w:t xml:space="preserve">, </w:t>
            </w:r>
            <w:r w:rsidR="008A0EF4">
              <w:rPr>
                <w:rFonts w:asciiTheme="minorHAnsi" w:hAnsiTheme="minorHAnsi" w:cstheme="minorHAnsi"/>
                <w:color w:val="000000"/>
              </w:rPr>
              <w:t>there is</w:t>
            </w:r>
            <w:r w:rsidRPr="00B32EF7">
              <w:rPr>
                <w:rFonts w:asciiTheme="minorHAnsi" w:hAnsiTheme="minorHAnsi" w:cstheme="minorHAnsi"/>
                <w:color w:val="000000"/>
              </w:rPr>
              <w:t xml:space="preserve"> the battery system </w:t>
            </w:r>
            <w:r w:rsidR="008A0EF4">
              <w:rPr>
                <w:rFonts w:asciiTheme="minorHAnsi" w:hAnsiTheme="minorHAnsi" w:cstheme="minorHAnsi"/>
                <w:color w:val="000000"/>
              </w:rPr>
              <w:t>specified</w:t>
            </w:r>
            <w:r w:rsidRPr="00B32EF7">
              <w:rPr>
                <w:rFonts w:asciiTheme="minorHAnsi" w:hAnsiTheme="minorHAnsi" w:cstheme="minorHAnsi"/>
                <w:color w:val="000000"/>
              </w:rPr>
              <w:t>, but the battery is not listed in the price table.</w:t>
            </w:r>
          </w:p>
          <w:p w14:paraId="20882679" w14:textId="2238A42F" w:rsidR="00822DA3" w:rsidRDefault="00822DA3" w:rsidP="00B32EF7">
            <w:pPr>
              <w:pStyle w:val="xmsonormal"/>
              <w:shd w:val="clear" w:color="auto" w:fill="FFFFFF"/>
              <w:rPr>
                <w:rFonts w:asciiTheme="minorHAnsi" w:hAnsiTheme="minorHAnsi" w:cstheme="minorHAnsi"/>
                <w:color w:val="000000"/>
              </w:rPr>
            </w:pPr>
          </w:p>
          <w:p w14:paraId="61B04DBF" w14:textId="77777777" w:rsidR="008A0EF4" w:rsidRDefault="008A0EF4" w:rsidP="00B32EF7">
            <w:pPr>
              <w:pStyle w:val="xmsonormal"/>
              <w:shd w:val="clear" w:color="auto" w:fill="FFFFFF"/>
              <w:rPr>
                <w:rFonts w:asciiTheme="minorHAnsi" w:hAnsiTheme="minorHAnsi" w:cstheme="minorHAnsi"/>
                <w:color w:val="000000"/>
              </w:rPr>
            </w:pPr>
          </w:p>
          <w:p w14:paraId="2875EE7D" w14:textId="77777777" w:rsidR="008A0EF4" w:rsidRDefault="008A0EF4" w:rsidP="00B32EF7">
            <w:pPr>
              <w:pStyle w:val="xmsonormal"/>
              <w:shd w:val="clear" w:color="auto" w:fill="FFFFFF"/>
              <w:rPr>
                <w:rFonts w:asciiTheme="minorHAnsi" w:hAnsiTheme="minorHAnsi" w:cstheme="minorHAnsi"/>
                <w:color w:val="000000"/>
              </w:rPr>
            </w:pPr>
          </w:p>
          <w:p w14:paraId="32AC7A32" w14:textId="4F4B0315" w:rsidR="00B32EF7" w:rsidRPr="00B32EF7" w:rsidRDefault="00B32EF7" w:rsidP="00B32EF7">
            <w:pPr>
              <w:pStyle w:val="xmsonormal"/>
              <w:shd w:val="clear" w:color="auto" w:fill="FFFFFF"/>
              <w:rPr>
                <w:rFonts w:asciiTheme="minorHAnsi" w:hAnsiTheme="minorHAnsi" w:cstheme="minorHAnsi"/>
                <w:color w:val="000000"/>
              </w:rPr>
            </w:pPr>
            <w:r w:rsidRPr="00B32EF7">
              <w:rPr>
                <w:rFonts w:asciiTheme="minorHAnsi" w:hAnsiTheme="minorHAnsi" w:cstheme="minorHAnsi"/>
                <w:color w:val="000000"/>
              </w:rPr>
              <w:t xml:space="preserve">6. The tables contain cables, but no protective elements such as ducts or corrugated pipes are </w:t>
            </w:r>
            <w:r>
              <w:rPr>
                <w:rFonts w:asciiTheme="minorHAnsi" w:hAnsiTheme="minorHAnsi" w:cstheme="minorHAnsi"/>
                <w:color w:val="000000"/>
              </w:rPr>
              <w:t>specified.</w:t>
            </w:r>
          </w:p>
          <w:p w14:paraId="58F5D793" w14:textId="1DD89DDE" w:rsidR="00463993" w:rsidRPr="000062FA" w:rsidRDefault="00B32EF7" w:rsidP="00B32EF7">
            <w:pPr>
              <w:pStyle w:val="xmsonormal"/>
              <w:shd w:val="clear" w:color="auto" w:fill="FFFFFF"/>
              <w:spacing w:before="0" w:after="0"/>
              <w:rPr>
                <w:rFonts w:asciiTheme="minorHAnsi" w:hAnsiTheme="minorHAnsi" w:cstheme="minorHAnsi"/>
                <w:color w:val="000000"/>
              </w:rPr>
            </w:pPr>
            <w:r w:rsidRPr="00B32EF7">
              <w:rPr>
                <w:rFonts w:asciiTheme="minorHAnsi" w:hAnsiTheme="minorHAnsi" w:cstheme="minorHAnsi"/>
                <w:color w:val="000000"/>
              </w:rPr>
              <w:lastRenderedPageBreak/>
              <w:t>7. Can you also clarify the working conditions of foreign companies in Turkmenistan?</w:t>
            </w:r>
          </w:p>
        </w:tc>
        <w:tc>
          <w:tcPr>
            <w:tcW w:w="5909" w:type="dxa"/>
            <w:shd w:val="clear" w:color="auto" w:fill="FFFFFF"/>
          </w:tcPr>
          <w:p w14:paraId="7B311BDD" w14:textId="2CE7EA7C" w:rsidR="00822DA3" w:rsidRPr="00822DA3" w:rsidRDefault="00822DA3" w:rsidP="00822DA3">
            <w:pPr>
              <w:rPr>
                <w:rFonts w:asciiTheme="minorHAnsi" w:hAnsiTheme="minorHAnsi" w:cstheme="minorHAnsi"/>
              </w:rPr>
            </w:pPr>
            <w:r w:rsidRPr="00822DA3">
              <w:rPr>
                <w:rFonts w:asciiTheme="minorHAnsi" w:hAnsiTheme="minorHAnsi" w:cstheme="minorHAnsi"/>
              </w:rPr>
              <w:lastRenderedPageBreak/>
              <w:t>1. Since the volume of required solar panels is small, it is expected that ready-made panels are available or production of such a small volume is possible in a short time. At the same time, tender</w:t>
            </w:r>
            <w:r>
              <w:rPr>
                <w:rFonts w:asciiTheme="minorHAnsi" w:hAnsiTheme="minorHAnsi" w:cstheme="minorHAnsi"/>
              </w:rPr>
              <w:t xml:space="preserve"> applicants</w:t>
            </w:r>
            <w:r w:rsidRPr="00822DA3">
              <w:rPr>
                <w:rFonts w:asciiTheme="minorHAnsi" w:hAnsiTheme="minorHAnsi" w:cstheme="minorHAnsi"/>
              </w:rPr>
              <w:t xml:space="preserve"> may indicate the </w:t>
            </w:r>
            <w:r>
              <w:rPr>
                <w:rFonts w:asciiTheme="minorHAnsi" w:hAnsiTheme="minorHAnsi" w:cstheme="minorHAnsi"/>
              </w:rPr>
              <w:t xml:space="preserve">real </w:t>
            </w:r>
            <w:r w:rsidRPr="00822DA3">
              <w:rPr>
                <w:rFonts w:asciiTheme="minorHAnsi" w:hAnsiTheme="minorHAnsi" w:cstheme="minorHAnsi"/>
              </w:rPr>
              <w:t>time for performance of the contract (delivery time of materials and equipment) of more than 30 days and this will not be the key criterion for evaluating the participants.</w:t>
            </w:r>
          </w:p>
          <w:p w14:paraId="2606D763" w14:textId="77777777" w:rsidR="00822DA3" w:rsidRPr="00822DA3" w:rsidRDefault="00822DA3" w:rsidP="00822DA3">
            <w:pPr>
              <w:rPr>
                <w:rFonts w:asciiTheme="minorHAnsi" w:hAnsiTheme="minorHAnsi" w:cstheme="minorHAnsi"/>
              </w:rPr>
            </w:pPr>
          </w:p>
          <w:p w14:paraId="5CB94745" w14:textId="77777777" w:rsidR="00822DA3" w:rsidRPr="00822DA3" w:rsidRDefault="00822DA3" w:rsidP="00822DA3">
            <w:pPr>
              <w:rPr>
                <w:rFonts w:asciiTheme="minorHAnsi" w:hAnsiTheme="minorHAnsi" w:cstheme="minorHAnsi"/>
              </w:rPr>
            </w:pPr>
          </w:p>
          <w:p w14:paraId="4AF01B60" w14:textId="4E1DFBB6" w:rsidR="00822DA3" w:rsidRPr="00822DA3" w:rsidRDefault="00822DA3" w:rsidP="00822DA3">
            <w:pPr>
              <w:rPr>
                <w:rFonts w:asciiTheme="minorHAnsi" w:hAnsiTheme="minorHAnsi" w:cstheme="minorHAnsi"/>
              </w:rPr>
            </w:pPr>
            <w:r w:rsidRPr="00822DA3">
              <w:rPr>
                <w:rFonts w:asciiTheme="minorHAnsi" w:hAnsiTheme="minorHAnsi" w:cstheme="minorHAnsi"/>
              </w:rPr>
              <w:t>2. The level (depth) of water in a well</w:t>
            </w:r>
            <w:r>
              <w:rPr>
                <w:rFonts w:asciiTheme="minorHAnsi" w:hAnsiTheme="minorHAnsi" w:cstheme="minorHAnsi"/>
              </w:rPr>
              <w:t>/</w:t>
            </w:r>
            <w:proofErr w:type="spellStart"/>
            <w:r w:rsidRPr="00822DA3">
              <w:rPr>
                <w:rFonts w:asciiTheme="minorHAnsi" w:hAnsiTheme="minorHAnsi" w:cstheme="minorHAnsi"/>
              </w:rPr>
              <w:t>sardoba</w:t>
            </w:r>
            <w:proofErr w:type="spellEnd"/>
            <w:r w:rsidRPr="00822DA3">
              <w:rPr>
                <w:rFonts w:asciiTheme="minorHAnsi" w:hAnsiTheme="minorHAnsi" w:cstheme="minorHAnsi"/>
              </w:rPr>
              <w:t xml:space="preserve"> (the distance from the water level to the ground level) is 18-20 meters. The minimum possible water level in a well</w:t>
            </w:r>
            <w:r>
              <w:rPr>
                <w:rFonts w:asciiTheme="minorHAnsi" w:hAnsiTheme="minorHAnsi" w:cstheme="minorHAnsi"/>
              </w:rPr>
              <w:t>/</w:t>
            </w:r>
            <w:r w:rsidRPr="00822DA3">
              <w:rPr>
                <w:rFonts w:asciiTheme="minorHAnsi" w:hAnsiTheme="minorHAnsi" w:cstheme="minorHAnsi"/>
              </w:rPr>
              <w:t xml:space="preserve"> </w:t>
            </w:r>
            <w:proofErr w:type="spellStart"/>
            <w:r w:rsidRPr="00822DA3">
              <w:rPr>
                <w:rFonts w:asciiTheme="minorHAnsi" w:hAnsiTheme="minorHAnsi" w:cstheme="minorHAnsi"/>
              </w:rPr>
              <w:t>sardoba</w:t>
            </w:r>
            <w:proofErr w:type="spellEnd"/>
            <w:r w:rsidRPr="00822DA3">
              <w:rPr>
                <w:rFonts w:asciiTheme="minorHAnsi" w:hAnsiTheme="minorHAnsi" w:cstheme="minorHAnsi"/>
              </w:rPr>
              <w:t xml:space="preserve"> is from 1 to 2 meters. The height from ground level to the top of the water tank is from 1.5 to 2 meters.</w:t>
            </w:r>
          </w:p>
          <w:p w14:paraId="78570EA2" w14:textId="253269BA" w:rsidR="00822DA3" w:rsidRDefault="00822DA3" w:rsidP="00822DA3">
            <w:pPr>
              <w:rPr>
                <w:rFonts w:asciiTheme="minorHAnsi" w:hAnsiTheme="minorHAnsi" w:cstheme="minorHAnsi"/>
              </w:rPr>
            </w:pPr>
          </w:p>
          <w:p w14:paraId="1A0EBF51" w14:textId="77777777" w:rsidR="00822DA3" w:rsidRDefault="00822DA3" w:rsidP="00822DA3">
            <w:pPr>
              <w:rPr>
                <w:rFonts w:asciiTheme="minorHAnsi" w:hAnsiTheme="minorHAnsi" w:cstheme="minorHAnsi"/>
              </w:rPr>
            </w:pPr>
          </w:p>
          <w:p w14:paraId="37E26DE1" w14:textId="6F4E66C8" w:rsidR="00822DA3" w:rsidRDefault="00822DA3" w:rsidP="00822DA3">
            <w:pPr>
              <w:rPr>
                <w:rFonts w:asciiTheme="minorHAnsi" w:hAnsiTheme="minorHAnsi" w:cstheme="minorHAnsi"/>
              </w:rPr>
            </w:pPr>
          </w:p>
          <w:p w14:paraId="2DC9F58D" w14:textId="77777777" w:rsidR="00822DA3" w:rsidRPr="00822DA3" w:rsidRDefault="00822DA3" w:rsidP="00822DA3">
            <w:pPr>
              <w:rPr>
                <w:rFonts w:asciiTheme="minorHAnsi" w:hAnsiTheme="minorHAnsi" w:cstheme="minorHAnsi"/>
              </w:rPr>
            </w:pPr>
            <w:bookmarkStart w:id="1" w:name="_GoBack"/>
            <w:bookmarkEnd w:id="1"/>
          </w:p>
          <w:p w14:paraId="3ED9581C" w14:textId="77777777" w:rsidR="00822DA3" w:rsidRPr="00822DA3" w:rsidRDefault="00822DA3" w:rsidP="00822DA3">
            <w:pPr>
              <w:rPr>
                <w:rFonts w:asciiTheme="minorHAnsi" w:hAnsiTheme="minorHAnsi" w:cstheme="minorHAnsi"/>
              </w:rPr>
            </w:pPr>
            <w:r w:rsidRPr="00822DA3">
              <w:rPr>
                <w:rFonts w:asciiTheme="minorHAnsi" w:hAnsiTheme="minorHAnsi" w:cstheme="minorHAnsi"/>
              </w:rPr>
              <w:lastRenderedPageBreak/>
              <w:t>3. Since the designs of supports for solar panels and racks for batteries can vary depending on the dimensions of the proposed equipment, the tender document does not specify the details of these materials. At the same time, bidders can add the cost of support structures and shelving to the total cost of solar panels and batteries, respectively.</w:t>
            </w:r>
          </w:p>
          <w:p w14:paraId="3315FC5F" w14:textId="77777777" w:rsidR="00822DA3" w:rsidRPr="00822DA3" w:rsidRDefault="00822DA3" w:rsidP="00822DA3">
            <w:pPr>
              <w:rPr>
                <w:rFonts w:asciiTheme="minorHAnsi" w:hAnsiTheme="minorHAnsi" w:cstheme="minorHAnsi"/>
              </w:rPr>
            </w:pPr>
          </w:p>
          <w:p w14:paraId="6D7F85F3" w14:textId="566D1CC5" w:rsidR="00822DA3" w:rsidRPr="00822DA3" w:rsidRDefault="00822DA3" w:rsidP="00822DA3">
            <w:pPr>
              <w:rPr>
                <w:rFonts w:asciiTheme="minorHAnsi" w:hAnsiTheme="minorHAnsi" w:cstheme="minorHAnsi"/>
              </w:rPr>
            </w:pPr>
            <w:r w:rsidRPr="00822DA3">
              <w:rPr>
                <w:rFonts w:asciiTheme="minorHAnsi" w:hAnsiTheme="minorHAnsi" w:cstheme="minorHAnsi"/>
              </w:rPr>
              <w:t>4. The choice of batteries</w:t>
            </w:r>
            <w:r w:rsidR="008A0EF4">
              <w:rPr>
                <w:rFonts w:asciiTheme="minorHAnsi" w:hAnsiTheme="minorHAnsi" w:cstheme="minorHAnsi"/>
              </w:rPr>
              <w:t>-</w:t>
            </w:r>
            <w:r w:rsidRPr="00822DA3">
              <w:rPr>
                <w:rFonts w:asciiTheme="minorHAnsi" w:hAnsiTheme="minorHAnsi" w:cstheme="minorHAnsi"/>
              </w:rPr>
              <w:t>12V 200</w:t>
            </w:r>
            <w:r w:rsidR="0045716B">
              <w:rPr>
                <w:rFonts w:asciiTheme="minorHAnsi" w:hAnsiTheme="minorHAnsi" w:cstheme="minorHAnsi"/>
              </w:rPr>
              <w:t>A</w:t>
            </w:r>
            <w:r w:rsidRPr="00822DA3">
              <w:rPr>
                <w:rFonts w:asciiTheme="minorHAnsi" w:hAnsiTheme="minorHAnsi" w:cstheme="minorHAnsi"/>
              </w:rPr>
              <w:t xml:space="preserve">h </w:t>
            </w:r>
            <w:r w:rsidR="008A0EF4">
              <w:rPr>
                <w:rFonts w:asciiTheme="minorHAnsi" w:hAnsiTheme="minorHAnsi" w:cstheme="minorHAnsi"/>
              </w:rPr>
              <w:t xml:space="preserve">was made in accordance with </w:t>
            </w:r>
            <w:r w:rsidRPr="00822DA3">
              <w:rPr>
                <w:rFonts w:asciiTheme="minorHAnsi" w:hAnsiTheme="minorHAnsi" w:cstheme="minorHAnsi"/>
              </w:rPr>
              <w:t>the instructions</w:t>
            </w:r>
            <w:r w:rsidR="008A0EF4">
              <w:rPr>
                <w:rFonts w:asciiTheme="minorHAnsi" w:hAnsiTheme="minorHAnsi" w:cstheme="minorHAnsi"/>
              </w:rPr>
              <w:t xml:space="preserve"> to </w:t>
            </w:r>
            <w:r w:rsidRPr="00822DA3">
              <w:rPr>
                <w:rFonts w:asciiTheme="minorHAnsi" w:hAnsiTheme="minorHAnsi" w:cstheme="minorHAnsi"/>
              </w:rPr>
              <w:t xml:space="preserve">ensure long-term battery life, it is recommended to use 50% of their charge. This means that the power of the battery charge should be no less than 2 times the required one. In addition, the power charge should </w:t>
            </w:r>
            <w:r w:rsidR="008A0EF4">
              <w:rPr>
                <w:rFonts w:asciiTheme="minorHAnsi" w:hAnsiTheme="minorHAnsi" w:cstheme="minorHAnsi"/>
              </w:rPr>
              <w:t>be able to accommodate</w:t>
            </w:r>
            <w:r w:rsidRPr="00822DA3">
              <w:rPr>
                <w:rFonts w:asciiTheme="minorHAnsi" w:hAnsiTheme="minorHAnsi" w:cstheme="minorHAnsi"/>
              </w:rPr>
              <w:t xml:space="preserve"> the starting peak load of the pump. Also, the</w:t>
            </w:r>
            <w:r w:rsidR="008A0EF4">
              <w:rPr>
                <w:rFonts w:asciiTheme="minorHAnsi" w:hAnsiTheme="minorHAnsi" w:cstheme="minorHAnsi"/>
              </w:rPr>
              <w:t xml:space="preserve"> adequate</w:t>
            </w:r>
            <w:r w:rsidRPr="00822DA3">
              <w:rPr>
                <w:rFonts w:asciiTheme="minorHAnsi" w:hAnsiTheme="minorHAnsi" w:cstheme="minorHAnsi"/>
              </w:rPr>
              <w:t xml:space="preserve"> power reserve is necessary to ensure operation of the pump on cloudy days and at night.</w:t>
            </w:r>
          </w:p>
          <w:p w14:paraId="5042B962" w14:textId="77777777" w:rsidR="00822DA3" w:rsidRPr="00822DA3" w:rsidRDefault="00822DA3" w:rsidP="00822DA3">
            <w:pPr>
              <w:rPr>
                <w:rFonts w:asciiTheme="minorHAnsi" w:hAnsiTheme="minorHAnsi" w:cstheme="minorHAnsi"/>
              </w:rPr>
            </w:pPr>
          </w:p>
          <w:p w14:paraId="2ACEB30E" w14:textId="40D96679" w:rsidR="00822DA3" w:rsidRPr="00822DA3" w:rsidRDefault="00822DA3" w:rsidP="00822DA3">
            <w:pPr>
              <w:rPr>
                <w:rFonts w:asciiTheme="minorHAnsi" w:hAnsiTheme="minorHAnsi" w:cstheme="minorHAnsi"/>
              </w:rPr>
            </w:pPr>
            <w:r w:rsidRPr="00822DA3">
              <w:rPr>
                <w:rFonts w:asciiTheme="minorHAnsi" w:hAnsiTheme="minorHAnsi" w:cstheme="minorHAnsi"/>
              </w:rPr>
              <w:t xml:space="preserve">Replacing specifications will be considered a technical </w:t>
            </w:r>
            <w:r w:rsidR="008A0EF4">
              <w:rPr>
                <w:rFonts w:asciiTheme="minorHAnsi" w:hAnsiTheme="minorHAnsi" w:cstheme="minorHAnsi"/>
              </w:rPr>
              <w:t>non-compliance</w:t>
            </w:r>
            <w:r w:rsidRPr="00822DA3">
              <w:rPr>
                <w:rFonts w:asciiTheme="minorHAnsi" w:hAnsiTheme="minorHAnsi" w:cstheme="minorHAnsi"/>
              </w:rPr>
              <w:t>.</w:t>
            </w:r>
          </w:p>
          <w:p w14:paraId="1F9F1C6D" w14:textId="77777777" w:rsidR="008A0EF4" w:rsidRPr="00822DA3" w:rsidRDefault="008A0EF4" w:rsidP="00822DA3">
            <w:pPr>
              <w:rPr>
                <w:rFonts w:asciiTheme="minorHAnsi" w:hAnsiTheme="minorHAnsi" w:cstheme="minorHAnsi"/>
              </w:rPr>
            </w:pPr>
          </w:p>
          <w:p w14:paraId="6641A137" w14:textId="7E60632B" w:rsidR="00822DA3" w:rsidRPr="00822DA3" w:rsidRDefault="00822DA3" w:rsidP="00822DA3">
            <w:pPr>
              <w:rPr>
                <w:rFonts w:asciiTheme="minorHAnsi" w:hAnsiTheme="minorHAnsi" w:cstheme="minorHAnsi"/>
              </w:rPr>
            </w:pPr>
            <w:r w:rsidRPr="00822DA3">
              <w:rPr>
                <w:rFonts w:asciiTheme="minorHAnsi" w:hAnsiTheme="minorHAnsi" w:cstheme="minorHAnsi"/>
              </w:rPr>
              <w:t xml:space="preserve">5. </w:t>
            </w:r>
            <w:r w:rsidR="008A0EF4">
              <w:rPr>
                <w:rFonts w:asciiTheme="minorHAnsi" w:hAnsiTheme="minorHAnsi" w:cstheme="minorHAnsi"/>
              </w:rPr>
              <w:t>Indeed,</w:t>
            </w:r>
            <w:r w:rsidRPr="00822DA3">
              <w:rPr>
                <w:rFonts w:asciiTheme="minorHAnsi" w:hAnsiTheme="minorHAnsi" w:cstheme="minorHAnsi"/>
              </w:rPr>
              <w:t xml:space="preserve"> according to the presented scheme c. </w:t>
            </w:r>
            <w:r w:rsidR="008A0EF4">
              <w:rPr>
                <w:rFonts w:asciiTheme="minorHAnsi" w:hAnsiTheme="minorHAnsi" w:cstheme="minorHAnsi"/>
              </w:rPr>
              <w:t xml:space="preserve">for </w:t>
            </w:r>
            <w:proofErr w:type="spellStart"/>
            <w:r w:rsidRPr="00822DA3">
              <w:rPr>
                <w:rFonts w:asciiTheme="minorHAnsi" w:hAnsiTheme="minorHAnsi" w:cstheme="minorHAnsi"/>
              </w:rPr>
              <w:t>Esenaman</w:t>
            </w:r>
            <w:proofErr w:type="spellEnd"/>
            <w:r w:rsidRPr="00822DA3">
              <w:rPr>
                <w:rFonts w:asciiTheme="minorHAnsi" w:hAnsiTheme="minorHAnsi" w:cstheme="minorHAnsi"/>
              </w:rPr>
              <w:t xml:space="preserve"> the installation of the battery system</w:t>
            </w:r>
            <w:r w:rsidR="008A0EF4">
              <w:rPr>
                <w:rFonts w:asciiTheme="minorHAnsi" w:hAnsiTheme="minorHAnsi" w:cstheme="minorHAnsi"/>
              </w:rPr>
              <w:t xml:space="preserve"> is specified</w:t>
            </w:r>
            <w:r w:rsidRPr="00822DA3">
              <w:rPr>
                <w:rFonts w:asciiTheme="minorHAnsi" w:hAnsiTheme="minorHAnsi" w:cstheme="minorHAnsi"/>
              </w:rPr>
              <w:t>. This battery system</w:t>
            </w:r>
            <w:r w:rsidR="008A0EF4">
              <w:rPr>
                <w:rFonts w:asciiTheme="minorHAnsi" w:hAnsiTheme="minorHAnsi" w:cstheme="minorHAnsi"/>
              </w:rPr>
              <w:t xml:space="preserve"> will be</w:t>
            </w:r>
            <w:r w:rsidRPr="00822DA3">
              <w:rPr>
                <w:rFonts w:asciiTheme="minorHAnsi" w:hAnsiTheme="minorHAnsi" w:cstheme="minorHAnsi"/>
              </w:rPr>
              <w:t xml:space="preserve"> procured through another tender announced by the Regional Environmental Center for Central Asia (CAREC), since the planned activities at the </w:t>
            </w:r>
            <w:proofErr w:type="spellStart"/>
            <w:r w:rsidRPr="00822DA3">
              <w:rPr>
                <w:rFonts w:asciiTheme="minorHAnsi" w:hAnsiTheme="minorHAnsi" w:cstheme="minorHAnsi"/>
              </w:rPr>
              <w:t>Esenaman</w:t>
            </w:r>
            <w:proofErr w:type="spellEnd"/>
            <w:r w:rsidRPr="00822DA3">
              <w:rPr>
                <w:rFonts w:asciiTheme="minorHAnsi" w:hAnsiTheme="minorHAnsi" w:cstheme="minorHAnsi"/>
              </w:rPr>
              <w:t xml:space="preserve"> site will be carried out within the framework of UNDP joint activities with CAREC. For this reason, the procurement of parts of the entire system was divided between UNDP and CAREC.</w:t>
            </w:r>
          </w:p>
          <w:p w14:paraId="7ED29CFC" w14:textId="77777777" w:rsidR="00822DA3" w:rsidRPr="00822DA3" w:rsidRDefault="00822DA3" w:rsidP="00822DA3">
            <w:pPr>
              <w:rPr>
                <w:rFonts w:asciiTheme="minorHAnsi" w:hAnsiTheme="minorHAnsi" w:cstheme="minorHAnsi"/>
              </w:rPr>
            </w:pPr>
          </w:p>
          <w:p w14:paraId="77B385E9" w14:textId="77777777" w:rsidR="00822DA3" w:rsidRPr="00822DA3" w:rsidRDefault="00822DA3" w:rsidP="00822DA3">
            <w:pPr>
              <w:rPr>
                <w:rFonts w:asciiTheme="minorHAnsi" w:hAnsiTheme="minorHAnsi" w:cstheme="minorHAnsi"/>
              </w:rPr>
            </w:pPr>
            <w:r w:rsidRPr="00822DA3">
              <w:rPr>
                <w:rFonts w:asciiTheme="minorHAnsi" w:hAnsiTheme="minorHAnsi" w:cstheme="minorHAnsi"/>
              </w:rPr>
              <w:t>6. Since cable protection elements are considered consumables for installation, bidders can add their costs to the total cost of the cable.</w:t>
            </w:r>
          </w:p>
          <w:p w14:paraId="3D2539C0" w14:textId="77777777" w:rsidR="00822DA3" w:rsidRPr="00822DA3" w:rsidRDefault="00822DA3" w:rsidP="00822DA3">
            <w:pPr>
              <w:rPr>
                <w:rFonts w:asciiTheme="minorHAnsi" w:hAnsiTheme="minorHAnsi" w:cstheme="minorHAnsi"/>
              </w:rPr>
            </w:pPr>
          </w:p>
          <w:p w14:paraId="58254933" w14:textId="77777777" w:rsidR="00822DA3" w:rsidRPr="00822DA3" w:rsidRDefault="00822DA3" w:rsidP="00822DA3">
            <w:pPr>
              <w:rPr>
                <w:rFonts w:asciiTheme="minorHAnsi" w:hAnsiTheme="minorHAnsi" w:cstheme="minorHAnsi"/>
              </w:rPr>
            </w:pPr>
          </w:p>
          <w:p w14:paraId="29760A30" w14:textId="77777777" w:rsidR="00822DA3" w:rsidRPr="00822DA3" w:rsidRDefault="00822DA3" w:rsidP="00822DA3">
            <w:pPr>
              <w:rPr>
                <w:rFonts w:asciiTheme="minorHAnsi" w:hAnsiTheme="minorHAnsi" w:cstheme="minorHAnsi"/>
              </w:rPr>
            </w:pPr>
          </w:p>
          <w:p w14:paraId="448A581B" w14:textId="65B67566" w:rsidR="007C7F50" w:rsidRPr="007C7F50" w:rsidRDefault="00822DA3" w:rsidP="00822DA3">
            <w:pPr>
              <w:rPr>
                <w:rFonts w:asciiTheme="minorHAnsi" w:hAnsiTheme="minorHAnsi" w:cstheme="minorHAnsi"/>
              </w:rPr>
            </w:pPr>
            <w:r w:rsidRPr="00822DA3">
              <w:rPr>
                <w:rFonts w:asciiTheme="minorHAnsi" w:hAnsiTheme="minorHAnsi" w:cstheme="minorHAnsi"/>
              </w:rPr>
              <w:lastRenderedPageBreak/>
              <w:t>7. In this case, a contract will be signed between UNDP and the company that w</w:t>
            </w:r>
            <w:r w:rsidR="008A0EF4">
              <w:rPr>
                <w:rFonts w:asciiTheme="minorHAnsi" w:hAnsiTheme="minorHAnsi" w:cstheme="minorHAnsi"/>
              </w:rPr>
              <w:t>ins</w:t>
            </w:r>
            <w:r w:rsidRPr="00822DA3">
              <w:rPr>
                <w:rFonts w:asciiTheme="minorHAnsi" w:hAnsiTheme="minorHAnsi" w:cstheme="minorHAnsi"/>
              </w:rPr>
              <w:t xml:space="preserve"> the tender for the supply of equipment and materials and training (which</w:t>
            </w:r>
            <w:r w:rsidR="008A0EF4">
              <w:rPr>
                <w:rFonts w:asciiTheme="minorHAnsi" w:hAnsiTheme="minorHAnsi" w:cstheme="minorHAnsi"/>
              </w:rPr>
              <w:t xml:space="preserve"> are considered as</w:t>
            </w:r>
            <w:r w:rsidRPr="00822DA3">
              <w:rPr>
                <w:rFonts w:asciiTheme="minorHAnsi" w:hAnsiTheme="minorHAnsi" w:cstheme="minorHAnsi"/>
              </w:rPr>
              <w:t xml:space="preserve"> contractual obligations). UNDP will assist in obtaining a visa for the supervisor for the entire period of construction, installation and commissioning (not exceeding 12 working days), as well as provide all the necessary documents for customs clearance</w:t>
            </w:r>
            <w:r w:rsidR="008A0EF4">
              <w:rPr>
                <w:rFonts w:asciiTheme="minorHAnsi" w:hAnsiTheme="minorHAnsi" w:cstheme="minorHAnsi"/>
              </w:rPr>
              <w:t xml:space="preserve"> process</w:t>
            </w:r>
            <w:r w:rsidRPr="00822DA3">
              <w:rPr>
                <w:rFonts w:asciiTheme="minorHAnsi" w:hAnsiTheme="minorHAnsi" w:cstheme="minorHAnsi"/>
              </w:rPr>
              <w:t xml:space="preserve">. The same supervisor or another company specialist will have to conduct training for </w:t>
            </w:r>
            <w:proofErr w:type="gramStart"/>
            <w:r w:rsidRPr="00822DA3">
              <w:rPr>
                <w:rFonts w:asciiTheme="minorHAnsi" w:hAnsiTheme="minorHAnsi" w:cstheme="minorHAnsi"/>
              </w:rPr>
              <w:t>local residents</w:t>
            </w:r>
            <w:proofErr w:type="gramEnd"/>
            <w:r w:rsidRPr="00822DA3">
              <w:rPr>
                <w:rFonts w:asciiTheme="minorHAnsi" w:hAnsiTheme="minorHAnsi" w:cstheme="minorHAnsi"/>
              </w:rPr>
              <w:t xml:space="preserve"> and the project team for operation, condition diagnostics, maintenance and minor repairs of installed equipment.</w:t>
            </w:r>
          </w:p>
        </w:tc>
      </w:tr>
    </w:tbl>
    <w:p w14:paraId="0DAFFD0D" w14:textId="77777777" w:rsidR="00463993" w:rsidRPr="000062FA" w:rsidRDefault="00463993" w:rsidP="00463993">
      <w:pPr>
        <w:rPr>
          <w:rFonts w:asciiTheme="minorHAnsi" w:hAnsiTheme="minorHAnsi" w:cstheme="minorHAnsi"/>
        </w:rPr>
      </w:pPr>
    </w:p>
    <w:p w14:paraId="7772CFFD" w14:textId="77777777" w:rsidR="00253B71" w:rsidRPr="000062FA" w:rsidRDefault="00253B71">
      <w:pPr>
        <w:rPr>
          <w:rFonts w:asciiTheme="minorHAnsi" w:hAnsiTheme="minorHAnsi" w:cstheme="minorHAnsi"/>
        </w:rPr>
      </w:pPr>
    </w:p>
    <w:sectPr w:rsidR="00253B71" w:rsidRPr="000062FA" w:rsidSect="00C174D2">
      <w:pgSz w:w="15840" w:h="12240" w:orient="landscape"/>
      <w:pgMar w:top="4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93"/>
    <w:rsid w:val="000062FA"/>
    <w:rsid w:val="0018735E"/>
    <w:rsid w:val="00253B71"/>
    <w:rsid w:val="0045716B"/>
    <w:rsid w:val="00463993"/>
    <w:rsid w:val="005A4576"/>
    <w:rsid w:val="007C7F50"/>
    <w:rsid w:val="00822DA3"/>
    <w:rsid w:val="008A0EF4"/>
    <w:rsid w:val="00A906F0"/>
    <w:rsid w:val="00B32EF7"/>
    <w:rsid w:val="00BB213F"/>
    <w:rsid w:val="00BC1D00"/>
    <w:rsid w:val="00C31EE6"/>
    <w:rsid w:val="00D25E19"/>
    <w:rsid w:val="00DD3F4D"/>
    <w:rsid w:val="00EB1754"/>
    <w:rsid w:val="00F2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2B65"/>
  <w15:chartTrackingRefBased/>
  <w15:docId w15:val="{42489A37-127D-4AFB-A208-FCD6FFF6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63993"/>
    <w:pPr>
      <w:spacing w:before="100" w:beforeAutospacing="1" w:after="100" w:afterAutospacing="1"/>
    </w:pPr>
  </w:style>
  <w:style w:type="paragraph" w:styleId="NoSpacing">
    <w:name w:val="No Spacing"/>
    <w:uiPriority w:val="1"/>
    <w:qFormat/>
    <w:rsid w:val="00463993"/>
    <w:pPr>
      <w:spacing w:after="0" w:line="240" w:lineRule="auto"/>
    </w:pPr>
    <w:rPr>
      <w:rFonts w:ascii="Calibri" w:eastAsia="Calibri" w:hAnsi="Calibri" w:cs="Times New Roman"/>
      <w:lang w:val="ru-RU"/>
    </w:rPr>
  </w:style>
  <w:style w:type="paragraph" w:customStyle="1" w:styleId="NoSpacing1">
    <w:name w:val="No Spacing1"/>
    <w:rsid w:val="00463993"/>
    <w:pPr>
      <w:suppressAutoHyphens/>
      <w:spacing w:after="0" w:line="240" w:lineRule="auto"/>
    </w:pPr>
    <w:rPr>
      <w:rFonts w:ascii="Calibri" w:eastAsia="Calibri" w:hAnsi="Calibri" w:cs="Times New Roman"/>
      <w:color w:val="00000A"/>
      <w:kern w:val="1"/>
      <w:lang w:val="ru-RU" w:eastAsia="zh-CN"/>
    </w:rPr>
  </w:style>
  <w:style w:type="paragraph" w:styleId="BalloonText">
    <w:name w:val="Balloon Text"/>
    <w:basedOn w:val="Normal"/>
    <w:link w:val="BalloonTextChar"/>
    <w:uiPriority w:val="99"/>
    <w:semiHidden/>
    <w:unhideWhenUsed/>
    <w:rsid w:val="00A9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F0"/>
    <w:rPr>
      <w:rFonts w:ascii="Segoe UI" w:eastAsia="Times New Roman" w:hAnsi="Segoe UI" w:cs="Segoe UI"/>
      <w:sz w:val="18"/>
      <w:szCs w:val="18"/>
    </w:rPr>
  </w:style>
  <w:style w:type="paragraph" w:styleId="ListParagraph">
    <w:name w:val="List Paragraph"/>
    <w:basedOn w:val="Normal"/>
    <w:uiPriority w:val="34"/>
    <w:qFormat/>
    <w:rsid w:val="007C7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Aygul Atabayeva</dc:creator>
  <cp:keywords/>
  <dc:description/>
  <cp:lastModifiedBy>Aygul Atabayeva</cp:lastModifiedBy>
  <cp:revision>2</cp:revision>
  <dcterms:created xsi:type="dcterms:W3CDTF">2019-05-24T11:17:00Z</dcterms:created>
  <dcterms:modified xsi:type="dcterms:W3CDTF">2019-05-24T11:17:00Z</dcterms:modified>
</cp:coreProperties>
</file>