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D7636" w14:textId="77777777" w:rsidR="0088263E" w:rsidRPr="00531192" w:rsidRDefault="0088263E" w:rsidP="0088263E">
      <w:pPr>
        <w:tabs>
          <w:tab w:val="left" w:pos="1410"/>
        </w:tabs>
        <w:spacing w:after="60"/>
        <w:jc w:val="center"/>
        <w:rPr>
          <w:b/>
          <w:sz w:val="24"/>
        </w:rPr>
      </w:pPr>
      <w:r w:rsidRPr="00531192">
        <w:rPr>
          <w:b/>
          <w:sz w:val="24"/>
        </w:rPr>
        <w:t>TERMS OF REFERENCE</w:t>
      </w:r>
    </w:p>
    <w:p w14:paraId="4E4374A6" w14:textId="77777777" w:rsidR="00531192" w:rsidRDefault="00531192" w:rsidP="0088263E">
      <w:pPr>
        <w:tabs>
          <w:tab w:val="left" w:pos="1410"/>
        </w:tabs>
        <w:jc w:val="center"/>
        <w:rPr>
          <w:color w:val="FF0000"/>
        </w:rPr>
      </w:pPr>
    </w:p>
    <w:p w14:paraId="654CDD64" w14:textId="3B7F08B4" w:rsidR="0088263E" w:rsidRDefault="00352BBA" w:rsidP="0088263E">
      <w:pPr>
        <w:tabs>
          <w:tab w:val="left" w:pos="1410"/>
        </w:tabs>
        <w:jc w:val="center"/>
        <w:rPr>
          <w:color w:val="FF0000"/>
          <w:sz w:val="24"/>
        </w:rPr>
      </w:pPr>
      <w:r>
        <w:rPr>
          <w:b/>
          <w:color w:val="000000" w:themeColor="text1"/>
          <w:sz w:val="24"/>
        </w:rPr>
        <w:t>DEVELOPMENT</w:t>
      </w:r>
      <w:r w:rsidR="00531192" w:rsidRPr="00531192">
        <w:rPr>
          <w:b/>
          <w:color w:val="000000" w:themeColor="text1"/>
          <w:sz w:val="24"/>
        </w:rPr>
        <w:t xml:space="preserve"> OF FINANCIAL EDUCATION </w:t>
      </w:r>
      <w:r>
        <w:rPr>
          <w:b/>
          <w:color w:val="000000" w:themeColor="text1"/>
          <w:sz w:val="24"/>
        </w:rPr>
        <w:t xml:space="preserve">LEARNING </w:t>
      </w:r>
      <w:r w:rsidR="005914EA">
        <w:rPr>
          <w:b/>
          <w:color w:val="000000" w:themeColor="text1"/>
          <w:sz w:val="24"/>
        </w:rPr>
        <w:t>FRAMEWORK FOR</w:t>
      </w:r>
      <w:r w:rsidR="00531192" w:rsidRPr="00531192">
        <w:rPr>
          <w:b/>
          <w:color w:val="000000" w:themeColor="text1"/>
          <w:sz w:val="24"/>
        </w:rPr>
        <w:t xml:space="preserve"> THE SAMOAN CURRICULUM</w:t>
      </w:r>
      <w:r w:rsidR="0088263E" w:rsidRPr="00531192">
        <w:rPr>
          <w:color w:val="FF0000"/>
          <w:sz w:val="24"/>
        </w:rPr>
        <w:t xml:space="preserve"> </w:t>
      </w:r>
    </w:p>
    <w:p w14:paraId="08F56C98" w14:textId="4A53AA68" w:rsidR="00531192" w:rsidRPr="00531192" w:rsidRDefault="00531192" w:rsidP="0088263E">
      <w:pPr>
        <w:tabs>
          <w:tab w:val="left" w:pos="1410"/>
        </w:tabs>
        <w:jc w:val="center"/>
        <w:rPr>
          <w:b/>
          <w:color w:val="000000" w:themeColor="text1"/>
          <w:sz w:val="24"/>
        </w:rPr>
      </w:pPr>
      <w:r>
        <w:rPr>
          <w:b/>
          <w:color w:val="000000" w:themeColor="text1"/>
          <w:sz w:val="24"/>
        </w:rPr>
        <w:t>Review of Financial Education coverage in the school curriculum</w:t>
      </w:r>
    </w:p>
    <w:tbl>
      <w:tblPr>
        <w:tblStyle w:val="TableGrid"/>
        <w:tblW w:w="0" w:type="auto"/>
        <w:tblLook w:val="04A0" w:firstRow="1" w:lastRow="0" w:firstColumn="1" w:lastColumn="0" w:noHBand="0" w:noVBand="1"/>
      </w:tblPr>
      <w:tblGrid>
        <w:gridCol w:w="2148"/>
        <w:gridCol w:w="7202"/>
      </w:tblGrid>
      <w:tr w:rsidR="0088263E" w14:paraId="31A1F69A" w14:textId="77777777" w:rsidTr="0088263E">
        <w:trPr>
          <w:trHeight w:val="260"/>
        </w:trPr>
        <w:tc>
          <w:tcPr>
            <w:tcW w:w="2178" w:type="dxa"/>
            <w:shd w:val="clear" w:color="auto" w:fill="D9D9D9" w:themeFill="background1" w:themeFillShade="D9"/>
            <w:vAlign w:val="center"/>
          </w:tcPr>
          <w:p w14:paraId="50D6351F" w14:textId="77777777" w:rsidR="0088263E" w:rsidRDefault="0088263E" w:rsidP="008E359A">
            <w:pPr>
              <w:tabs>
                <w:tab w:val="left" w:pos="1410"/>
              </w:tabs>
              <w:jc w:val="both"/>
              <w:rPr>
                <w:b/>
              </w:rPr>
            </w:pPr>
            <w:r>
              <w:rPr>
                <w:b/>
              </w:rPr>
              <w:t>Location</w:t>
            </w:r>
          </w:p>
        </w:tc>
        <w:tc>
          <w:tcPr>
            <w:tcW w:w="7398" w:type="dxa"/>
            <w:vAlign w:val="center"/>
          </w:tcPr>
          <w:p w14:paraId="44C0C067" w14:textId="14919123" w:rsidR="0088263E" w:rsidRPr="00531192" w:rsidRDefault="00531192" w:rsidP="008E359A">
            <w:pPr>
              <w:tabs>
                <w:tab w:val="left" w:pos="1410"/>
              </w:tabs>
              <w:jc w:val="both"/>
              <w:rPr>
                <w:color w:val="000000" w:themeColor="text1"/>
              </w:rPr>
            </w:pPr>
            <w:r>
              <w:rPr>
                <w:color w:val="000000" w:themeColor="text1"/>
              </w:rPr>
              <w:t>Homebased with travel to Samoa required</w:t>
            </w:r>
          </w:p>
        </w:tc>
      </w:tr>
      <w:tr w:rsidR="0088263E" w14:paraId="69BEF766" w14:textId="77777777" w:rsidTr="0088263E">
        <w:trPr>
          <w:trHeight w:val="251"/>
        </w:trPr>
        <w:tc>
          <w:tcPr>
            <w:tcW w:w="2178" w:type="dxa"/>
            <w:shd w:val="clear" w:color="auto" w:fill="D9D9D9" w:themeFill="background1" w:themeFillShade="D9"/>
            <w:vAlign w:val="center"/>
          </w:tcPr>
          <w:p w14:paraId="2D7E3ADA" w14:textId="77777777" w:rsidR="0088263E" w:rsidRDefault="0088263E" w:rsidP="008E359A">
            <w:pPr>
              <w:tabs>
                <w:tab w:val="left" w:pos="1410"/>
              </w:tabs>
              <w:jc w:val="both"/>
              <w:rPr>
                <w:b/>
              </w:rPr>
            </w:pPr>
            <w:r>
              <w:rPr>
                <w:b/>
              </w:rPr>
              <w:t>Application deadline</w:t>
            </w:r>
          </w:p>
        </w:tc>
        <w:tc>
          <w:tcPr>
            <w:tcW w:w="7398" w:type="dxa"/>
            <w:vAlign w:val="center"/>
          </w:tcPr>
          <w:p w14:paraId="5EA48CEB" w14:textId="40C466DD" w:rsidR="0088263E" w:rsidRPr="0088263E" w:rsidRDefault="002734C6" w:rsidP="008E359A">
            <w:pPr>
              <w:tabs>
                <w:tab w:val="left" w:pos="1410"/>
              </w:tabs>
              <w:jc w:val="both"/>
            </w:pPr>
            <w:r>
              <w:t>10</w:t>
            </w:r>
            <w:r w:rsidRPr="002734C6">
              <w:rPr>
                <w:vertAlign w:val="superscript"/>
              </w:rPr>
              <w:t>th</w:t>
            </w:r>
            <w:r>
              <w:t xml:space="preserve"> </w:t>
            </w:r>
            <w:r w:rsidR="0089625D">
              <w:t>June</w:t>
            </w:r>
            <w:r w:rsidR="00786DB5">
              <w:t xml:space="preserve"> 2019</w:t>
            </w:r>
          </w:p>
        </w:tc>
      </w:tr>
      <w:tr w:rsidR="0088263E" w14:paraId="5C46A93B" w14:textId="77777777" w:rsidTr="0088263E">
        <w:trPr>
          <w:trHeight w:val="332"/>
        </w:trPr>
        <w:tc>
          <w:tcPr>
            <w:tcW w:w="2178" w:type="dxa"/>
            <w:shd w:val="clear" w:color="auto" w:fill="D9D9D9" w:themeFill="background1" w:themeFillShade="D9"/>
            <w:vAlign w:val="center"/>
          </w:tcPr>
          <w:p w14:paraId="5E25F0B3" w14:textId="77777777" w:rsidR="0088263E" w:rsidRDefault="0088263E" w:rsidP="008E359A">
            <w:pPr>
              <w:tabs>
                <w:tab w:val="left" w:pos="1410"/>
              </w:tabs>
              <w:jc w:val="both"/>
              <w:rPr>
                <w:b/>
              </w:rPr>
            </w:pPr>
            <w:r>
              <w:rPr>
                <w:b/>
              </w:rPr>
              <w:t>Type of Contract</w:t>
            </w:r>
          </w:p>
        </w:tc>
        <w:tc>
          <w:tcPr>
            <w:tcW w:w="7398" w:type="dxa"/>
            <w:vAlign w:val="center"/>
          </w:tcPr>
          <w:p w14:paraId="708FEB66" w14:textId="673BF3B6" w:rsidR="0088263E" w:rsidRPr="0088263E" w:rsidRDefault="00531192" w:rsidP="008E359A">
            <w:pPr>
              <w:tabs>
                <w:tab w:val="left" w:pos="1410"/>
              </w:tabs>
              <w:jc w:val="both"/>
            </w:pPr>
            <w:r>
              <w:t>Firm</w:t>
            </w:r>
          </w:p>
        </w:tc>
      </w:tr>
      <w:tr w:rsidR="0088263E" w14:paraId="48482786" w14:textId="77777777" w:rsidTr="0088263E">
        <w:trPr>
          <w:trHeight w:val="260"/>
        </w:trPr>
        <w:tc>
          <w:tcPr>
            <w:tcW w:w="2178" w:type="dxa"/>
            <w:shd w:val="clear" w:color="auto" w:fill="D9D9D9" w:themeFill="background1" w:themeFillShade="D9"/>
            <w:vAlign w:val="center"/>
          </w:tcPr>
          <w:p w14:paraId="1DD71BF8" w14:textId="77777777" w:rsidR="0088263E" w:rsidRDefault="0088263E" w:rsidP="008E359A">
            <w:pPr>
              <w:tabs>
                <w:tab w:val="left" w:pos="1410"/>
              </w:tabs>
              <w:jc w:val="both"/>
              <w:rPr>
                <w:b/>
              </w:rPr>
            </w:pPr>
            <w:r>
              <w:rPr>
                <w:b/>
              </w:rPr>
              <w:t>Post Level</w:t>
            </w:r>
          </w:p>
        </w:tc>
        <w:tc>
          <w:tcPr>
            <w:tcW w:w="7398" w:type="dxa"/>
            <w:vAlign w:val="center"/>
          </w:tcPr>
          <w:p w14:paraId="6058C345" w14:textId="03D2683B" w:rsidR="0088263E" w:rsidRPr="0088263E" w:rsidRDefault="00381EDE" w:rsidP="008E359A">
            <w:pPr>
              <w:tabs>
                <w:tab w:val="left" w:pos="1410"/>
              </w:tabs>
              <w:jc w:val="both"/>
            </w:pPr>
            <w:r>
              <w:t xml:space="preserve">International </w:t>
            </w:r>
          </w:p>
        </w:tc>
      </w:tr>
      <w:tr w:rsidR="0088263E" w14:paraId="59C6D8B3" w14:textId="77777777" w:rsidTr="0088263E">
        <w:trPr>
          <w:trHeight w:val="260"/>
        </w:trPr>
        <w:tc>
          <w:tcPr>
            <w:tcW w:w="2178" w:type="dxa"/>
            <w:shd w:val="clear" w:color="auto" w:fill="D9D9D9" w:themeFill="background1" w:themeFillShade="D9"/>
            <w:vAlign w:val="center"/>
          </w:tcPr>
          <w:p w14:paraId="13212A61" w14:textId="77777777" w:rsidR="0088263E" w:rsidRDefault="0088263E" w:rsidP="008E359A">
            <w:pPr>
              <w:tabs>
                <w:tab w:val="left" w:pos="1410"/>
              </w:tabs>
              <w:jc w:val="both"/>
              <w:rPr>
                <w:b/>
              </w:rPr>
            </w:pPr>
            <w:r>
              <w:rPr>
                <w:b/>
              </w:rPr>
              <w:t>Languages required:</w:t>
            </w:r>
          </w:p>
        </w:tc>
        <w:tc>
          <w:tcPr>
            <w:tcW w:w="7398" w:type="dxa"/>
            <w:vAlign w:val="center"/>
          </w:tcPr>
          <w:p w14:paraId="7A6397E3" w14:textId="3D0D9CC1" w:rsidR="0088263E" w:rsidRPr="0088263E" w:rsidRDefault="00531192" w:rsidP="008E359A">
            <w:pPr>
              <w:tabs>
                <w:tab w:val="left" w:pos="1410"/>
              </w:tabs>
              <w:jc w:val="both"/>
            </w:pPr>
            <w:r>
              <w:t>English</w:t>
            </w:r>
          </w:p>
        </w:tc>
      </w:tr>
      <w:tr w:rsidR="0088263E" w14:paraId="7D91E2DC" w14:textId="77777777" w:rsidTr="0088263E">
        <w:trPr>
          <w:trHeight w:val="260"/>
        </w:trPr>
        <w:tc>
          <w:tcPr>
            <w:tcW w:w="2178" w:type="dxa"/>
            <w:shd w:val="clear" w:color="auto" w:fill="D9D9D9" w:themeFill="background1" w:themeFillShade="D9"/>
            <w:vAlign w:val="center"/>
          </w:tcPr>
          <w:p w14:paraId="3C7420F8" w14:textId="77777777" w:rsidR="0088263E" w:rsidRDefault="0088263E" w:rsidP="008E359A">
            <w:pPr>
              <w:tabs>
                <w:tab w:val="left" w:pos="1410"/>
              </w:tabs>
              <w:jc w:val="both"/>
              <w:rPr>
                <w:b/>
              </w:rPr>
            </w:pPr>
            <w:r>
              <w:rPr>
                <w:b/>
              </w:rPr>
              <w:t>Duration of Initial Contract:</w:t>
            </w:r>
          </w:p>
        </w:tc>
        <w:tc>
          <w:tcPr>
            <w:tcW w:w="7398" w:type="dxa"/>
            <w:vAlign w:val="center"/>
          </w:tcPr>
          <w:p w14:paraId="4E21B10B" w14:textId="74BC3C91" w:rsidR="0088263E" w:rsidRPr="0088263E" w:rsidRDefault="009D700C" w:rsidP="008E359A">
            <w:pPr>
              <w:tabs>
                <w:tab w:val="left" w:pos="1410"/>
              </w:tabs>
              <w:jc w:val="both"/>
            </w:pPr>
            <w:r>
              <w:t>Working</w:t>
            </w:r>
            <w:r w:rsidR="00381EDE">
              <w:t xml:space="preserve"> 15</w:t>
            </w:r>
            <w:r>
              <w:t xml:space="preserve"> days</w:t>
            </w:r>
          </w:p>
        </w:tc>
      </w:tr>
    </w:tbl>
    <w:p w14:paraId="60B91964" w14:textId="77777777" w:rsidR="0088263E" w:rsidRPr="00E2763D" w:rsidRDefault="0088263E" w:rsidP="009E2B22">
      <w:pPr>
        <w:tabs>
          <w:tab w:val="left" w:pos="1410"/>
        </w:tabs>
        <w:rPr>
          <w:b/>
          <w:color w:val="0070C0"/>
          <w:sz w:val="16"/>
          <w:szCs w:val="16"/>
        </w:rPr>
      </w:pPr>
    </w:p>
    <w:p w14:paraId="380FFAC1" w14:textId="77777777" w:rsidR="009E2B22" w:rsidRPr="0088263E" w:rsidRDefault="009E2B22" w:rsidP="00E2763D">
      <w:pPr>
        <w:tabs>
          <w:tab w:val="left" w:pos="1410"/>
        </w:tabs>
        <w:spacing w:after="60"/>
        <w:rPr>
          <w:b/>
          <w:color w:val="0070C0"/>
        </w:rPr>
      </w:pPr>
      <w:r w:rsidRPr="0088263E">
        <w:rPr>
          <w:b/>
          <w:color w:val="0070C0"/>
        </w:rPr>
        <w:t>BACKGROUND</w:t>
      </w:r>
    </w:p>
    <w:tbl>
      <w:tblPr>
        <w:tblStyle w:val="TableGrid"/>
        <w:tblW w:w="9625" w:type="dxa"/>
        <w:tblLook w:val="04A0" w:firstRow="1" w:lastRow="0" w:firstColumn="1" w:lastColumn="0" w:noHBand="0" w:noVBand="1"/>
      </w:tblPr>
      <w:tblGrid>
        <w:gridCol w:w="9694"/>
      </w:tblGrid>
      <w:tr w:rsidR="0065710B" w14:paraId="08CEF6BF" w14:textId="77777777" w:rsidTr="006D72EE">
        <w:tc>
          <w:tcPr>
            <w:tcW w:w="9625" w:type="dxa"/>
          </w:tcPr>
          <w:p w14:paraId="7127A7AF" w14:textId="69AF6193" w:rsidR="0065710B" w:rsidRDefault="009D700C" w:rsidP="00863465">
            <w:pPr>
              <w:widowControl w:val="0"/>
              <w:overflowPunct w:val="0"/>
              <w:adjustRightInd w:val="0"/>
              <w:jc w:val="both"/>
            </w:pPr>
            <w:r>
              <w:t>There has been unprecedented regional policy support and commitment to inculcate the region’s people with the knowledge, skills and habit of good personal financial management. These include:</w:t>
            </w:r>
          </w:p>
          <w:p w14:paraId="3D5B8B2B" w14:textId="77777777" w:rsidR="009D700C" w:rsidRDefault="009D700C" w:rsidP="00863465">
            <w:pPr>
              <w:widowControl w:val="0"/>
              <w:overflowPunct w:val="0"/>
              <w:adjustRightInd w:val="0"/>
              <w:jc w:val="both"/>
            </w:pPr>
          </w:p>
          <w:p w14:paraId="46AC87B2" w14:textId="083F292F" w:rsidR="009D700C" w:rsidRDefault="009D700C" w:rsidP="00863465">
            <w:pPr>
              <w:pStyle w:val="ListParagraph"/>
              <w:widowControl w:val="0"/>
              <w:numPr>
                <w:ilvl w:val="0"/>
                <w:numId w:val="35"/>
              </w:numPr>
              <w:overflowPunct w:val="0"/>
              <w:adjustRightInd w:val="0"/>
              <w:jc w:val="both"/>
            </w:pPr>
            <w:r>
              <w:t>2008 Coombs Declaration on strengthening financial capability in the Pacific promulgated by Pacific finance ministers, central bank governors, PIFS and donors.</w:t>
            </w:r>
          </w:p>
          <w:p w14:paraId="6F2FD4A0" w14:textId="77777777" w:rsidR="00863465" w:rsidRDefault="00863465" w:rsidP="00863465">
            <w:pPr>
              <w:pStyle w:val="ListParagraph"/>
              <w:widowControl w:val="0"/>
              <w:numPr>
                <w:ilvl w:val="0"/>
                <w:numId w:val="35"/>
              </w:numPr>
              <w:overflowPunct w:val="0"/>
              <w:adjustRightInd w:val="0"/>
              <w:jc w:val="both"/>
            </w:pPr>
            <w:r>
              <w:t>2009 Forum Education Ministers Meeting, in noting the success of the Samoa Enterprise and Financial Education Curriculum (EFEC), requested UNDP Pacific Centre and the Pacific Islands Forum Secretariat (PIFS) to work with donors to assist other PICs to implement EFEC</w:t>
            </w:r>
          </w:p>
          <w:p w14:paraId="0F2C72D6" w14:textId="77777777" w:rsidR="00863465" w:rsidRDefault="00863465" w:rsidP="00863465">
            <w:pPr>
              <w:pStyle w:val="ListParagraph"/>
              <w:widowControl w:val="0"/>
              <w:numPr>
                <w:ilvl w:val="0"/>
                <w:numId w:val="35"/>
              </w:numPr>
              <w:overflowPunct w:val="0"/>
              <w:adjustRightInd w:val="0"/>
              <w:jc w:val="both"/>
            </w:pPr>
            <w:r>
              <w:t>2009 Regional Financial Literacy Workshop organized by PFIP where central bank governors, finance ministry officials and practitioners identified Financial Education in schools as a regional priority</w:t>
            </w:r>
          </w:p>
          <w:p w14:paraId="69A3121F" w14:textId="7A1BAF4F" w:rsidR="00863465" w:rsidRDefault="00863465" w:rsidP="00863465">
            <w:pPr>
              <w:pStyle w:val="ListParagraph"/>
              <w:widowControl w:val="0"/>
              <w:numPr>
                <w:ilvl w:val="0"/>
                <w:numId w:val="35"/>
              </w:numPr>
              <w:overflowPunct w:val="0"/>
              <w:adjustRightInd w:val="0"/>
              <w:jc w:val="both"/>
            </w:pPr>
            <w:r>
              <w:t>2009 Forum Economic Ministers Meeting endorsed the four 2020 Money Pacific regional goals which, among others, called for all children to receive financial education through core curricula.</w:t>
            </w:r>
          </w:p>
          <w:p w14:paraId="3AC43291" w14:textId="13217598" w:rsidR="00863465" w:rsidRDefault="00863465" w:rsidP="00863465">
            <w:pPr>
              <w:pStyle w:val="ListParagraph"/>
              <w:widowControl w:val="0"/>
              <w:numPr>
                <w:ilvl w:val="0"/>
                <w:numId w:val="35"/>
              </w:numPr>
              <w:overflowPunct w:val="0"/>
              <w:adjustRightInd w:val="0"/>
              <w:jc w:val="both"/>
            </w:pPr>
            <w:r>
              <w:t>Samoa’s Maya Commitments in 2013, commits to “mainstream financial education in school curriculum”.</w:t>
            </w:r>
          </w:p>
          <w:p w14:paraId="2322679D" w14:textId="77777777" w:rsidR="001653DE" w:rsidRDefault="001653DE" w:rsidP="001653DE">
            <w:pPr>
              <w:widowControl w:val="0"/>
              <w:overflowPunct w:val="0"/>
              <w:adjustRightInd w:val="0"/>
              <w:jc w:val="both"/>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7"/>
            </w:tblGrid>
            <w:tr w:rsidR="001653DE" w:rsidRPr="001653DE" w14:paraId="790B80AE" w14:textId="77777777" w:rsidTr="005B63F4">
              <w:tc>
                <w:tcPr>
                  <w:tcW w:w="9247" w:type="dxa"/>
                  <w:shd w:val="clear" w:color="auto" w:fill="0070C0"/>
                </w:tcPr>
                <w:p w14:paraId="7F1F550F" w14:textId="77777777" w:rsidR="001653DE" w:rsidRPr="001653DE" w:rsidRDefault="001653DE" w:rsidP="001653DE">
                  <w:pPr>
                    <w:widowControl w:val="0"/>
                    <w:overflowPunct w:val="0"/>
                    <w:adjustRightInd w:val="0"/>
                    <w:spacing w:after="0" w:line="240" w:lineRule="auto"/>
                    <w:jc w:val="both"/>
                    <w:rPr>
                      <w:b/>
                      <w:lang w:val="en-NZ"/>
                    </w:rPr>
                  </w:pPr>
                </w:p>
                <w:p w14:paraId="700F1D94" w14:textId="77777777" w:rsidR="001653DE" w:rsidRPr="001653DE" w:rsidRDefault="001653DE" w:rsidP="001653DE">
                  <w:pPr>
                    <w:widowControl w:val="0"/>
                    <w:overflowPunct w:val="0"/>
                    <w:adjustRightInd w:val="0"/>
                    <w:spacing w:after="0" w:line="240" w:lineRule="auto"/>
                    <w:jc w:val="both"/>
                    <w:rPr>
                      <w:b/>
                      <w:lang w:val="en-NZ"/>
                    </w:rPr>
                  </w:pPr>
                  <w:r w:rsidRPr="001653DE">
                    <w:rPr>
                      <w:b/>
                      <w:lang w:val="en-NZ"/>
                    </w:rPr>
                    <w:t>2020 Money Pacific Goals</w:t>
                  </w:r>
                </w:p>
                <w:p w14:paraId="0EEE9DCC" w14:textId="77777777" w:rsidR="001653DE" w:rsidRPr="001653DE" w:rsidRDefault="001653DE" w:rsidP="001653DE">
                  <w:pPr>
                    <w:widowControl w:val="0"/>
                    <w:overflowPunct w:val="0"/>
                    <w:adjustRightInd w:val="0"/>
                    <w:spacing w:after="0" w:line="240" w:lineRule="auto"/>
                    <w:jc w:val="both"/>
                    <w:rPr>
                      <w:b/>
                      <w:lang w:val="en-NZ"/>
                    </w:rPr>
                  </w:pPr>
                </w:p>
                <w:p w14:paraId="7328454B" w14:textId="77777777" w:rsidR="001653DE" w:rsidRPr="001653DE" w:rsidRDefault="001653DE" w:rsidP="001653DE">
                  <w:pPr>
                    <w:widowControl w:val="0"/>
                    <w:overflowPunct w:val="0"/>
                    <w:adjustRightInd w:val="0"/>
                    <w:spacing w:after="0" w:line="240" w:lineRule="auto"/>
                    <w:jc w:val="both"/>
                    <w:rPr>
                      <w:lang w:val="en-NZ"/>
                    </w:rPr>
                  </w:pPr>
                  <w:r w:rsidRPr="001653DE">
                    <w:rPr>
                      <w:lang w:val="en-NZ"/>
                    </w:rPr>
                    <w:t xml:space="preserve">In each Pacific Island nation by 2020, through the combined actions of public and private sectors, our goals </w:t>
                  </w:r>
                  <w:proofErr w:type="gramStart"/>
                  <w:r w:rsidRPr="001653DE">
                    <w:rPr>
                      <w:lang w:val="en-NZ"/>
                    </w:rPr>
                    <w:t>are :</w:t>
                  </w:r>
                  <w:proofErr w:type="gramEnd"/>
                </w:p>
                <w:p w14:paraId="6AF73233" w14:textId="77777777" w:rsidR="001653DE" w:rsidRPr="001653DE" w:rsidRDefault="001653DE" w:rsidP="001653DE">
                  <w:pPr>
                    <w:widowControl w:val="0"/>
                    <w:numPr>
                      <w:ilvl w:val="0"/>
                      <w:numId w:val="36"/>
                    </w:numPr>
                    <w:overflowPunct w:val="0"/>
                    <w:adjustRightInd w:val="0"/>
                    <w:spacing w:after="0" w:line="240" w:lineRule="auto"/>
                    <w:jc w:val="both"/>
                    <w:rPr>
                      <w:lang w:val="en-NZ"/>
                    </w:rPr>
                  </w:pPr>
                  <w:r w:rsidRPr="001653DE">
                    <w:rPr>
                      <w:lang w:val="en-NZ"/>
                    </w:rPr>
                    <w:t>All schoolchildren to receive financial education through core curricula.</w:t>
                  </w:r>
                </w:p>
                <w:p w14:paraId="284DB45B" w14:textId="77777777" w:rsidR="001653DE" w:rsidRPr="001653DE" w:rsidRDefault="001653DE" w:rsidP="001653DE">
                  <w:pPr>
                    <w:widowControl w:val="0"/>
                    <w:numPr>
                      <w:ilvl w:val="0"/>
                      <w:numId w:val="36"/>
                    </w:numPr>
                    <w:overflowPunct w:val="0"/>
                    <w:adjustRightInd w:val="0"/>
                    <w:spacing w:after="0" w:line="240" w:lineRule="auto"/>
                    <w:jc w:val="both"/>
                    <w:rPr>
                      <w:lang w:val="en-NZ"/>
                    </w:rPr>
                  </w:pPr>
                  <w:r w:rsidRPr="001653DE">
                    <w:rPr>
                      <w:lang w:val="en-NZ"/>
                    </w:rPr>
                    <w:t>All adults to have access to financial education.</w:t>
                  </w:r>
                </w:p>
                <w:p w14:paraId="480CDB34" w14:textId="77777777" w:rsidR="001653DE" w:rsidRPr="001653DE" w:rsidRDefault="001653DE" w:rsidP="001653DE">
                  <w:pPr>
                    <w:widowControl w:val="0"/>
                    <w:numPr>
                      <w:ilvl w:val="0"/>
                      <w:numId w:val="36"/>
                    </w:numPr>
                    <w:overflowPunct w:val="0"/>
                    <w:adjustRightInd w:val="0"/>
                    <w:spacing w:after="0" w:line="240" w:lineRule="auto"/>
                    <w:jc w:val="both"/>
                    <w:rPr>
                      <w:lang w:val="en-NZ"/>
                    </w:rPr>
                  </w:pPr>
                  <w:r w:rsidRPr="001653DE">
                    <w:rPr>
                      <w:lang w:val="en-NZ"/>
                    </w:rPr>
                    <w:t>Simple and transparent consumer protection to be in place.</w:t>
                  </w:r>
                </w:p>
                <w:p w14:paraId="3042330E" w14:textId="77777777" w:rsidR="001653DE" w:rsidRPr="001653DE" w:rsidRDefault="001653DE" w:rsidP="001653DE">
                  <w:pPr>
                    <w:widowControl w:val="0"/>
                    <w:numPr>
                      <w:ilvl w:val="0"/>
                      <w:numId w:val="36"/>
                    </w:numPr>
                    <w:overflowPunct w:val="0"/>
                    <w:adjustRightInd w:val="0"/>
                    <w:spacing w:after="0" w:line="240" w:lineRule="auto"/>
                    <w:jc w:val="both"/>
                    <w:rPr>
                      <w:lang w:val="en-NZ"/>
                    </w:rPr>
                  </w:pPr>
                  <w:r w:rsidRPr="001653DE">
                    <w:rPr>
                      <w:lang w:val="en-NZ"/>
                    </w:rPr>
                    <w:t>To halve the number of households without access to basic financial services.</w:t>
                  </w:r>
                </w:p>
                <w:p w14:paraId="76AD7FC4" w14:textId="77777777" w:rsidR="001653DE" w:rsidRPr="001653DE" w:rsidRDefault="001653DE" w:rsidP="001653DE">
                  <w:pPr>
                    <w:widowControl w:val="0"/>
                    <w:overflowPunct w:val="0"/>
                    <w:adjustRightInd w:val="0"/>
                    <w:spacing w:after="0" w:line="240" w:lineRule="auto"/>
                    <w:jc w:val="both"/>
                    <w:rPr>
                      <w:lang w:val="en-NZ"/>
                    </w:rPr>
                  </w:pPr>
                </w:p>
              </w:tc>
            </w:tr>
          </w:tbl>
          <w:p w14:paraId="4954846D" w14:textId="77777777" w:rsidR="001653DE" w:rsidRPr="001653DE" w:rsidRDefault="001653DE" w:rsidP="001653DE">
            <w:pPr>
              <w:widowControl w:val="0"/>
              <w:overflowPunct w:val="0"/>
              <w:adjustRightInd w:val="0"/>
              <w:jc w:val="both"/>
              <w:rPr>
                <w:b/>
                <w:lang w:val="en-NZ"/>
              </w:rPr>
            </w:pPr>
          </w:p>
          <w:p w14:paraId="76C43AB1" w14:textId="77777777" w:rsidR="001653DE" w:rsidRDefault="001653DE" w:rsidP="001653DE">
            <w:pPr>
              <w:widowControl w:val="0"/>
              <w:overflowPunct w:val="0"/>
              <w:adjustRightInd w:val="0"/>
              <w:jc w:val="both"/>
              <w:rPr>
                <w:b/>
                <w:i/>
                <w:lang w:val="en-NZ"/>
              </w:rPr>
            </w:pPr>
          </w:p>
          <w:p w14:paraId="3E50F67B" w14:textId="77777777" w:rsidR="000D7C9B" w:rsidRDefault="000D7C9B" w:rsidP="001653DE">
            <w:pPr>
              <w:widowControl w:val="0"/>
              <w:overflowPunct w:val="0"/>
              <w:adjustRightInd w:val="0"/>
              <w:jc w:val="both"/>
              <w:rPr>
                <w:b/>
                <w:i/>
                <w:lang w:val="en-NZ"/>
              </w:rPr>
            </w:pPr>
          </w:p>
          <w:p w14:paraId="23C5BCDF" w14:textId="77777777" w:rsidR="006B412D" w:rsidRDefault="006B412D" w:rsidP="001653DE">
            <w:pPr>
              <w:widowControl w:val="0"/>
              <w:overflowPunct w:val="0"/>
              <w:adjustRightInd w:val="0"/>
              <w:jc w:val="both"/>
              <w:rPr>
                <w:b/>
                <w:i/>
                <w:lang w:val="en-NZ"/>
              </w:rPr>
            </w:pPr>
          </w:p>
          <w:p w14:paraId="4E5D9259" w14:textId="59C038D4" w:rsidR="001653DE" w:rsidRDefault="001653DE" w:rsidP="001653DE">
            <w:pPr>
              <w:widowControl w:val="0"/>
              <w:overflowPunct w:val="0"/>
              <w:adjustRightInd w:val="0"/>
              <w:jc w:val="both"/>
              <w:rPr>
                <w:b/>
                <w:i/>
                <w:lang w:val="en-NZ"/>
              </w:rPr>
            </w:pPr>
            <w:r w:rsidRPr="001653DE">
              <w:rPr>
                <w:b/>
                <w:i/>
                <w:lang w:val="en-NZ"/>
              </w:rPr>
              <w:t>Low-financial competency of low-income population</w:t>
            </w:r>
          </w:p>
          <w:p w14:paraId="4EDB6520" w14:textId="77777777" w:rsidR="00DD2E67" w:rsidRPr="001653DE" w:rsidRDefault="00DD2E67" w:rsidP="001653DE">
            <w:pPr>
              <w:widowControl w:val="0"/>
              <w:overflowPunct w:val="0"/>
              <w:adjustRightInd w:val="0"/>
              <w:jc w:val="both"/>
              <w:rPr>
                <w:b/>
                <w:i/>
                <w:lang w:val="en-NZ"/>
              </w:rPr>
            </w:pPr>
          </w:p>
          <w:p w14:paraId="4127B2D7" w14:textId="778B86AB" w:rsidR="001653DE" w:rsidRPr="00F93C85" w:rsidRDefault="001653DE" w:rsidP="00F93C85">
            <w:pPr>
              <w:pStyle w:val="ListParagraph"/>
              <w:widowControl w:val="0"/>
              <w:numPr>
                <w:ilvl w:val="0"/>
                <w:numId w:val="37"/>
              </w:numPr>
              <w:overflowPunct w:val="0"/>
              <w:adjustRightInd w:val="0"/>
              <w:jc w:val="both"/>
              <w:rPr>
                <w:lang w:val="en-NZ"/>
              </w:rPr>
            </w:pPr>
            <w:r w:rsidRPr="00F93C85">
              <w:rPr>
                <w:lang w:val="en-NZ"/>
              </w:rPr>
              <w:t xml:space="preserve">According to the 2013 survey results measuring financial competency of </w:t>
            </w:r>
            <w:r w:rsidRPr="00F93C85">
              <w:rPr>
                <w:lang w:val="en-AU"/>
              </w:rPr>
              <w:t>low-income households in Samoa</w:t>
            </w:r>
            <w:r w:rsidRPr="001653DE">
              <w:rPr>
                <w:vertAlign w:val="superscript"/>
                <w:lang w:val="en-AU"/>
              </w:rPr>
              <w:footnoteReference w:id="1"/>
            </w:r>
            <w:r w:rsidRPr="00F93C85">
              <w:rPr>
                <w:lang w:val="en-AU"/>
              </w:rPr>
              <w:t>,</w:t>
            </w:r>
            <w:r w:rsidRPr="00F93C85">
              <w:rPr>
                <w:lang w:val="en-NZ"/>
              </w:rPr>
              <w:t xml:space="preserve"> the overall level of adult financial competence is low and low-moderate (see Table 1 below). </w:t>
            </w:r>
          </w:p>
          <w:p w14:paraId="0E74DF25" w14:textId="77777777" w:rsidR="001653DE" w:rsidRDefault="001653DE" w:rsidP="001653DE">
            <w:pPr>
              <w:widowControl w:val="0"/>
              <w:overflowPunct w:val="0"/>
              <w:adjustRightInd w:val="0"/>
              <w:jc w:val="both"/>
            </w:pPr>
          </w:p>
          <w:p w14:paraId="0D0D3E54" w14:textId="77777777" w:rsidR="0036406C" w:rsidRPr="00AD705C" w:rsidRDefault="0036406C" w:rsidP="0036406C">
            <w:pPr>
              <w:spacing w:before="120" w:after="120" w:line="300" w:lineRule="auto"/>
              <w:jc w:val="center"/>
              <w:rPr>
                <w:i/>
              </w:rPr>
            </w:pPr>
            <w:r w:rsidRPr="00AD705C">
              <w:rPr>
                <w:i/>
              </w:rPr>
              <w:t>Table 1 – Levels of Financial Competence by Competency Area</w:t>
            </w:r>
          </w:p>
          <w:tbl>
            <w:tblPr>
              <w:tblStyle w:val="MediumShading2-Accent1"/>
              <w:tblW w:w="9478" w:type="dxa"/>
              <w:tblLook w:val="04A0" w:firstRow="1" w:lastRow="0" w:firstColumn="1" w:lastColumn="0" w:noHBand="0" w:noVBand="1"/>
            </w:tblPr>
            <w:tblGrid>
              <w:gridCol w:w="2368"/>
              <w:gridCol w:w="7110"/>
            </w:tblGrid>
            <w:tr w:rsidR="0036406C" w:rsidRPr="00AD705C" w14:paraId="69BC0EB8" w14:textId="77777777" w:rsidTr="00437CEA">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2368" w:type="dxa"/>
                </w:tcPr>
                <w:p w14:paraId="501CC56D" w14:textId="77777777" w:rsidR="0036406C" w:rsidRPr="00AD705C" w:rsidRDefault="0036406C" w:rsidP="0036406C">
                  <w:pPr>
                    <w:spacing w:line="300" w:lineRule="auto"/>
                    <w:jc w:val="center"/>
                  </w:pPr>
                  <w:r w:rsidRPr="00AD705C">
                    <w:t>Competency Score</w:t>
                  </w:r>
                </w:p>
              </w:tc>
              <w:tc>
                <w:tcPr>
                  <w:tcW w:w="7110" w:type="dxa"/>
                </w:tcPr>
                <w:p w14:paraId="7ACEC72D" w14:textId="77777777" w:rsidR="0036406C" w:rsidRPr="00AD705C" w:rsidRDefault="0036406C" w:rsidP="0036406C">
                  <w:pPr>
                    <w:spacing w:line="300" w:lineRule="auto"/>
                    <w:jc w:val="center"/>
                    <w:cnfStyle w:val="100000000000" w:firstRow="1" w:lastRow="0" w:firstColumn="0" w:lastColumn="0" w:oddVBand="0" w:evenVBand="0" w:oddHBand="0" w:evenHBand="0" w:firstRowFirstColumn="0" w:firstRowLastColumn="0" w:lastRowFirstColumn="0" w:lastRowLastColumn="0"/>
                    <w:rPr>
                      <w:b w:val="0"/>
                    </w:rPr>
                  </w:pPr>
                  <w:r w:rsidRPr="00AD705C">
                    <w:t>Competency Area</w:t>
                  </w:r>
                </w:p>
              </w:tc>
            </w:tr>
            <w:tr w:rsidR="0036406C" w:rsidRPr="00AD705C" w14:paraId="2D18317F" w14:textId="77777777" w:rsidTr="00437CE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368" w:type="dxa"/>
                </w:tcPr>
                <w:p w14:paraId="6E8D8EF8" w14:textId="77777777" w:rsidR="0036406C" w:rsidRPr="00AD705C" w:rsidRDefault="0036406C" w:rsidP="0036406C">
                  <w:pPr>
                    <w:spacing w:line="300" w:lineRule="auto"/>
                    <w:jc w:val="both"/>
                    <w:rPr>
                      <w:bCs w:val="0"/>
                      <w:i/>
                    </w:rPr>
                  </w:pPr>
                  <w:r w:rsidRPr="00AD705C">
                    <w:rPr>
                      <w:i/>
                    </w:rPr>
                    <w:t>High</w:t>
                  </w:r>
                </w:p>
              </w:tc>
              <w:tc>
                <w:tcPr>
                  <w:tcW w:w="7110" w:type="dxa"/>
                </w:tcPr>
                <w:p w14:paraId="47B2B009" w14:textId="77777777" w:rsidR="0036406C" w:rsidRPr="00AD705C" w:rsidRDefault="0036406C" w:rsidP="0036406C">
                  <w:pPr>
                    <w:spacing w:line="300" w:lineRule="auto"/>
                    <w:jc w:val="both"/>
                    <w:cnfStyle w:val="000000100000" w:firstRow="0" w:lastRow="0" w:firstColumn="0" w:lastColumn="0" w:oddVBand="0" w:evenVBand="0" w:oddHBand="1" w:evenHBand="0" w:firstRowFirstColumn="0" w:firstRowLastColumn="0" w:lastRowFirstColumn="0" w:lastRowLastColumn="0"/>
                    <w:rPr>
                      <w:bCs/>
                    </w:rPr>
                  </w:pPr>
                  <w:r w:rsidRPr="00AD705C">
                    <w:rPr>
                      <w:lang w:val="en-AU"/>
                    </w:rPr>
                    <w:t>None of the Competency Areas were scored as High</w:t>
                  </w:r>
                  <w:r w:rsidRPr="00AD705C">
                    <w:rPr>
                      <w:bCs/>
                      <w:i/>
                    </w:rPr>
                    <w:t xml:space="preserve"> </w:t>
                  </w:r>
                </w:p>
              </w:tc>
            </w:tr>
            <w:tr w:rsidR="0036406C" w:rsidRPr="00AD705C" w14:paraId="4C63F214" w14:textId="77777777" w:rsidTr="00437CEA">
              <w:trPr>
                <w:trHeight w:val="294"/>
              </w:trPr>
              <w:tc>
                <w:tcPr>
                  <w:cnfStyle w:val="001000000000" w:firstRow="0" w:lastRow="0" w:firstColumn="1" w:lastColumn="0" w:oddVBand="0" w:evenVBand="0" w:oddHBand="0" w:evenHBand="0" w:firstRowFirstColumn="0" w:firstRowLastColumn="0" w:lastRowFirstColumn="0" w:lastRowLastColumn="0"/>
                  <w:tcW w:w="2368" w:type="dxa"/>
                  <w:hideMark/>
                </w:tcPr>
                <w:p w14:paraId="142FA204" w14:textId="77777777" w:rsidR="0036406C" w:rsidRPr="00AD705C" w:rsidRDefault="0036406C" w:rsidP="0036406C">
                  <w:pPr>
                    <w:spacing w:line="300" w:lineRule="auto"/>
                    <w:jc w:val="both"/>
                    <w:rPr>
                      <w:i/>
                    </w:rPr>
                  </w:pPr>
                  <w:r w:rsidRPr="00AD705C">
                    <w:rPr>
                      <w:i/>
                    </w:rPr>
                    <w:t>Moderate – High</w:t>
                  </w:r>
                </w:p>
              </w:tc>
              <w:tc>
                <w:tcPr>
                  <w:tcW w:w="7110" w:type="dxa"/>
                  <w:hideMark/>
                </w:tcPr>
                <w:p w14:paraId="026734DF" w14:textId="77777777" w:rsidR="0036406C" w:rsidRPr="00AD705C" w:rsidRDefault="0036406C" w:rsidP="0036406C">
                  <w:pPr>
                    <w:spacing w:line="300" w:lineRule="auto"/>
                    <w:jc w:val="both"/>
                    <w:cnfStyle w:val="000000000000" w:firstRow="0" w:lastRow="0" w:firstColumn="0" w:lastColumn="0" w:oddVBand="0" w:evenVBand="0" w:oddHBand="0" w:evenHBand="0" w:firstRowFirstColumn="0" w:firstRowLastColumn="0" w:lastRowFirstColumn="0" w:lastRowLastColumn="0"/>
                  </w:pPr>
                  <w:r w:rsidRPr="00AD705C">
                    <w:rPr>
                      <w:lang w:val="en-AU"/>
                    </w:rPr>
                    <w:t>Competence with managing essential expenditure</w:t>
                  </w:r>
                </w:p>
              </w:tc>
            </w:tr>
            <w:tr w:rsidR="0036406C" w:rsidRPr="00AD705C" w14:paraId="1043CBF0" w14:textId="77777777" w:rsidTr="00437CEA">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368" w:type="dxa"/>
                  <w:vMerge w:val="restart"/>
                  <w:hideMark/>
                </w:tcPr>
                <w:p w14:paraId="314AC368" w14:textId="77777777" w:rsidR="0036406C" w:rsidRPr="00AD705C" w:rsidRDefault="0036406C" w:rsidP="0036406C">
                  <w:pPr>
                    <w:spacing w:line="300" w:lineRule="auto"/>
                    <w:jc w:val="both"/>
                    <w:rPr>
                      <w:i/>
                    </w:rPr>
                  </w:pPr>
                  <w:r w:rsidRPr="00AD705C">
                    <w:rPr>
                      <w:i/>
                    </w:rPr>
                    <w:t>Low-Moderate</w:t>
                  </w:r>
                </w:p>
              </w:tc>
              <w:tc>
                <w:tcPr>
                  <w:tcW w:w="7110" w:type="dxa"/>
                  <w:hideMark/>
                </w:tcPr>
                <w:p w14:paraId="1C374AF8" w14:textId="77777777" w:rsidR="0036406C" w:rsidRPr="00AD705C" w:rsidRDefault="0036406C" w:rsidP="0036406C">
                  <w:pPr>
                    <w:spacing w:line="300" w:lineRule="auto"/>
                    <w:jc w:val="both"/>
                    <w:cnfStyle w:val="000000100000" w:firstRow="0" w:lastRow="0" w:firstColumn="0" w:lastColumn="0" w:oddVBand="0" w:evenVBand="0" w:oddHBand="1" w:evenHBand="0" w:firstRowFirstColumn="0" w:firstRowLastColumn="0" w:lastRowFirstColumn="0" w:lastRowLastColumn="0"/>
                  </w:pPr>
                  <w:r w:rsidRPr="00AD705C">
                    <w:rPr>
                      <w:lang w:val="en-AU"/>
                    </w:rPr>
                    <w:t>Competence with managing regular and one-off expenditure</w:t>
                  </w:r>
                </w:p>
              </w:tc>
            </w:tr>
            <w:tr w:rsidR="0036406C" w:rsidRPr="00AD705C" w14:paraId="72AFBAE8" w14:textId="77777777" w:rsidTr="00437CEA">
              <w:trPr>
                <w:trHeight w:val="226"/>
              </w:trPr>
              <w:tc>
                <w:tcPr>
                  <w:cnfStyle w:val="001000000000" w:firstRow="0" w:lastRow="0" w:firstColumn="1" w:lastColumn="0" w:oddVBand="0" w:evenVBand="0" w:oddHBand="0" w:evenHBand="0" w:firstRowFirstColumn="0" w:firstRowLastColumn="0" w:lastRowFirstColumn="0" w:lastRowLastColumn="0"/>
                  <w:tcW w:w="2368" w:type="dxa"/>
                  <w:vMerge/>
                  <w:hideMark/>
                </w:tcPr>
                <w:p w14:paraId="13F36060" w14:textId="77777777" w:rsidR="0036406C" w:rsidRPr="00AD705C" w:rsidRDefault="0036406C" w:rsidP="0036406C">
                  <w:pPr>
                    <w:spacing w:line="300" w:lineRule="auto"/>
                    <w:jc w:val="both"/>
                    <w:rPr>
                      <w:i/>
                    </w:rPr>
                  </w:pPr>
                </w:p>
              </w:tc>
              <w:tc>
                <w:tcPr>
                  <w:tcW w:w="7110" w:type="dxa"/>
                  <w:hideMark/>
                </w:tcPr>
                <w:p w14:paraId="7AC50076" w14:textId="77777777" w:rsidR="0036406C" w:rsidRPr="00AD705C" w:rsidRDefault="0036406C" w:rsidP="0036406C">
                  <w:pPr>
                    <w:spacing w:line="300" w:lineRule="auto"/>
                    <w:jc w:val="both"/>
                    <w:cnfStyle w:val="000000000000" w:firstRow="0" w:lastRow="0" w:firstColumn="0" w:lastColumn="0" w:oddVBand="0" w:evenVBand="0" w:oddHBand="0" w:evenHBand="0" w:firstRowFirstColumn="0" w:firstRowLastColumn="0" w:lastRowFirstColumn="0" w:lastRowLastColumn="0"/>
                  </w:pPr>
                  <w:r w:rsidRPr="00AD705C">
                    <w:rPr>
                      <w:lang w:val="en-AU"/>
                    </w:rPr>
                    <w:t>Competence with setting household goals and plans</w:t>
                  </w:r>
                </w:p>
              </w:tc>
            </w:tr>
            <w:tr w:rsidR="0036406C" w:rsidRPr="00AD705C" w14:paraId="6F9A80BF" w14:textId="77777777" w:rsidTr="00437CE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368" w:type="dxa"/>
                  <w:vMerge/>
                  <w:hideMark/>
                </w:tcPr>
                <w:p w14:paraId="5AA242DA" w14:textId="77777777" w:rsidR="0036406C" w:rsidRPr="00AD705C" w:rsidRDefault="0036406C" w:rsidP="0036406C">
                  <w:pPr>
                    <w:spacing w:line="300" w:lineRule="auto"/>
                    <w:jc w:val="both"/>
                    <w:rPr>
                      <w:i/>
                    </w:rPr>
                  </w:pPr>
                </w:p>
              </w:tc>
              <w:tc>
                <w:tcPr>
                  <w:tcW w:w="7110" w:type="dxa"/>
                  <w:hideMark/>
                </w:tcPr>
                <w:p w14:paraId="1DEB86AE" w14:textId="77777777" w:rsidR="0036406C" w:rsidRPr="00AD705C" w:rsidRDefault="0036406C" w:rsidP="0036406C">
                  <w:pPr>
                    <w:spacing w:line="300" w:lineRule="auto"/>
                    <w:jc w:val="both"/>
                    <w:cnfStyle w:val="000000100000" w:firstRow="0" w:lastRow="0" w:firstColumn="0" w:lastColumn="0" w:oddVBand="0" w:evenVBand="0" w:oddHBand="1" w:evenHBand="0" w:firstRowFirstColumn="0" w:firstRowLastColumn="0" w:lastRowFirstColumn="0" w:lastRowLastColumn="0"/>
                  </w:pPr>
                  <w:r w:rsidRPr="00AD705C">
                    <w:rPr>
                      <w:lang w:val="en-AU"/>
                    </w:rPr>
                    <w:t>Competence with managing household income</w:t>
                  </w:r>
                </w:p>
              </w:tc>
            </w:tr>
            <w:tr w:rsidR="0036406C" w:rsidRPr="00AD705C" w14:paraId="2F6C538E" w14:textId="77777777" w:rsidTr="00437CEA">
              <w:trPr>
                <w:trHeight w:val="253"/>
              </w:trPr>
              <w:tc>
                <w:tcPr>
                  <w:cnfStyle w:val="001000000000" w:firstRow="0" w:lastRow="0" w:firstColumn="1" w:lastColumn="0" w:oddVBand="0" w:evenVBand="0" w:oddHBand="0" w:evenHBand="0" w:firstRowFirstColumn="0" w:firstRowLastColumn="0" w:lastRowFirstColumn="0" w:lastRowLastColumn="0"/>
                  <w:tcW w:w="2368" w:type="dxa"/>
                  <w:vMerge/>
                  <w:hideMark/>
                </w:tcPr>
                <w:p w14:paraId="154A20CA" w14:textId="77777777" w:rsidR="0036406C" w:rsidRPr="00AD705C" w:rsidRDefault="0036406C" w:rsidP="0036406C">
                  <w:pPr>
                    <w:spacing w:line="300" w:lineRule="auto"/>
                    <w:jc w:val="both"/>
                    <w:rPr>
                      <w:i/>
                    </w:rPr>
                  </w:pPr>
                </w:p>
              </w:tc>
              <w:tc>
                <w:tcPr>
                  <w:tcW w:w="7110" w:type="dxa"/>
                  <w:hideMark/>
                </w:tcPr>
                <w:p w14:paraId="57D8B388" w14:textId="77777777" w:rsidR="0036406C" w:rsidRPr="00AD705C" w:rsidRDefault="0036406C" w:rsidP="0036406C">
                  <w:pPr>
                    <w:spacing w:line="300" w:lineRule="auto"/>
                    <w:jc w:val="both"/>
                    <w:cnfStyle w:val="000000000000" w:firstRow="0" w:lastRow="0" w:firstColumn="0" w:lastColumn="0" w:oddVBand="0" w:evenVBand="0" w:oddHBand="0" w:evenHBand="0" w:firstRowFirstColumn="0" w:firstRowLastColumn="0" w:lastRowFirstColumn="0" w:lastRowLastColumn="0"/>
                  </w:pPr>
                  <w:r w:rsidRPr="00AD705C">
                    <w:rPr>
                      <w:lang w:val="en-AU"/>
                    </w:rPr>
                    <w:t>Competence with managing savings</w:t>
                  </w:r>
                </w:p>
              </w:tc>
            </w:tr>
            <w:tr w:rsidR="0036406C" w:rsidRPr="00AD705C" w14:paraId="5ED51DAB" w14:textId="77777777" w:rsidTr="00437CEA">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368" w:type="dxa"/>
                  <w:vMerge/>
                  <w:hideMark/>
                </w:tcPr>
                <w:p w14:paraId="69CE3EAF" w14:textId="77777777" w:rsidR="0036406C" w:rsidRPr="00AD705C" w:rsidRDefault="0036406C" w:rsidP="0036406C">
                  <w:pPr>
                    <w:spacing w:line="300" w:lineRule="auto"/>
                    <w:jc w:val="both"/>
                    <w:rPr>
                      <w:i/>
                    </w:rPr>
                  </w:pPr>
                </w:p>
              </w:tc>
              <w:tc>
                <w:tcPr>
                  <w:tcW w:w="7110" w:type="dxa"/>
                  <w:hideMark/>
                </w:tcPr>
                <w:p w14:paraId="2847A015" w14:textId="77777777" w:rsidR="0036406C" w:rsidRPr="00AD705C" w:rsidRDefault="0036406C" w:rsidP="0036406C">
                  <w:pPr>
                    <w:spacing w:line="300" w:lineRule="auto"/>
                    <w:jc w:val="both"/>
                    <w:cnfStyle w:val="000000100000" w:firstRow="0" w:lastRow="0" w:firstColumn="0" w:lastColumn="0" w:oddVBand="0" w:evenVBand="0" w:oddHBand="1" w:evenHBand="0" w:firstRowFirstColumn="0" w:firstRowLastColumn="0" w:lastRowFirstColumn="0" w:lastRowLastColumn="0"/>
                  </w:pPr>
                  <w:r w:rsidRPr="00AD705C">
                    <w:rPr>
                      <w:lang w:val="en-AU"/>
                    </w:rPr>
                    <w:t>Competence with non-cash transactions</w:t>
                  </w:r>
                  <w:r w:rsidRPr="00AD705C" w:rsidDel="00C65304">
                    <w:rPr>
                      <w:lang w:val="en-AU"/>
                    </w:rPr>
                    <w:t xml:space="preserve"> </w:t>
                  </w:r>
                </w:p>
              </w:tc>
            </w:tr>
            <w:tr w:rsidR="0036406C" w:rsidRPr="00AD705C" w14:paraId="71AD1413" w14:textId="77777777" w:rsidTr="00437CEA">
              <w:trPr>
                <w:trHeight w:val="235"/>
              </w:trPr>
              <w:tc>
                <w:tcPr>
                  <w:cnfStyle w:val="001000000000" w:firstRow="0" w:lastRow="0" w:firstColumn="1" w:lastColumn="0" w:oddVBand="0" w:evenVBand="0" w:oddHBand="0" w:evenHBand="0" w:firstRowFirstColumn="0" w:firstRowLastColumn="0" w:lastRowFirstColumn="0" w:lastRowLastColumn="0"/>
                  <w:tcW w:w="2368" w:type="dxa"/>
                  <w:vMerge/>
                  <w:hideMark/>
                </w:tcPr>
                <w:p w14:paraId="30E0135F" w14:textId="77777777" w:rsidR="0036406C" w:rsidRPr="00AD705C" w:rsidRDefault="0036406C" w:rsidP="0036406C">
                  <w:pPr>
                    <w:spacing w:line="300" w:lineRule="auto"/>
                    <w:jc w:val="both"/>
                    <w:rPr>
                      <w:i/>
                    </w:rPr>
                  </w:pPr>
                </w:p>
              </w:tc>
              <w:tc>
                <w:tcPr>
                  <w:tcW w:w="7110" w:type="dxa"/>
                </w:tcPr>
                <w:p w14:paraId="1F53ECB8" w14:textId="77777777" w:rsidR="0036406C" w:rsidRPr="00AD705C" w:rsidRDefault="0036406C" w:rsidP="0036406C">
                  <w:pPr>
                    <w:spacing w:line="300" w:lineRule="auto"/>
                    <w:jc w:val="both"/>
                    <w:cnfStyle w:val="000000000000" w:firstRow="0" w:lastRow="0" w:firstColumn="0" w:lastColumn="0" w:oddVBand="0" w:evenVBand="0" w:oddHBand="0" w:evenHBand="0" w:firstRowFirstColumn="0" w:firstRowLastColumn="0" w:lastRowFirstColumn="0" w:lastRowLastColumn="0"/>
                  </w:pPr>
                  <w:r w:rsidRPr="00AD705C">
                    <w:rPr>
                      <w:lang w:val="en-AU"/>
                    </w:rPr>
                    <w:t>Competence with managing long term savings</w:t>
                  </w:r>
                </w:p>
              </w:tc>
            </w:tr>
            <w:tr w:rsidR="0036406C" w:rsidRPr="00AD705C" w14:paraId="079D7722" w14:textId="77777777" w:rsidTr="00437CEA">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368" w:type="dxa"/>
                  <w:vMerge w:val="restart"/>
                  <w:hideMark/>
                </w:tcPr>
                <w:p w14:paraId="17E816D0" w14:textId="77777777" w:rsidR="0036406C" w:rsidRPr="00AD705C" w:rsidRDefault="0036406C" w:rsidP="0036406C">
                  <w:pPr>
                    <w:spacing w:line="300" w:lineRule="auto"/>
                    <w:jc w:val="both"/>
                    <w:rPr>
                      <w:i/>
                    </w:rPr>
                  </w:pPr>
                  <w:r w:rsidRPr="00AD705C">
                    <w:rPr>
                      <w:i/>
                    </w:rPr>
                    <w:t>Low</w:t>
                  </w:r>
                </w:p>
              </w:tc>
              <w:tc>
                <w:tcPr>
                  <w:tcW w:w="7110" w:type="dxa"/>
                  <w:hideMark/>
                </w:tcPr>
                <w:p w14:paraId="3DBFF16B" w14:textId="77777777" w:rsidR="0036406C" w:rsidRPr="00AD705C" w:rsidRDefault="0036406C" w:rsidP="0036406C">
                  <w:pPr>
                    <w:spacing w:line="300" w:lineRule="auto"/>
                    <w:jc w:val="both"/>
                    <w:cnfStyle w:val="000000100000" w:firstRow="0" w:lastRow="0" w:firstColumn="0" w:lastColumn="0" w:oddVBand="0" w:evenVBand="0" w:oddHBand="1" w:evenHBand="0" w:firstRowFirstColumn="0" w:firstRowLastColumn="0" w:lastRowFirstColumn="0" w:lastRowLastColumn="0"/>
                  </w:pPr>
                  <w:r w:rsidRPr="00AD705C">
                    <w:rPr>
                      <w:lang w:val="en-AU"/>
                    </w:rPr>
                    <w:t>Competence with keeping household records</w:t>
                  </w:r>
                </w:p>
              </w:tc>
            </w:tr>
            <w:tr w:rsidR="0036406C" w:rsidRPr="00AD705C" w14:paraId="5D0B9E3A" w14:textId="77777777" w:rsidTr="00437CEA">
              <w:trPr>
                <w:trHeight w:val="280"/>
              </w:trPr>
              <w:tc>
                <w:tcPr>
                  <w:cnfStyle w:val="001000000000" w:firstRow="0" w:lastRow="0" w:firstColumn="1" w:lastColumn="0" w:oddVBand="0" w:evenVBand="0" w:oddHBand="0" w:evenHBand="0" w:firstRowFirstColumn="0" w:firstRowLastColumn="0" w:lastRowFirstColumn="0" w:lastRowLastColumn="0"/>
                  <w:tcW w:w="2368" w:type="dxa"/>
                  <w:vMerge/>
                  <w:hideMark/>
                </w:tcPr>
                <w:p w14:paraId="3EEFFDFC" w14:textId="77777777" w:rsidR="0036406C" w:rsidRPr="00AD705C" w:rsidRDefault="0036406C" w:rsidP="0036406C">
                  <w:pPr>
                    <w:spacing w:line="300" w:lineRule="auto"/>
                    <w:jc w:val="both"/>
                  </w:pPr>
                </w:p>
              </w:tc>
              <w:tc>
                <w:tcPr>
                  <w:tcW w:w="7110" w:type="dxa"/>
                  <w:hideMark/>
                </w:tcPr>
                <w:p w14:paraId="17EF93F3" w14:textId="77777777" w:rsidR="0036406C" w:rsidRPr="00AD705C" w:rsidRDefault="0036406C" w:rsidP="0036406C">
                  <w:pPr>
                    <w:spacing w:line="300" w:lineRule="auto"/>
                    <w:jc w:val="both"/>
                    <w:cnfStyle w:val="000000000000" w:firstRow="0" w:lastRow="0" w:firstColumn="0" w:lastColumn="0" w:oddVBand="0" w:evenVBand="0" w:oddHBand="0" w:evenHBand="0" w:firstRowFirstColumn="0" w:firstRowLastColumn="0" w:lastRowFirstColumn="0" w:lastRowLastColumn="0"/>
                  </w:pPr>
                  <w:r w:rsidRPr="00AD705C">
                    <w:rPr>
                      <w:lang w:val="en-AU"/>
                    </w:rPr>
                    <w:t>Competence with household budgeting</w:t>
                  </w:r>
                </w:p>
              </w:tc>
            </w:tr>
            <w:tr w:rsidR="0036406C" w:rsidRPr="00AD705C" w14:paraId="7F8B204F" w14:textId="77777777" w:rsidTr="00437CE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368" w:type="dxa"/>
                  <w:vMerge/>
                </w:tcPr>
                <w:p w14:paraId="21C205D1" w14:textId="77777777" w:rsidR="0036406C" w:rsidRPr="00AD705C" w:rsidRDefault="0036406C" w:rsidP="0036406C">
                  <w:pPr>
                    <w:spacing w:line="300" w:lineRule="auto"/>
                    <w:jc w:val="both"/>
                  </w:pPr>
                </w:p>
              </w:tc>
              <w:tc>
                <w:tcPr>
                  <w:tcW w:w="7110" w:type="dxa"/>
                </w:tcPr>
                <w:p w14:paraId="2B65E83C" w14:textId="77777777" w:rsidR="0036406C" w:rsidRPr="00AD705C" w:rsidRDefault="0036406C" w:rsidP="0036406C">
                  <w:pPr>
                    <w:spacing w:line="300" w:lineRule="auto"/>
                    <w:jc w:val="both"/>
                    <w:cnfStyle w:val="000000100000" w:firstRow="0" w:lastRow="0" w:firstColumn="0" w:lastColumn="0" w:oddVBand="0" w:evenVBand="0" w:oddHBand="1" w:evenHBand="0" w:firstRowFirstColumn="0" w:firstRowLastColumn="0" w:lastRowFirstColumn="0" w:lastRowLastColumn="0"/>
                    <w:rPr>
                      <w:lang w:val="en-AU"/>
                    </w:rPr>
                  </w:pPr>
                  <w:r w:rsidRPr="00AD705C">
                    <w:rPr>
                      <w:lang w:val="en-AU"/>
                    </w:rPr>
                    <w:t>Competence with managing borrowing</w:t>
                  </w:r>
                </w:p>
              </w:tc>
            </w:tr>
            <w:tr w:rsidR="0036406C" w:rsidRPr="00AD705C" w14:paraId="59A6E37A" w14:textId="77777777" w:rsidTr="00437CEA">
              <w:trPr>
                <w:trHeight w:val="280"/>
              </w:trPr>
              <w:tc>
                <w:tcPr>
                  <w:cnfStyle w:val="001000000000" w:firstRow="0" w:lastRow="0" w:firstColumn="1" w:lastColumn="0" w:oddVBand="0" w:evenVBand="0" w:oddHBand="0" w:evenHBand="0" w:firstRowFirstColumn="0" w:firstRowLastColumn="0" w:lastRowFirstColumn="0" w:lastRowLastColumn="0"/>
                  <w:tcW w:w="2368" w:type="dxa"/>
                  <w:vMerge/>
                </w:tcPr>
                <w:p w14:paraId="176360BA" w14:textId="77777777" w:rsidR="0036406C" w:rsidRPr="00AD705C" w:rsidRDefault="0036406C" w:rsidP="0036406C">
                  <w:pPr>
                    <w:spacing w:line="300" w:lineRule="auto"/>
                    <w:jc w:val="both"/>
                  </w:pPr>
                </w:p>
              </w:tc>
              <w:tc>
                <w:tcPr>
                  <w:tcW w:w="7110" w:type="dxa"/>
                </w:tcPr>
                <w:p w14:paraId="5A8273F2" w14:textId="77777777" w:rsidR="0036406C" w:rsidRPr="00AD705C" w:rsidRDefault="0036406C" w:rsidP="0036406C">
                  <w:pPr>
                    <w:spacing w:line="300" w:lineRule="auto"/>
                    <w:jc w:val="both"/>
                    <w:cnfStyle w:val="000000000000" w:firstRow="0" w:lastRow="0" w:firstColumn="0" w:lastColumn="0" w:oddVBand="0" w:evenVBand="0" w:oddHBand="0" w:evenHBand="0" w:firstRowFirstColumn="0" w:firstRowLastColumn="0" w:lastRowFirstColumn="0" w:lastRowLastColumn="0"/>
                    <w:rPr>
                      <w:lang w:val="en-AU"/>
                    </w:rPr>
                  </w:pPr>
                  <w:r w:rsidRPr="00AD705C">
                    <w:rPr>
                      <w:lang w:val="en-AU"/>
                    </w:rPr>
                    <w:t>Competence with identifying and recording household expenditure</w:t>
                  </w:r>
                </w:p>
              </w:tc>
            </w:tr>
            <w:tr w:rsidR="0036406C" w:rsidRPr="00AD705C" w14:paraId="582827EC" w14:textId="77777777" w:rsidTr="00437CEA">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368" w:type="dxa"/>
                  <w:vMerge/>
                </w:tcPr>
                <w:p w14:paraId="7271B3FB" w14:textId="77777777" w:rsidR="0036406C" w:rsidRPr="00AD705C" w:rsidRDefault="0036406C" w:rsidP="0036406C">
                  <w:pPr>
                    <w:spacing w:line="300" w:lineRule="auto"/>
                    <w:jc w:val="both"/>
                  </w:pPr>
                </w:p>
              </w:tc>
              <w:tc>
                <w:tcPr>
                  <w:tcW w:w="7110" w:type="dxa"/>
                </w:tcPr>
                <w:p w14:paraId="0F129D45" w14:textId="77777777" w:rsidR="0036406C" w:rsidRPr="00AD705C" w:rsidRDefault="0036406C" w:rsidP="0036406C">
                  <w:pPr>
                    <w:spacing w:line="300" w:lineRule="auto"/>
                    <w:jc w:val="both"/>
                    <w:cnfStyle w:val="000000100000" w:firstRow="0" w:lastRow="0" w:firstColumn="0" w:lastColumn="0" w:oddVBand="0" w:evenVBand="0" w:oddHBand="1" w:evenHBand="0" w:firstRowFirstColumn="0" w:firstRowLastColumn="0" w:lastRowFirstColumn="0" w:lastRowLastColumn="0"/>
                    <w:rPr>
                      <w:lang w:val="en-AU"/>
                    </w:rPr>
                  </w:pPr>
                  <w:r w:rsidRPr="00AD705C">
                    <w:rPr>
                      <w:lang w:val="en-AU"/>
                    </w:rPr>
                    <w:t>Competence with managing requests for financial assistance</w:t>
                  </w:r>
                </w:p>
              </w:tc>
            </w:tr>
            <w:tr w:rsidR="0036406C" w:rsidRPr="00AD705C" w14:paraId="7EE06C77" w14:textId="77777777" w:rsidTr="00437CEA">
              <w:trPr>
                <w:trHeight w:val="298"/>
              </w:trPr>
              <w:tc>
                <w:tcPr>
                  <w:cnfStyle w:val="001000000000" w:firstRow="0" w:lastRow="0" w:firstColumn="1" w:lastColumn="0" w:oddVBand="0" w:evenVBand="0" w:oddHBand="0" w:evenHBand="0" w:firstRowFirstColumn="0" w:firstRowLastColumn="0" w:lastRowFirstColumn="0" w:lastRowLastColumn="0"/>
                  <w:tcW w:w="2368" w:type="dxa"/>
                  <w:vMerge/>
                  <w:hideMark/>
                </w:tcPr>
                <w:p w14:paraId="179069FE" w14:textId="77777777" w:rsidR="0036406C" w:rsidRPr="00AD705C" w:rsidRDefault="0036406C" w:rsidP="0036406C">
                  <w:pPr>
                    <w:spacing w:line="300" w:lineRule="auto"/>
                    <w:jc w:val="both"/>
                  </w:pPr>
                </w:p>
              </w:tc>
              <w:tc>
                <w:tcPr>
                  <w:tcW w:w="7110" w:type="dxa"/>
                  <w:hideMark/>
                </w:tcPr>
                <w:p w14:paraId="1A3F0646" w14:textId="77777777" w:rsidR="0036406C" w:rsidRPr="00AD705C" w:rsidRDefault="0036406C" w:rsidP="0036406C">
                  <w:pPr>
                    <w:spacing w:line="300" w:lineRule="auto"/>
                    <w:jc w:val="both"/>
                    <w:cnfStyle w:val="000000000000" w:firstRow="0" w:lastRow="0" w:firstColumn="0" w:lastColumn="0" w:oddVBand="0" w:evenVBand="0" w:oddHBand="0" w:evenHBand="0" w:firstRowFirstColumn="0" w:firstRowLastColumn="0" w:lastRowFirstColumn="0" w:lastRowLastColumn="0"/>
                  </w:pPr>
                  <w:r w:rsidRPr="00AD705C">
                    <w:rPr>
                      <w:lang w:val="en-AU"/>
                    </w:rPr>
                    <w:t>Competence with managing cost of money</w:t>
                  </w:r>
                </w:p>
              </w:tc>
            </w:tr>
          </w:tbl>
          <w:p w14:paraId="2CA5A200" w14:textId="77777777" w:rsidR="0036406C" w:rsidRDefault="0036406C" w:rsidP="001653DE">
            <w:pPr>
              <w:widowControl w:val="0"/>
              <w:overflowPunct w:val="0"/>
              <w:adjustRightInd w:val="0"/>
              <w:jc w:val="both"/>
            </w:pPr>
          </w:p>
          <w:p w14:paraId="5CCA535E" w14:textId="3EBA554B" w:rsidR="00B46C82" w:rsidRPr="00F93C85" w:rsidRDefault="00B46C82" w:rsidP="00F93C85">
            <w:pPr>
              <w:pStyle w:val="ListParagraph"/>
              <w:widowControl w:val="0"/>
              <w:numPr>
                <w:ilvl w:val="0"/>
                <w:numId w:val="37"/>
              </w:numPr>
              <w:overflowPunct w:val="0"/>
              <w:adjustRightInd w:val="0"/>
              <w:jc w:val="both"/>
              <w:rPr>
                <w:lang w:val="en-NZ"/>
              </w:rPr>
            </w:pPr>
            <w:r w:rsidRPr="00F93C85">
              <w:rPr>
                <w:lang w:val="en-NZ"/>
              </w:rPr>
              <w:t>The study also revealed that, though, low income households are monetised, they have limited understanding of financial terms and conditions. Most low-income households are unable to undertake money management tasks and financial services activities they consider necessary. They are generally better able to manage short-term financial activities than long-term financial planning, including planning for life cycle events, such as education, marriage, and funerals. The lack of financial knowledge, skills and lack of access to safe and affordable financial services are among the key reasons.</w:t>
            </w:r>
          </w:p>
          <w:p w14:paraId="58ED144A" w14:textId="77777777" w:rsidR="00B46C82" w:rsidRPr="00B46C82" w:rsidRDefault="00B46C82" w:rsidP="00B46C82">
            <w:pPr>
              <w:widowControl w:val="0"/>
              <w:overflowPunct w:val="0"/>
              <w:adjustRightInd w:val="0"/>
              <w:jc w:val="both"/>
              <w:rPr>
                <w:lang w:val="en-NZ"/>
              </w:rPr>
            </w:pPr>
          </w:p>
          <w:p w14:paraId="1A303E3E" w14:textId="363F5A3B" w:rsidR="00B46C82" w:rsidRPr="00F93C85" w:rsidRDefault="00B46C82" w:rsidP="00F93C85">
            <w:pPr>
              <w:pStyle w:val="ListParagraph"/>
              <w:widowControl w:val="0"/>
              <w:numPr>
                <w:ilvl w:val="0"/>
                <w:numId w:val="37"/>
              </w:numPr>
              <w:overflowPunct w:val="0"/>
              <w:adjustRightInd w:val="0"/>
              <w:jc w:val="both"/>
              <w:rPr>
                <w:lang w:val="en-NZ"/>
              </w:rPr>
            </w:pPr>
            <w:r w:rsidRPr="00F93C85">
              <w:rPr>
                <w:lang w:val="en-NZ"/>
              </w:rPr>
              <w:t>Against this background, the Ministry of Education, Sports and Culture (MESC), in collaboration with the Central Bank of Samoa (CBS) and the Pacific Financial Inclusion Programme (PFIP), is planning to introduce and strengthen financial education, through the core curriculum in schools, to build a better financially educated generation. The scoping mission will assist the MESC to identify ways to achieve this goal through developing a detailed implementation plan.</w:t>
            </w:r>
          </w:p>
          <w:p w14:paraId="094078CA" w14:textId="77777777" w:rsidR="00B46C82" w:rsidRDefault="00B46C82" w:rsidP="001653DE">
            <w:pPr>
              <w:widowControl w:val="0"/>
              <w:overflowPunct w:val="0"/>
              <w:adjustRightInd w:val="0"/>
              <w:jc w:val="both"/>
            </w:pPr>
          </w:p>
          <w:p w14:paraId="143D33B9" w14:textId="2C9711D6" w:rsidR="000D7C9B" w:rsidRPr="000D7C9B" w:rsidRDefault="000D7C9B" w:rsidP="000D7C9B">
            <w:pPr>
              <w:widowControl w:val="0"/>
              <w:overflowPunct w:val="0"/>
              <w:adjustRightInd w:val="0"/>
              <w:jc w:val="both"/>
              <w:rPr>
                <w:b/>
                <w:i/>
                <w:lang w:val="en-NZ"/>
              </w:rPr>
            </w:pPr>
            <w:r w:rsidRPr="000D7C9B">
              <w:rPr>
                <w:b/>
                <w:i/>
                <w:lang w:val="en-NZ"/>
              </w:rPr>
              <w:t>Financial Education Scoping Mission 2015</w:t>
            </w:r>
          </w:p>
          <w:p w14:paraId="0AF5EE4B" w14:textId="77777777" w:rsidR="000D7C9B" w:rsidRPr="000D7C9B" w:rsidRDefault="000D7C9B" w:rsidP="000D7C9B">
            <w:pPr>
              <w:widowControl w:val="0"/>
              <w:overflowPunct w:val="0"/>
              <w:adjustRightInd w:val="0"/>
              <w:jc w:val="both"/>
              <w:rPr>
                <w:b/>
                <w:i/>
                <w:lang w:val="en-NZ"/>
              </w:rPr>
            </w:pPr>
          </w:p>
          <w:p w14:paraId="17C35B8F" w14:textId="664E8C9E" w:rsidR="000D7C9B" w:rsidRPr="001A35D2" w:rsidRDefault="000D7C9B" w:rsidP="001A35D2">
            <w:pPr>
              <w:pStyle w:val="ListParagraph"/>
              <w:widowControl w:val="0"/>
              <w:numPr>
                <w:ilvl w:val="0"/>
                <w:numId w:val="38"/>
              </w:numPr>
              <w:overflowPunct w:val="0"/>
              <w:adjustRightInd w:val="0"/>
              <w:jc w:val="both"/>
              <w:rPr>
                <w:lang w:val="en-NZ"/>
              </w:rPr>
            </w:pPr>
            <w:r w:rsidRPr="001A35D2">
              <w:rPr>
                <w:lang w:val="en-NZ"/>
              </w:rPr>
              <w:t xml:space="preserve">In 2015, a scoping mission was undertaken through the joint efforts of the MESC, CBS and PFIP to </w:t>
            </w:r>
            <w:r w:rsidRPr="001A35D2">
              <w:rPr>
                <w:lang w:val="en-NZ"/>
              </w:rPr>
              <w:lastRenderedPageBreak/>
              <w:t>ascertain the best form for the introduction of Financial Education within the Samoa school curriculum, together with assisting MESC to identify ways to achieve this goal through the development of a detailed implementation plan.</w:t>
            </w:r>
          </w:p>
          <w:p w14:paraId="3C9C4C26" w14:textId="77777777" w:rsidR="000D7C9B" w:rsidRPr="000D7C9B" w:rsidRDefault="000D7C9B" w:rsidP="000D7C9B">
            <w:pPr>
              <w:widowControl w:val="0"/>
              <w:overflowPunct w:val="0"/>
              <w:adjustRightInd w:val="0"/>
              <w:jc w:val="both"/>
              <w:rPr>
                <w:lang w:val="en-NZ"/>
              </w:rPr>
            </w:pPr>
          </w:p>
          <w:p w14:paraId="5322276B" w14:textId="75A7129F" w:rsidR="000D7C9B" w:rsidRPr="001A35D2" w:rsidRDefault="000D7C9B" w:rsidP="001A35D2">
            <w:pPr>
              <w:pStyle w:val="ListParagraph"/>
              <w:widowControl w:val="0"/>
              <w:numPr>
                <w:ilvl w:val="0"/>
                <w:numId w:val="38"/>
              </w:numPr>
              <w:overflowPunct w:val="0"/>
              <w:adjustRightInd w:val="0"/>
              <w:jc w:val="both"/>
              <w:rPr>
                <w:lang w:val="en-NZ"/>
              </w:rPr>
            </w:pPr>
            <w:r w:rsidRPr="001A35D2">
              <w:rPr>
                <w:lang w:val="en-NZ"/>
              </w:rPr>
              <w:t xml:space="preserve">The scoping mission observed clear linkages in existing subjects at primary, junior secondary and senior secondary levels, where financial education learning could occur, should such be done via integration.  There </w:t>
            </w:r>
            <w:proofErr w:type="gramStart"/>
            <w:r w:rsidRPr="001A35D2">
              <w:rPr>
                <w:lang w:val="en-NZ"/>
              </w:rPr>
              <w:t>are</w:t>
            </w:r>
            <w:proofErr w:type="gramEnd"/>
            <w:r w:rsidRPr="001A35D2">
              <w:rPr>
                <w:lang w:val="en-NZ"/>
              </w:rPr>
              <w:t xml:space="preserve"> also existing learning within these subjects, which could be further built upon.  It was discussed that the primary school level subjects of Samoan, Mathematics, English and Social Studies and the secondary school subjects of Samoan, Mathematics, English, Social Studies and Business Studies would be the areas of integration.  </w:t>
            </w:r>
          </w:p>
          <w:p w14:paraId="604F1700" w14:textId="77777777" w:rsidR="000D7C9B" w:rsidRPr="000D7C9B" w:rsidRDefault="000D7C9B" w:rsidP="000D7C9B">
            <w:pPr>
              <w:widowControl w:val="0"/>
              <w:overflowPunct w:val="0"/>
              <w:adjustRightInd w:val="0"/>
              <w:jc w:val="both"/>
              <w:rPr>
                <w:lang w:val="en-NZ"/>
              </w:rPr>
            </w:pPr>
          </w:p>
          <w:p w14:paraId="553240C0" w14:textId="460B881F" w:rsidR="000D7C9B" w:rsidRPr="000D7C9B" w:rsidRDefault="000D7C9B" w:rsidP="001A35D2">
            <w:pPr>
              <w:pStyle w:val="ListParagraph"/>
              <w:widowControl w:val="0"/>
              <w:numPr>
                <w:ilvl w:val="0"/>
                <w:numId w:val="38"/>
              </w:numPr>
              <w:overflowPunct w:val="0"/>
              <w:adjustRightInd w:val="0"/>
              <w:jc w:val="both"/>
            </w:pPr>
            <w:r w:rsidRPr="001A35D2">
              <w:rPr>
                <w:lang w:val="en-NZ"/>
              </w:rPr>
              <w:t>The mission also reported on existing synergies for the timely introduction of Financial Education within the core curriculum.</w:t>
            </w:r>
          </w:p>
          <w:p w14:paraId="1459BD73" w14:textId="77777777" w:rsidR="000D7C9B" w:rsidRDefault="000D7C9B" w:rsidP="001653DE">
            <w:pPr>
              <w:widowControl w:val="0"/>
              <w:overflowPunct w:val="0"/>
              <w:adjustRightInd w:val="0"/>
              <w:jc w:val="both"/>
            </w:pPr>
          </w:p>
          <w:p w14:paraId="0A1CAABE" w14:textId="1026C79B" w:rsidR="00863465" w:rsidRPr="00E2763D" w:rsidRDefault="00863465" w:rsidP="00863465">
            <w:pPr>
              <w:pStyle w:val="ListParagraph"/>
              <w:widowControl w:val="0"/>
              <w:overflowPunct w:val="0"/>
              <w:adjustRightInd w:val="0"/>
              <w:jc w:val="both"/>
            </w:pPr>
          </w:p>
        </w:tc>
      </w:tr>
    </w:tbl>
    <w:p w14:paraId="35685A37" w14:textId="77777777" w:rsidR="007E39F5" w:rsidRDefault="007E39F5" w:rsidP="0088263E">
      <w:pPr>
        <w:tabs>
          <w:tab w:val="left" w:pos="1410"/>
        </w:tabs>
        <w:rPr>
          <w:b/>
          <w:color w:val="0070C0"/>
        </w:rPr>
      </w:pPr>
    </w:p>
    <w:p w14:paraId="06DCA7F3" w14:textId="77777777" w:rsidR="00944F40" w:rsidRPr="0088263E" w:rsidRDefault="0088263E" w:rsidP="0088263E">
      <w:pPr>
        <w:tabs>
          <w:tab w:val="left" w:pos="1410"/>
        </w:tabs>
        <w:rPr>
          <w:b/>
          <w:color w:val="0070C0"/>
        </w:rPr>
      </w:pPr>
      <w:r w:rsidRPr="0088263E">
        <w:rPr>
          <w:b/>
          <w:color w:val="0070C0"/>
        </w:rPr>
        <w:t>DUTIES AND RESPONSIBILITIES</w:t>
      </w:r>
    </w:p>
    <w:tbl>
      <w:tblPr>
        <w:tblStyle w:val="TableGrid"/>
        <w:tblW w:w="0" w:type="auto"/>
        <w:tblLook w:val="04A0" w:firstRow="1" w:lastRow="0" w:firstColumn="1" w:lastColumn="0" w:noHBand="0" w:noVBand="1"/>
      </w:tblPr>
      <w:tblGrid>
        <w:gridCol w:w="9350"/>
      </w:tblGrid>
      <w:tr w:rsidR="0065710B" w14:paraId="398288A9" w14:textId="77777777" w:rsidTr="0065710B">
        <w:tc>
          <w:tcPr>
            <w:tcW w:w="9576" w:type="dxa"/>
          </w:tcPr>
          <w:p w14:paraId="5A23CF58" w14:textId="0DBBAADA" w:rsidR="0065710B" w:rsidRDefault="00EC70F7" w:rsidP="00A24134">
            <w:pPr>
              <w:rPr>
                <w:b/>
              </w:rPr>
            </w:pPr>
            <w:r w:rsidRPr="00EC70F7">
              <w:rPr>
                <w:b/>
              </w:rPr>
              <w:t>Scope of Work</w:t>
            </w:r>
          </w:p>
          <w:p w14:paraId="73EC83DE" w14:textId="77777777" w:rsidR="008871A7" w:rsidRDefault="008871A7" w:rsidP="00A24134">
            <w:pPr>
              <w:rPr>
                <w:b/>
              </w:rPr>
            </w:pPr>
          </w:p>
          <w:p w14:paraId="2AD65A68" w14:textId="119E5C1C" w:rsidR="00EC70F7" w:rsidRDefault="00794598" w:rsidP="00E2763D">
            <w:pPr>
              <w:pStyle w:val="ListParagraph"/>
              <w:widowControl w:val="0"/>
              <w:numPr>
                <w:ilvl w:val="0"/>
                <w:numId w:val="31"/>
              </w:numPr>
              <w:overflowPunct w:val="0"/>
              <w:adjustRightInd w:val="0"/>
              <w:ind w:left="360" w:hanging="270"/>
              <w:rPr>
                <w:rFonts w:cstheme="minorHAnsi"/>
              </w:rPr>
            </w:pPr>
            <w:r>
              <w:rPr>
                <w:rFonts w:cstheme="minorHAnsi"/>
              </w:rPr>
              <w:t>The activity covers both the primary and secondary school curriculum at all year levels.</w:t>
            </w:r>
          </w:p>
          <w:p w14:paraId="03405B51" w14:textId="77777777" w:rsidR="00794598" w:rsidRPr="00E2763D" w:rsidRDefault="00794598" w:rsidP="00794598">
            <w:pPr>
              <w:pStyle w:val="ListParagraph"/>
              <w:widowControl w:val="0"/>
              <w:overflowPunct w:val="0"/>
              <w:adjustRightInd w:val="0"/>
              <w:ind w:left="360"/>
              <w:rPr>
                <w:rFonts w:cstheme="minorHAnsi"/>
              </w:rPr>
            </w:pPr>
          </w:p>
          <w:p w14:paraId="7C570FC9" w14:textId="056341BD" w:rsidR="00EC70F7" w:rsidRDefault="00794598" w:rsidP="00E2763D">
            <w:pPr>
              <w:pStyle w:val="ListParagraph"/>
              <w:widowControl w:val="0"/>
              <w:numPr>
                <w:ilvl w:val="0"/>
                <w:numId w:val="31"/>
              </w:numPr>
              <w:overflowPunct w:val="0"/>
              <w:adjustRightInd w:val="0"/>
              <w:ind w:left="360" w:hanging="270"/>
              <w:rPr>
                <w:rFonts w:cstheme="minorHAnsi"/>
              </w:rPr>
            </w:pPr>
            <w:r>
              <w:rPr>
                <w:rFonts w:cstheme="minorHAnsi"/>
              </w:rPr>
              <w:t xml:space="preserve">The activity involves firstly, a </w:t>
            </w:r>
            <w:proofErr w:type="spellStart"/>
            <w:r>
              <w:rPr>
                <w:rFonts w:cstheme="minorHAnsi"/>
              </w:rPr>
              <w:t>stocktake</w:t>
            </w:r>
            <w:proofErr w:type="spellEnd"/>
            <w:r>
              <w:rPr>
                <w:rFonts w:cstheme="minorHAnsi"/>
              </w:rPr>
              <w:t xml:space="preserve"> of Financial Education across the primary and secondary schools’ existing national curriculum and documentation and classroom materials issued under the existing national curriculum. These are inclusive of the subjects’ identified above and any other subjects where necessary. The </w:t>
            </w:r>
            <w:proofErr w:type="spellStart"/>
            <w:r>
              <w:rPr>
                <w:rFonts w:cstheme="minorHAnsi"/>
              </w:rPr>
              <w:t>stocktake</w:t>
            </w:r>
            <w:proofErr w:type="spellEnd"/>
            <w:r>
              <w:rPr>
                <w:rFonts w:cstheme="minorHAnsi"/>
              </w:rPr>
              <w:t xml:space="preserve"> will be presented as a map of learning outcomes. </w:t>
            </w:r>
          </w:p>
          <w:p w14:paraId="4BDD9CD7" w14:textId="77777777" w:rsidR="00794598" w:rsidRPr="00745D42" w:rsidRDefault="00794598" w:rsidP="00745D42">
            <w:pPr>
              <w:widowControl w:val="0"/>
              <w:overflowPunct w:val="0"/>
              <w:adjustRightInd w:val="0"/>
              <w:rPr>
                <w:rFonts w:cstheme="minorHAnsi"/>
              </w:rPr>
            </w:pPr>
          </w:p>
          <w:p w14:paraId="33058137" w14:textId="582343F3" w:rsidR="00EC70F7" w:rsidRDefault="00745D42" w:rsidP="00E2763D">
            <w:pPr>
              <w:pStyle w:val="ListParagraph"/>
              <w:widowControl w:val="0"/>
              <w:numPr>
                <w:ilvl w:val="0"/>
                <w:numId w:val="31"/>
              </w:numPr>
              <w:overflowPunct w:val="0"/>
              <w:adjustRightInd w:val="0"/>
              <w:ind w:left="360" w:hanging="270"/>
              <w:rPr>
                <w:rFonts w:cstheme="minorHAnsi"/>
              </w:rPr>
            </w:pPr>
            <w:r>
              <w:rPr>
                <w:rFonts w:cstheme="minorHAnsi"/>
              </w:rPr>
              <w:t xml:space="preserve">The activity involves, secondly the development of a complete set of detailed learning outcomes per subject area across the primary and secondary school curriculum and identification of areas for integration of these learning outcomes within specific subject syllabi. The Financial Education learning outcomes must be worded in the appropriate language for integration into and strengthening of existing curriculum documents. </w:t>
            </w:r>
          </w:p>
          <w:p w14:paraId="668ED41E" w14:textId="77777777" w:rsidR="000A3783" w:rsidRPr="000A3783" w:rsidRDefault="000A3783" w:rsidP="000A3783">
            <w:pPr>
              <w:pStyle w:val="ListParagraph"/>
              <w:rPr>
                <w:rFonts w:cstheme="minorHAnsi"/>
              </w:rPr>
            </w:pPr>
          </w:p>
          <w:p w14:paraId="53C5CE79" w14:textId="77777777" w:rsidR="000A3783" w:rsidRDefault="000A3783" w:rsidP="00E2763D">
            <w:pPr>
              <w:pStyle w:val="ListParagraph"/>
              <w:widowControl w:val="0"/>
              <w:numPr>
                <w:ilvl w:val="0"/>
                <w:numId w:val="31"/>
              </w:numPr>
              <w:overflowPunct w:val="0"/>
              <w:adjustRightInd w:val="0"/>
              <w:ind w:left="360" w:hanging="270"/>
              <w:rPr>
                <w:rFonts w:cstheme="minorHAnsi"/>
              </w:rPr>
            </w:pPr>
            <w:r>
              <w:rPr>
                <w:rFonts w:cstheme="minorHAnsi"/>
              </w:rPr>
              <w:t>In order to prepare the detailed framework of learning outcomes by subject area, the broad areas of review and assessment will include, but will not be limited to:</w:t>
            </w:r>
          </w:p>
          <w:p w14:paraId="076E0350" w14:textId="77777777" w:rsidR="000A3783" w:rsidRPr="000A3783" w:rsidRDefault="000A3783" w:rsidP="000A3783">
            <w:pPr>
              <w:widowControl w:val="0"/>
              <w:overflowPunct w:val="0"/>
              <w:adjustRightInd w:val="0"/>
              <w:rPr>
                <w:rFonts w:cstheme="minorHAnsi"/>
              </w:rPr>
            </w:pPr>
          </w:p>
          <w:p w14:paraId="0BFA36F8" w14:textId="72CEED2E" w:rsidR="000A3783" w:rsidRDefault="000A3783" w:rsidP="000A3783">
            <w:pPr>
              <w:pStyle w:val="ListParagraph"/>
              <w:widowControl w:val="0"/>
              <w:numPr>
                <w:ilvl w:val="0"/>
                <w:numId w:val="39"/>
              </w:numPr>
              <w:overflowPunct w:val="0"/>
              <w:adjustRightInd w:val="0"/>
              <w:rPr>
                <w:rFonts w:cstheme="minorHAnsi"/>
              </w:rPr>
            </w:pPr>
            <w:r>
              <w:rPr>
                <w:rFonts w:cstheme="minorHAnsi"/>
              </w:rPr>
              <w:t>National policy, vision and expectations of Financial Education</w:t>
            </w:r>
          </w:p>
          <w:p w14:paraId="0F0DBF15" w14:textId="22722D0C" w:rsidR="000A3783" w:rsidRDefault="000A3783" w:rsidP="000A3783">
            <w:pPr>
              <w:pStyle w:val="ListParagraph"/>
              <w:widowControl w:val="0"/>
              <w:numPr>
                <w:ilvl w:val="0"/>
                <w:numId w:val="39"/>
              </w:numPr>
              <w:overflowPunct w:val="0"/>
              <w:adjustRightInd w:val="0"/>
              <w:rPr>
                <w:rFonts w:cstheme="minorHAnsi"/>
              </w:rPr>
            </w:pPr>
            <w:r>
              <w:rPr>
                <w:rFonts w:cstheme="minorHAnsi"/>
              </w:rPr>
              <w:t>A review of the current education curriculum</w:t>
            </w:r>
          </w:p>
          <w:p w14:paraId="1136F66F" w14:textId="0F45BE3E" w:rsidR="000A3783" w:rsidRDefault="000A3783" w:rsidP="000A3783">
            <w:pPr>
              <w:pStyle w:val="ListParagraph"/>
              <w:widowControl w:val="0"/>
              <w:numPr>
                <w:ilvl w:val="0"/>
                <w:numId w:val="39"/>
              </w:numPr>
              <w:overflowPunct w:val="0"/>
              <w:adjustRightInd w:val="0"/>
              <w:rPr>
                <w:rFonts w:cstheme="minorHAnsi"/>
              </w:rPr>
            </w:pPr>
            <w:r>
              <w:rPr>
                <w:rFonts w:cstheme="minorHAnsi"/>
              </w:rPr>
              <w:t>Teaching and learning resources</w:t>
            </w:r>
          </w:p>
          <w:p w14:paraId="019FF70A" w14:textId="5C9CB3F2" w:rsidR="000A3783" w:rsidRDefault="000A3783" w:rsidP="000A3783">
            <w:pPr>
              <w:pStyle w:val="ListParagraph"/>
              <w:widowControl w:val="0"/>
              <w:numPr>
                <w:ilvl w:val="0"/>
                <w:numId w:val="39"/>
              </w:numPr>
              <w:overflowPunct w:val="0"/>
              <w:adjustRightInd w:val="0"/>
              <w:rPr>
                <w:rFonts w:cstheme="minorHAnsi"/>
              </w:rPr>
            </w:pPr>
            <w:r>
              <w:rPr>
                <w:rFonts w:cstheme="minorHAnsi"/>
              </w:rPr>
              <w:t>Processes for introducing or integrating new learning into the curriculum (keeping in mind current stages of progress)</w:t>
            </w:r>
          </w:p>
          <w:p w14:paraId="02B0255B" w14:textId="333CCB84" w:rsidR="000A3783" w:rsidRDefault="000A3783" w:rsidP="000A3783">
            <w:pPr>
              <w:pStyle w:val="ListParagraph"/>
              <w:widowControl w:val="0"/>
              <w:numPr>
                <w:ilvl w:val="0"/>
                <w:numId w:val="39"/>
              </w:numPr>
              <w:overflowPunct w:val="0"/>
              <w:adjustRightInd w:val="0"/>
              <w:rPr>
                <w:rFonts w:cstheme="minorHAnsi"/>
              </w:rPr>
            </w:pPr>
            <w:r>
              <w:rPr>
                <w:rFonts w:cstheme="minorHAnsi"/>
              </w:rPr>
              <w:t>Financial and budgetary situation of the Ministry of Education, and prospects for external funding support for integration and developmental costs</w:t>
            </w:r>
          </w:p>
          <w:p w14:paraId="3E585E65" w14:textId="77777777" w:rsidR="000A3783" w:rsidRDefault="000A3783" w:rsidP="000A3783">
            <w:pPr>
              <w:widowControl w:val="0"/>
              <w:overflowPunct w:val="0"/>
              <w:adjustRightInd w:val="0"/>
              <w:rPr>
                <w:rFonts w:cstheme="minorHAnsi"/>
              </w:rPr>
            </w:pPr>
          </w:p>
          <w:p w14:paraId="3BFB4700" w14:textId="4F1DDE19" w:rsidR="000A3783" w:rsidRPr="00F163B6" w:rsidRDefault="00F163B6" w:rsidP="00F163B6">
            <w:pPr>
              <w:pStyle w:val="ListParagraph"/>
              <w:widowControl w:val="0"/>
              <w:numPr>
                <w:ilvl w:val="0"/>
                <w:numId w:val="31"/>
              </w:numPr>
              <w:overflowPunct w:val="0"/>
              <w:adjustRightInd w:val="0"/>
              <w:rPr>
                <w:rFonts w:cstheme="minorHAnsi"/>
              </w:rPr>
            </w:pPr>
            <w:r>
              <w:rPr>
                <w:rFonts w:cstheme="minorHAnsi"/>
              </w:rPr>
              <w:t xml:space="preserve">5.  </w:t>
            </w:r>
            <w:r w:rsidR="000A3783" w:rsidRPr="00F163B6">
              <w:rPr>
                <w:rFonts w:cstheme="minorHAnsi"/>
              </w:rPr>
              <w:t xml:space="preserve">In making recommendations on curriculum design and changes, the following must be seriously </w:t>
            </w:r>
            <w:proofErr w:type="gramStart"/>
            <w:r w:rsidR="000A3783" w:rsidRPr="00F163B6">
              <w:rPr>
                <w:rFonts w:cstheme="minorHAnsi"/>
              </w:rPr>
              <w:t>taken into account</w:t>
            </w:r>
            <w:proofErr w:type="gramEnd"/>
            <w:r w:rsidR="000A3783" w:rsidRPr="00F163B6">
              <w:rPr>
                <w:rFonts w:cstheme="minorHAnsi"/>
              </w:rPr>
              <w:t xml:space="preserve"> and appropriate strategies designed to enhance opportunities </w:t>
            </w:r>
            <w:r w:rsidRPr="00F163B6">
              <w:rPr>
                <w:rFonts w:cstheme="minorHAnsi"/>
              </w:rPr>
              <w:t>and to mitigate risks:</w:t>
            </w:r>
          </w:p>
          <w:p w14:paraId="39C5EFDB" w14:textId="77777777" w:rsidR="00F163B6" w:rsidRPr="00F163B6" w:rsidRDefault="00F163B6" w:rsidP="00F163B6">
            <w:pPr>
              <w:pStyle w:val="ListParagraph"/>
              <w:widowControl w:val="0"/>
              <w:numPr>
                <w:ilvl w:val="0"/>
                <w:numId w:val="31"/>
              </w:numPr>
              <w:overflowPunct w:val="0"/>
              <w:adjustRightInd w:val="0"/>
              <w:rPr>
                <w:rFonts w:cstheme="minorHAnsi"/>
              </w:rPr>
            </w:pPr>
          </w:p>
          <w:p w14:paraId="0A13F093" w14:textId="3FE68E5B" w:rsidR="00F163B6" w:rsidRDefault="00F163B6" w:rsidP="00F163B6">
            <w:pPr>
              <w:pStyle w:val="ListParagraph"/>
              <w:widowControl w:val="0"/>
              <w:numPr>
                <w:ilvl w:val="0"/>
                <w:numId w:val="41"/>
              </w:numPr>
              <w:overflowPunct w:val="0"/>
              <w:adjustRightInd w:val="0"/>
              <w:rPr>
                <w:rFonts w:cstheme="minorHAnsi"/>
              </w:rPr>
            </w:pPr>
            <w:r>
              <w:rPr>
                <w:rFonts w:cstheme="minorHAnsi"/>
              </w:rPr>
              <w:t>To make available financial literacy learning to as many students as possible (regardless of subject streaming) over a sustained period, as they progress from primary to secondary school.</w:t>
            </w:r>
          </w:p>
          <w:p w14:paraId="0AF00138" w14:textId="4B8CAE17" w:rsidR="00F163B6" w:rsidRDefault="00F163B6" w:rsidP="00F163B6">
            <w:pPr>
              <w:pStyle w:val="ListParagraph"/>
              <w:widowControl w:val="0"/>
              <w:numPr>
                <w:ilvl w:val="0"/>
                <w:numId w:val="41"/>
              </w:numPr>
              <w:overflowPunct w:val="0"/>
              <w:adjustRightInd w:val="0"/>
              <w:rPr>
                <w:rFonts w:cstheme="minorHAnsi"/>
              </w:rPr>
            </w:pPr>
            <w:r>
              <w:rPr>
                <w:rFonts w:cstheme="minorHAnsi"/>
              </w:rPr>
              <w:t>The existing human capacities and institutional structures within MESC</w:t>
            </w:r>
          </w:p>
          <w:p w14:paraId="6EFF7C1F" w14:textId="70F1FC84" w:rsidR="00F163B6" w:rsidRDefault="00F163B6" w:rsidP="00F163B6">
            <w:pPr>
              <w:pStyle w:val="ListParagraph"/>
              <w:widowControl w:val="0"/>
              <w:numPr>
                <w:ilvl w:val="0"/>
                <w:numId w:val="41"/>
              </w:numPr>
              <w:overflowPunct w:val="0"/>
              <w:adjustRightInd w:val="0"/>
              <w:rPr>
                <w:rFonts w:cstheme="minorHAnsi"/>
              </w:rPr>
            </w:pPr>
            <w:r>
              <w:rPr>
                <w:rFonts w:cstheme="minorHAnsi"/>
              </w:rPr>
              <w:t>Ensure sustainability</w:t>
            </w:r>
          </w:p>
          <w:p w14:paraId="0E715A14" w14:textId="36177241" w:rsidR="00F163B6" w:rsidRDefault="00F163B6" w:rsidP="00F163B6">
            <w:pPr>
              <w:pStyle w:val="ListParagraph"/>
              <w:widowControl w:val="0"/>
              <w:numPr>
                <w:ilvl w:val="0"/>
                <w:numId w:val="41"/>
              </w:numPr>
              <w:overflowPunct w:val="0"/>
              <w:adjustRightInd w:val="0"/>
              <w:rPr>
                <w:rFonts w:cstheme="minorHAnsi"/>
              </w:rPr>
            </w:pPr>
            <w:r>
              <w:rPr>
                <w:rFonts w:cstheme="minorHAnsi"/>
              </w:rPr>
              <w:t xml:space="preserve">Optimize ownership and buy-in by MESC staff members, provincial administration, students, parents, the private sector, and other key stakeholders. </w:t>
            </w:r>
          </w:p>
          <w:p w14:paraId="3C86FC0F" w14:textId="77777777" w:rsidR="00F163B6" w:rsidRDefault="00F163B6" w:rsidP="00F163B6">
            <w:pPr>
              <w:widowControl w:val="0"/>
              <w:overflowPunct w:val="0"/>
              <w:adjustRightInd w:val="0"/>
              <w:rPr>
                <w:rFonts w:cstheme="minorHAnsi"/>
              </w:rPr>
            </w:pPr>
          </w:p>
          <w:p w14:paraId="2C0D7576" w14:textId="242E87C4" w:rsidR="00F163B6" w:rsidRDefault="00F163B6" w:rsidP="00F163B6">
            <w:pPr>
              <w:pStyle w:val="ListParagraph"/>
              <w:widowControl w:val="0"/>
              <w:numPr>
                <w:ilvl w:val="0"/>
                <w:numId w:val="31"/>
              </w:numPr>
              <w:overflowPunct w:val="0"/>
              <w:adjustRightInd w:val="0"/>
              <w:rPr>
                <w:rFonts w:cstheme="minorHAnsi"/>
              </w:rPr>
            </w:pPr>
            <w:r>
              <w:rPr>
                <w:rFonts w:cstheme="minorHAnsi"/>
              </w:rPr>
              <w:t>6.  The consultants will consult with, but not limited to, the following stakeholders:</w:t>
            </w:r>
          </w:p>
          <w:p w14:paraId="281B28D8" w14:textId="77777777" w:rsidR="00F163B6" w:rsidRDefault="00F163B6" w:rsidP="00F163B6">
            <w:pPr>
              <w:widowControl w:val="0"/>
              <w:overflowPunct w:val="0"/>
              <w:adjustRightInd w:val="0"/>
              <w:rPr>
                <w:rFonts w:cstheme="minorHAnsi"/>
              </w:rPr>
            </w:pPr>
          </w:p>
          <w:p w14:paraId="6774D417" w14:textId="2A9EECE1" w:rsidR="00F163B6" w:rsidRDefault="00F163B6" w:rsidP="00F163B6">
            <w:pPr>
              <w:pStyle w:val="ListParagraph"/>
              <w:widowControl w:val="0"/>
              <w:numPr>
                <w:ilvl w:val="0"/>
                <w:numId w:val="42"/>
              </w:numPr>
              <w:overflowPunct w:val="0"/>
              <w:adjustRightInd w:val="0"/>
              <w:rPr>
                <w:rFonts w:cstheme="minorHAnsi"/>
              </w:rPr>
            </w:pPr>
            <w:r>
              <w:rPr>
                <w:rFonts w:cstheme="minorHAnsi"/>
              </w:rPr>
              <w:t>The formal education sector, i.e. MESC – policy, planning and curriculum development and assessment sections</w:t>
            </w:r>
          </w:p>
          <w:p w14:paraId="2DF24E7A" w14:textId="4C6648F4" w:rsidR="00F163B6" w:rsidRDefault="00F163B6" w:rsidP="00F163B6">
            <w:pPr>
              <w:pStyle w:val="ListParagraph"/>
              <w:widowControl w:val="0"/>
              <w:numPr>
                <w:ilvl w:val="0"/>
                <w:numId w:val="42"/>
              </w:numPr>
              <w:overflowPunct w:val="0"/>
              <w:adjustRightInd w:val="0"/>
              <w:rPr>
                <w:rFonts w:cstheme="minorHAnsi"/>
              </w:rPr>
            </w:pPr>
            <w:r>
              <w:rPr>
                <w:rFonts w:cstheme="minorHAnsi"/>
              </w:rPr>
              <w:t>Education and training services providers</w:t>
            </w:r>
          </w:p>
          <w:p w14:paraId="0B0999E7" w14:textId="677D519F" w:rsidR="00F163B6" w:rsidRDefault="00F163B6" w:rsidP="00F163B6">
            <w:pPr>
              <w:pStyle w:val="ListParagraph"/>
              <w:widowControl w:val="0"/>
              <w:numPr>
                <w:ilvl w:val="0"/>
                <w:numId w:val="42"/>
              </w:numPr>
              <w:overflowPunct w:val="0"/>
              <w:adjustRightInd w:val="0"/>
              <w:rPr>
                <w:rFonts w:cstheme="minorHAnsi"/>
              </w:rPr>
            </w:pPr>
            <w:r>
              <w:rPr>
                <w:rFonts w:cstheme="minorHAnsi"/>
              </w:rPr>
              <w:t>Central Bank of Samoa, and stakeholders working on the agenda of Financial Education</w:t>
            </w:r>
          </w:p>
          <w:p w14:paraId="4DB13413" w14:textId="66F0C49C" w:rsidR="00F163B6" w:rsidRDefault="00F163B6" w:rsidP="00F163B6">
            <w:pPr>
              <w:pStyle w:val="ListParagraph"/>
              <w:widowControl w:val="0"/>
              <w:numPr>
                <w:ilvl w:val="0"/>
                <w:numId w:val="42"/>
              </w:numPr>
              <w:overflowPunct w:val="0"/>
              <w:adjustRightInd w:val="0"/>
              <w:rPr>
                <w:rFonts w:cstheme="minorHAnsi"/>
              </w:rPr>
            </w:pPr>
            <w:r>
              <w:rPr>
                <w:rFonts w:cstheme="minorHAnsi"/>
              </w:rPr>
              <w:t xml:space="preserve">Cross section of schools, together with their principals and staff, at primary and secondary through school visits. </w:t>
            </w:r>
          </w:p>
          <w:p w14:paraId="3DB3958D" w14:textId="77777777" w:rsidR="00F163B6" w:rsidRDefault="00F163B6" w:rsidP="00F163B6">
            <w:pPr>
              <w:pStyle w:val="ListParagraph"/>
              <w:widowControl w:val="0"/>
              <w:numPr>
                <w:ilvl w:val="0"/>
                <w:numId w:val="42"/>
              </w:numPr>
              <w:overflowPunct w:val="0"/>
              <w:adjustRightInd w:val="0"/>
              <w:rPr>
                <w:rFonts w:cstheme="minorHAnsi"/>
              </w:rPr>
            </w:pPr>
            <w:r>
              <w:rPr>
                <w:rFonts w:cstheme="minorHAnsi"/>
              </w:rPr>
              <w:t>Financial service providers providing services to children in schools and/or who currently provide financial literacy training</w:t>
            </w:r>
          </w:p>
          <w:p w14:paraId="2D7D05E2" w14:textId="79C9A289" w:rsidR="00F163B6" w:rsidRDefault="00F163B6" w:rsidP="00F163B6">
            <w:pPr>
              <w:pStyle w:val="ListParagraph"/>
              <w:widowControl w:val="0"/>
              <w:numPr>
                <w:ilvl w:val="0"/>
                <w:numId w:val="42"/>
              </w:numPr>
              <w:overflowPunct w:val="0"/>
              <w:adjustRightInd w:val="0"/>
              <w:rPr>
                <w:rFonts w:cstheme="minorHAnsi"/>
              </w:rPr>
            </w:pPr>
            <w:r>
              <w:rPr>
                <w:rFonts w:cstheme="minorHAnsi"/>
              </w:rPr>
              <w:t xml:space="preserve">Community/school committee representatives. </w:t>
            </w:r>
          </w:p>
          <w:p w14:paraId="476D5383" w14:textId="77777777" w:rsidR="00F163B6" w:rsidRDefault="00F163B6" w:rsidP="00F163B6">
            <w:pPr>
              <w:widowControl w:val="0"/>
              <w:overflowPunct w:val="0"/>
              <w:adjustRightInd w:val="0"/>
              <w:rPr>
                <w:rFonts w:cstheme="minorHAnsi"/>
              </w:rPr>
            </w:pPr>
          </w:p>
          <w:p w14:paraId="258FEA14" w14:textId="0403FEB6" w:rsidR="00F163B6" w:rsidRDefault="00F163B6" w:rsidP="00F163B6">
            <w:pPr>
              <w:pStyle w:val="ListParagraph"/>
              <w:widowControl w:val="0"/>
              <w:numPr>
                <w:ilvl w:val="0"/>
                <w:numId w:val="31"/>
              </w:numPr>
              <w:overflowPunct w:val="0"/>
              <w:adjustRightInd w:val="0"/>
              <w:rPr>
                <w:rFonts w:cstheme="minorHAnsi"/>
              </w:rPr>
            </w:pPr>
            <w:r>
              <w:rPr>
                <w:rFonts w:cstheme="minorHAnsi"/>
              </w:rPr>
              <w:t xml:space="preserve">7. </w:t>
            </w:r>
            <w:r w:rsidR="007C3D04">
              <w:rPr>
                <w:rFonts w:cstheme="minorHAnsi"/>
              </w:rPr>
              <w:t xml:space="preserve"> </w:t>
            </w:r>
            <w:r>
              <w:rPr>
                <w:rFonts w:cstheme="minorHAnsi"/>
              </w:rPr>
              <w:t xml:space="preserve">Optimal consideration must be given to the teaching of financial literacy to the girl child, and to make lessons accessible and appropriate to female students at all levels – </w:t>
            </w:r>
            <w:r>
              <w:rPr>
                <w:rFonts w:cstheme="minorHAnsi"/>
                <w:u w:val="single"/>
              </w:rPr>
              <w:t xml:space="preserve">without reinforcing traditional gender roles. </w:t>
            </w:r>
            <w:r w:rsidR="007C3D04">
              <w:rPr>
                <w:rFonts w:cstheme="minorHAnsi"/>
              </w:rPr>
              <w:t xml:space="preserve">The consultants will </w:t>
            </w:r>
            <w:r w:rsidR="007C3D04">
              <w:rPr>
                <w:rFonts w:cstheme="minorHAnsi"/>
                <w:u w:val="single"/>
              </w:rPr>
              <w:t xml:space="preserve">be also guided by cultural considerations, </w:t>
            </w:r>
            <w:r w:rsidR="007C3D04">
              <w:rPr>
                <w:rFonts w:cstheme="minorHAnsi"/>
              </w:rPr>
              <w:t xml:space="preserve">which can be understood through interactions with the MESC and other local stakeholders, as appropriately suggested by MESC. </w:t>
            </w:r>
          </w:p>
          <w:p w14:paraId="51173E42" w14:textId="77777777" w:rsidR="007C3D04" w:rsidRDefault="007C3D04" w:rsidP="007C3D04">
            <w:pPr>
              <w:widowControl w:val="0"/>
              <w:overflowPunct w:val="0"/>
              <w:adjustRightInd w:val="0"/>
              <w:rPr>
                <w:rFonts w:cstheme="minorHAnsi"/>
              </w:rPr>
            </w:pPr>
          </w:p>
          <w:p w14:paraId="7EC0D210" w14:textId="2CD158AD" w:rsidR="007C3D04" w:rsidRPr="007C3D04" w:rsidRDefault="007C3D04" w:rsidP="007C3D04">
            <w:pPr>
              <w:pStyle w:val="ListParagraph"/>
              <w:widowControl w:val="0"/>
              <w:numPr>
                <w:ilvl w:val="0"/>
                <w:numId w:val="31"/>
              </w:numPr>
              <w:overflowPunct w:val="0"/>
              <w:adjustRightInd w:val="0"/>
              <w:rPr>
                <w:rFonts w:cstheme="minorHAnsi"/>
              </w:rPr>
            </w:pPr>
            <w:r>
              <w:rPr>
                <w:rFonts w:cstheme="minorHAnsi"/>
              </w:rPr>
              <w:t xml:space="preserve">8.  A </w:t>
            </w:r>
            <w:r w:rsidR="00D97650">
              <w:rPr>
                <w:rFonts w:cstheme="minorHAnsi"/>
              </w:rPr>
              <w:t xml:space="preserve">multi-stakeholder meeting will be organized towards the end of the field work (second last day) for the consultants to present the draft definition, broad learning outcomes seek consensus on critical issues for the completion of the Financial Education Framework of learning outcomes and next steps. The CBS, with support from the MESC and PFIP, will assist in organizing this consultative meeting. </w:t>
            </w:r>
          </w:p>
          <w:p w14:paraId="753AE3BC" w14:textId="77777777" w:rsidR="00EC70F7" w:rsidRDefault="00EC70F7" w:rsidP="00A24134">
            <w:pPr>
              <w:rPr>
                <w:b/>
              </w:rPr>
            </w:pPr>
          </w:p>
          <w:p w14:paraId="6F3F8B72" w14:textId="77777777" w:rsidR="00EC70F7" w:rsidRDefault="00EC70F7" w:rsidP="00A24134">
            <w:pPr>
              <w:rPr>
                <w:rFonts w:cstheme="minorHAnsi"/>
                <w:b/>
                <w:szCs w:val="20"/>
              </w:rPr>
            </w:pPr>
            <w:r w:rsidRPr="008B3D65">
              <w:rPr>
                <w:rFonts w:cstheme="minorHAnsi"/>
                <w:b/>
                <w:szCs w:val="20"/>
              </w:rPr>
              <w:t>Expected Outputs</w:t>
            </w:r>
            <w:r>
              <w:rPr>
                <w:rFonts w:cstheme="minorHAnsi"/>
                <w:b/>
                <w:szCs w:val="20"/>
              </w:rPr>
              <w:t xml:space="preserve"> and Deliverables</w:t>
            </w:r>
          </w:p>
          <w:p w14:paraId="634526EA" w14:textId="77777777" w:rsidR="00B8792F" w:rsidRDefault="00B8792F" w:rsidP="00B8792F">
            <w:pPr>
              <w:widowControl w:val="0"/>
              <w:overflowPunct w:val="0"/>
              <w:adjustRightInd w:val="0"/>
              <w:jc w:val="both"/>
              <w:rPr>
                <w:rFonts w:cstheme="minorHAnsi"/>
                <w:color w:val="FF0000"/>
                <w:sz w:val="20"/>
                <w:szCs w:val="20"/>
              </w:rPr>
            </w:pPr>
          </w:p>
          <w:p w14:paraId="674341EA" w14:textId="77777777" w:rsidR="006645E7" w:rsidRDefault="006645E7" w:rsidP="00B8792F">
            <w:pPr>
              <w:widowControl w:val="0"/>
              <w:overflowPunct w:val="0"/>
              <w:adjustRightInd w:val="0"/>
              <w:jc w:val="both"/>
              <w:rPr>
                <w:rFonts w:cstheme="minorHAnsi"/>
                <w:color w:val="000000" w:themeColor="text1"/>
              </w:rPr>
            </w:pPr>
            <w:r>
              <w:rPr>
                <w:rFonts w:cstheme="minorHAnsi"/>
                <w:color w:val="000000" w:themeColor="text1"/>
              </w:rPr>
              <w:t xml:space="preserve">The following deliverables will be accomplished within the allocated timeframe: </w:t>
            </w:r>
          </w:p>
          <w:p w14:paraId="1C621A5C" w14:textId="77777777" w:rsidR="006645E7" w:rsidRDefault="006645E7" w:rsidP="00B8792F">
            <w:pPr>
              <w:widowControl w:val="0"/>
              <w:overflowPunct w:val="0"/>
              <w:adjustRightInd w:val="0"/>
              <w:jc w:val="both"/>
              <w:rPr>
                <w:rFonts w:cstheme="minorHAnsi"/>
                <w:color w:val="000000" w:themeColor="text1"/>
              </w:rPr>
            </w:pPr>
          </w:p>
          <w:p w14:paraId="198811F7" w14:textId="3D29812E" w:rsidR="006645E7" w:rsidRDefault="006645E7" w:rsidP="006645E7">
            <w:pPr>
              <w:pStyle w:val="ListParagraph"/>
              <w:widowControl w:val="0"/>
              <w:numPr>
                <w:ilvl w:val="0"/>
                <w:numId w:val="43"/>
              </w:numPr>
              <w:overflowPunct w:val="0"/>
              <w:adjustRightInd w:val="0"/>
              <w:jc w:val="both"/>
              <w:rPr>
                <w:rFonts w:cstheme="minorHAnsi"/>
                <w:color w:val="000000" w:themeColor="text1"/>
              </w:rPr>
            </w:pPr>
            <w:r>
              <w:rPr>
                <w:rFonts w:cstheme="minorHAnsi"/>
                <w:color w:val="000000" w:themeColor="text1"/>
              </w:rPr>
              <w:t xml:space="preserve">A </w:t>
            </w:r>
            <w:proofErr w:type="spellStart"/>
            <w:r>
              <w:rPr>
                <w:rFonts w:cstheme="minorHAnsi"/>
                <w:color w:val="000000" w:themeColor="text1"/>
              </w:rPr>
              <w:t>stocktake</w:t>
            </w:r>
            <w:proofErr w:type="spellEnd"/>
            <w:r>
              <w:rPr>
                <w:rFonts w:cstheme="minorHAnsi"/>
                <w:color w:val="000000" w:themeColor="text1"/>
              </w:rPr>
              <w:t xml:space="preserve"> of existing Financial Education learning within the existing curriculum at primary and secondary. </w:t>
            </w:r>
          </w:p>
          <w:p w14:paraId="7C4D83DF" w14:textId="77777777" w:rsidR="006645E7" w:rsidRDefault="006645E7" w:rsidP="006645E7">
            <w:pPr>
              <w:pStyle w:val="ListParagraph"/>
              <w:widowControl w:val="0"/>
              <w:numPr>
                <w:ilvl w:val="0"/>
                <w:numId w:val="43"/>
              </w:numPr>
              <w:overflowPunct w:val="0"/>
              <w:adjustRightInd w:val="0"/>
              <w:jc w:val="both"/>
              <w:rPr>
                <w:rFonts w:cstheme="minorHAnsi"/>
                <w:color w:val="000000" w:themeColor="text1"/>
              </w:rPr>
            </w:pPr>
            <w:r>
              <w:rPr>
                <w:rFonts w:cstheme="minorHAnsi"/>
                <w:color w:val="000000" w:themeColor="text1"/>
              </w:rPr>
              <w:t xml:space="preserve">A detailed framework of learning outcomes identified by subject level across class levels at primary and secondary school for relevant subjects. Learning outcomes must be specific to Samoa and cognizant of the Financial Competency priorities of the country. </w:t>
            </w:r>
          </w:p>
          <w:p w14:paraId="6AE31247" w14:textId="063C1AE1" w:rsidR="006645E7" w:rsidRDefault="006645E7" w:rsidP="006645E7">
            <w:pPr>
              <w:pStyle w:val="ListParagraph"/>
              <w:widowControl w:val="0"/>
              <w:numPr>
                <w:ilvl w:val="0"/>
                <w:numId w:val="43"/>
              </w:numPr>
              <w:overflowPunct w:val="0"/>
              <w:adjustRightInd w:val="0"/>
              <w:jc w:val="both"/>
              <w:rPr>
                <w:rFonts w:cstheme="minorHAnsi"/>
                <w:color w:val="000000" w:themeColor="text1"/>
              </w:rPr>
            </w:pPr>
            <w:r>
              <w:rPr>
                <w:rFonts w:cstheme="minorHAnsi"/>
                <w:color w:val="000000" w:themeColor="text1"/>
              </w:rPr>
              <w:t xml:space="preserve">Identification of specific topic/theme for integration of each learning outcome within the respective subject syllabi at each year level. </w:t>
            </w:r>
          </w:p>
          <w:p w14:paraId="4ADFE53B" w14:textId="00EEF286" w:rsidR="006645E7" w:rsidRDefault="006645E7" w:rsidP="006645E7">
            <w:pPr>
              <w:pStyle w:val="ListParagraph"/>
              <w:widowControl w:val="0"/>
              <w:numPr>
                <w:ilvl w:val="0"/>
                <w:numId w:val="43"/>
              </w:numPr>
              <w:overflowPunct w:val="0"/>
              <w:adjustRightInd w:val="0"/>
              <w:jc w:val="both"/>
              <w:rPr>
                <w:rFonts w:cstheme="minorHAnsi"/>
                <w:color w:val="000000" w:themeColor="text1"/>
              </w:rPr>
            </w:pPr>
            <w:r>
              <w:rPr>
                <w:rFonts w:cstheme="minorHAnsi"/>
                <w:color w:val="000000" w:themeColor="text1"/>
              </w:rPr>
              <w:t>Final report – comprising a clear and comprehensive response to items (</w:t>
            </w:r>
            <w:proofErr w:type="spellStart"/>
            <w:r>
              <w:rPr>
                <w:rFonts w:cstheme="minorHAnsi"/>
                <w:color w:val="000000" w:themeColor="text1"/>
              </w:rPr>
              <w:t>i</w:t>
            </w:r>
            <w:proofErr w:type="spellEnd"/>
            <w:r>
              <w:rPr>
                <w:rFonts w:cstheme="minorHAnsi"/>
                <w:color w:val="000000" w:themeColor="text1"/>
              </w:rPr>
              <w:t xml:space="preserve"> – iii above) to be submitted to CBS, MESC, and PFIP within one calendar month from completion of field work. The final report must also contain: </w:t>
            </w:r>
          </w:p>
          <w:p w14:paraId="538BDDA6" w14:textId="77777777" w:rsidR="008871A7" w:rsidRDefault="008871A7" w:rsidP="008871A7">
            <w:pPr>
              <w:pStyle w:val="ListParagraph"/>
              <w:widowControl w:val="0"/>
              <w:overflowPunct w:val="0"/>
              <w:adjustRightInd w:val="0"/>
              <w:jc w:val="both"/>
              <w:rPr>
                <w:rFonts w:cstheme="minorHAnsi"/>
                <w:color w:val="000000" w:themeColor="text1"/>
              </w:rPr>
            </w:pPr>
          </w:p>
          <w:p w14:paraId="69DAB97F" w14:textId="40E7CF9B" w:rsidR="006645E7" w:rsidRDefault="006645E7" w:rsidP="006645E7">
            <w:pPr>
              <w:pStyle w:val="ListParagraph"/>
              <w:widowControl w:val="0"/>
              <w:numPr>
                <w:ilvl w:val="0"/>
                <w:numId w:val="44"/>
              </w:numPr>
              <w:overflowPunct w:val="0"/>
              <w:adjustRightInd w:val="0"/>
              <w:jc w:val="both"/>
              <w:rPr>
                <w:rFonts w:cstheme="minorHAnsi"/>
                <w:color w:val="000000" w:themeColor="text1"/>
              </w:rPr>
            </w:pPr>
            <w:r>
              <w:rPr>
                <w:rFonts w:cstheme="minorHAnsi"/>
                <w:color w:val="000000" w:themeColor="text1"/>
              </w:rPr>
              <w:lastRenderedPageBreak/>
              <w:t xml:space="preserve">Identification of expected </w:t>
            </w:r>
            <w:r w:rsidR="005D0E65">
              <w:rPr>
                <w:rFonts w:cstheme="minorHAnsi"/>
                <w:color w:val="000000" w:themeColor="text1"/>
              </w:rPr>
              <w:t xml:space="preserve">considerations needed at MESC or other agency level, to ensure an effective integration, strengthening and delivery of identified Financial Education learning outcomes; </w:t>
            </w:r>
          </w:p>
          <w:p w14:paraId="62B1C3F3" w14:textId="2B8C8942" w:rsidR="005D0E65" w:rsidRDefault="005D0E65" w:rsidP="006645E7">
            <w:pPr>
              <w:pStyle w:val="ListParagraph"/>
              <w:widowControl w:val="0"/>
              <w:numPr>
                <w:ilvl w:val="0"/>
                <w:numId w:val="44"/>
              </w:numPr>
              <w:overflowPunct w:val="0"/>
              <w:adjustRightInd w:val="0"/>
              <w:jc w:val="both"/>
              <w:rPr>
                <w:rFonts w:cstheme="minorHAnsi"/>
                <w:color w:val="000000" w:themeColor="text1"/>
              </w:rPr>
            </w:pPr>
            <w:r>
              <w:rPr>
                <w:rFonts w:cstheme="minorHAnsi"/>
                <w:color w:val="000000" w:themeColor="text1"/>
              </w:rPr>
              <w:t>Identification of key project personnel, stakeholders, entities/persons necessary for the integration of learning outcomes into the relevant curriculum documents and their roles in the Project;</w:t>
            </w:r>
          </w:p>
          <w:p w14:paraId="497A678B" w14:textId="6B347452" w:rsidR="005D0E65" w:rsidRDefault="005D0E65" w:rsidP="006645E7">
            <w:pPr>
              <w:pStyle w:val="ListParagraph"/>
              <w:widowControl w:val="0"/>
              <w:numPr>
                <w:ilvl w:val="0"/>
                <w:numId w:val="44"/>
              </w:numPr>
              <w:overflowPunct w:val="0"/>
              <w:adjustRightInd w:val="0"/>
              <w:jc w:val="both"/>
              <w:rPr>
                <w:rFonts w:cstheme="minorHAnsi"/>
                <w:color w:val="000000" w:themeColor="text1"/>
              </w:rPr>
            </w:pPr>
            <w:r>
              <w:rPr>
                <w:rFonts w:cstheme="minorHAnsi"/>
                <w:color w:val="000000" w:themeColor="text1"/>
              </w:rPr>
              <w:t>Detailed integration timeline, which includes approval of finalized curriculum statements;</w:t>
            </w:r>
          </w:p>
          <w:p w14:paraId="565F54BD" w14:textId="651B6A31" w:rsidR="005D0E65" w:rsidRDefault="005D0E65" w:rsidP="006645E7">
            <w:pPr>
              <w:pStyle w:val="ListParagraph"/>
              <w:widowControl w:val="0"/>
              <w:numPr>
                <w:ilvl w:val="0"/>
                <w:numId w:val="44"/>
              </w:numPr>
              <w:overflowPunct w:val="0"/>
              <w:adjustRightInd w:val="0"/>
              <w:jc w:val="both"/>
              <w:rPr>
                <w:rFonts w:cstheme="minorHAnsi"/>
                <w:color w:val="000000" w:themeColor="text1"/>
              </w:rPr>
            </w:pPr>
            <w:r>
              <w:rPr>
                <w:rFonts w:cstheme="minorHAnsi"/>
                <w:color w:val="000000" w:themeColor="text1"/>
              </w:rPr>
              <w:t>Itemized budget for the integration of Financial Education learning outcomes into the relevant curriculum documents; and</w:t>
            </w:r>
          </w:p>
          <w:p w14:paraId="67C5CC4A" w14:textId="48D6342A" w:rsidR="005D0E65" w:rsidRDefault="005D0E65" w:rsidP="006645E7">
            <w:pPr>
              <w:pStyle w:val="ListParagraph"/>
              <w:widowControl w:val="0"/>
              <w:numPr>
                <w:ilvl w:val="0"/>
                <w:numId w:val="44"/>
              </w:numPr>
              <w:overflowPunct w:val="0"/>
              <w:adjustRightInd w:val="0"/>
              <w:jc w:val="both"/>
              <w:rPr>
                <w:rFonts w:cstheme="minorHAnsi"/>
                <w:color w:val="000000" w:themeColor="text1"/>
              </w:rPr>
            </w:pPr>
            <w:r>
              <w:rPr>
                <w:rFonts w:cstheme="minorHAnsi"/>
                <w:color w:val="000000" w:themeColor="text1"/>
              </w:rPr>
              <w:t xml:space="preserve">Identification of next steps and series of actions to facilitate the integration of Financial Education within the national curriculum. </w:t>
            </w:r>
          </w:p>
          <w:p w14:paraId="6833B00D" w14:textId="77777777" w:rsidR="005D0E65" w:rsidRPr="006645E7" w:rsidRDefault="005D0E65" w:rsidP="005D0E65">
            <w:pPr>
              <w:pStyle w:val="ListParagraph"/>
              <w:widowControl w:val="0"/>
              <w:overflowPunct w:val="0"/>
              <w:adjustRightInd w:val="0"/>
              <w:ind w:left="1440"/>
              <w:jc w:val="both"/>
              <w:rPr>
                <w:rFonts w:cstheme="minorHAnsi"/>
                <w:color w:val="000000" w:themeColor="text1"/>
              </w:rPr>
            </w:pPr>
          </w:p>
          <w:p w14:paraId="6EF2D65E" w14:textId="77777777" w:rsidR="00E2763D" w:rsidRPr="00E2763D" w:rsidRDefault="00E2763D" w:rsidP="00E2763D">
            <w:pPr>
              <w:rPr>
                <w:rFonts w:cstheme="minorHAnsi"/>
                <w:b/>
                <w:szCs w:val="20"/>
              </w:rPr>
            </w:pPr>
            <w:r w:rsidRPr="00E2763D">
              <w:rPr>
                <w:rFonts w:cstheme="minorHAnsi"/>
                <w:b/>
                <w:szCs w:val="20"/>
              </w:rPr>
              <w:t>Institutional Arrangement</w:t>
            </w:r>
          </w:p>
          <w:p w14:paraId="1DB07293" w14:textId="77777777" w:rsidR="00E2763D" w:rsidRDefault="00E2763D" w:rsidP="00E2763D">
            <w:pPr>
              <w:tabs>
                <w:tab w:val="left" w:pos="1410"/>
              </w:tabs>
            </w:pPr>
          </w:p>
          <w:p w14:paraId="2DE93BAD" w14:textId="6311B995" w:rsidR="00B265D3" w:rsidRDefault="00B265D3" w:rsidP="00E2763D">
            <w:pPr>
              <w:tabs>
                <w:tab w:val="left" w:pos="1410"/>
              </w:tabs>
            </w:pPr>
            <w:r>
              <w:t>The successful bidder would report to the</w:t>
            </w:r>
            <w:r w:rsidR="00381EDE">
              <w:t xml:space="preserve"> Financial Education Technical Specialist </w:t>
            </w:r>
            <w:r>
              <w:t xml:space="preserve">at PFIP, duration the term of the contract. </w:t>
            </w:r>
          </w:p>
          <w:p w14:paraId="14BAAC81" w14:textId="77777777" w:rsidR="00B265D3" w:rsidRDefault="00B265D3" w:rsidP="00E2763D">
            <w:pPr>
              <w:tabs>
                <w:tab w:val="left" w:pos="1410"/>
              </w:tabs>
            </w:pPr>
          </w:p>
          <w:p w14:paraId="21577C57" w14:textId="7D69D225" w:rsidR="00B265D3" w:rsidRDefault="00B265D3" w:rsidP="00E2763D">
            <w:pPr>
              <w:tabs>
                <w:tab w:val="left" w:pos="1410"/>
              </w:tabs>
            </w:pPr>
            <w:r>
              <w:t xml:space="preserve">The successful bidder will provide their own work equipment, computers, computer </w:t>
            </w:r>
            <w:proofErr w:type="spellStart"/>
            <w:r>
              <w:t>programmes</w:t>
            </w:r>
            <w:proofErr w:type="spellEnd"/>
            <w:r>
              <w:t xml:space="preserve">, printing, telephone and internet connectivity for this activity. When the consultant(s) is/are in Samoa, general work space will be provided at the </w:t>
            </w:r>
            <w:r w:rsidR="00381EDE">
              <w:t xml:space="preserve">Ministry of Education, Sports and Culture (MESC) </w:t>
            </w:r>
            <w:r>
              <w:t xml:space="preserve">offices. </w:t>
            </w:r>
          </w:p>
          <w:p w14:paraId="128524D3" w14:textId="77777777" w:rsidR="00B265D3" w:rsidRDefault="00B265D3" w:rsidP="00E2763D">
            <w:pPr>
              <w:tabs>
                <w:tab w:val="left" w:pos="1410"/>
              </w:tabs>
            </w:pPr>
          </w:p>
          <w:p w14:paraId="3FE7F7FF" w14:textId="77777777" w:rsidR="00B265D3" w:rsidRDefault="00B265D3" w:rsidP="00E2763D">
            <w:pPr>
              <w:tabs>
                <w:tab w:val="left" w:pos="1410"/>
              </w:tabs>
            </w:pPr>
            <w:r>
              <w:t xml:space="preserve">Reporting has been referenced above. </w:t>
            </w:r>
          </w:p>
          <w:p w14:paraId="4121D524" w14:textId="77777777" w:rsidR="00B265D3" w:rsidRDefault="00B265D3" w:rsidP="00E2763D">
            <w:pPr>
              <w:tabs>
                <w:tab w:val="left" w:pos="1410"/>
              </w:tabs>
            </w:pPr>
          </w:p>
          <w:p w14:paraId="3017BD8F" w14:textId="77777777" w:rsidR="00B265D3" w:rsidRDefault="00B265D3" w:rsidP="00E2763D">
            <w:pPr>
              <w:tabs>
                <w:tab w:val="left" w:pos="1410"/>
              </w:tabs>
            </w:pPr>
          </w:p>
          <w:p w14:paraId="1528293A" w14:textId="77777777" w:rsidR="00E2763D" w:rsidRDefault="00E2763D" w:rsidP="00E2763D">
            <w:pPr>
              <w:rPr>
                <w:rFonts w:cstheme="minorHAnsi"/>
                <w:b/>
                <w:szCs w:val="20"/>
              </w:rPr>
            </w:pPr>
            <w:r w:rsidRPr="00EC70F7">
              <w:rPr>
                <w:rFonts w:cstheme="minorHAnsi"/>
                <w:b/>
                <w:szCs w:val="20"/>
              </w:rPr>
              <w:t>Duration of the Work</w:t>
            </w:r>
          </w:p>
          <w:p w14:paraId="1628B6B2" w14:textId="39FB24A6" w:rsidR="007128EC" w:rsidRDefault="007128EC" w:rsidP="00E2763D">
            <w:pPr>
              <w:rPr>
                <w:rFonts w:cstheme="minorHAnsi"/>
                <w:szCs w:val="20"/>
              </w:rPr>
            </w:pPr>
            <w:r>
              <w:rPr>
                <w:rFonts w:cstheme="minorHAnsi"/>
                <w:szCs w:val="20"/>
              </w:rPr>
              <w:t>The suggested level of effort of the assign</w:t>
            </w:r>
            <w:r w:rsidR="00A1337C">
              <w:rPr>
                <w:rFonts w:cstheme="minorHAnsi"/>
                <w:szCs w:val="20"/>
              </w:rPr>
              <w:t>ment will entail an estimated 15</w:t>
            </w:r>
            <w:r>
              <w:rPr>
                <w:rFonts w:cstheme="minorHAnsi"/>
                <w:szCs w:val="20"/>
              </w:rPr>
              <w:t xml:space="preserve"> working days of both Samoa based and home-based work. These estimated working days are not necessarily consecutive. The estimated level of effort for this activity has been represented below. </w:t>
            </w:r>
          </w:p>
          <w:p w14:paraId="32F575F9" w14:textId="77777777" w:rsidR="007128EC" w:rsidRDefault="007128EC" w:rsidP="00E2763D">
            <w:pPr>
              <w:rPr>
                <w:rFonts w:cstheme="minorHAnsi"/>
                <w:szCs w:val="20"/>
              </w:rPr>
            </w:pPr>
          </w:p>
          <w:tbl>
            <w:tblPr>
              <w:tblStyle w:val="TableGrid"/>
              <w:tblW w:w="8785" w:type="dxa"/>
              <w:jc w:val="center"/>
              <w:tblLook w:val="04A0" w:firstRow="1" w:lastRow="0" w:firstColumn="1" w:lastColumn="0" w:noHBand="0" w:noVBand="1"/>
            </w:tblPr>
            <w:tblGrid>
              <w:gridCol w:w="461"/>
              <w:gridCol w:w="6379"/>
              <w:gridCol w:w="1945"/>
            </w:tblGrid>
            <w:tr w:rsidR="007128EC" w:rsidRPr="007B407C" w14:paraId="37C51E43" w14:textId="77777777" w:rsidTr="005B63F4">
              <w:trPr>
                <w:tblHeader/>
                <w:jc w:val="center"/>
              </w:trPr>
              <w:tc>
                <w:tcPr>
                  <w:tcW w:w="461" w:type="dxa"/>
                  <w:shd w:val="clear" w:color="auto" w:fill="0070C0"/>
                </w:tcPr>
                <w:p w14:paraId="21088CE8" w14:textId="77777777" w:rsidR="007128EC" w:rsidRPr="007B407C" w:rsidRDefault="007128EC" w:rsidP="007128EC">
                  <w:pPr>
                    <w:pStyle w:val="ListParagraph"/>
                    <w:ind w:left="0"/>
                    <w:rPr>
                      <w:rFonts w:cs="Arial"/>
                      <w:b/>
                      <w:color w:val="FFFFFF" w:themeColor="background1"/>
                    </w:rPr>
                  </w:pPr>
                </w:p>
              </w:tc>
              <w:tc>
                <w:tcPr>
                  <w:tcW w:w="6379" w:type="dxa"/>
                  <w:shd w:val="clear" w:color="auto" w:fill="0070C0"/>
                </w:tcPr>
                <w:p w14:paraId="60126B5C" w14:textId="77777777" w:rsidR="007128EC" w:rsidRPr="007B407C" w:rsidRDefault="007128EC" w:rsidP="007128EC">
                  <w:pPr>
                    <w:pStyle w:val="ListParagraph"/>
                    <w:ind w:left="0"/>
                    <w:rPr>
                      <w:rFonts w:cs="Arial"/>
                      <w:b/>
                      <w:color w:val="FFFFFF" w:themeColor="background1"/>
                    </w:rPr>
                  </w:pPr>
                  <w:r w:rsidRPr="007B407C">
                    <w:rPr>
                      <w:rFonts w:cs="Arial"/>
                      <w:b/>
                      <w:color w:val="FFFFFF" w:themeColor="background1"/>
                    </w:rPr>
                    <w:t>Activities</w:t>
                  </w:r>
                </w:p>
                <w:p w14:paraId="3DAD8269" w14:textId="77777777" w:rsidR="007128EC" w:rsidRPr="007B407C" w:rsidRDefault="007128EC" w:rsidP="007128EC">
                  <w:pPr>
                    <w:pStyle w:val="ListParagraph"/>
                    <w:ind w:left="0"/>
                    <w:rPr>
                      <w:rFonts w:cs="Arial"/>
                      <w:b/>
                      <w:color w:val="FFFFFF" w:themeColor="background1"/>
                    </w:rPr>
                  </w:pPr>
                </w:p>
              </w:tc>
              <w:tc>
                <w:tcPr>
                  <w:tcW w:w="1945" w:type="dxa"/>
                  <w:shd w:val="clear" w:color="auto" w:fill="0070C0"/>
                </w:tcPr>
                <w:p w14:paraId="4470D5C1" w14:textId="77777777" w:rsidR="007128EC" w:rsidRPr="007B407C" w:rsidRDefault="007128EC" w:rsidP="007128EC">
                  <w:pPr>
                    <w:pStyle w:val="ListParagraph"/>
                    <w:ind w:left="0"/>
                    <w:jc w:val="center"/>
                    <w:rPr>
                      <w:rFonts w:cs="Arial"/>
                      <w:b/>
                      <w:color w:val="FFFFFF" w:themeColor="background1"/>
                    </w:rPr>
                  </w:pPr>
                  <w:r w:rsidRPr="007B407C">
                    <w:rPr>
                      <w:rFonts w:cs="Arial"/>
                      <w:b/>
                      <w:color w:val="FFFFFF" w:themeColor="background1"/>
                    </w:rPr>
                    <w:t>Est. Level of Effort</w:t>
                  </w:r>
                </w:p>
              </w:tc>
            </w:tr>
            <w:tr w:rsidR="007128EC" w:rsidRPr="007B407C" w14:paraId="727BCF1B" w14:textId="77777777" w:rsidTr="005B63F4">
              <w:trPr>
                <w:jc w:val="center"/>
              </w:trPr>
              <w:tc>
                <w:tcPr>
                  <w:tcW w:w="461" w:type="dxa"/>
                  <w:shd w:val="clear" w:color="auto" w:fill="0070C0"/>
                </w:tcPr>
                <w:p w14:paraId="2026BF51" w14:textId="77777777" w:rsidR="007128EC" w:rsidRPr="007B407C" w:rsidRDefault="007128EC" w:rsidP="007128EC">
                  <w:pPr>
                    <w:pStyle w:val="ListParagraph"/>
                    <w:ind w:left="0"/>
                    <w:rPr>
                      <w:rFonts w:cs="Arial"/>
                      <w:b/>
                      <w:color w:val="FFFFFF" w:themeColor="background1"/>
                    </w:rPr>
                  </w:pPr>
                  <w:r w:rsidRPr="007B407C">
                    <w:rPr>
                      <w:rFonts w:cs="Arial"/>
                      <w:b/>
                      <w:color w:val="FFFFFF" w:themeColor="background1"/>
                    </w:rPr>
                    <w:t>1</w:t>
                  </w:r>
                </w:p>
              </w:tc>
              <w:tc>
                <w:tcPr>
                  <w:tcW w:w="6379" w:type="dxa"/>
                </w:tcPr>
                <w:p w14:paraId="09864B24" w14:textId="77777777" w:rsidR="007128EC" w:rsidRPr="007B407C" w:rsidRDefault="007128EC" w:rsidP="007128EC">
                  <w:pPr>
                    <w:pStyle w:val="ListParagraph"/>
                    <w:ind w:left="0"/>
                    <w:rPr>
                      <w:rFonts w:cs="Arial"/>
                    </w:rPr>
                  </w:pPr>
                  <w:r w:rsidRPr="007B407C">
                    <w:rPr>
                      <w:rFonts w:cs="Arial"/>
                    </w:rPr>
                    <w:t xml:space="preserve">Developing and </w:t>
                  </w:r>
                  <w:proofErr w:type="spellStart"/>
                  <w:r w:rsidRPr="007B407C">
                    <w:rPr>
                      <w:rFonts w:cs="Arial"/>
                    </w:rPr>
                    <w:t>finalising</w:t>
                  </w:r>
                  <w:proofErr w:type="spellEnd"/>
                  <w:r w:rsidRPr="007B407C">
                    <w:rPr>
                      <w:rFonts w:cs="Arial"/>
                    </w:rPr>
                    <w:t xml:space="preserve"> </w:t>
                  </w:r>
                  <w:proofErr w:type="spellStart"/>
                  <w:r w:rsidRPr="007B407C">
                    <w:rPr>
                      <w:rFonts w:cs="Arial"/>
                    </w:rPr>
                    <w:t>FinEd</w:t>
                  </w:r>
                  <w:proofErr w:type="spellEnd"/>
                  <w:r w:rsidRPr="007B407C">
                    <w:rPr>
                      <w:rFonts w:cs="Arial"/>
                    </w:rPr>
                    <w:t xml:space="preserve"> framework. This includes as a minimum:</w:t>
                  </w:r>
                </w:p>
                <w:p w14:paraId="7FFD46D7" w14:textId="2B183D2F" w:rsidR="007128EC" w:rsidRPr="007B407C" w:rsidRDefault="00D6144D" w:rsidP="007128EC">
                  <w:pPr>
                    <w:pStyle w:val="ListParagraph"/>
                    <w:numPr>
                      <w:ilvl w:val="0"/>
                      <w:numId w:val="45"/>
                    </w:numPr>
                    <w:ind w:left="329" w:hanging="270"/>
                    <w:rPr>
                      <w:rFonts w:cs="Arial"/>
                    </w:rPr>
                  </w:pPr>
                  <w:r>
                    <w:rPr>
                      <w:rFonts w:cs="Arial"/>
                    </w:rPr>
                    <w:t xml:space="preserve">A </w:t>
                  </w:r>
                  <w:proofErr w:type="spellStart"/>
                  <w:r>
                    <w:rPr>
                      <w:rFonts w:cs="Arial"/>
                    </w:rPr>
                    <w:t>stocktake</w:t>
                  </w:r>
                  <w:proofErr w:type="spellEnd"/>
                  <w:r>
                    <w:rPr>
                      <w:rFonts w:cs="Arial"/>
                    </w:rPr>
                    <w:t xml:space="preserve"> </w:t>
                  </w:r>
                  <w:r w:rsidR="007128EC" w:rsidRPr="007B407C">
                    <w:rPr>
                      <w:rFonts w:cs="Arial"/>
                    </w:rPr>
                    <w:t xml:space="preserve">of </w:t>
                  </w:r>
                  <w:proofErr w:type="spellStart"/>
                  <w:r w:rsidR="007128EC" w:rsidRPr="007B407C">
                    <w:rPr>
                      <w:rFonts w:cs="Arial"/>
                    </w:rPr>
                    <w:t>FinEd</w:t>
                  </w:r>
                  <w:proofErr w:type="spellEnd"/>
                  <w:r w:rsidR="007128EC" w:rsidRPr="007B407C">
                    <w:rPr>
                      <w:rFonts w:cs="Arial"/>
                    </w:rPr>
                    <w:t xml:space="preserve"> learning within the </w:t>
                  </w:r>
                  <w:r>
                    <w:rPr>
                      <w:rFonts w:cs="Arial"/>
                    </w:rPr>
                    <w:t>existing</w:t>
                  </w:r>
                  <w:r w:rsidR="007128EC" w:rsidRPr="007B407C">
                    <w:rPr>
                      <w:rFonts w:cs="Arial"/>
                    </w:rPr>
                    <w:t xml:space="preserve"> curriculum</w:t>
                  </w:r>
                  <w:r>
                    <w:rPr>
                      <w:rFonts w:cs="Arial"/>
                    </w:rPr>
                    <w:t>;</w:t>
                  </w:r>
                </w:p>
                <w:p w14:paraId="234CDBF1" w14:textId="77777777" w:rsidR="007128EC" w:rsidRDefault="00D6144D" w:rsidP="007128EC">
                  <w:pPr>
                    <w:pStyle w:val="ListParagraph"/>
                    <w:numPr>
                      <w:ilvl w:val="0"/>
                      <w:numId w:val="45"/>
                    </w:numPr>
                    <w:ind w:left="329" w:hanging="270"/>
                    <w:rPr>
                      <w:rFonts w:cs="Arial"/>
                    </w:rPr>
                  </w:pPr>
                  <w:r>
                    <w:rPr>
                      <w:rFonts w:cs="Arial"/>
                    </w:rPr>
                    <w:t xml:space="preserve">A detailed framework of learning outcomes identified by subject level across class levels at primary and secondary school for relevant subjects. Learning outcomes must be specific to Samoa and cognizant of the Financial Competency priorities of the country; </w:t>
                  </w:r>
                </w:p>
                <w:p w14:paraId="3519E407" w14:textId="6DFB03C9" w:rsidR="00D6144D" w:rsidRPr="007B407C" w:rsidRDefault="00D6144D" w:rsidP="007128EC">
                  <w:pPr>
                    <w:pStyle w:val="ListParagraph"/>
                    <w:numPr>
                      <w:ilvl w:val="0"/>
                      <w:numId w:val="45"/>
                    </w:numPr>
                    <w:ind w:left="329" w:hanging="270"/>
                    <w:rPr>
                      <w:rFonts w:cs="Arial"/>
                    </w:rPr>
                  </w:pPr>
                  <w:r>
                    <w:rPr>
                      <w:rFonts w:cs="Arial"/>
                    </w:rPr>
                    <w:t xml:space="preserve">Identification of specific topic/theme for integration of each learning outcome within the respective subject syllabi at each year level. </w:t>
                  </w:r>
                </w:p>
              </w:tc>
              <w:tc>
                <w:tcPr>
                  <w:tcW w:w="1945" w:type="dxa"/>
                </w:tcPr>
                <w:p w14:paraId="3D4DBA3C" w14:textId="6AC1AEE9" w:rsidR="007128EC" w:rsidRPr="007B407C" w:rsidRDefault="00381EDE" w:rsidP="007128EC">
                  <w:pPr>
                    <w:pStyle w:val="ListParagraph"/>
                    <w:ind w:left="0"/>
                    <w:jc w:val="center"/>
                    <w:rPr>
                      <w:rFonts w:cs="Arial"/>
                    </w:rPr>
                  </w:pPr>
                  <w:r>
                    <w:rPr>
                      <w:rFonts w:cs="Arial"/>
                    </w:rPr>
                    <w:t>10</w:t>
                  </w:r>
                  <w:r w:rsidR="007128EC" w:rsidRPr="007B407C">
                    <w:rPr>
                      <w:rFonts w:cs="Arial"/>
                    </w:rPr>
                    <w:t xml:space="preserve"> working days</w:t>
                  </w:r>
                </w:p>
                <w:p w14:paraId="69EE5388" w14:textId="77777777" w:rsidR="007128EC" w:rsidRPr="007B407C" w:rsidRDefault="007128EC" w:rsidP="007128EC">
                  <w:pPr>
                    <w:pStyle w:val="ListParagraph"/>
                    <w:ind w:left="0"/>
                    <w:jc w:val="center"/>
                    <w:rPr>
                      <w:rFonts w:cs="Arial"/>
                    </w:rPr>
                  </w:pPr>
                </w:p>
                <w:p w14:paraId="77076A09" w14:textId="50489E16" w:rsidR="007128EC" w:rsidRPr="007B407C" w:rsidRDefault="007128EC" w:rsidP="00711C14">
                  <w:pPr>
                    <w:pStyle w:val="ListParagraph"/>
                    <w:ind w:left="0"/>
                    <w:jc w:val="center"/>
                    <w:rPr>
                      <w:rFonts w:cs="Arial"/>
                    </w:rPr>
                  </w:pPr>
                  <w:r w:rsidRPr="007B407C">
                    <w:rPr>
                      <w:rFonts w:cs="Arial"/>
                    </w:rPr>
                    <w:t>(</w:t>
                  </w:r>
                  <w:r w:rsidR="00711C14">
                    <w:rPr>
                      <w:rFonts w:cs="Arial"/>
                    </w:rPr>
                    <w:t>Samoa based</w:t>
                  </w:r>
                  <w:r w:rsidRPr="007B407C">
                    <w:rPr>
                      <w:rFonts w:cs="Arial"/>
                    </w:rPr>
                    <w:t>)</w:t>
                  </w:r>
                </w:p>
              </w:tc>
            </w:tr>
            <w:tr w:rsidR="007128EC" w:rsidRPr="007B407C" w14:paraId="31284AC2" w14:textId="77777777" w:rsidTr="005B63F4">
              <w:trPr>
                <w:jc w:val="center"/>
              </w:trPr>
              <w:tc>
                <w:tcPr>
                  <w:tcW w:w="461" w:type="dxa"/>
                  <w:shd w:val="clear" w:color="auto" w:fill="0070C0"/>
                </w:tcPr>
                <w:p w14:paraId="12C5381F" w14:textId="569E67D1" w:rsidR="007128EC" w:rsidRPr="007B407C" w:rsidRDefault="007128EC" w:rsidP="007128EC">
                  <w:pPr>
                    <w:pStyle w:val="ListParagraph"/>
                    <w:ind w:left="0"/>
                    <w:rPr>
                      <w:rFonts w:cs="Arial"/>
                      <w:b/>
                      <w:color w:val="FFFFFF" w:themeColor="background1"/>
                    </w:rPr>
                  </w:pPr>
                  <w:r w:rsidRPr="007B407C">
                    <w:rPr>
                      <w:rFonts w:cs="Arial"/>
                      <w:b/>
                      <w:color w:val="FFFFFF" w:themeColor="background1"/>
                    </w:rPr>
                    <w:t>2</w:t>
                  </w:r>
                </w:p>
              </w:tc>
              <w:tc>
                <w:tcPr>
                  <w:tcW w:w="6379" w:type="dxa"/>
                </w:tcPr>
                <w:p w14:paraId="040263E7" w14:textId="77777777" w:rsidR="007128EC" w:rsidRDefault="00426BF1" w:rsidP="007128EC">
                  <w:pPr>
                    <w:rPr>
                      <w:rFonts w:cs="Arial"/>
                    </w:rPr>
                  </w:pPr>
                  <w:r>
                    <w:rPr>
                      <w:rFonts w:cs="Arial"/>
                    </w:rPr>
                    <w:t>Report preparation must contain;</w:t>
                  </w:r>
                </w:p>
                <w:p w14:paraId="2C8D1EA7" w14:textId="77777777" w:rsidR="00426BF1" w:rsidRDefault="00426BF1" w:rsidP="00426BF1">
                  <w:pPr>
                    <w:pStyle w:val="ListParagraph"/>
                    <w:numPr>
                      <w:ilvl w:val="0"/>
                      <w:numId w:val="47"/>
                    </w:numPr>
                    <w:rPr>
                      <w:rFonts w:cs="Arial"/>
                    </w:rPr>
                  </w:pPr>
                  <w:r>
                    <w:rPr>
                      <w:rFonts w:cs="Arial"/>
                    </w:rPr>
                    <w:t>Identification of expected considerations needed at MESC or other agency level, to ensure effective integration, strengthening and delivery of identified Financial Education learning outcomes;</w:t>
                  </w:r>
                </w:p>
                <w:p w14:paraId="53FE8F2E" w14:textId="77777777" w:rsidR="00426BF1" w:rsidRDefault="00426BF1" w:rsidP="00426BF1">
                  <w:pPr>
                    <w:pStyle w:val="ListParagraph"/>
                    <w:numPr>
                      <w:ilvl w:val="0"/>
                      <w:numId w:val="47"/>
                    </w:numPr>
                    <w:rPr>
                      <w:rFonts w:cs="Arial"/>
                    </w:rPr>
                  </w:pPr>
                  <w:r>
                    <w:rPr>
                      <w:rFonts w:cs="Arial"/>
                    </w:rPr>
                    <w:lastRenderedPageBreak/>
                    <w:t>Identification of key project personnel, stakeholders, entities/persons necessary for the integration of learning outcomes into the relevant curriculum documents and their roles in the Project;</w:t>
                  </w:r>
                </w:p>
                <w:p w14:paraId="4AE96FBA" w14:textId="77777777" w:rsidR="00426BF1" w:rsidRDefault="00426BF1" w:rsidP="00426BF1">
                  <w:pPr>
                    <w:pStyle w:val="ListParagraph"/>
                    <w:numPr>
                      <w:ilvl w:val="0"/>
                      <w:numId w:val="47"/>
                    </w:numPr>
                    <w:rPr>
                      <w:rFonts w:cs="Arial"/>
                    </w:rPr>
                  </w:pPr>
                  <w:r>
                    <w:rPr>
                      <w:rFonts w:cs="Arial"/>
                    </w:rPr>
                    <w:t>Detailed integration timeline, which includes approval of finalized curriculum statements;</w:t>
                  </w:r>
                </w:p>
                <w:p w14:paraId="02EA930A" w14:textId="77777777" w:rsidR="00426BF1" w:rsidRDefault="00426BF1" w:rsidP="00426BF1">
                  <w:pPr>
                    <w:pStyle w:val="ListParagraph"/>
                    <w:numPr>
                      <w:ilvl w:val="0"/>
                      <w:numId w:val="47"/>
                    </w:numPr>
                    <w:rPr>
                      <w:rFonts w:cs="Arial"/>
                    </w:rPr>
                  </w:pPr>
                  <w:r>
                    <w:rPr>
                      <w:rFonts w:cs="Arial"/>
                    </w:rPr>
                    <w:t>Itemized budget for the integration of Financial Education learning outcomes into the relevant curriculum documents; and</w:t>
                  </w:r>
                </w:p>
                <w:p w14:paraId="3306B3BC" w14:textId="4025B5C6" w:rsidR="00426BF1" w:rsidRPr="00426BF1" w:rsidRDefault="00426BF1" w:rsidP="00426BF1">
                  <w:pPr>
                    <w:pStyle w:val="ListParagraph"/>
                    <w:numPr>
                      <w:ilvl w:val="0"/>
                      <w:numId w:val="47"/>
                    </w:numPr>
                    <w:rPr>
                      <w:rFonts w:cs="Arial"/>
                    </w:rPr>
                  </w:pPr>
                  <w:r>
                    <w:rPr>
                      <w:rFonts w:cs="Arial"/>
                    </w:rPr>
                    <w:t>Identification of next steps and series of actions to facilitate the integration of Financial Education within the national curriculum.</w:t>
                  </w:r>
                </w:p>
              </w:tc>
              <w:tc>
                <w:tcPr>
                  <w:tcW w:w="1945" w:type="dxa"/>
                </w:tcPr>
                <w:p w14:paraId="232A0F29" w14:textId="38B3C3B2" w:rsidR="007128EC" w:rsidRPr="007B407C" w:rsidRDefault="00381EDE" w:rsidP="007128EC">
                  <w:pPr>
                    <w:pStyle w:val="ListParagraph"/>
                    <w:ind w:left="0"/>
                    <w:jc w:val="center"/>
                    <w:rPr>
                      <w:rFonts w:cs="Arial"/>
                    </w:rPr>
                  </w:pPr>
                  <w:r>
                    <w:rPr>
                      <w:rFonts w:cs="Arial"/>
                    </w:rPr>
                    <w:lastRenderedPageBreak/>
                    <w:t>5</w:t>
                  </w:r>
                  <w:r w:rsidR="007128EC" w:rsidRPr="007B407C">
                    <w:rPr>
                      <w:rFonts w:cs="Arial"/>
                    </w:rPr>
                    <w:t xml:space="preserve"> days</w:t>
                  </w:r>
                </w:p>
                <w:p w14:paraId="1F9465E6" w14:textId="77777777" w:rsidR="007128EC" w:rsidRPr="007B407C" w:rsidRDefault="007128EC" w:rsidP="007128EC">
                  <w:pPr>
                    <w:pStyle w:val="ListParagraph"/>
                    <w:ind w:left="0"/>
                    <w:jc w:val="center"/>
                    <w:rPr>
                      <w:rFonts w:cs="Arial"/>
                    </w:rPr>
                  </w:pPr>
                </w:p>
                <w:p w14:paraId="1B15DF68" w14:textId="77777777" w:rsidR="007128EC" w:rsidRPr="007B407C" w:rsidRDefault="007128EC" w:rsidP="007128EC">
                  <w:pPr>
                    <w:pStyle w:val="ListParagraph"/>
                    <w:ind w:left="0"/>
                    <w:jc w:val="center"/>
                    <w:rPr>
                      <w:rFonts w:cs="Arial"/>
                    </w:rPr>
                  </w:pPr>
                  <w:r w:rsidRPr="007B407C">
                    <w:rPr>
                      <w:rFonts w:cs="Arial"/>
                    </w:rPr>
                    <w:t>(Home based)</w:t>
                  </w:r>
                </w:p>
              </w:tc>
            </w:tr>
          </w:tbl>
          <w:p w14:paraId="7396150E" w14:textId="7C1789C5" w:rsidR="007128EC" w:rsidRDefault="007128EC" w:rsidP="00E2763D">
            <w:pPr>
              <w:rPr>
                <w:rFonts w:cstheme="minorHAnsi"/>
                <w:szCs w:val="20"/>
              </w:rPr>
            </w:pPr>
          </w:p>
          <w:p w14:paraId="71C8D43B" w14:textId="4082E0E2" w:rsidR="007128EC" w:rsidRDefault="007128EC" w:rsidP="00E2763D">
            <w:pPr>
              <w:rPr>
                <w:rFonts w:cstheme="minorHAnsi"/>
                <w:szCs w:val="20"/>
              </w:rPr>
            </w:pPr>
            <w:r>
              <w:rPr>
                <w:rFonts w:cstheme="minorHAnsi"/>
                <w:szCs w:val="20"/>
              </w:rPr>
              <w:t xml:space="preserve">The actual level of effort will be subject to periodic review by the Pacific Financial Inclusion Programme during the course of the activity. </w:t>
            </w:r>
          </w:p>
          <w:p w14:paraId="6587740E" w14:textId="77777777" w:rsidR="00102A8C" w:rsidRPr="007128EC" w:rsidRDefault="00102A8C" w:rsidP="00E2763D">
            <w:pPr>
              <w:rPr>
                <w:rFonts w:cstheme="minorHAnsi"/>
                <w:szCs w:val="20"/>
              </w:rPr>
            </w:pPr>
          </w:p>
          <w:p w14:paraId="0EDACEF6" w14:textId="77777777" w:rsidR="00E2763D" w:rsidRDefault="00E2763D" w:rsidP="00E2763D">
            <w:pPr>
              <w:rPr>
                <w:rFonts w:cstheme="minorHAnsi"/>
                <w:b/>
                <w:szCs w:val="20"/>
              </w:rPr>
            </w:pPr>
            <w:r w:rsidRPr="00627610">
              <w:rPr>
                <w:rFonts w:cstheme="minorHAnsi"/>
                <w:b/>
                <w:szCs w:val="20"/>
              </w:rPr>
              <w:t>Duty Station</w:t>
            </w:r>
          </w:p>
          <w:p w14:paraId="60A1C800" w14:textId="4DCA0D0A" w:rsidR="002165F8" w:rsidRPr="0065710B" w:rsidRDefault="00102A8C" w:rsidP="00102A8C">
            <w:pPr>
              <w:pStyle w:val="ListParagraph"/>
              <w:widowControl w:val="0"/>
              <w:numPr>
                <w:ilvl w:val="0"/>
                <w:numId w:val="46"/>
              </w:numPr>
              <w:overflowPunct w:val="0"/>
              <w:adjustRightInd w:val="0"/>
            </w:pPr>
            <w:r>
              <w:t xml:space="preserve">Samoa and home-based for report writing. </w:t>
            </w:r>
          </w:p>
        </w:tc>
      </w:tr>
    </w:tbl>
    <w:p w14:paraId="5FC17B02" w14:textId="77777777" w:rsidR="00DA646F" w:rsidRPr="009C5FF1" w:rsidRDefault="00DA646F" w:rsidP="00A24134">
      <w:pPr>
        <w:rPr>
          <w:b/>
          <w:sz w:val="10"/>
          <w:szCs w:val="10"/>
        </w:rPr>
      </w:pPr>
    </w:p>
    <w:p w14:paraId="7F59B822" w14:textId="77777777" w:rsidR="007E39F5" w:rsidRDefault="007E39F5" w:rsidP="009C5FF1">
      <w:pPr>
        <w:tabs>
          <w:tab w:val="left" w:pos="1410"/>
        </w:tabs>
        <w:spacing w:after="120"/>
        <w:rPr>
          <w:b/>
          <w:color w:val="0070C0"/>
        </w:rPr>
      </w:pPr>
    </w:p>
    <w:p w14:paraId="1C98DDBC" w14:textId="77777777" w:rsidR="0088263E" w:rsidRDefault="0088263E" w:rsidP="009C5FF1">
      <w:pPr>
        <w:tabs>
          <w:tab w:val="left" w:pos="1410"/>
        </w:tabs>
        <w:spacing w:after="120"/>
        <w:rPr>
          <w:b/>
          <w:color w:val="0070C0"/>
        </w:rPr>
      </w:pPr>
      <w:r w:rsidRPr="0088263E">
        <w:rPr>
          <w:b/>
          <w:color w:val="0070C0"/>
        </w:rPr>
        <w:t>COMPETENCIES</w:t>
      </w:r>
    </w:p>
    <w:tbl>
      <w:tblPr>
        <w:tblStyle w:val="TableGrid"/>
        <w:tblW w:w="0" w:type="auto"/>
        <w:tblLook w:val="04A0" w:firstRow="1" w:lastRow="0" w:firstColumn="1" w:lastColumn="0" w:noHBand="0" w:noVBand="1"/>
      </w:tblPr>
      <w:tblGrid>
        <w:gridCol w:w="9350"/>
      </w:tblGrid>
      <w:tr w:rsidR="0088263E" w14:paraId="6B193C2B" w14:textId="77777777" w:rsidTr="0088263E">
        <w:tc>
          <w:tcPr>
            <w:tcW w:w="9576" w:type="dxa"/>
          </w:tcPr>
          <w:p w14:paraId="3FAA5ECE" w14:textId="77777777" w:rsidR="0039261A" w:rsidRPr="009C5FF1" w:rsidRDefault="0039261A" w:rsidP="0039261A">
            <w:pPr>
              <w:rPr>
                <w:rFonts w:cstheme="minorHAnsi"/>
                <w:b/>
                <w:sz w:val="10"/>
                <w:szCs w:val="10"/>
              </w:rPr>
            </w:pPr>
          </w:p>
          <w:p w14:paraId="0603D58A" w14:textId="77777777" w:rsidR="00C06337" w:rsidRPr="00C06337" w:rsidRDefault="00C06337" w:rsidP="00C06337">
            <w:pPr>
              <w:pStyle w:val="ListParagraph"/>
              <w:widowControl w:val="0"/>
              <w:numPr>
                <w:ilvl w:val="0"/>
                <w:numId w:val="31"/>
              </w:numPr>
              <w:overflowPunct w:val="0"/>
              <w:adjustRightInd w:val="0"/>
              <w:ind w:left="360" w:hanging="270"/>
              <w:rPr>
                <w:rFonts w:cstheme="minorHAnsi"/>
              </w:rPr>
            </w:pPr>
            <w:r w:rsidRPr="00C06337">
              <w:rPr>
                <w:rFonts w:cstheme="minorHAnsi"/>
              </w:rPr>
              <w:t>Strong interpersonal and communication skills;</w:t>
            </w:r>
          </w:p>
          <w:p w14:paraId="5C23B44C" w14:textId="77777777" w:rsidR="00C06337" w:rsidRPr="00C06337" w:rsidRDefault="00C06337" w:rsidP="00C06337">
            <w:pPr>
              <w:pStyle w:val="ListParagraph"/>
              <w:widowControl w:val="0"/>
              <w:numPr>
                <w:ilvl w:val="0"/>
                <w:numId w:val="31"/>
              </w:numPr>
              <w:overflowPunct w:val="0"/>
              <w:adjustRightInd w:val="0"/>
              <w:ind w:left="360" w:hanging="270"/>
              <w:rPr>
                <w:rFonts w:cstheme="minorHAnsi"/>
              </w:rPr>
            </w:pPr>
            <w:r w:rsidRPr="00C06337">
              <w:rPr>
                <w:rFonts w:cstheme="minorHAnsi"/>
              </w:rPr>
              <w:t>Strong analytical, reporting and writing abilities skills;</w:t>
            </w:r>
          </w:p>
          <w:p w14:paraId="60C8A50B" w14:textId="77777777" w:rsidR="00C06337" w:rsidRPr="00C06337" w:rsidRDefault="00C06337" w:rsidP="00C06337">
            <w:pPr>
              <w:pStyle w:val="ListParagraph"/>
              <w:widowControl w:val="0"/>
              <w:numPr>
                <w:ilvl w:val="0"/>
                <w:numId w:val="31"/>
              </w:numPr>
              <w:overflowPunct w:val="0"/>
              <w:adjustRightInd w:val="0"/>
              <w:ind w:left="360" w:hanging="270"/>
              <w:rPr>
                <w:rFonts w:cstheme="minorHAnsi"/>
              </w:rPr>
            </w:pPr>
            <w:r w:rsidRPr="00C06337">
              <w:rPr>
                <w:rFonts w:cstheme="minorHAnsi"/>
              </w:rPr>
              <w:t>Openness to change and ability to receive/integrate feedback;</w:t>
            </w:r>
          </w:p>
          <w:p w14:paraId="0C70843F" w14:textId="77777777" w:rsidR="00C06337" w:rsidRPr="00C06337" w:rsidRDefault="00C06337" w:rsidP="00C06337">
            <w:pPr>
              <w:pStyle w:val="ListParagraph"/>
              <w:widowControl w:val="0"/>
              <w:numPr>
                <w:ilvl w:val="0"/>
                <w:numId w:val="31"/>
              </w:numPr>
              <w:overflowPunct w:val="0"/>
              <w:adjustRightInd w:val="0"/>
              <w:ind w:left="360" w:hanging="270"/>
              <w:rPr>
                <w:rFonts w:cstheme="minorHAnsi"/>
              </w:rPr>
            </w:pPr>
            <w:r w:rsidRPr="00C06337">
              <w:rPr>
                <w:rFonts w:cstheme="minorHAnsi"/>
              </w:rPr>
              <w:t>Ability to plan, organize, implement and report on work;</w:t>
            </w:r>
          </w:p>
          <w:p w14:paraId="538E11EB" w14:textId="77777777" w:rsidR="00C06337" w:rsidRPr="00C06337" w:rsidRDefault="00C06337" w:rsidP="00C06337">
            <w:pPr>
              <w:pStyle w:val="ListParagraph"/>
              <w:widowControl w:val="0"/>
              <w:numPr>
                <w:ilvl w:val="0"/>
                <w:numId w:val="31"/>
              </w:numPr>
              <w:overflowPunct w:val="0"/>
              <w:adjustRightInd w:val="0"/>
              <w:ind w:left="360" w:hanging="270"/>
              <w:rPr>
                <w:rFonts w:cstheme="minorHAnsi"/>
              </w:rPr>
            </w:pPr>
            <w:r w:rsidRPr="00C06337">
              <w:rPr>
                <w:rFonts w:cstheme="minorHAnsi"/>
              </w:rPr>
              <w:t>Ability to work under pressure and tight deadlines;</w:t>
            </w:r>
          </w:p>
          <w:p w14:paraId="0C524495" w14:textId="74E0E2D6" w:rsidR="00C06337" w:rsidRPr="00C06337" w:rsidRDefault="00C51C85" w:rsidP="00C06337">
            <w:pPr>
              <w:pStyle w:val="ListParagraph"/>
              <w:widowControl w:val="0"/>
              <w:numPr>
                <w:ilvl w:val="0"/>
                <w:numId w:val="31"/>
              </w:numPr>
              <w:overflowPunct w:val="0"/>
              <w:adjustRightInd w:val="0"/>
              <w:ind w:left="360" w:hanging="270"/>
              <w:rPr>
                <w:rFonts w:cstheme="minorHAnsi"/>
              </w:rPr>
            </w:pPr>
            <w:r>
              <w:rPr>
                <w:rFonts w:cstheme="minorHAnsi"/>
              </w:rPr>
              <w:t>Comprehensiveness knowledge of Financial Education and curriculum development;</w:t>
            </w:r>
          </w:p>
          <w:p w14:paraId="4B1DC44C" w14:textId="77777777" w:rsidR="0039261A" w:rsidRPr="00C06337" w:rsidRDefault="0039261A" w:rsidP="0039261A">
            <w:pPr>
              <w:pStyle w:val="ListParagraph"/>
              <w:widowControl w:val="0"/>
              <w:numPr>
                <w:ilvl w:val="0"/>
                <w:numId w:val="31"/>
              </w:numPr>
              <w:overflowPunct w:val="0"/>
              <w:adjustRightInd w:val="0"/>
              <w:ind w:left="360" w:hanging="270"/>
              <w:rPr>
                <w:rFonts w:cstheme="minorHAnsi"/>
              </w:rPr>
            </w:pPr>
            <w:r w:rsidRPr="00C06337">
              <w:rPr>
                <w:rFonts w:cstheme="minorHAnsi"/>
              </w:rPr>
              <w:t>Proficiency in the use of office IT applications and internet in conducting research;</w:t>
            </w:r>
          </w:p>
          <w:p w14:paraId="50006BFA" w14:textId="77777777" w:rsidR="0039261A" w:rsidRPr="00C06337" w:rsidRDefault="0039261A" w:rsidP="0039261A">
            <w:pPr>
              <w:pStyle w:val="ListParagraph"/>
              <w:widowControl w:val="0"/>
              <w:numPr>
                <w:ilvl w:val="0"/>
                <w:numId w:val="31"/>
              </w:numPr>
              <w:overflowPunct w:val="0"/>
              <w:adjustRightInd w:val="0"/>
              <w:ind w:left="360" w:hanging="270"/>
              <w:rPr>
                <w:rFonts w:cstheme="minorHAnsi"/>
              </w:rPr>
            </w:pPr>
            <w:r w:rsidRPr="00C06337">
              <w:rPr>
                <w:rFonts w:cstheme="minorHAnsi"/>
              </w:rPr>
              <w:t>Outstanding communication, project management and organizational skills;</w:t>
            </w:r>
          </w:p>
          <w:p w14:paraId="3B3B43E4" w14:textId="77777777" w:rsidR="0039261A" w:rsidRPr="00C06337" w:rsidRDefault="0039261A" w:rsidP="0039261A">
            <w:pPr>
              <w:pStyle w:val="ListParagraph"/>
              <w:widowControl w:val="0"/>
              <w:numPr>
                <w:ilvl w:val="0"/>
                <w:numId w:val="31"/>
              </w:numPr>
              <w:overflowPunct w:val="0"/>
              <w:adjustRightInd w:val="0"/>
              <w:ind w:left="360" w:hanging="270"/>
              <w:rPr>
                <w:rFonts w:cstheme="minorHAnsi"/>
              </w:rPr>
            </w:pPr>
            <w:r w:rsidRPr="00C06337">
              <w:rPr>
                <w:rFonts w:cstheme="minorHAnsi"/>
              </w:rPr>
              <w:t>Excellent presentation and facilitation skills.</w:t>
            </w:r>
          </w:p>
          <w:p w14:paraId="6BA85525" w14:textId="77777777" w:rsidR="0039261A" w:rsidRPr="0039261A" w:rsidRDefault="0039261A" w:rsidP="0039261A">
            <w:pPr>
              <w:pStyle w:val="ListParagraph"/>
              <w:widowControl w:val="0"/>
              <w:numPr>
                <w:ilvl w:val="0"/>
                <w:numId w:val="31"/>
              </w:numPr>
              <w:overflowPunct w:val="0"/>
              <w:adjustRightInd w:val="0"/>
              <w:ind w:left="360" w:hanging="270"/>
              <w:rPr>
                <w:rFonts w:cstheme="minorHAnsi"/>
              </w:rPr>
            </w:pPr>
            <w:r w:rsidRPr="0039261A">
              <w:rPr>
                <w:rFonts w:cstheme="minorHAnsi"/>
              </w:rPr>
              <w:t>Demonstrates integrity and ethical standards;</w:t>
            </w:r>
          </w:p>
          <w:p w14:paraId="33D76C0C" w14:textId="77777777" w:rsidR="0039261A" w:rsidRPr="0039261A" w:rsidRDefault="0039261A" w:rsidP="0039261A">
            <w:pPr>
              <w:pStyle w:val="ListParagraph"/>
              <w:widowControl w:val="0"/>
              <w:numPr>
                <w:ilvl w:val="0"/>
                <w:numId w:val="31"/>
              </w:numPr>
              <w:overflowPunct w:val="0"/>
              <w:adjustRightInd w:val="0"/>
              <w:ind w:left="360" w:hanging="270"/>
              <w:rPr>
                <w:rFonts w:cstheme="minorHAnsi"/>
              </w:rPr>
            </w:pPr>
            <w:r w:rsidRPr="0039261A">
              <w:rPr>
                <w:rFonts w:cstheme="minorHAnsi"/>
              </w:rPr>
              <w:t>Positive, constructive attitude to work;</w:t>
            </w:r>
          </w:p>
          <w:p w14:paraId="6A58C8B8" w14:textId="77777777" w:rsidR="0088263E" w:rsidRDefault="0039261A" w:rsidP="00993991">
            <w:pPr>
              <w:pStyle w:val="ListParagraph"/>
              <w:widowControl w:val="0"/>
              <w:numPr>
                <w:ilvl w:val="0"/>
                <w:numId w:val="31"/>
              </w:numPr>
              <w:tabs>
                <w:tab w:val="left" w:pos="1410"/>
              </w:tabs>
              <w:overflowPunct w:val="0"/>
              <w:adjustRightInd w:val="0"/>
              <w:ind w:left="360" w:hanging="270"/>
              <w:rPr>
                <w:b/>
                <w:color w:val="0070C0"/>
              </w:rPr>
            </w:pPr>
            <w:r w:rsidRPr="0039261A">
              <w:rPr>
                <w:rFonts w:cstheme="minorHAnsi"/>
              </w:rPr>
              <w:t>Displays cultural, gender, religion, race, nationality and age sensitivity and adaptability.</w:t>
            </w:r>
          </w:p>
        </w:tc>
      </w:tr>
    </w:tbl>
    <w:p w14:paraId="42262B17" w14:textId="77777777" w:rsidR="0088263E" w:rsidRPr="00F53128" w:rsidRDefault="0088263E" w:rsidP="0088263E">
      <w:pPr>
        <w:tabs>
          <w:tab w:val="left" w:pos="1410"/>
        </w:tabs>
        <w:rPr>
          <w:b/>
          <w:color w:val="0070C0"/>
          <w:sz w:val="10"/>
          <w:szCs w:val="10"/>
        </w:rPr>
      </w:pPr>
    </w:p>
    <w:p w14:paraId="2FF9ED7C" w14:textId="77777777" w:rsidR="007E39F5" w:rsidRDefault="007E39F5" w:rsidP="009C5FF1">
      <w:pPr>
        <w:tabs>
          <w:tab w:val="left" w:pos="1410"/>
          <w:tab w:val="left" w:pos="3632"/>
        </w:tabs>
        <w:spacing w:after="120"/>
        <w:rPr>
          <w:b/>
          <w:color w:val="0070C0"/>
        </w:rPr>
      </w:pPr>
    </w:p>
    <w:p w14:paraId="4D4FF9BB" w14:textId="77777777" w:rsidR="0088263E" w:rsidRPr="0088263E" w:rsidRDefault="0088263E" w:rsidP="009C5FF1">
      <w:pPr>
        <w:tabs>
          <w:tab w:val="left" w:pos="1410"/>
          <w:tab w:val="left" w:pos="3632"/>
        </w:tabs>
        <w:spacing w:after="120"/>
        <w:rPr>
          <w:b/>
          <w:color w:val="0070C0"/>
        </w:rPr>
      </w:pPr>
      <w:r>
        <w:rPr>
          <w:b/>
          <w:color w:val="0070C0"/>
        </w:rPr>
        <w:t>REQUIRED SKILLS AND EXPERIENCE</w:t>
      </w:r>
      <w:r w:rsidR="002165F8">
        <w:rPr>
          <w:b/>
          <w:color w:val="0070C0"/>
        </w:rPr>
        <w:tab/>
      </w:r>
    </w:p>
    <w:tbl>
      <w:tblPr>
        <w:tblStyle w:val="TableGrid"/>
        <w:tblW w:w="0" w:type="auto"/>
        <w:tblLook w:val="04A0" w:firstRow="1" w:lastRow="0" w:firstColumn="1" w:lastColumn="0" w:noHBand="0" w:noVBand="1"/>
      </w:tblPr>
      <w:tblGrid>
        <w:gridCol w:w="9350"/>
      </w:tblGrid>
      <w:tr w:rsidR="00443E94" w14:paraId="02BA00EB" w14:textId="77777777" w:rsidTr="00443E94">
        <w:tc>
          <w:tcPr>
            <w:tcW w:w="9576" w:type="dxa"/>
          </w:tcPr>
          <w:p w14:paraId="102C55C0" w14:textId="5BAF5B51" w:rsidR="0065710B" w:rsidRPr="0039261A" w:rsidRDefault="0039261A" w:rsidP="009C5FF1">
            <w:pPr>
              <w:spacing w:before="80" w:after="60" w:line="288" w:lineRule="auto"/>
              <w:jc w:val="both"/>
              <w:rPr>
                <w:rFonts w:ascii="Calibri" w:hAnsi="Calibri" w:cs="Arial"/>
                <w:b/>
              </w:rPr>
            </w:pPr>
            <w:r w:rsidRPr="0039261A">
              <w:rPr>
                <w:rFonts w:ascii="Calibri" w:hAnsi="Calibri" w:cs="Arial"/>
                <w:b/>
              </w:rPr>
              <w:t>Educational</w:t>
            </w:r>
            <w:r w:rsidR="0065710B" w:rsidRPr="0039261A">
              <w:rPr>
                <w:rFonts w:ascii="Calibri" w:hAnsi="Calibri" w:cs="Arial"/>
                <w:b/>
              </w:rPr>
              <w:t xml:space="preserve"> Qualifications:</w:t>
            </w:r>
          </w:p>
          <w:p w14:paraId="3004F9D6" w14:textId="3AD40705" w:rsidR="00E019E2" w:rsidRDefault="00E019E2" w:rsidP="009C5FF1">
            <w:pPr>
              <w:spacing w:before="80" w:after="60" w:line="288" w:lineRule="auto"/>
              <w:jc w:val="both"/>
              <w:rPr>
                <w:rFonts w:ascii="Calibri" w:hAnsi="Calibri" w:cs="Arial"/>
              </w:rPr>
            </w:pPr>
            <w:r>
              <w:rPr>
                <w:rFonts w:ascii="Calibri" w:hAnsi="Calibri" w:cs="Arial"/>
              </w:rPr>
              <w:t xml:space="preserve">This activity will require a team effort comprising a minimum of two specialist with relevant expertise in Financial Education curriculum development, implementation and monitoring over the period of the assignments. </w:t>
            </w:r>
          </w:p>
          <w:p w14:paraId="5B9C94BF" w14:textId="77777777" w:rsidR="00E019E2" w:rsidRDefault="00E019E2" w:rsidP="009C5FF1">
            <w:pPr>
              <w:spacing w:before="80" w:after="60" w:line="288" w:lineRule="auto"/>
              <w:jc w:val="both"/>
              <w:rPr>
                <w:rFonts w:ascii="Calibri" w:hAnsi="Calibri" w:cs="Arial"/>
              </w:rPr>
            </w:pPr>
            <w:r>
              <w:rPr>
                <w:rFonts w:ascii="Calibri" w:hAnsi="Calibri" w:cs="Arial"/>
              </w:rPr>
              <w:lastRenderedPageBreak/>
              <w:t xml:space="preserve">Additionally, at least one specialist must have strong strategic planning, </w:t>
            </w:r>
            <w:proofErr w:type="spellStart"/>
            <w:r>
              <w:rPr>
                <w:rFonts w:ascii="Calibri" w:hAnsi="Calibri" w:cs="Arial"/>
              </w:rPr>
              <w:t>programme</w:t>
            </w:r>
            <w:proofErr w:type="spellEnd"/>
            <w:r>
              <w:rPr>
                <w:rFonts w:ascii="Calibri" w:hAnsi="Calibri" w:cs="Arial"/>
              </w:rPr>
              <w:t xml:space="preserve"> development and project management experience. The successful bid will be expected to manage the scope of the </w:t>
            </w:r>
            <w:proofErr w:type="spellStart"/>
            <w:r>
              <w:rPr>
                <w:rFonts w:ascii="Calibri" w:hAnsi="Calibri" w:cs="Arial"/>
              </w:rPr>
              <w:t>programme</w:t>
            </w:r>
            <w:proofErr w:type="spellEnd"/>
            <w:r>
              <w:rPr>
                <w:rFonts w:ascii="Calibri" w:hAnsi="Calibri" w:cs="Arial"/>
              </w:rPr>
              <w:t xml:space="preserve"> with minimal project oversight. </w:t>
            </w:r>
          </w:p>
          <w:p w14:paraId="210350A2" w14:textId="77777777" w:rsidR="00E019E2" w:rsidRPr="00E019E2" w:rsidRDefault="00E019E2" w:rsidP="009C5FF1">
            <w:pPr>
              <w:spacing w:before="80" w:after="60" w:line="288" w:lineRule="auto"/>
              <w:jc w:val="both"/>
              <w:rPr>
                <w:rFonts w:ascii="Calibri" w:hAnsi="Calibri" w:cs="Arial"/>
              </w:rPr>
            </w:pPr>
          </w:p>
          <w:p w14:paraId="7A86AAE9" w14:textId="77777777" w:rsidR="0065710B" w:rsidRPr="0039261A" w:rsidRDefault="0039261A" w:rsidP="009C5FF1">
            <w:pPr>
              <w:spacing w:before="80" w:after="60" w:line="288" w:lineRule="auto"/>
              <w:jc w:val="both"/>
              <w:rPr>
                <w:rFonts w:ascii="Calibri" w:hAnsi="Calibri" w:cs="Arial"/>
                <w:b/>
              </w:rPr>
            </w:pPr>
            <w:r w:rsidRPr="0039261A">
              <w:rPr>
                <w:rFonts w:ascii="Calibri" w:hAnsi="Calibri" w:cs="Arial"/>
                <w:b/>
              </w:rPr>
              <w:t>Experience</w:t>
            </w:r>
          </w:p>
          <w:p w14:paraId="1B57A61B" w14:textId="44754AE6" w:rsidR="0065710B" w:rsidRDefault="00CE3BBF" w:rsidP="0039261A">
            <w:pPr>
              <w:pStyle w:val="ListParagraph"/>
              <w:widowControl w:val="0"/>
              <w:numPr>
                <w:ilvl w:val="0"/>
                <w:numId w:val="31"/>
              </w:numPr>
              <w:overflowPunct w:val="0"/>
              <w:adjustRightInd w:val="0"/>
              <w:ind w:left="360" w:hanging="270"/>
              <w:rPr>
                <w:rFonts w:cstheme="minorHAnsi"/>
              </w:rPr>
            </w:pPr>
            <w:r>
              <w:rPr>
                <w:rFonts w:cstheme="minorHAnsi"/>
              </w:rPr>
              <w:t xml:space="preserve">A proven track record demonstrating over 5 years of similar work in other similar task environment relating to Financial Education institutions, with specific focus on countries with low levels of financial literacy, such as the Pacific, is considered a prerequisite. </w:t>
            </w:r>
          </w:p>
          <w:p w14:paraId="62C73604" w14:textId="77777777" w:rsidR="00CE3BBF" w:rsidRDefault="00CE3BBF" w:rsidP="0039261A">
            <w:pPr>
              <w:pStyle w:val="ListParagraph"/>
              <w:widowControl w:val="0"/>
              <w:numPr>
                <w:ilvl w:val="0"/>
                <w:numId w:val="31"/>
              </w:numPr>
              <w:overflowPunct w:val="0"/>
              <w:adjustRightInd w:val="0"/>
              <w:ind w:left="360" w:hanging="270"/>
              <w:rPr>
                <w:rFonts w:cstheme="minorHAnsi"/>
              </w:rPr>
            </w:pPr>
            <w:r>
              <w:rPr>
                <w:rFonts w:cstheme="minorHAnsi"/>
              </w:rPr>
              <w:t xml:space="preserve">The desired working style must be empowering to national partners and foster optimal application of local knowledge and capacities in delivering the recommended framework and detailed learning outcomes across all levels. </w:t>
            </w:r>
          </w:p>
          <w:p w14:paraId="5A28F259" w14:textId="77777777" w:rsidR="00CE3BBF" w:rsidRPr="00CE3BBF" w:rsidRDefault="00CE3BBF" w:rsidP="00CE3BBF">
            <w:pPr>
              <w:widowControl w:val="0"/>
              <w:overflowPunct w:val="0"/>
              <w:adjustRightInd w:val="0"/>
              <w:rPr>
                <w:rFonts w:cstheme="minorHAnsi"/>
              </w:rPr>
            </w:pPr>
          </w:p>
          <w:p w14:paraId="0C8C1E39" w14:textId="77777777" w:rsidR="00627610" w:rsidRDefault="0039261A" w:rsidP="009C5FF1">
            <w:pPr>
              <w:spacing w:before="80" w:after="60" w:line="288" w:lineRule="auto"/>
              <w:jc w:val="both"/>
              <w:rPr>
                <w:rFonts w:ascii="Calibri" w:hAnsi="Calibri" w:cs="Arial"/>
                <w:b/>
              </w:rPr>
            </w:pPr>
            <w:r>
              <w:rPr>
                <w:rFonts w:ascii="Calibri" w:hAnsi="Calibri" w:cs="Arial"/>
                <w:b/>
              </w:rPr>
              <w:t xml:space="preserve">Language </w:t>
            </w:r>
            <w:r w:rsidR="00627610" w:rsidRPr="0039261A">
              <w:rPr>
                <w:rFonts w:ascii="Calibri" w:hAnsi="Calibri" w:cs="Arial"/>
                <w:b/>
              </w:rPr>
              <w:t>requirements</w:t>
            </w:r>
          </w:p>
          <w:p w14:paraId="47D453ED" w14:textId="132AEC39" w:rsidR="002165F8" w:rsidRDefault="0039261A" w:rsidP="002F486F">
            <w:pPr>
              <w:pStyle w:val="ListParagraph"/>
              <w:widowControl w:val="0"/>
              <w:numPr>
                <w:ilvl w:val="0"/>
                <w:numId w:val="31"/>
              </w:numPr>
              <w:overflowPunct w:val="0"/>
              <w:adjustRightInd w:val="0"/>
              <w:ind w:left="360" w:hanging="270"/>
              <w:rPr>
                <w:rFonts w:cstheme="minorHAnsi"/>
              </w:rPr>
            </w:pPr>
            <w:r>
              <w:rPr>
                <w:rFonts w:cstheme="minorHAnsi"/>
              </w:rPr>
              <w:t xml:space="preserve">Fluency of </w:t>
            </w:r>
            <w:r w:rsidRPr="0039261A">
              <w:rPr>
                <w:rFonts w:cstheme="minorHAnsi"/>
              </w:rPr>
              <w:t>English language is required</w:t>
            </w:r>
            <w:r w:rsidR="002F486F">
              <w:rPr>
                <w:rFonts w:cstheme="minorHAnsi"/>
              </w:rPr>
              <w:t xml:space="preserve">. </w:t>
            </w:r>
          </w:p>
          <w:p w14:paraId="70B512C2" w14:textId="77777777" w:rsidR="002F486F" w:rsidRDefault="002F486F" w:rsidP="002F486F">
            <w:pPr>
              <w:widowControl w:val="0"/>
              <w:overflowPunct w:val="0"/>
              <w:adjustRightInd w:val="0"/>
              <w:rPr>
                <w:rFonts w:cstheme="minorHAnsi"/>
              </w:rPr>
            </w:pPr>
          </w:p>
          <w:p w14:paraId="54002038" w14:textId="77777777" w:rsidR="002F486F" w:rsidRPr="002F486F" w:rsidRDefault="002F486F" w:rsidP="002F486F">
            <w:pPr>
              <w:widowControl w:val="0"/>
              <w:overflowPunct w:val="0"/>
              <w:adjustRightInd w:val="0"/>
              <w:rPr>
                <w:rFonts w:cstheme="minorHAnsi"/>
              </w:rPr>
            </w:pPr>
          </w:p>
          <w:p w14:paraId="37A4878F" w14:textId="77777777" w:rsidR="002165F8" w:rsidRDefault="002165F8" w:rsidP="002165F8">
            <w:pPr>
              <w:spacing w:line="288" w:lineRule="auto"/>
              <w:jc w:val="both"/>
              <w:rPr>
                <w:rFonts w:ascii="Calibri" w:hAnsi="Calibri" w:cs="Calibri"/>
                <w:b/>
              </w:rPr>
            </w:pPr>
            <w:r>
              <w:rPr>
                <w:rFonts w:ascii="Calibri" w:hAnsi="Calibri" w:cs="Calibri"/>
                <w:b/>
              </w:rPr>
              <w:t>Price Proposal and Schedule of Payments</w:t>
            </w:r>
          </w:p>
          <w:p w14:paraId="3DF15855" w14:textId="23E0F4E3" w:rsidR="002165F8" w:rsidRDefault="002F486F" w:rsidP="002165F8">
            <w:pPr>
              <w:autoSpaceDE w:val="0"/>
              <w:autoSpaceDN w:val="0"/>
              <w:adjustRightInd w:val="0"/>
              <w:rPr>
                <w:color w:val="000000" w:themeColor="text1"/>
              </w:rPr>
            </w:pPr>
            <w:r>
              <w:rPr>
                <w:color w:val="000000" w:themeColor="text1"/>
              </w:rPr>
              <w:t xml:space="preserve">The bidders must send a financial proposal based of lump sum payment at the completion of the deliverables. </w:t>
            </w:r>
          </w:p>
          <w:p w14:paraId="081F7B90" w14:textId="77777777" w:rsidR="002F486F" w:rsidRDefault="002F486F" w:rsidP="002165F8">
            <w:pPr>
              <w:autoSpaceDE w:val="0"/>
              <w:autoSpaceDN w:val="0"/>
              <w:adjustRightInd w:val="0"/>
              <w:rPr>
                <w:color w:val="000000" w:themeColor="text1"/>
              </w:rPr>
            </w:pPr>
          </w:p>
          <w:p w14:paraId="733637F4" w14:textId="77777777" w:rsidR="002F486F" w:rsidRDefault="002F486F" w:rsidP="002165F8">
            <w:pPr>
              <w:autoSpaceDE w:val="0"/>
              <w:autoSpaceDN w:val="0"/>
              <w:adjustRightInd w:val="0"/>
              <w:rPr>
                <w:color w:val="000000" w:themeColor="text1"/>
              </w:rPr>
            </w:pPr>
            <w:r>
              <w:rPr>
                <w:color w:val="000000" w:themeColor="text1"/>
              </w:rPr>
              <w:t xml:space="preserve">The total amount quoted shall be all-inclusive and include all costs components required to perform the deliverables identified in the TOR, including professional fee, travel costs, living allowance and any other applicable cost to be incurred by the successful bidder in completing the assignment. The contract price will be fixed output-based price regardless of extension of the herein specified duration. </w:t>
            </w:r>
          </w:p>
          <w:p w14:paraId="43465223" w14:textId="77777777" w:rsidR="00252056" w:rsidRDefault="00252056" w:rsidP="002165F8">
            <w:pPr>
              <w:autoSpaceDE w:val="0"/>
              <w:autoSpaceDN w:val="0"/>
              <w:adjustRightInd w:val="0"/>
              <w:rPr>
                <w:color w:val="000000" w:themeColor="text1"/>
              </w:rPr>
            </w:pPr>
          </w:p>
          <w:p w14:paraId="020D84E1" w14:textId="714F1960" w:rsidR="002F486F" w:rsidRDefault="002F486F" w:rsidP="002165F8">
            <w:pPr>
              <w:autoSpaceDE w:val="0"/>
              <w:autoSpaceDN w:val="0"/>
              <w:adjustRightInd w:val="0"/>
              <w:rPr>
                <w:color w:val="000000" w:themeColor="text1"/>
              </w:rPr>
            </w:pPr>
            <w:r>
              <w:rPr>
                <w:color w:val="000000" w:themeColor="text1"/>
              </w:rPr>
              <w:t xml:space="preserve">Payments will be done upon completion of the deliverables/outputs and as per below percentages: </w:t>
            </w:r>
          </w:p>
          <w:tbl>
            <w:tblPr>
              <w:tblStyle w:val="TableGrid"/>
              <w:tblW w:w="8785" w:type="dxa"/>
              <w:jc w:val="center"/>
              <w:tblLook w:val="04A0" w:firstRow="1" w:lastRow="0" w:firstColumn="1" w:lastColumn="0" w:noHBand="0" w:noVBand="1"/>
            </w:tblPr>
            <w:tblGrid>
              <w:gridCol w:w="461"/>
              <w:gridCol w:w="6379"/>
              <w:gridCol w:w="1945"/>
            </w:tblGrid>
            <w:tr w:rsidR="00252056" w:rsidRPr="007B407C" w14:paraId="290F2146" w14:textId="77777777" w:rsidTr="005B63F4">
              <w:trPr>
                <w:tblHeader/>
                <w:jc w:val="center"/>
              </w:trPr>
              <w:tc>
                <w:tcPr>
                  <w:tcW w:w="461" w:type="dxa"/>
                  <w:shd w:val="clear" w:color="auto" w:fill="0070C0"/>
                </w:tcPr>
                <w:p w14:paraId="059EC72F" w14:textId="77777777" w:rsidR="00252056" w:rsidRPr="007B407C" w:rsidRDefault="00252056" w:rsidP="00252056">
                  <w:pPr>
                    <w:pStyle w:val="ListParagraph"/>
                    <w:ind w:left="0"/>
                    <w:rPr>
                      <w:rFonts w:cs="Arial"/>
                      <w:b/>
                      <w:color w:val="FFFFFF" w:themeColor="background1"/>
                    </w:rPr>
                  </w:pPr>
                </w:p>
              </w:tc>
              <w:tc>
                <w:tcPr>
                  <w:tcW w:w="6379" w:type="dxa"/>
                  <w:shd w:val="clear" w:color="auto" w:fill="0070C0"/>
                </w:tcPr>
                <w:p w14:paraId="374C08BA" w14:textId="77777777" w:rsidR="00252056" w:rsidRPr="007B407C" w:rsidRDefault="00252056" w:rsidP="00252056">
                  <w:pPr>
                    <w:pStyle w:val="ListParagraph"/>
                    <w:ind w:left="0"/>
                    <w:rPr>
                      <w:rFonts w:cs="Arial"/>
                      <w:b/>
                      <w:color w:val="FFFFFF" w:themeColor="background1"/>
                    </w:rPr>
                  </w:pPr>
                  <w:r w:rsidRPr="007B407C">
                    <w:rPr>
                      <w:rFonts w:cs="Arial"/>
                      <w:b/>
                      <w:color w:val="FFFFFF" w:themeColor="background1"/>
                    </w:rPr>
                    <w:t>Activities</w:t>
                  </w:r>
                </w:p>
                <w:p w14:paraId="7AF79950" w14:textId="77777777" w:rsidR="00252056" w:rsidRPr="007B407C" w:rsidRDefault="00252056" w:rsidP="00252056">
                  <w:pPr>
                    <w:pStyle w:val="ListParagraph"/>
                    <w:ind w:left="0"/>
                    <w:rPr>
                      <w:rFonts w:cs="Arial"/>
                      <w:b/>
                      <w:color w:val="FFFFFF" w:themeColor="background1"/>
                    </w:rPr>
                  </w:pPr>
                </w:p>
              </w:tc>
              <w:tc>
                <w:tcPr>
                  <w:tcW w:w="1945" w:type="dxa"/>
                  <w:shd w:val="clear" w:color="auto" w:fill="0070C0"/>
                </w:tcPr>
                <w:p w14:paraId="07C198CA" w14:textId="40E65BFB" w:rsidR="00252056" w:rsidRPr="007B407C" w:rsidRDefault="00252056" w:rsidP="00252056">
                  <w:pPr>
                    <w:pStyle w:val="ListParagraph"/>
                    <w:ind w:left="0"/>
                    <w:jc w:val="center"/>
                    <w:rPr>
                      <w:rFonts w:cs="Arial"/>
                      <w:b/>
                      <w:color w:val="FFFFFF" w:themeColor="background1"/>
                    </w:rPr>
                  </w:pPr>
                  <w:r>
                    <w:rPr>
                      <w:rFonts w:cs="Arial"/>
                      <w:b/>
                      <w:color w:val="FFFFFF" w:themeColor="background1"/>
                    </w:rPr>
                    <w:t>Percentage of final contract</w:t>
                  </w:r>
                </w:p>
              </w:tc>
            </w:tr>
            <w:tr w:rsidR="00252056" w:rsidRPr="007B407C" w14:paraId="5769AD36" w14:textId="77777777" w:rsidTr="005B63F4">
              <w:trPr>
                <w:jc w:val="center"/>
              </w:trPr>
              <w:tc>
                <w:tcPr>
                  <w:tcW w:w="461" w:type="dxa"/>
                  <w:shd w:val="clear" w:color="auto" w:fill="0070C0"/>
                </w:tcPr>
                <w:p w14:paraId="447C547E" w14:textId="77777777" w:rsidR="00252056" w:rsidRPr="007B407C" w:rsidRDefault="00252056" w:rsidP="00252056">
                  <w:pPr>
                    <w:pStyle w:val="ListParagraph"/>
                    <w:ind w:left="0"/>
                    <w:rPr>
                      <w:rFonts w:cs="Arial"/>
                      <w:b/>
                      <w:color w:val="FFFFFF" w:themeColor="background1"/>
                    </w:rPr>
                  </w:pPr>
                  <w:r w:rsidRPr="007B407C">
                    <w:rPr>
                      <w:rFonts w:cs="Arial"/>
                      <w:b/>
                      <w:color w:val="FFFFFF" w:themeColor="background1"/>
                    </w:rPr>
                    <w:t>1</w:t>
                  </w:r>
                </w:p>
              </w:tc>
              <w:tc>
                <w:tcPr>
                  <w:tcW w:w="6379" w:type="dxa"/>
                </w:tcPr>
                <w:p w14:paraId="70C24C59" w14:textId="77777777" w:rsidR="00252056" w:rsidRPr="007B407C" w:rsidRDefault="00252056" w:rsidP="00252056">
                  <w:pPr>
                    <w:pStyle w:val="ListParagraph"/>
                    <w:ind w:left="0"/>
                    <w:rPr>
                      <w:rFonts w:cs="Arial"/>
                    </w:rPr>
                  </w:pPr>
                  <w:r w:rsidRPr="007B407C">
                    <w:rPr>
                      <w:rFonts w:cs="Arial"/>
                    </w:rPr>
                    <w:t xml:space="preserve">Developing and </w:t>
                  </w:r>
                  <w:proofErr w:type="spellStart"/>
                  <w:r w:rsidRPr="007B407C">
                    <w:rPr>
                      <w:rFonts w:cs="Arial"/>
                    </w:rPr>
                    <w:t>finalising</w:t>
                  </w:r>
                  <w:proofErr w:type="spellEnd"/>
                  <w:r w:rsidRPr="007B407C">
                    <w:rPr>
                      <w:rFonts w:cs="Arial"/>
                    </w:rPr>
                    <w:t xml:space="preserve"> </w:t>
                  </w:r>
                  <w:proofErr w:type="spellStart"/>
                  <w:r w:rsidRPr="007B407C">
                    <w:rPr>
                      <w:rFonts w:cs="Arial"/>
                    </w:rPr>
                    <w:t>FinEd</w:t>
                  </w:r>
                  <w:proofErr w:type="spellEnd"/>
                  <w:r w:rsidRPr="007B407C">
                    <w:rPr>
                      <w:rFonts w:cs="Arial"/>
                    </w:rPr>
                    <w:t xml:space="preserve"> framework. This includes as a minimum:</w:t>
                  </w:r>
                </w:p>
                <w:p w14:paraId="68F7E5B8" w14:textId="77777777" w:rsidR="00252056" w:rsidRPr="007B407C" w:rsidRDefault="00252056" w:rsidP="00252056">
                  <w:pPr>
                    <w:pStyle w:val="ListParagraph"/>
                    <w:numPr>
                      <w:ilvl w:val="0"/>
                      <w:numId w:val="45"/>
                    </w:numPr>
                    <w:ind w:left="329" w:hanging="270"/>
                    <w:rPr>
                      <w:rFonts w:cs="Arial"/>
                    </w:rPr>
                  </w:pPr>
                  <w:r>
                    <w:rPr>
                      <w:rFonts w:cs="Arial"/>
                    </w:rPr>
                    <w:t xml:space="preserve">A </w:t>
                  </w:r>
                  <w:proofErr w:type="spellStart"/>
                  <w:r>
                    <w:rPr>
                      <w:rFonts w:cs="Arial"/>
                    </w:rPr>
                    <w:t>stocktake</w:t>
                  </w:r>
                  <w:proofErr w:type="spellEnd"/>
                  <w:r>
                    <w:rPr>
                      <w:rFonts w:cs="Arial"/>
                    </w:rPr>
                    <w:t xml:space="preserve"> </w:t>
                  </w:r>
                  <w:r w:rsidRPr="007B407C">
                    <w:rPr>
                      <w:rFonts w:cs="Arial"/>
                    </w:rPr>
                    <w:t xml:space="preserve">of </w:t>
                  </w:r>
                  <w:proofErr w:type="spellStart"/>
                  <w:r w:rsidRPr="007B407C">
                    <w:rPr>
                      <w:rFonts w:cs="Arial"/>
                    </w:rPr>
                    <w:t>FinEd</w:t>
                  </w:r>
                  <w:proofErr w:type="spellEnd"/>
                  <w:r w:rsidRPr="007B407C">
                    <w:rPr>
                      <w:rFonts w:cs="Arial"/>
                    </w:rPr>
                    <w:t xml:space="preserve"> learning within the </w:t>
                  </w:r>
                  <w:r>
                    <w:rPr>
                      <w:rFonts w:cs="Arial"/>
                    </w:rPr>
                    <w:t>existing</w:t>
                  </w:r>
                  <w:r w:rsidRPr="007B407C">
                    <w:rPr>
                      <w:rFonts w:cs="Arial"/>
                    </w:rPr>
                    <w:t xml:space="preserve"> curriculum</w:t>
                  </w:r>
                  <w:r>
                    <w:rPr>
                      <w:rFonts w:cs="Arial"/>
                    </w:rPr>
                    <w:t>;</w:t>
                  </w:r>
                </w:p>
                <w:p w14:paraId="0934B98F" w14:textId="77777777" w:rsidR="00252056" w:rsidRDefault="00252056" w:rsidP="00252056">
                  <w:pPr>
                    <w:pStyle w:val="ListParagraph"/>
                    <w:numPr>
                      <w:ilvl w:val="0"/>
                      <w:numId w:val="45"/>
                    </w:numPr>
                    <w:ind w:left="329" w:hanging="270"/>
                    <w:rPr>
                      <w:rFonts w:cs="Arial"/>
                    </w:rPr>
                  </w:pPr>
                  <w:r>
                    <w:rPr>
                      <w:rFonts w:cs="Arial"/>
                    </w:rPr>
                    <w:t xml:space="preserve">A detailed framework of learning outcomes identified by subject level across class levels at primary and secondary school for relevant subjects. Learning outcomes must be specific to Samoa and cognizant of the Financial Competency priorities of the country; </w:t>
                  </w:r>
                </w:p>
                <w:p w14:paraId="46BF6423" w14:textId="77777777" w:rsidR="00252056" w:rsidRPr="007B407C" w:rsidRDefault="00252056" w:rsidP="00252056">
                  <w:pPr>
                    <w:pStyle w:val="ListParagraph"/>
                    <w:numPr>
                      <w:ilvl w:val="0"/>
                      <w:numId w:val="45"/>
                    </w:numPr>
                    <w:ind w:left="329" w:hanging="270"/>
                    <w:rPr>
                      <w:rFonts w:cs="Arial"/>
                    </w:rPr>
                  </w:pPr>
                  <w:r>
                    <w:rPr>
                      <w:rFonts w:cs="Arial"/>
                    </w:rPr>
                    <w:t xml:space="preserve">Identification of specific topic/theme for integration of each learning outcome within the respective subject syllabi at each year level. </w:t>
                  </w:r>
                </w:p>
              </w:tc>
              <w:tc>
                <w:tcPr>
                  <w:tcW w:w="1945" w:type="dxa"/>
                </w:tcPr>
                <w:p w14:paraId="66D368D5" w14:textId="3F27618C" w:rsidR="00252056" w:rsidRPr="007B407C" w:rsidRDefault="00900003" w:rsidP="00252056">
                  <w:pPr>
                    <w:pStyle w:val="ListParagraph"/>
                    <w:ind w:left="0"/>
                    <w:jc w:val="center"/>
                    <w:rPr>
                      <w:rFonts w:cs="Arial"/>
                    </w:rPr>
                  </w:pPr>
                  <w:r>
                    <w:rPr>
                      <w:rFonts w:cs="Arial"/>
                    </w:rPr>
                    <w:t>4</w:t>
                  </w:r>
                  <w:r w:rsidR="00252056">
                    <w:rPr>
                      <w:rFonts w:cs="Arial"/>
                    </w:rPr>
                    <w:t>0%</w:t>
                  </w:r>
                </w:p>
              </w:tc>
            </w:tr>
            <w:tr w:rsidR="00252056" w:rsidRPr="007B407C" w14:paraId="44E826CA" w14:textId="77777777" w:rsidTr="005B63F4">
              <w:trPr>
                <w:jc w:val="center"/>
              </w:trPr>
              <w:tc>
                <w:tcPr>
                  <w:tcW w:w="461" w:type="dxa"/>
                  <w:shd w:val="clear" w:color="auto" w:fill="0070C0"/>
                </w:tcPr>
                <w:p w14:paraId="0C26D7CC" w14:textId="77777777" w:rsidR="00252056" w:rsidRPr="007B407C" w:rsidRDefault="00252056" w:rsidP="00252056">
                  <w:pPr>
                    <w:pStyle w:val="ListParagraph"/>
                    <w:ind w:left="0"/>
                    <w:rPr>
                      <w:rFonts w:cs="Arial"/>
                      <w:b/>
                      <w:color w:val="FFFFFF" w:themeColor="background1"/>
                    </w:rPr>
                  </w:pPr>
                  <w:r w:rsidRPr="007B407C">
                    <w:rPr>
                      <w:rFonts w:cs="Arial"/>
                      <w:b/>
                      <w:color w:val="FFFFFF" w:themeColor="background1"/>
                    </w:rPr>
                    <w:t>2</w:t>
                  </w:r>
                </w:p>
              </w:tc>
              <w:tc>
                <w:tcPr>
                  <w:tcW w:w="6379" w:type="dxa"/>
                </w:tcPr>
                <w:p w14:paraId="49316528" w14:textId="77777777" w:rsidR="00252056" w:rsidRDefault="00252056" w:rsidP="00252056">
                  <w:pPr>
                    <w:rPr>
                      <w:rFonts w:cs="Arial"/>
                    </w:rPr>
                  </w:pPr>
                  <w:r>
                    <w:rPr>
                      <w:rFonts w:cs="Arial"/>
                    </w:rPr>
                    <w:t>Report preparation must contain;</w:t>
                  </w:r>
                </w:p>
                <w:p w14:paraId="07028447" w14:textId="77777777" w:rsidR="00252056" w:rsidRDefault="00252056" w:rsidP="00252056">
                  <w:pPr>
                    <w:pStyle w:val="ListParagraph"/>
                    <w:numPr>
                      <w:ilvl w:val="0"/>
                      <w:numId w:val="47"/>
                    </w:numPr>
                    <w:rPr>
                      <w:rFonts w:cs="Arial"/>
                    </w:rPr>
                  </w:pPr>
                  <w:r>
                    <w:rPr>
                      <w:rFonts w:cs="Arial"/>
                    </w:rPr>
                    <w:t>Identification of expected considerations needed at MESC or other agency level, to ensure effective integration, strengthening and delivery of identified Financial Education learning outcomes;</w:t>
                  </w:r>
                </w:p>
                <w:p w14:paraId="06995BFB" w14:textId="77777777" w:rsidR="00252056" w:rsidRDefault="00252056" w:rsidP="00252056">
                  <w:pPr>
                    <w:pStyle w:val="ListParagraph"/>
                    <w:numPr>
                      <w:ilvl w:val="0"/>
                      <w:numId w:val="47"/>
                    </w:numPr>
                    <w:rPr>
                      <w:rFonts w:cs="Arial"/>
                    </w:rPr>
                  </w:pPr>
                  <w:r>
                    <w:rPr>
                      <w:rFonts w:cs="Arial"/>
                    </w:rPr>
                    <w:lastRenderedPageBreak/>
                    <w:t>Identification of key project personnel, stakeholders, entities/persons necessary for the integration of learning outcomes into the relevant curriculum documents and their roles in the Project;</w:t>
                  </w:r>
                </w:p>
                <w:p w14:paraId="446A6AE6" w14:textId="77777777" w:rsidR="00252056" w:rsidRDefault="00252056" w:rsidP="00252056">
                  <w:pPr>
                    <w:pStyle w:val="ListParagraph"/>
                    <w:numPr>
                      <w:ilvl w:val="0"/>
                      <w:numId w:val="47"/>
                    </w:numPr>
                    <w:rPr>
                      <w:rFonts w:cs="Arial"/>
                    </w:rPr>
                  </w:pPr>
                  <w:r>
                    <w:rPr>
                      <w:rFonts w:cs="Arial"/>
                    </w:rPr>
                    <w:t>Detailed integration timeline, which includes approval of finalized curriculum statements;</w:t>
                  </w:r>
                </w:p>
                <w:p w14:paraId="4193D4AB" w14:textId="77777777" w:rsidR="00252056" w:rsidRDefault="00252056" w:rsidP="00252056">
                  <w:pPr>
                    <w:pStyle w:val="ListParagraph"/>
                    <w:numPr>
                      <w:ilvl w:val="0"/>
                      <w:numId w:val="47"/>
                    </w:numPr>
                    <w:rPr>
                      <w:rFonts w:cs="Arial"/>
                    </w:rPr>
                  </w:pPr>
                  <w:r>
                    <w:rPr>
                      <w:rFonts w:cs="Arial"/>
                    </w:rPr>
                    <w:t>Itemized budget for the integration of Financial Education learning outcomes into the relevant curriculum documents; and</w:t>
                  </w:r>
                </w:p>
                <w:p w14:paraId="5F52792A" w14:textId="77777777" w:rsidR="00252056" w:rsidRPr="00426BF1" w:rsidRDefault="00252056" w:rsidP="00252056">
                  <w:pPr>
                    <w:pStyle w:val="ListParagraph"/>
                    <w:numPr>
                      <w:ilvl w:val="0"/>
                      <w:numId w:val="47"/>
                    </w:numPr>
                    <w:rPr>
                      <w:rFonts w:cs="Arial"/>
                    </w:rPr>
                  </w:pPr>
                  <w:r>
                    <w:rPr>
                      <w:rFonts w:cs="Arial"/>
                    </w:rPr>
                    <w:t>Identification of next steps and series of actions to facilitate the integration of Financial Education within the national curriculum.</w:t>
                  </w:r>
                </w:p>
              </w:tc>
              <w:tc>
                <w:tcPr>
                  <w:tcW w:w="1945" w:type="dxa"/>
                </w:tcPr>
                <w:p w14:paraId="2BDFD481" w14:textId="2EBB444D" w:rsidR="00252056" w:rsidRPr="007B407C" w:rsidRDefault="00900003" w:rsidP="00252056">
                  <w:pPr>
                    <w:pStyle w:val="ListParagraph"/>
                    <w:ind w:left="0"/>
                    <w:jc w:val="center"/>
                    <w:rPr>
                      <w:rFonts w:cs="Arial"/>
                    </w:rPr>
                  </w:pPr>
                  <w:r>
                    <w:rPr>
                      <w:rFonts w:cs="Arial"/>
                    </w:rPr>
                    <w:lastRenderedPageBreak/>
                    <w:t>6</w:t>
                  </w:r>
                  <w:r w:rsidR="00252056">
                    <w:rPr>
                      <w:rFonts w:cs="Arial"/>
                    </w:rPr>
                    <w:t>0%</w:t>
                  </w:r>
                </w:p>
              </w:tc>
            </w:tr>
          </w:tbl>
          <w:p w14:paraId="6ED6977B" w14:textId="77777777" w:rsidR="0039261A" w:rsidRPr="00993991" w:rsidRDefault="0039261A" w:rsidP="002165F8">
            <w:pPr>
              <w:autoSpaceDE w:val="0"/>
              <w:autoSpaceDN w:val="0"/>
              <w:adjustRightInd w:val="0"/>
              <w:rPr>
                <w:color w:val="FF0000"/>
                <w:sz w:val="10"/>
                <w:szCs w:val="10"/>
              </w:rPr>
            </w:pPr>
          </w:p>
          <w:p w14:paraId="03F1DD84" w14:textId="2C509D6A" w:rsidR="001A7DD4" w:rsidRDefault="001A7DD4" w:rsidP="001A7DD4">
            <w:pPr>
              <w:spacing w:before="60"/>
              <w:jc w:val="both"/>
              <w:rPr>
                <w:rFonts w:cstheme="minorHAnsi"/>
              </w:rPr>
            </w:pPr>
            <w:r w:rsidRPr="001A7DD4">
              <w:rPr>
                <w:rFonts w:cstheme="minorHAnsi"/>
              </w:rPr>
              <w:t xml:space="preserve">In general, UNDP </w:t>
            </w:r>
            <w:r>
              <w:rPr>
                <w:rFonts w:cstheme="minorHAnsi"/>
              </w:rPr>
              <w:t>shall</w:t>
            </w:r>
            <w:r w:rsidRPr="001A7DD4">
              <w:rPr>
                <w:rFonts w:cstheme="minorHAnsi"/>
              </w:rPr>
              <w:t xml:space="preserve"> not accept travel costs exceeding those of an economy class ticket. Should the IC wish to travel on a higher class he/she should do so using their own resources</w:t>
            </w:r>
            <w:r w:rsidR="002F486F">
              <w:rPr>
                <w:rFonts w:cstheme="minorHAnsi"/>
              </w:rPr>
              <w:t>.</w:t>
            </w:r>
          </w:p>
          <w:p w14:paraId="5F005F30" w14:textId="77777777" w:rsidR="002F486F" w:rsidRDefault="002F486F" w:rsidP="001A7DD4">
            <w:pPr>
              <w:spacing w:before="60"/>
              <w:jc w:val="both"/>
              <w:rPr>
                <w:rFonts w:cstheme="minorHAnsi"/>
              </w:rPr>
            </w:pPr>
          </w:p>
          <w:p w14:paraId="70CBBB36" w14:textId="77777777" w:rsidR="00D076A2" w:rsidRPr="00993991" w:rsidRDefault="00D076A2" w:rsidP="009F4488">
            <w:pPr>
              <w:jc w:val="both"/>
              <w:rPr>
                <w:rFonts w:cstheme="minorHAnsi"/>
                <w:sz w:val="10"/>
                <w:szCs w:val="10"/>
              </w:rPr>
            </w:pPr>
          </w:p>
          <w:p w14:paraId="52D9F18A" w14:textId="77777777" w:rsidR="00D076A2" w:rsidRPr="00B63865" w:rsidRDefault="00D076A2" w:rsidP="009F4488">
            <w:pPr>
              <w:jc w:val="both"/>
              <w:rPr>
                <w:rFonts w:cstheme="minorHAnsi"/>
              </w:rPr>
            </w:pPr>
            <w:r w:rsidRPr="00D076A2">
              <w:rPr>
                <w:rFonts w:cstheme="minorHAnsi"/>
              </w:rPr>
              <w:t>In the event of unforeseeable travel</w:t>
            </w:r>
            <w:r>
              <w:rPr>
                <w:rFonts w:cstheme="minorHAnsi"/>
              </w:rPr>
              <w:t xml:space="preserve"> not anticipated in this TOR</w:t>
            </w:r>
            <w:r w:rsidRPr="00D076A2">
              <w:rPr>
                <w:rFonts w:cstheme="minorHAnsi"/>
              </w:rPr>
              <w:t>, payment of travel costs including tickets, lodging and terminal expenses should be agreed upon, between the respective business unit and</w:t>
            </w:r>
            <w:r w:rsidR="00993991">
              <w:rPr>
                <w:rFonts w:cstheme="minorHAnsi"/>
              </w:rPr>
              <w:t xml:space="preserve"> the</w:t>
            </w:r>
            <w:r w:rsidRPr="00D076A2">
              <w:rPr>
                <w:rFonts w:cstheme="minorHAnsi"/>
              </w:rPr>
              <w:t xml:space="preserve"> Individual Consultant, prior to travel and will be reimbursed.</w:t>
            </w:r>
          </w:p>
          <w:p w14:paraId="0E141CC5" w14:textId="77777777" w:rsidR="002165F8" w:rsidRDefault="002165F8" w:rsidP="002165F8">
            <w:pPr>
              <w:spacing w:line="288" w:lineRule="auto"/>
              <w:jc w:val="both"/>
              <w:rPr>
                <w:i/>
                <w:color w:val="FF0000"/>
                <w:lang w:val="en-PH"/>
              </w:rPr>
            </w:pPr>
          </w:p>
          <w:p w14:paraId="34A058AE" w14:textId="77777777" w:rsidR="002165F8" w:rsidRDefault="002165F8" w:rsidP="002165F8">
            <w:pPr>
              <w:spacing w:line="288" w:lineRule="auto"/>
              <w:jc w:val="both"/>
              <w:rPr>
                <w:b/>
              </w:rPr>
            </w:pPr>
            <w:r>
              <w:rPr>
                <w:b/>
              </w:rPr>
              <w:t>Evaluation Method and Criteria</w:t>
            </w:r>
          </w:p>
          <w:p w14:paraId="0676DE03" w14:textId="3E91D481" w:rsidR="002165F8" w:rsidRPr="002F486F" w:rsidRDefault="002F486F" w:rsidP="002165F8">
            <w:pPr>
              <w:rPr>
                <w:color w:val="000000" w:themeColor="text1"/>
              </w:rPr>
            </w:pPr>
            <w:r>
              <w:rPr>
                <w:color w:val="000000" w:themeColor="text1"/>
              </w:rPr>
              <w:t xml:space="preserve">Bids will be evaluated based on cumulative analysis. The award of the contract shall be made to the bidder whose offer has been evaluated and determined as a) responsive/compliant/acceptable; and b) having received the highest score out of set of weighted technical criteria (70%) and financial criteria (30%). Financial score shall be computed as a ratio of the proposal being evaluated and the lowest priced proposal received by UNDP for the assignment. </w:t>
            </w:r>
          </w:p>
          <w:p w14:paraId="49C5CF56" w14:textId="77777777" w:rsidR="002165F8" w:rsidRDefault="002165F8" w:rsidP="002165F8">
            <w:pPr>
              <w:rPr>
                <w:b/>
                <w:i/>
              </w:rPr>
            </w:pPr>
          </w:p>
          <w:p w14:paraId="44AFE597" w14:textId="77F42629" w:rsidR="002F486F" w:rsidRDefault="002165F8" w:rsidP="002F486F">
            <w:pPr>
              <w:rPr>
                <w:b/>
              </w:rPr>
            </w:pPr>
            <w:r w:rsidRPr="006C41C9">
              <w:rPr>
                <w:b/>
              </w:rPr>
              <w:t>Technical Criteria</w:t>
            </w:r>
            <w:r w:rsidR="006C41C9">
              <w:rPr>
                <w:b/>
              </w:rPr>
              <w:t xml:space="preserve"> for Evaluation (</w:t>
            </w:r>
            <w:r w:rsidRPr="006C41C9">
              <w:rPr>
                <w:b/>
              </w:rPr>
              <w:t>Maximum 70 points</w:t>
            </w:r>
            <w:r w:rsidR="006C41C9">
              <w:rPr>
                <w:b/>
              </w:rPr>
              <w:t>)</w:t>
            </w:r>
            <w:r w:rsidR="00D236E3">
              <w:rPr>
                <w:b/>
              </w:rPr>
              <w:t xml:space="preserve"> </w:t>
            </w:r>
          </w:p>
          <w:p w14:paraId="6C68F2B8" w14:textId="1134788E" w:rsidR="00ED5568" w:rsidRDefault="00ED5568" w:rsidP="002F486F">
            <w:pPr>
              <w:rPr>
                <w:b/>
              </w:rPr>
            </w:pPr>
          </w:p>
          <w:tbl>
            <w:tblPr>
              <w:tblStyle w:val="TableGrid"/>
              <w:tblW w:w="8785" w:type="dxa"/>
              <w:jc w:val="center"/>
              <w:tblLook w:val="04A0" w:firstRow="1" w:lastRow="0" w:firstColumn="1" w:lastColumn="0" w:noHBand="0" w:noVBand="1"/>
            </w:tblPr>
            <w:tblGrid>
              <w:gridCol w:w="461"/>
              <w:gridCol w:w="6379"/>
              <w:gridCol w:w="1945"/>
            </w:tblGrid>
            <w:tr w:rsidR="002F486F" w:rsidRPr="007B407C" w14:paraId="79191E3C" w14:textId="77777777" w:rsidTr="005B63F4">
              <w:trPr>
                <w:tblHeader/>
                <w:jc w:val="center"/>
              </w:trPr>
              <w:tc>
                <w:tcPr>
                  <w:tcW w:w="461" w:type="dxa"/>
                  <w:shd w:val="clear" w:color="auto" w:fill="0070C0"/>
                </w:tcPr>
                <w:p w14:paraId="58A5844B" w14:textId="77777777" w:rsidR="002F486F" w:rsidRPr="007B407C" w:rsidRDefault="002F486F" w:rsidP="002F486F">
                  <w:pPr>
                    <w:pStyle w:val="ListParagraph"/>
                    <w:ind w:left="0"/>
                    <w:rPr>
                      <w:rFonts w:cs="Arial"/>
                      <w:b/>
                      <w:color w:val="FFFFFF" w:themeColor="background1"/>
                    </w:rPr>
                  </w:pPr>
                  <w:bookmarkStart w:id="0" w:name="_GoBack"/>
                  <w:bookmarkEnd w:id="0"/>
                </w:p>
              </w:tc>
              <w:tc>
                <w:tcPr>
                  <w:tcW w:w="6379" w:type="dxa"/>
                  <w:shd w:val="clear" w:color="auto" w:fill="0070C0"/>
                </w:tcPr>
                <w:p w14:paraId="60D120F6" w14:textId="77777777" w:rsidR="002F486F" w:rsidRPr="007B407C" w:rsidRDefault="002F486F" w:rsidP="002F486F">
                  <w:pPr>
                    <w:pStyle w:val="ListParagraph"/>
                    <w:ind w:left="0"/>
                    <w:rPr>
                      <w:rFonts w:cs="Arial"/>
                      <w:b/>
                      <w:color w:val="FFFFFF" w:themeColor="background1"/>
                    </w:rPr>
                  </w:pPr>
                  <w:r w:rsidRPr="007B407C">
                    <w:rPr>
                      <w:rFonts w:cs="Arial"/>
                      <w:b/>
                      <w:color w:val="FFFFFF" w:themeColor="background1"/>
                    </w:rPr>
                    <w:t>Criteria</w:t>
                  </w:r>
                </w:p>
                <w:p w14:paraId="51EA76E6" w14:textId="77777777" w:rsidR="002F486F" w:rsidRPr="007B407C" w:rsidRDefault="002F486F" w:rsidP="002F486F">
                  <w:pPr>
                    <w:pStyle w:val="ListParagraph"/>
                    <w:ind w:left="0"/>
                    <w:rPr>
                      <w:rFonts w:cs="Arial"/>
                      <w:b/>
                      <w:color w:val="FFFFFF" w:themeColor="background1"/>
                    </w:rPr>
                  </w:pPr>
                </w:p>
              </w:tc>
              <w:tc>
                <w:tcPr>
                  <w:tcW w:w="1945" w:type="dxa"/>
                  <w:shd w:val="clear" w:color="auto" w:fill="0070C0"/>
                </w:tcPr>
                <w:p w14:paraId="2AE04739" w14:textId="77777777" w:rsidR="002F486F" w:rsidRPr="007B407C" w:rsidRDefault="002F486F" w:rsidP="002F486F">
                  <w:pPr>
                    <w:pStyle w:val="ListParagraph"/>
                    <w:ind w:left="0"/>
                    <w:jc w:val="center"/>
                    <w:rPr>
                      <w:rFonts w:cs="Arial"/>
                      <w:b/>
                      <w:color w:val="FFFFFF" w:themeColor="background1"/>
                    </w:rPr>
                  </w:pPr>
                  <w:r w:rsidRPr="007B407C">
                    <w:rPr>
                      <w:rFonts w:cs="Arial"/>
                      <w:b/>
                      <w:color w:val="FFFFFF" w:themeColor="background1"/>
                    </w:rPr>
                    <w:t>Maximum points</w:t>
                  </w:r>
                </w:p>
              </w:tc>
            </w:tr>
            <w:tr w:rsidR="00C512C7" w:rsidRPr="007B407C" w14:paraId="6446B965" w14:textId="77777777" w:rsidTr="00C512C7">
              <w:trPr>
                <w:trHeight w:val="305"/>
                <w:jc w:val="center"/>
              </w:trPr>
              <w:tc>
                <w:tcPr>
                  <w:tcW w:w="461" w:type="dxa"/>
                  <w:shd w:val="clear" w:color="auto" w:fill="0070C0"/>
                </w:tcPr>
                <w:p w14:paraId="2E3DF5ED" w14:textId="3ED66BFF" w:rsidR="00C512C7" w:rsidRPr="007B407C" w:rsidRDefault="00C512C7" w:rsidP="002F486F">
                  <w:pPr>
                    <w:pStyle w:val="ListParagraph"/>
                    <w:ind w:left="0"/>
                    <w:rPr>
                      <w:rFonts w:cs="Arial"/>
                      <w:b/>
                      <w:color w:val="FFFFFF" w:themeColor="background1"/>
                    </w:rPr>
                  </w:pPr>
                  <w:r>
                    <w:rPr>
                      <w:rFonts w:cs="Arial"/>
                      <w:b/>
                      <w:color w:val="FFFFFF" w:themeColor="background1"/>
                    </w:rPr>
                    <w:t>1</w:t>
                  </w:r>
                </w:p>
              </w:tc>
              <w:tc>
                <w:tcPr>
                  <w:tcW w:w="6379" w:type="dxa"/>
                </w:tcPr>
                <w:p w14:paraId="1A104FCE" w14:textId="7C2BFEAF" w:rsidR="00C512C7" w:rsidRPr="00C512C7" w:rsidRDefault="00C512C7" w:rsidP="002F486F">
                  <w:pPr>
                    <w:rPr>
                      <w:rFonts w:cs="Arial"/>
                      <w:b/>
                    </w:rPr>
                  </w:pPr>
                  <w:r w:rsidRPr="00C512C7">
                    <w:rPr>
                      <w:rFonts w:cs="Arial"/>
                      <w:b/>
                    </w:rPr>
                    <w:t>Firm</w:t>
                  </w:r>
                </w:p>
              </w:tc>
              <w:tc>
                <w:tcPr>
                  <w:tcW w:w="1945" w:type="dxa"/>
                </w:tcPr>
                <w:p w14:paraId="7ED248FB" w14:textId="77777777" w:rsidR="00C512C7" w:rsidRDefault="00C512C7" w:rsidP="002F486F">
                  <w:pPr>
                    <w:pStyle w:val="ListParagraph"/>
                    <w:ind w:left="0"/>
                    <w:jc w:val="center"/>
                    <w:rPr>
                      <w:rFonts w:cs="Arial"/>
                    </w:rPr>
                  </w:pPr>
                </w:p>
              </w:tc>
            </w:tr>
            <w:tr w:rsidR="002F486F" w:rsidRPr="007B407C" w14:paraId="6AA987A5" w14:textId="77777777" w:rsidTr="005B63F4">
              <w:trPr>
                <w:trHeight w:val="710"/>
                <w:jc w:val="center"/>
              </w:trPr>
              <w:tc>
                <w:tcPr>
                  <w:tcW w:w="461" w:type="dxa"/>
                  <w:shd w:val="clear" w:color="auto" w:fill="0070C0"/>
                </w:tcPr>
                <w:p w14:paraId="53A9DD68" w14:textId="42F9E92F" w:rsidR="002F486F" w:rsidRPr="007B407C" w:rsidRDefault="002F486F" w:rsidP="002F486F">
                  <w:pPr>
                    <w:pStyle w:val="ListParagraph"/>
                    <w:ind w:left="0"/>
                    <w:rPr>
                      <w:rFonts w:cs="Arial"/>
                      <w:b/>
                      <w:color w:val="FFFFFF" w:themeColor="background1"/>
                    </w:rPr>
                  </w:pPr>
                </w:p>
              </w:tc>
              <w:tc>
                <w:tcPr>
                  <w:tcW w:w="6379" w:type="dxa"/>
                </w:tcPr>
                <w:p w14:paraId="369FB121" w14:textId="77777777" w:rsidR="002F486F" w:rsidRPr="007B407C" w:rsidRDefault="002F486F" w:rsidP="002F486F">
                  <w:pPr>
                    <w:rPr>
                      <w:rFonts w:cs="Arial"/>
                    </w:rPr>
                  </w:pPr>
                  <w:r w:rsidRPr="007B407C">
                    <w:rPr>
                      <w:rFonts w:cs="Arial"/>
                    </w:rPr>
                    <w:t>The firm has a proven track record demonstrating over 5 years of similar work in other similar task environment relating to Financial Education, with specific focus on countries with low levels of financial literacy, such as the Pacific.</w:t>
                  </w:r>
                </w:p>
              </w:tc>
              <w:tc>
                <w:tcPr>
                  <w:tcW w:w="1945" w:type="dxa"/>
                </w:tcPr>
                <w:p w14:paraId="275B0A5E" w14:textId="3C3F3C90" w:rsidR="002F486F" w:rsidRPr="007B407C" w:rsidRDefault="00ED5568" w:rsidP="002F486F">
                  <w:pPr>
                    <w:pStyle w:val="ListParagraph"/>
                    <w:ind w:left="0"/>
                    <w:jc w:val="center"/>
                    <w:rPr>
                      <w:rFonts w:cs="Arial"/>
                    </w:rPr>
                  </w:pPr>
                  <w:r>
                    <w:rPr>
                      <w:rFonts w:cs="Arial"/>
                    </w:rPr>
                    <w:t>15</w:t>
                  </w:r>
                </w:p>
              </w:tc>
            </w:tr>
            <w:tr w:rsidR="00C512C7" w:rsidRPr="007B407C" w14:paraId="3F061196" w14:textId="77777777" w:rsidTr="005B63F4">
              <w:trPr>
                <w:trHeight w:val="170"/>
                <w:jc w:val="center"/>
              </w:trPr>
              <w:tc>
                <w:tcPr>
                  <w:tcW w:w="461" w:type="dxa"/>
                  <w:shd w:val="clear" w:color="auto" w:fill="0070C0"/>
                </w:tcPr>
                <w:p w14:paraId="1C8C7044" w14:textId="75AAEE03" w:rsidR="00C512C7" w:rsidRPr="007B407C" w:rsidRDefault="00C512C7" w:rsidP="00C512C7">
                  <w:pPr>
                    <w:pStyle w:val="ListParagraph"/>
                    <w:ind w:left="0"/>
                    <w:rPr>
                      <w:rFonts w:cs="Arial"/>
                      <w:b/>
                      <w:color w:val="FFFFFF" w:themeColor="background1"/>
                    </w:rPr>
                  </w:pPr>
                </w:p>
              </w:tc>
              <w:tc>
                <w:tcPr>
                  <w:tcW w:w="6379" w:type="dxa"/>
                </w:tcPr>
                <w:p w14:paraId="52BBB1ED" w14:textId="3FE34AC7" w:rsidR="00C512C7" w:rsidRPr="00C512C7" w:rsidRDefault="00C512C7" w:rsidP="00C512C7">
                  <w:pPr>
                    <w:widowControl w:val="0"/>
                    <w:overflowPunct w:val="0"/>
                    <w:adjustRightInd w:val="0"/>
                    <w:rPr>
                      <w:rFonts w:cs="Arial"/>
                      <w:b/>
                    </w:rPr>
                  </w:pPr>
                  <w:r w:rsidRPr="007B407C">
                    <w:rPr>
                      <w:rFonts w:cstheme="minorHAnsi"/>
                    </w:rPr>
                    <w:t>The firm has over 5 years of experience in the development of educational teaching and learning frameworks for mature students in a formal education setting.</w:t>
                  </w:r>
                </w:p>
              </w:tc>
              <w:tc>
                <w:tcPr>
                  <w:tcW w:w="1945" w:type="dxa"/>
                </w:tcPr>
                <w:p w14:paraId="05A5A70B" w14:textId="0DB881C6" w:rsidR="00C512C7" w:rsidRPr="007B407C" w:rsidRDefault="00C512C7" w:rsidP="00C512C7">
                  <w:pPr>
                    <w:pStyle w:val="ListParagraph"/>
                    <w:ind w:left="0"/>
                    <w:jc w:val="center"/>
                    <w:rPr>
                      <w:rFonts w:cs="Arial"/>
                    </w:rPr>
                  </w:pPr>
                  <w:r>
                    <w:rPr>
                      <w:rFonts w:cs="Arial"/>
                    </w:rPr>
                    <w:t>5</w:t>
                  </w:r>
                </w:p>
              </w:tc>
            </w:tr>
            <w:tr w:rsidR="00C512C7" w:rsidRPr="007B407C" w14:paraId="6AFE0DF0" w14:textId="77777777" w:rsidTr="005B63F4">
              <w:trPr>
                <w:trHeight w:val="170"/>
                <w:jc w:val="center"/>
              </w:trPr>
              <w:tc>
                <w:tcPr>
                  <w:tcW w:w="461" w:type="dxa"/>
                  <w:shd w:val="clear" w:color="auto" w:fill="0070C0"/>
                </w:tcPr>
                <w:p w14:paraId="63D15918" w14:textId="77777777" w:rsidR="00C512C7" w:rsidRDefault="00C512C7" w:rsidP="00C512C7">
                  <w:pPr>
                    <w:pStyle w:val="ListParagraph"/>
                    <w:ind w:left="0"/>
                    <w:rPr>
                      <w:rFonts w:cs="Arial"/>
                      <w:b/>
                      <w:color w:val="FFFFFF" w:themeColor="background1"/>
                    </w:rPr>
                  </w:pPr>
                </w:p>
              </w:tc>
              <w:tc>
                <w:tcPr>
                  <w:tcW w:w="6379" w:type="dxa"/>
                </w:tcPr>
                <w:p w14:paraId="7153D617" w14:textId="19B7E4D7" w:rsidR="00C512C7" w:rsidRPr="00C512C7" w:rsidRDefault="00C512C7" w:rsidP="00C512C7">
                  <w:pPr>
                    <w:widowControl w:val="0"/>
                    <w:overflowPunct w:val="0"/>
                    <w:adjustRightInd w:val="0"/>
                    <w:rPr>
                      <w:rFonts w:cs="Arial"/>
                      <w:b/>
                    </w:rPr>
                  </w:pPr>
                  <w:r w:rsidRPr="007B407C">
                    <w:rPr>
                      <w:rFonts w:cs="Arial"/>
                    </w:rPr>
                    <w:t xml:space="preserve">The firm has experience with financial education/financial literacy for mature students leveraging digital platforms. </w:t>
                  </w:r>
                </w:p>
              </w:tc>
              <w:tc>
                <w:tcPr>
                  <w:tcW w:w="1945" w:type="dxa"/>
                </w:tcPr>
                <w:p w14:paraId="38493188" w14:textId="3ED2C055" w:rsidR="00C512C7" w:rsidRPr="007B407C" w:rsidRDefault="00C512C7" w:rsidP="00C512C7">
                  <w:pPr>
                    <w:pStyle w:val="ListParagraph"/>
                    <w:ind w:left="0"/>
                    <w:jc w:val="center"/>
                    <w:rPr>
                      <w:rFonts w:cs="Arial"/>
                    </w:rPr>
                  </w:pPr>
                  <w:r w:rsidRPr="007B407C">
                    <w:rPr>
                      <w:rFonts w:cs="Arial"/>
                    </w:rPr>
                    <w:t>10</w:t>
                  </w:r>
                </w:p>
              </w:tc>
            </w:tr>
            <w:tr w:rsidR="00C512C7" w:rsidRPr="007B407C" w14:paraId="13223017" w14:textId="77777777" w:rsidTr="005B63F4">
              <w:trPr>
                <w:trHeight w:val="170"/>
                <w:jc w:val="center"/>
              </w:trPr>
              <w:tc>
                <w:tcPr>
                  <w:tcW w:w="461" w:type="dxa"/>
                  <w:shd w:val="clear" w:color="auto" w:fill="0070C0"/>
                </w:tcPr>
                <w:p w14:paraId="54C536A5" w14:textId="77777777" w:rsidR="00C512C7" w:rsidRDefault="00C512C7" w:rsidP="00C512C7">
                  <w:pPr>
                    <w:pStyle w:val="ListParagraph"/>
                    <w:ind w:left="0"/>
                    <w:rPr>
                      <w:rFonts w:cs="Arial"/>
                      <w:b/>
                      <w:color w:val="FFFFFF" w:themeColor="background1"/>
                    </w:rPr>
                  </w:pPr>
                </w:p>
              </w:tc>
              <w:tc>
                <w:tcPr>
                  <w:tcW w:w="6379" w:type="dxa"/>
                </w:tcPr>
                <w:p w14:paraId="2CCE42CA" w14:textId="4070F022" w:rsidR="00C512C7" w:rsidRPr="00C512C7" w:rsidRDefault="00C512C7" w:rsidP="00C512C7">
                  <w:pPr>
                    <w:widowControl w:val="0"/>
                    <w:overflowPunct w:val="0"/>
                    <w:adjustRightInd w:val="0"/>
                    <w:rPr>
                      <w:rFonts w:cs="Arial"/>
                      <w:b/>
                    </w:rPr>
                  </w:pPr>
                  <w:r w:rsidRPr="007B407C">
                    <w:rPr>
                      <w:rFonts w:cs="Arial"/>
                    </w:rPr>
                    <w:t xml:space="preserve">The firm has experience with training related to regional/national </w:t>
                  </w:r>
                  <w:proofErr w:type="spellStart"/>
                  <w:r w:rsidRPr="007B407C">
                    <w:rPr>
                      <w:rFonts w:cs="Arial"/>
                    </w:rPr>
                    <w:t>labour</w:t>
                  </w:r>
                  <w:proofErr w:type="spellEnd"/>
                  <w:r w:rsidRPr="007B407C">
                    <w:rPr>
                      <w:rFonts w:cs="Arial"/>
                    </w:rPr>
                    <w:t xml:space="preserve"> mobility schemes.</w:t>
                  </w:r>
                </w:p>
              </w:tc>
              <w:tc>
                <w:tcPr>
                  <w:tcW w:w="1945" w:type="dxa"/>
                </w:tcPr>
                <w:p w14:paraId="7FE519F8" w14:textId="47B9287C" w:rsidR="00C512C7" w:rsidRPr="007B407C" w:rsidRDefault="00C512C7" w:rsidP="00C512C7">
                  <w:pPr>
                    <w:pStyle w:val="ListParagraph"/>
                    <w:ind w:left="0"/>
                    <w:jc w:val="center"/>
                    <w:rPr>
                      <w:rFonts w:cs="Arial"/>
                    </w:rPr>
                  </w:pPr>
                  <w:r w:rsidRPr="007B407C">
                    <w:rPr>
                      <w:rFonts w:cs="Arial"/>
                    </w:rPr>
                    <w:t>5</w:t>
                  </w:r>
                </w:p>
              </w:tc>
            </w:tr>
            <w:tr w:rsidR="00C512C7" w:rsidRPr="007B407C" w14:paraId="12B726F6" w14:textId="77777777" w:rsidTr="005B63F4">
              <w:trPr>
                <w:trHeight w:val="170"/>
                <w:jc w:val="center"/>
              </w:trPr>
              <w:tc>
                <w:tcPr>
                  <w:tcW w:w="461" w:type="dxa"/>
                  <w:shd w:val="clear" w:color="auto" w:fill="0070C0"/>
                </w:tcPr>
                <w:p w14:paraId="2F69A0BB" w14:textId="081591F2" w:rsidR="00C512C7" w:rsidRDefault="00C512C7" w:rsidP="00C512C7">
                  <w:pPr>
                    <w:pStyle w:val="ListParagraph"/>
                    <w:ind w:left="0"/>
                    <w:rPr>
                      <w:rFonts w:cs="Arial"/>
                      <w:b/>
                      <w:color w:val="FFFFFF" w:themeColor="background1"/>
                    </w:rPr>
                  </w:pPr>
                  <w:r>
                    <w:rPr>
                      <w:rFonts w:cs="Arial"/>
                      <w:b/>
                      <w:color w:val="FFFFFF" w:themeColor="background1"/>
                    </w:rPr>
                    <w:t>2</w:t>
                  </w:r>
                </w:p>
              </w:tc>
              <w:tc>
                <w:tcPr>
                  <w:tcW w:w="6379" w:type="dxa"/>
                </w:tcPr>
                <w:p w14:paraId="0247F92F" w14:textId="3E8C9601" w:rsidR="00C512C7" w:rsidRPr="00C512C7" w:rsidRDefault="00C512C7" w:rsidP="00C512C7">
                  <w:pPr>
                    <w:widowControl w:val="0"/>
                    <w:overflowPunct w:val="0"/>
                    <w:adjustRightInd w:val="0"/>
                    <w:rPr>
                      <w:rFonts w:cs="Arial"/>
                      <w:b/>
                    </w:rPr>
                  </w:pPr>
                  <w:r w:rsidRPr="00C512C7">
                    <w:rPr>
                      <w:rFonts w:cs="Arial"/>
                      <w:b/>
                    </w:rPr>
                    <w:t>Personnel</w:t>
                  </w:r>
                </w:p>
              </w:tc>
              <w:tc>
                <w:tcPr>
                  <w:tcW w:w="1945" w:type="dxa"/>
                </w:tcPr>
                <w:p w14:paraId="1E2F2BFC" w14:textId="77777777" w:rsidR="00C512C7" w:rsidRPr="007B407C" w:rsidRDefault="00C512C7" w:rsidP="00C512C7">
                  <w:pPr>
                    <w:pStyle w:val="ListParagraph"/>
                    <w:ind w:left="0"/>
                    <w:jc w:val="center"/>
                    <w:rPr>
                      <w:rFonts w:cs="Arial"/>
                    </w:rPr>
                  </w:pPr>
                </w:p>
              </w:tc>
            </w:tr>
            <w:tr w:rsidR="00C512C7" w:rsidRPr="007B407C" w14:paraId="51ED3054" w14:textId="77777777" w:rsidTr="005B63F4">
              <w:trPr>
                <w:trHeight w:val="170"/>
                <w:jc w:val="center"/>
              </w:trPr>
              <w:tc>
                <w:tcPr>
                  <w:tcW w:w="461" w:type="dxa"/>
                  <w:shd w:val="clear" w:color="auto" w:fill="0070C0"/>
                </w:tcPr>
                <w:p w14:paraId="04C5BA6F" w14:textId="1164AB07" w:rsidR="00C512C7" w:rsidRPr="007B407C" w:rsidRDefault="00C512C7" w:rsidP="00C512C7">
                  <w:pPr>
                    <w:pStyle w:val="ListParagraph"/>
                    <w:ind w:left="0"/>
                    <w:rPr>
                      <w:rFonts w:cs="Arial"/>
                      <w:b/>
                      <w:color w:val="FFFFFF" w:themeColor="background1"/>
                    </w:rPr>
                  </w:pPr>
                </w:p>
              </w:tc>
              <w:tc>
                <w:tcPr>
                  <w:tcW w:w="6379" w:type="dxa"/>
                </w:tcPr>
                <w:p w14:paraId="308DE09C" w14:textId="77777777" w:rsidR="00C512C7" w:rsidRPr="007B407C" w:rsidRDefault="00C512C7" w:rsidP="00C512C7">
                  <w:pPr>
                    <w:widowControl w:val="0"/>
                    <w:overflowPunct w:val="0"/>
                    <w:adjustRightInd w:val="0"/>
                    <w:rPr>
                      <w:rFonts w:cstheme="minorHAnsi"/>
                    </w:rPr>
                  </w:pPr>
                  <w:r w:rsidRPr="007B407C">
                    <w:rPr>
                      <w:rFonts w:cs="Arial"/>
                    </w:rPr>
                    <w:t xml:space="preserve">The identified consultants/specialists within the firm have over 5 years relevant expertise in Financial Education curriculum development, teacher and student resources and assessment </w:t>
                  </w:r>
                  <w:r w:rsidRPr="007B407C">
                    <w:rPr>
                      <w:rFonts w:cs="Arial"/>
                    </w:rPr>
                    <w:lastRenderedPageBreak/>
                    <w:t xml:space="preserve">development for secondary school age or mature students.  </w:t>
                  </w:r>
                </w:p>
              </w:tc>
              <w:tc>
                <w:tcPr>
                  <w:tcW w:w="1945" w:type="dxa"/>
                </w:tcPr>
                <w:p w14:paraId="4DEE818F" w14:textId="77777777" w:rsidR="00C512C7" w:rsidRPr="007B407C" w:rsidRDefault="00C512C7" w:rsidP="00C512C7">
                  <w:pPr>
                    <w:pStyle w:val="ListParagraph"/>
                    <w:ind w:left="0"/>
                    <w:jc w:val="center"/>
                    <w:rPr>
                      <w:rFonts w:cs="Arial"/>
                    </w:rPr>
                  </w:pPr>
                  <w:r w:rsidRPr="007B407C">
                    <w:rPr>
                      <w:rFonts w:cs="Arial"/>
                    </w:rPr>
                    <w:lastRenderedPageBreak/>
                    <w:t>20</w:t>
                  </w:r>
                </w:p>
              </w:tc>
            </w:tr>
            <w:tr w:rsidR="00C512C7" w:rsidRPr="007B407C" w14:paraId="57BE2C96" w14:textId="77777777" w:rsidTr="005B63F4">
              <w:trPr>
                <w:jc w:val="center"/>
              </w:trPr>
              <w:tc>
                <w:tcPr>
                  <w:tcW w:w="461" w:type="dxa"/>
                  <w:shd w:val="clear" w:color="auto" w:fill="0070C0"/>
                </w:tcPr>
                <w:p w14:paraId="1363D724" w14:textId="5E01DD5E" w:rsidR="00C512C7" w:rsidRPr="007B407C" w:rsidRDefault="00C512C7" w:rsidP="00C512C7">
                  <w:pPr>
                    <w:pStyle w:val="ListParagraph"/>
                    <w:ind w:left="0"/>
                    <w:rPr>
                      <w:rFonts w:cs="Arial"/>
                      <w:b/>
                      <w:color w:val="FFFFFF" w:themeColor="background1"/>
                    </w:rPr>
                  </w:pPr>
                </w:p>
              </w:tc>
              <w:tc>
                <w:tcPr>
                  <w:tcW w:w="6379" w:type="dxa"/>
                </w:tcPr>
                <w:p w14:paraId="784144A2" w14:textId="487DC663" w:rsidR="00C512C7" w:rsidRPr="007B407C" w:rsidRDefault="00C512C7" w:rsidP="00C512C7">
                  <w:pPr>
                    <w:pStyle w:val="ListParagraph"/>
                    <w:ind w:left="0"/>
                    <w:rPr>
                      <w:rFonts w:cs="Arial"/>
                    </w:rPr>
                  </w:pPr>
                  <w:r w:rsidRPr="007B407C">
                    <w:rPr>
                      <w:rFonts w:cs="Arial"/>
                    </w:rPr>
                    <w:t xml:space="preserve">At least one consultant/specialist has strong strategic planning, </w:t>
                  </w:r>
                  <w:proofErr w:type="spellStart"/>
                  <w:r w:rsidRPr="007B407C">
                    <w:rPr>
                      <w:rFonts w:cs="Arial"/>
                    </w:rPr>
                    <w:t>programme</w:t>
                  </w:r>
                  <w:proofErr w:type="spellEnd"/>
                  <w:r w:rsidRPr="007B407C">
                    <w:rPr>
                      <w:rFonts w:cs="Arial"/>
                    </w:rPr>
                    <w:t xml:space="preserve"> development and project management experience.</w:t>
                  </w:r>
                </w:p>
              </w:tc>
              <w:tc>
                <w:tcPr>
                  <w:tcW w:w="1945" w:type="dxa"/>
                </w:tcPr>
                <w:p w14:paraId="7AF302C5" w14:textId="1C30A633" w:rsidR="00C512C7" w:rsidRPr="007B407C" w:rsidRDefault="00C512C7" w:rsidP="00C512C7">
                  <w:pPr>
                    <w:pStyle w:val="ListParagraph"/>
                    <w:ind w:left="0"/>
                    <w:jc w:val="center"/>
                    <w:rPr>
                      <w:rFonts w:cs="Arial"/>
                    </w:rPr>
                  </w:pPr>
                  <w:r w:rsidRPr="007B407C">
                    <w:rPr>
                      <w:rFonts w:cs="Arial"/>
                    </w:rPr>
                    <w:t>5</w:t>
                  </w:r>
                </w:p>
              </w:tc>
            </w:tr>
            <w:tr w:rsidR="00C512C7" w:rsidRPr="007B407C" w14:paraId="03E39346" w14:textId="77777777" w:rsidTr="005B63F4">
              <w:trPr>
                <w:jc w:val="center"/>
              </w:trPr>
              <w:tc>
                <w:tcPr>
                  <w:tcW w:w="461" w:type="dxa"/>
                  <w:shd w:val="clear" w:color="auto" w:fill="0070C0"/>
                </w:tcPr>
                <w:p w14:paraId="35C15B6C" w14:textId="0AA13F35" w:rsidR="00C512C7" w:rsidRPr="007B407C" w:rsidRDefault="00C512C7" w:rsidP="00C512C7">
                  <w:pPr>
                    <w:pStyle w:val="ListParagraph"/>
                    <w:ind w:left="0"/>
                    <w:rPr>
                      <w:rFonts w:cs="Arial"/>
                      <w:b/>
                      <w:color w:val="FFFFFF" w:themeColor="background1"/>
                    </w:rPr>
                  </w:pPr>
                  <w:r>
                    <w:rPr>
                      <w:rFonts w:cs="Arial"/>
                      <w:b/>
                      <w:color w:val="FFFFFF" w:themeColor="background1"/>
                    </w:rPr>
                    <w:t>3</w:t>
                  </w:r>
                </w:p>
              </w:tc>
              <w:tc>
                <w:tcPr>
                  <w:tcW w:w="6379" w:type="dxa"/>
                </w:tcPr>
                <w:p w14:paraId="55DD0B69" w14:textId="38C77FF9" w:rsidR="00C512C7" w:rsidRPr="00C512C7" w:rsidRDefault="00C512C7" w:rsidP="00C512C7">
                  <w:pPr>
                    <w:pStyle w:val="ListParagraph"/>
                    <w:ind w:left="0"/>
                    <w:rPr>
                      <w:rFonts w:cs="Arial"/>
                      <w:b/>
                    </w:rPr>
                  </w:pPr>
                  <w:r w:rsidRPr="00C512C7">
                    <w:rPr>
                      <w:rFonts w:cs="Arial"/>
                      <w:b/>
                    </w:rPr>
                    <w:t xml:space="preserve">Proposed Methodology </w:t>
                  </w:r>
                </w:p>
              </w:tc>
              <w:tc>
                <w:tcPr>
                  <w:tcW w:w="1945" w:type="dxa"/>
                </w:tcPr>
                <w:p w14:paraId="1C0B986F" w14:textId="231D505C" w:rsidR="00C512C7" w:rsidRPr="007B407C" w:rsidRDefault="00C512C7" w:rsidP="00C512C7">
                  <w:pPr>
                    <w:pStyle w:val="ListParagraph"/>
                    <w:ind w:left="0"/>
                    <w:jc w:val="center"/>
                    <w:rPr>
                      <w:rFonts w:cs="Arial"/>
                    </w:rPr>
                  </w:pPr>
                </w:p>
              </w:tc>
            </w:tr>
            <w:tr w:rsidR="00C512C7" w:rsidRPr="007B407C" w14:paraId="1725F800" w14:textId="77777777" w:rsidTr="005B63F4">
              <w:trPr>
                <w:jc w:val="center"/>
              </w:trPr>
              <w:tc>
                <w:tcPr>
                  <w:tcW w:w="461" w:type="dxa"/>
                  <w:shd w:val="clear" w:color="auto" w:fill="0070C0"/>
                </w:tcPr>
                <w:p w14:paraId="4C9599B4" w14:textId="588554B6" w:rsidR="00C512C7" w:rsidRPr="007B407C" w:rsidRDefault="00C512C7" w:rsidP="00C512C7">
                  <w:pPr>
                    <w:pStyle w:val="ListParagraph"/>
                    <w:ind w:left="0"/>
                    <w:rPr>
                      <w:rFonts w:cs="Arial"/>
                      <w:b/>
                      <w:color w:val="FFFFFF" w:themeColor="background1"/>
                    </w:rPr>
                  </w:pPr>
                </w:p>
              </w:tc>
              <w:tc>
                <w:tcPr>
                  <w:tcW w:w="6379" w:type="dxa"/>
                </w:tcPr>
                <w:p w14:paraId="22366DDA" w14:textId="41194486" w:rsidR="00C512C7" w:rsidRPr="007B407C" w:rsidRDefault="00C512C7" w:rsidP="00C512C7">
                  <w:pPr>
                    <w:pStyle w:val="ListParagraph"/>
                    <w:ind w:left="0"/>
                    <w:rPr>
                      <w:rFonts w:cs="Arial"/>
                    </w:rPr>
                  </w:pPr>
                  <w:r>
                    <w:rPr>
                      <w:rFonts w:cs="Arial"/>
                    </w:rPr>
                    <w:t>Methodology</w:t>
                  </w:r>
                </w:p>
              </w:tc>
              <w:tc>
                <w:tcPr>
                  <w:tcW w:w="1945" w:type="dxa"/>
                </w:tcPr>
                <w:p w14:paraId="1D210769" w14:textId="5787303B" w:rsidR="00C512C7" w:rsidRPr="007B407C" w:rsidRDefault="00C512C7" w:rsidP="00C512C7">
                  <w:pPr>
                    <w:pStyle w:val="ListParagraph"/>
                    <w:ind w:left="0"/>
                    <w:jc w:val="center"/>
                    <w:rPr>
                      <w:rFonts w:cs="Arial"/>
                    </w:rPr>
                  </w:pPr>
                  <w:r>
                    <w:rPr>
                      <w:rFonts w:cs="Arial"/>
                    </w:rPr>
                    <w:t>10</w:t>
                  </w:r>
                </w:p>
              </w:tc>
            </w:tr>
            <w:tr w:rsidR="00C512C7" w:rsidRPr="007B407C" w14:paraId="7BC30902" w14:textId="77777777" w:rsidTr="005B63F4">
              <w:trPr>
                <w:jc w:val="center"/>
              </w:trPr>
              <w:tc>
                <w:tcPr>
                  <w:tcW w:w="6840" w:type="dxa"/>
                  <w:gridSpan w:val="2"/>
                  <w:shd w:val="clear" w:color="auto" w:fill="0070C0"/>
                </w:tcPr>
                <w:p w14:paraId="00A8987C" w14:textId="77777777" w:rsidR="00C512C7" w:rsidRPr="007B407C" w:rsidRDefault="00C512C7" w:rsidP="00C512C7">
                  <w:pPr>
                    <w:pStyle w:val="ListParagraph"/>
                    <w:ind w:left="0"/>
                    <w:rPr>
                      <w:rFonts w:cs="Arial"/>
                      <w:b/>
                      <w:i/>
                    </w:rPr>
                  </w:pPr>
                  <w:r w:rsidRPr="007B407C">
                    <w:rPr>
                      <w:rFonts w:cs="Arial"/>
                      <w:b/>
                      <w:i/>
                      <w:color w:val="FFFFFF" w:themeColor="background1"/>
                    </w:rPr>
                    <w:t xml:space="preserve">                                                                   Total</w:t>
                  </w:r>
                </w:p>
              </w:tc>
              <w:tc>
                <w:tcPr>
                  <w:tcW w:w="1945" w:type="dxa"/>
                  <w:shd w:val="clear" w:color="auto" w:fill="D9D9D9" w:themeFill="background1" w:themeFillShade="D9"/>
                </w:tcPr>
                <w:p w14:paraId="5EEE6C71" w14:textId="77777777" w:rsidR="00C512C7" w:rsidRPr="007B407C" w:rsidRDefault="00C512C7" w:rsidP="00C512C7">
                  <w:pPr>
                    <w:pStyle w:val="ListParagraph"/>
                    <w:ind w:left="0"/>
                    <w:jc w:val="center"/>
                    <w:rPr>
                      <w:rFonts w:cs="Arial"/>
                      <w:b/>
                      <w:i/>
                    </w:rPr>
                  </w:pPr>
                  <w:r w:rsidRPr="007B407C">
                    <w:rPr>
                      <w:rFonts w:cs="Arial"/>
                      <w:b/>
                      <w:i/>
                    </w:rPr>
                    <w:t>70</w:t>
                  </w:r>
                </w:p>
              </w:tc>
            </w:tr>
          </w:tbl>
          <w:p w14:paraId="7BA274AB" w14:textId="77777777" w:rsidR="006C41C9" w:rsidRDefault="006C41C9" w:rsidP="006C41C9">
            <w:pPr>
              <w:rPr>
                <w:b/>
              </w:rPr>
            </w:pPr>
          </w:p>
          <w:p w14:paraId="2262C8E5" w14:textId="77777777" w:rsidR="006C41C9" w:rsidRDefault="006C41C9" w:rsidP="006C41C9">
            <w:r w:rsidRPr="009F4488">
              <w:t>Only candidates obtaining a minimum of 49 points (70% of the total technical points) would be considered for the Financial Evaluation</w:t>
            </w:r>
            <w:r>
              <w:t>.</w:t>
            </w:r>
          </w:p>
          <w:p w14:paraId="42C1CDEF" w14:textId="77777777" w:rsidR="009D0092" w:rsidRPr="00E05A57" w:rsidRDefault="009D0092" w:rsidP="006C41C9">
            <w:pPr>
              <w:rPr>
                <w:sz w:val="10"/>
                <w:szCs w:val="10"/>
              </w:rPr>
            </w:pPr>
          </w:p>
          <w:p w14:paraId="29140597" w14:textId="77777777" w:rsidR="002165F8" w:rsidRPr="008E6897" w:rsidRDefault="002165F8" w:rsidP="002165F8">
            <w:pPr>
              <w:rPr>
                <w:b/>
                <w:sz w:val="10"/>
                <w:szCs w:val="10"/>
                <w:highlight w:val="yellow"/>
              </w:rPr>
            </w:pPr>
          </w:p>
          <w:p w14:paraId="00274CF9" w14:textId="77777777" w:rsidR="002165F8" w:rsidRDefault="006C41C9" w:rsidP="002165F8">
            <w:pPr>
              <w:rPr>
                <w:i/>
              </w:rPr>
            </w:pPr>
            <w:r>
              <w:rPr>
                <w:b/>
              </w:rPr>
              <w:t>Documentation required</w:t>
            </w:r>
          </w:p>
          <w:p w14:paraId="7EC09B22" w14:textId="77777777" w:rsidR="002165F8" w:rsidRDefault="002165F8" w:rsidP="002165F8">
            <w:pPr>
              <w:rPr>
                <w:b/>
              </w:rPr>
            </w:pPr>
            <w:r>
              <w:t>Interested individual consultants must submit the following documents/information to demonstrate their qualifications</w:t>
            </w:r>
            <w:r w:rsidR="006C41C9">
              <w:t xml:space="preserve">. Please group them into </w:t>
            </w:r>
            <w:r w:rsidR="006C41C9" w:rsidRPr="00A51602">
              <w:rPr>
                <w:b/>
                <w:highlight w:val="yellow"/>
                <w:u w:val="single"/>
              </w:rPr>
              <w:t>one (1)</w:t>
            </w:r>
            <w:r w:rsidRPr="00A51602">
              <w:rPr>
                <w:b/>
                <w:highlight w:val="yellow"/>
                <w:u w:val="single"/>
              </w:rPr>
              <w:t xml:space="preserve"> single PDF document</w:t>
            </w:r>
            <w:r w:rsidR="006C41C9" w:rsidRPr="006C41C9">
              <w:t xml:space="preserve"> as the application only allows to upload maximum one document:</w:t>
            </w:r>
          </w:p>
          <w:p w14:paraId="3E0C6DC6" w14:textId="77777777" w:rsidR="002165F8" w:rsidRDefault="002165F8" w:rsidP="009C5FF1">
            <w:pPr>
              <w:pStyle w:val="ListParagraph"/>
              <w:numPr>
                <w:ilvl w:val="0"/>
                <w:numId w:val="34"/>
              </w:numPr>
              <w:ind w:left="540"/>
            </w:pPr>
            <w:r w:rsidRPr="00EA2915">
              <w:rPr>
                <w:b/>
              </w:rPr>
              <w:t>Letter of Confirmation of Interest and Availability</w:t>
            </w:r>
            <w:r>
              <w:rPr>
                <w:b/>
              </w:rPr>
              <w:t xml:space="preserve"> </w:t>
            </w:r>
            <w:r w:rsidR="009C5FF1">
              <w:t xml:space="preserve">using the template provided in </w:t>
            </w:r>
            <w:r w:rsidR="006C41C9">
              <w:t>Annex II.</w:t>
            </w:r>
          </w:p>
          <w:p w14:paraId="7DDC27E8" w14:textId="77777777" w:rsidR="002165F8" w:rsidRDefault="002165F8" w:rsidP="009C5FF1">
            <w:pPr>
              <w:pStyle w:val="ListParagraph"/>
              <w:numPr>
                <w:ilvl w:val="0"/>
                <w:numId w:val="34"/>
              </w:numPr>
              <w:ind w:left="540"/>
            </w:pPr>
            <w:r w:rsidRPr="00EA2915">
              <w:rPr>
                <w:b/>
              </w:rPr>
              <w:t xml:space="preserve">Personal CV or </w:t>
            </w:r>
            <w:hyperlink r:id="rId12" w:history="1">
              <w:r w:rsidRPr="00F3274E">
                <w:rPr>
                  <w:rStyle w:val="Hyperlink"/>
                  <w:b/>
                </w:rPr>
                <w:t>P11</w:t>
              </w:r>
            </w:hyperlink>
            <w:r w:rsidRPr="00EA2915">
              <w:t>, indicating all past experience from similar projects, as well as the contact details (email and telephone number) of the Candidate and</w:t>
            </w:r>
            <w:r>
              <w:t xml:space="preserve"> </w:t>
            </w:r>
            <w:r w:rsidRPr="00EA2915">
              <w:t>at least three (3) professional references</w:t>
            </w:r>
            <w:r>
              <w:t>.</w:t>
            </w:r>
          </w:p>
          <w:p w14:paraId="01F3ED77" w14:textId="6DED51E5" w:rsidR="002165F8" w:rsidRPr="009C5FF1" w:rsidRDefault="009C5FF1" w:rsidP="009C5FF1">
            <w:pPr>
              <w:pStyle w:val="ListParagraph"/>
              <w:numPr>
                <w:ilvl w:val="0"/>
                <w:numId w:val="34"/>
              </w:numPr>
              <w:ind w:left="540"/>
              <w:rPr>
                <w:b/>
              </w:rPr>
            </w:pPr>
            <w:r w:rsidRPr="009C5FF1">
              <w:rPr>
                <w:b/>
              </w:rPr>
              <w:t>Technical proposal</w:t>
            </w:r>
            <w:r w:rsidRPr="009C5FF1">
              <w:t>, including a) a b</w:t>
            </w:r>
            <w:r w:rsidR="002165F8" w:rsidRPr="009C5FF1">
              <w:t>rief description of why the individual considers him/herself as the most suitable for the assignment</w:t>
            </w:r>
            <w:r w:rsidRPr="009C5FF1">
              <w:t>; and b) a</w:t>
            </w:r>
            <w:r w:rsidR="002165F8" w:rsidRPr="009C5FF1">
              <w:t xml:space="preserve"> methodology, on how they will approach and complete the assignment. </w:t>
            </w:r>
          </w:p>
          <w:p w14:paraId="05E99D37" w14:textId="0141F5EE" w:rsidR="002165F8" w:rsidRPr="009D0092" w:rsidRDefault="002165F8" w:rsidP="009C5FF1">
            <w:pPr>
              <w:pStyle w:val="ListParagraph"/>
              <w:numPr>
                <w:ilvl w:val="0"/>
                <w:numId w:val="34"/>
              </w:numPr>
              <w:ind w:left="540"/>
            </w:pPr>
            <w:r w:rsidRPr="009D0092">
              <w:rPr>
                <w:b/>
              </w:rPr>
              <w:t>Financial proposal</w:t>
            </w:r>
            <w:r w:rsidR="009D0092" w:rsidRPr="009D0092">
              <w:t>, as per template provided in Annex II</w:t>
            </w:r>
            <w:r w:rsidR="009C5FF1">
              <w:t>. Note: National consultants mu</w:t>
            </w:r>
            <w:r w:rsidR="0059598E">
              <w:t>st quote prices in United States Dollars (USD)</w:t>
            </w:r>
            <w:r w:rsidR="009C5FF1">
              <w:t>.</w:t>
            </w:r>
          </w:p>
          <w:p w14:paraId="6E40F62F" w14:textId="77777777" w:rsidR="004D6E73" w:rsidRPr="00E05A57" w:rsidRDefault="004D6E73" w:rsidP="002165F8">
            <w:pPr>
              <w:spacing w:line="288" w:lineRule="auto"/>
              <w:jc w:val="both"/>
              <w:rPr>
                <w:sz w:val="10"/>
                <w:szCs w:val="10"/>
              </w:rPr>
            </w:pPr>
          </w:p>
          <w:p w14:paraId="46ADB577" w14:textId="77777777" w:rsidR="00DE5268" w:rsidRDefault="00DE5268" w:rsidP="00DE5268">
            <w:pPr>
              <w:jc w:val="both"/>
              <w:rPr>
                <w:rFonts w:ascii="Times New Roman" w:hAnsi="Times New Roman" w:cs="Times New Roman"/>
                <w:b/>
              </w:rPr>
            </w:pPr>
          </w:p>
          <w:p w14:paraId="3A0963E3" w14:textId="5BDCF4F1" w:rsidR="00DE5268" w:rsidRPr="00791913" w:rsidRDefault="00DE5268" w:rsidP="00DE5268">
            <w:pPr>
              <w:jc w:val="both"/>
              <w:rPr>
                <w:rFonts w:cs="Times New Roman"/>
                <w:b/>
              </w:rPr>
            </w:pPr>
            <w:r w:rsidRPr="00791913">
              <w:rPr>
                <w:rFonts w:cs="Times New Roman"/>
                <w:b/>
              </w:rPr>
              <w:t>Proposal Submission</w:t>
            </w:r>
          </w:p>
          <w:p w14:paraId="1549E0B2" w14:textId="5E1F7202" w:rsidR="00DE5268" w:rsidRPr="00791913" w:rsidRDefault="00DE5268" w:rsidP="00DE5268">
            <w:pPr>
              <w:suppressAutoHyphens/>
              <w:jc w:val="both"/>
              <w:rPr>
                <w:rFonts w:cs="Times New Roman"/>
                <w:i/>
                <w:lang w:val="nb-NO"/>
              </w:rPr>
            </w:pPr>
            <w:r w:rsidRPr="00791913">
              <w:rPr>
                <w:rFonts w:cs="Times New Roman"/>
              </w:rPr>
              <w:t xml:space="preserve">All applications must be clearly marked with the title of the consultancy and submitted by </w:t>
            </w:r>
            <w:r w:rsidRPr="00791913">
              <w:rPr>
                <w:rFonts w:cs="Times New Roman"/>
                <w:b/>
              </w:rPr>
              <w:t xml:space="preserve">5.00pm, </w:t>
            </w:r>
            <w:r w:rsidR="002734C6">
              <w:rPr>
                <w:rFonts w:cs="Times New Roman"/>
                <w:b/>
              </w:rPr>
              <w:t>10</w:t>
            </w:r>
            <w:r w:rsidR="002734C6" w:rsidRPr="002734C6">
              <w:rPr>
                <w:rFonts w:cs="Times New Roman"/>
                <w:b/>
                <w:vertAlign w:val="superscript"/>
              </w:rPr>
              <w:t>th</w:t>
            </w:r>
            <w:r w:rsidR="002734C6">
              <w:rPr>
                <w:rFonts w:cs="Times New Roman"/>
                <w:b/>
              </w:rPr>
              <w:t xml:space="preserve"> </w:t>
            </w:r>
            <w:r w:rsidR="009831EF">
              <w:rPr>
                <w:rFonts w:cs="Times New Roman"/>
                <w:b/>
              </w:rPr>
              <w:t xml:space="preserve"> June</w:t>
            </w:r>
            <w:r w:rsidRPr="00791913">
              <w:rPr>
                <w:rFonts w:cs="Times New Roman"/>
                <w:b/>
              </w:rPr>
              <w:t xml:space="preserve"> 2019</w:t>
            </w:r>
            <w:r w:rsidRPr="00791913">
              <w:rPr>
                <w:rFonts w:cs="Times New Roman"/>
              </w:rPr>
              <w:t xml:space="preserve"> (Fiji Time) electronically to </w:t>
            </w:r>
            <w:hyperlink r:id="rId13" w:history="1">
              <w:r w:rsidRPr="00791913">
                <w:rPr>
                  <w:rStyle w:val="Hyperlink"/>
                  <w:rFonts w:cs="Times New Roman"/>
                </w:rPr>
                <w:t>etenderbox.pacific@undp.org</w:t>
              </w:r>
            </w:hyperlink>
            <w:r w:rsidRPr="00791913">
              <w:rPr>
                <w:rFonts w:cs="Times New Roman"/>
              </w:rPr>
              <w:t xml:space="preserve"> </w:t>
            </w:r>
            <w:r w:rsidRPr="00791913">
              <w:rPr>
                <w:rFonts w:cs="Times New Roman"/>
                <w:i/>
                <w:lang w:val="nb-NO"/>
              </w:rPr>
              <w:t>.</w:t>
            </w:r>
          </w:p>
          <w:p w14:paraId="4E3DCF5A" w14:textId="77777777" w:rsidR="00DE5268" w:rsidRPr="00791913" w:rsidRDefault="00DE5268" w:rsidP="00DE5268">
            <w:pPr>
              <w:suppressAutoHyphens/>
              <w:jc w:val="both"/>
              <w:rPr>
                <w:rFonts w:cs="Times New Roman"/>
              </w:rPr>
            </w:pPr>
          </w:p>
          <w:p w14:paraId="2EBA2BC0" w14:textId="77777777" w:rsidR="00443E94" w:rsidRPr="00791913" w:rsidRDefault="00DE5268" w:rsidP="00DE5268">
            <w:pPr>
              <w:rPr>
                <w:rStyle w:val="Hyperlink"/>
                <w:rFonts w:cs="Times New Roman"/>
              </w:rPr>
            </w:pPr>
            <w:r w:rsidRPr="00791913">
              <w:rPr>
                <w:rFonts w:cs="Times New Roman"/>
              </w:rPr>
              <w:t xml:space="preserve">For further information concerning this Terms of Reference, please contact </w:t>
            </w:r>
            <w:r w:rsidRPr="00791913">
              <w:rPr>
                <w:rFonts w:cs="Times New Roman"/>
                <w:b/>
              </w:rPr>
              <w:t>Abigail Chang</w:t>
            </w:r>
            <w:r w:rsidRPr="00791913">
              <w:rPr>
                <w:rFonts w:cs="Times New Roman"/>
              </w:rPr>
              <w:t xml:space="preserve">, Regional G2P/P2G &amp; </w:t>
            </w:r>
            <w:proofErr w:type="spellStart"/>
            <w:r w:rsidRPr="00791913">
              <w:rPr>
                <w:rFonts w:cs="Times New Roman"/>
              </w:rPr>
              <w:t>FinEd</w:t>
            </w:r>
            <w:proofErr w:type="spellEnd"/>
            <w:r w:rsidRPr="00791913">
              <w:rPr>
                <w:rFonts w:cs="Times New Roman"/>
              </w:rPr>
              <w:t xml:space="preserve"> Technical Specialist - PFIP, UNDP Pacific Office on email </w:t>
            </w:r>
            <w:hyperlink r:id="rId14" w:history="1">
              <w:r w:rsidRPr="00791913">
                <w:rPr>
                  <w:rStyle w:val="Hyperlink"/>
                  <w:rFonts w:cs="Times New Roman"/>
                </w:rPr>
                <w:t>abigail.chang@undp.org</w:t>
              </w:r>
            </w:hyperlink>
          </w:p>
          <w:p w14:paraId="5C31AAC3" w14:textId="77777777" w:rsidR="00DE5268" w:rsidRPr="00791913" w:rsidRDefault="00DE5268" w:rsidP="00DE5268">
            <w:pPr>
              <w:rPr>
                <w:rFonts w:ascii="Calibri" w:hAnsi="Calibri" w:cs="Arial"/>
                <w:u w:val="single"/>
              </w:rPr>
            </w:pPr>
          </w:p>
          <w:p w14:paraId="7870D9D9" w14:textId="77777777" w:rsidR="00DE5268" w:rsidRDefault="00DE5268" w:rsidP="00DE5268">
            <w:pPr>
              <w:spacing w:line="288" w:lineRule="auto"/>
              <w:jc w:val="both"/>
              <w:rPr>
                <w:rFonts w:ascii="Calibri" w:hAnsi="Calibri" w:cs="Arial"/>
                <w:sz w:val="20"/>
                <w:szCs w:val="20"/>
              </w:rPr>
            </w:pPr>
            <w:r w:rsidRPr="00791913">
              <w:t>Incomplete proposals may not be considered.</w:t>
            </w:r>
          </w:p>
          <w:p w14:paraId="7BA4F78E" w14:textId="372D3406" w:rsidR="00DE5268" w:rsidRPr="0065710B" w:rsidRDefault="00DE5268" w:rsidP="00DE5268">
            <w:pPr>
              <w:rPr>
                <w:rFonts w:ascii="Calibri" w:hAnsi="Calibri" w:cs="Arial"/>
                <w:u w:val="single"/>
              </w:rPr>
            </w:pPr>
          </w:p>
        </w:tc>
      </w:tr>
    </w:tbl>
    <w:p w14:paraId="34C1F470" w14:textId="77777777" w:rsidR="00845D55" w:rsidRDefault="00845D55" w:rsidP="009C5FF1">
      <w:pPr>
        <w:spacing w:after="60"/>
        <w:rPr>
          <w:b/>
        </w:rPr>
      </w:pPr>
    </w:p>
    <w:sectPr w:rsidR="00845D55" w:rsidSect="00443E94">
      <w:footerReference w:type="default" r:id="rId15"/>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69ABF" w14:textId="77777777" w:rsidR="00327F09" w:rsidRDefault="00327F09" w:rsidP="00A24134">
      <w:pPr>
        <w:spacing w:after="0" w:line="240" w:lineRule="auto"/>
      </w:pPr>
      <w:r>
        <w:separator/>
      </w:r>
    </w:p>
  </w:endnote>
  <w:endnote w:type="continuationSeparator" w:id="0">
    <w:p w14:paraId="03FFAE9C" w14:textId="77777777" w:rsidR="00327F09" w:rsidRDefault="00327F09"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750509"/>
      <w:docPartObj>
        <w:docPartGallery w:val="Page Numbers (Bottom of Page)"/>
        <w:docPartUnique/>
      </w:docPartObj>
    </w:sdtPr>
    <w:sdtEndPr>
      <w:rPr>
        <w:noProof/>
      </w:rPr>
    </w:sdtEndPr>
    <w:sdtContent>
      <w:p w14:paraId="110474E2" w14:textId="77777777" w:rsidR="00F93118" w:rsidRDefault="00F93118">
        <w:pPr>
          <w:pStyle w:val="Footer"/>
          <w:jc w:val="right"/>
        </w:pPr>
        <w:r>
          <w:fldChar w:fldCharType="begin"/>
        </w:r>
        <w:r>
          <w:instrText xml:space="preserve"> PAGE   \* MERGEFORMAT </w:instrText>
        </w:r>
        <w:r>
          <w:fldChar w:fldCharType="separate"/>
        </w:r>
        <w:r w:rsidR="00A1337C">
          <w:rPr>
            <w:noProof/>
          </w:rPr>
          <w:t>9</w:t>
        </w:r>
        <w:r>
          <w:rPr>
            <w:noProof/>
          </w:rPr>
          <w:fldChar w:fldCharType="end"/>
        </w:r>
      </w:p>
    </w:sdtContent>
  </w:sdt>
  <w:p w14:paraId="7304ADA2" w14:textId="77777777" w:rsidR="00F93118" w:rsidRDefault="00F93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A9DEE" w14:textId="77777777" w:rsidR="00327F09" w:rsidRDefault="00327F09" w:rsidP="00A24134">
      <w:pPr>
        <w:spacing w:after="0" w:line="240" w:lineRule="auto"/>
      </w:pPr>
      <w:r>
        <w:separator/>
      </w:r>
    </w:p>
  </w:footnote>
  <w:footnote w:type="continuationSeparator" w:id="0">
    <w:p w14:paraId="24ED9BE4" w14:textId="77777777" w:rsidR="00327F09" w:rsidRDefault="00327F09" w:rsidP="00A24134">
      <w:pPr>
        <w:spacing w:after="0" w:line="240" w:lineRule="auto"/>
      </w:pPr>
      <w:r>
        <w:continuationSeparator/>
      </w:r>
    </w:p>
  </w:footnote>
  <w:footnote w:id="1">
    <w:p w14:paraId="2B04AE02" w14:textId="77777777" w:rsidR="001653DE" w:rsidRPr="00850CB5" w:rsidRDefault="001653DE" w:rsidP="001653DE">
      <w:pPr>
        <w:pStyle w:val="FootnoteText"/>
        <w:rPr>
          <w:sz w:val="16"/>
          <w:szCs w:val="16"/>
        </w:rPr>
      </w:pPr>
      <w:r w:rsidRPr="00850CB5">
        <w:rPr>
          <w:rStyle w:val="FootnoteReference"/>
          <w:sz w:val="16"/>
          <w:szCs w:val="16"/>
        </w:rPr>
        <w:footnoteRef/>
      </w:r>
      <w:r w:rsidRPr="00850CB5">
        <w:rPr>
          <w:sz w:val="16"/>
          <w:szCs w:val="16"/>
        </w:rPr>
        <w:t xml:space="preserve"> PFIP and </w:t>
      </w:r>
      <w:r>
        <w:rPr>
          <w:sz w:val="16"/>
          <w:szCs w:val="16"/>
        </w:rPr>
        <w:t>CBS</w:t>
      </w:r>
      <w:r w:rsidRPr="00850CB5">
        <w:rPr>
          <w:sz w:val="16"/>
          <w:szCs w:val="16"/>
        </w:rPr>
        <w:t xml:space="preserve">, 2013, </w:t>
      </w:r>
      <w:r>
        <w:rPr>
          <w:i/>
          <w:sz w:val="16"/>
          <w:szCs w:val="16"/>
        </w:rPr>
        <w:t>Samoa</w:t>
      </w:r>
      <w:r w:rsidRPr="004A01CE">
        <w:rPr>
          <w:i/>
          <w:sz w:val="16"/>
          <w:szCs w:val="16"/>
        </w:rPr>
        <w:t xml:space="preserve"> Financial Competency Survey Report</w:t>
      </w:r>
      <w:r w:rsidRPr="00850CB5">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3in;height:3in" o:bullet="t"/>
    </w:pict>
  </w:numPicBullet>
  <w:numPicBullet w:numPicBulletId="1">
    <w:pict>
      <v:shape id="_x0000_i1077" type="#_x0000_t75" style="width:3in;height:3in" o:bullet="t"/>
    </w:pict>
  </w:numPicBullet>
  <w:numPicBullet w:numPicBulletId="2">
    <w:pict>
      <v:shape id="_x0000_i1078" type="#_x0000_t75" style="width:6.6pt;height:6.6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9501BD"/>
    <w:multiLevelType w:val="hybridMultilevel"/>
    <w:tmpl w:val="DFBA7558"/>
    <w:lvl w:ilvl="0" w:tplc="3B26AA90">
      <w:start w:val="1"/>
      <w:numFmt w:val="lowerRoman"/>
      <w:lvlText w:val="%1)"/>
      <w:lvlJc w:val="left"/>
      <w:pPr>
        <w:ind w:left="1980" w:hanging="360"/>
      </w:pPr>
      <w:rPr>
        <w:rFonts w:hint="default"/>
        <w:color w:val="auto"/>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3" w15:restartNumberingAfterBreak="0">
    <w:nsid w:val="05D55CB6"/>
    <w:multiLevelType w:val="hybridMultilevel"/>
    <w:tmpl w:val="15827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F9062F"/>
    <w:multiLevelType w:val="hybridMultilevel"/>
    <w:tmpl w:val="CB82D2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F1014"/>
    <w:multiLevelType w:val="hybridMultilevel"/>
    <w:tmpl w:val="70A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60CCA"/>
    <w:multiLevelType w:val="hybridMultilevel"/>
    <w:tmpl w:val="86E2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C61DD"/>
    <w:multiLevelType w:val="hybridMultilevel"/>
    <w:tmpl w:val="36B89A3E"/>
    <w:lvl w:ilvl="0" w:tplc="8764A1C0">
      <w:start w:val="1"/>
      <w:numFmt w:val="lowerLetter"/>
      <w:lvlText w:val="%1)"/>
      <w:lvlJc w:val="left"/>
      <w:pPr>
        <w:ind w:left="1170" w:hanging="360"/>
      </w:pPr>
      <w:rPr>
        <w:rFonts w:hint="default"/>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8" w15:restartNumberingAfterBreak="0">
    <w:nsid w:val="120C1759"/>
    <w:multiLevelType w:val="hybridMultilevel"/>
    <w:tmpl w:val="B48A94A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 w15:restartNumberingAfterBreak="0">
    <w:nsid w:val="128C292F"/>
    <w:multiLevelType w:val="hybridMultilevel"/>
    <w:tmpl w:val="47DC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B73D80"/>
    <w:multiLevelType w:val="hybridMultilevel"/>
    <w:tmpl w:val="0D2A63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3807FD"/>
    <w:multiLevelType w:val="hybridMultilevel"/>
    <w:tmpl w:val="636A4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4C7E16"/>
    <w:multiLevelType w:val="hybridMultilevel"/>
    <w:tmpl w:val="C206E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4"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4E65B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16" w15:restartNumberingAfterBreak="0">
    <w:nsid w:val="1E916346"/>
    <w:multiLevelType w:val="hybridMultilevel"/>
    <w:tmpl w:val="7AFA4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DC5209"/>
    <w:multiLevelType w:val="hybridMultilevel"/>
    <w:tmpl w:val="C832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732C84"/>
    <w:multiLevelType w:val="hybridMultilevel"/>
    <w:tmpl w:val="6EE8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DF688C"/>
    <w:multiLevelType w:val="hybridMultilevel"/>
    <w:tmpl w:val="2FBC9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E01339"/>
    <w:multiLevelType w:val="hybridMultilevel"/>
    <w:tmpl w:val="3C60C2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BD2B1A"/>
    <w:multiLevelType w:val="hybridMultilevel"/>
    <w:tmpl w:val="8E2009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1B4FB4"/>
    <w:multiLevelType w:val="hybridMultilevel"/>
    <w:tmpl w:val="FC76FF00"/>
    <w:lvl w:ilvl="0" w:tplc="4E0A3316">
      <w:start w:val="1"/>
      <w:numFmt w:val="lowerRoman"/>
      <w:lvlText w:val="%1)"/>
      <w:lvlJc w:val="left"/>
      <w:pPr>
        <w:ind w:left="1620" w:hanging="360"/>
      </w:pPr>
      <w:rPr>
        <w:rFonts w:hint="default"/>
        <w:color w:val="FF0000"/>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25" w15:restartNumberingAfterBreak="0">
    <w:nsid w:val="420F002F"/>
    <w:multiLevelType w:val="hybridMultilevel"/>
    <w:tmpl w:val="F56CC886"/>
    <w:lvl w:ilvl="0" w:tplc="34090017">
      <w:start w:val="1"/>
      <w:numFmt w:val="lowerLetter"/>
      <w:lvlText w:val="%1)"/>
      <w:lvlJc w:val="left"/>
      <w:pPr>
        <w:ind w:left="-1565" w:hanging="360"/>
      </w:pPr>
      <w:rPr>
        <w:rFonts w:hint="default"/>
      </w:rPr>
    </w:lvl>
    <w:lvl w:ilvl="1" w:tplc="34090003" w:tentative="1">
      <w:start w:val="1"/>
      <w:numFmt w:val="bullet"/>
      <w:lvlText w:val="o"/>
      <w:lvlJc w:val="left"/>
      <w:pPr>
        <w:ind w:left="-845" w:hanging="360"/>
      </w:pPr>
      <w:rPr>
        <w:rFonts w:ascii="Courier New" w:hAnsi="Courier New" w:cs="Courier New" w:hint="default"/>
      </w:rPr>
    </w:lvl>
    <w:lvl w:ilvl="2" w:tplc="34090005" w:tentative="1">
      <w:start w:val="1"/>
      <w:numFmt w:val="bullet"/>
      <w:lvlText w:val=""/>
      <w:lvlJc w:val="left"/>
      <w:pPr>
        <w:ind w:left="-125" w:hanging="360"/>
      </w:pPr>
      <w:rPr>
        <w:rFonts w:ascii="Wingdings" w:hAnsi="Wingdings" w:hint="default"/>
      </w:rPr>
    </w:lvl>
    <w:lvl w:ilvl="3" w:tplc="34090001" w:tentative="1">
      <w:start w:val="1"/>
      <w:numFmt w:val="bullet"/>
      <w:lvlText w:val=""/>
      <w:lvlJc w:val="left"/>
      <w:pPr>
        <w:ind w:left="595" w:hanging="360"/>
      </w:pPr>
      <w:rPr>
        <w:rFonts w:ascii="Symbol" w:hAnsi="Symbol" w:hint="default"/>
      </w:rPr>
    </w:lvl>
    <w:lvl w:ilvl="4" w:tplc="34090003" w:tentative="1">
      <w:start w:val="1"/>
      <w:numFmt w:val="bullet"/>
      <w:lvlText w:val="o"/>
      <w:lvlJc w:val="left"/>
      <w:pPr>
        <w:ind w:left="1315" w:hanging="360"/>
      </w:pPr>
      <w:rPr>
        <w:rFonts w:ascii="Courier New" w:hAnsi="Courier New" w:cs="Courier New" w:hint="default"/>
      </w:rPr>
    </w:lvl>
    <w:lvl w:ilvl="5" w:tplc="34090005" w:tentative="1">
      <w:start w:val="1"/>
      <w:numFmt w:val="bullet"/>
      <w:lvlText w:val=""/>
      <w:lvlJc w:val="left"/>
      <w:pPr>
        <w:ind w:left="2035" w:hanging="360"/>
      </w:pPr>
      <w:rPr>
        <w:rFonts w:ascii="Wingdings" w:hAnsi="Wingdings" w:hint="default"/>
      </w:rPr>
    </w:lvl>
    <w:lvl w:ilvl="6" w:tplc="34090001" w:tentative="1">
      <w:start w:val="1"/>
      <w:numFmt w:val="bullet"/>
      <w:lvlText w:val=""/>
      <w:lvlJc w:val="left"/>
      <w:pPr>
        <w:ind w:left="2755" w:hanging="360"/>
      </w:pPr>
      <w:rPr>
        <w:rFonts w:ascii="Symbol" w:hAnsi="Symbol" w:hint="default"/>
      </w:rPr>
    </w:lvl>
    <w:lvl w:ilvl="7" w:tplc="34090003" w:tentative="1">
      <w:start w:val="1"/>
      <w:numFmt w:val="bullet"/>
      <w:lvlText w:val="o"/>
      <w:lvlJc w:val="left"/>
      <w:pPr>
        <w:ind w:left="3475" w:hanging="360"/>
      </w:pPr>
      <w:rPr>
        <w:rFonts w:ascii="Courier New" w:hAnsi="Courier New" w:cs="Courier New" w:hint="default"/>
      </w:rPr>
    </w:lvl>
    <w:lvl w:ilvl="8" w:tplc="34090005" w:tentative="1">
      <w:start w:val="1"/>
      <w:numFmt w:val="bullet"/>
      <w:lvlText w:val=""/>
      <w:lvlJc w:val="left"/>
      <w:pPr>
        <w:ind w:left="4195" w:hanging="360"/>
      </w:pPr>
      <w:rPr>
        <w:rFonts w:ascii="Wingdings" w:hAnsi="Wingdings" w:hint="default"/>
      </w:rPr>
    </w:lvl>
  </w:abstractNum>
  <w:abstractNum w:abstractNumId="26" w15:restartNumberingAfterBreak="0">
    <w:nsid w:val="4419333C"/>
    <w:multiLevelType w:val="hybridMultilevel"/>
    <w:tmpl w:val="99CCB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B31E09"/>
    <w:multiLevelType w:val="hybridMultilevel"/>
    <w:tmpl w:val="E55C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3A14DC"/>
    <w:multiLevelType w:val="hybridMultilevel"/>
    <w:tmpl w:val="C8B428EE"/>
    <w:lvl w:ilvl="0" w:tplc="3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1540ED"/>
    <w:multiLevelType w:val="hybridMultilevel"/>
    <w:tmpl w:val="172C3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F120DD"/>
    <w:multiLevelType w:val="hybridMultilevel"/>
    <w:tmpl w:val="CF5C7A00"/>
    <w:lvl w:ilvl="0" w:tplc="3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5FE2BAC"/>
    <w:multiLevelType w:val="hybridMultilevel"/>
    <w:tmpl w:val="B3A8A9EE"/>
    <w:lvl w:ilvl="0" w:tplc="34090017">
      <w:start w:val="1"/>
      <w:numFmt w:val="lowerLetter"/>
      <w:lvlText w:val="%1)"/>
      <w:lvlJc w:val="left"/>
      <w:pPr>
        <w:tabs>
          <w:tab w:val="num" w:pos="1080"/>
        </w:tabs>
        <w:ind w:left="1080" w:hanging="360"/>
      </w:pPr>
      <w:rPr>
        <w:rFonts w:hint="default"/>
      </w:rPr>
    </w:lvl>
    <w:lvl w:ilvl="1" w:tplc="B1EAE664">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6024D7C"/>
    <w:multiLevelType w:val="hybridMultilevel"/>
    <w:tmpl w:val="9A089E78"/>
    <w:lvl w:ilvl="0" w:tplc="04090001">
      <w:start w:val="1"/>
      <w:numFmt w:val="bullet"/>
      <w:lvlText w:val=""/>
      <w:lvlJc w:val="left"/>
      <w:pPr>
        <w:ind w:left="76" w:hanging="360"/>
      </w:pPr>
      <w:rPr>
        <w:rFonts w:ascii="Symbol" w:hAnsi="Symbol" w:hint="default"/>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33"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2559AC"/>
    <w:multiLevelType w:val="hybridMultilevel"/>
    <w:tmpl w:val="B81A34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CC0C7E"/>
    <w:multiLevelType w:val="hybridMultilevel"/>
    <w:tmpl w:val="F56CC886"/>
    <w:lvl w:ilvl="0" w:tplc="34090017">
      <w:start w:val="1"/>
      <w:numFmt w:val="lowerLetter"/>
      <w:lvlText w:val="%1)"/>
      <w:lvlJc w:val="left"/>
      <w:pPr>
        <w:ind w:left="76" w:hanging="360"/>
      </w:pPr>
      <w:rPr>
        <w:rFonts w:hint="default"/>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37" w15:restartNumberingAfterBreak="0">
    <w:nsid w:val="61DC0E4E"/>
    <w:multiLevelType w:val="hybridMultilevel"/>
    <w:tmpl w:val="CF5C7A00"/>
    <w:lvl w:ilvl="0" w:tplc="3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31E4B6D"/>
    <w:multiLevelType w:val="hybridMultilevel"/>
    <w:tmpl w:val="D852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CA6E6C"/>
    <w:multiLevelType w:val="hybridMultilevel"/>
    <w:tmpl w:val="6C0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3" w15:restartNumberingAfterBreak="0">
    <w:nsid w:val="7C866480"/>
    <w:multiLevelType w:val="hybridMultilevel"/>
    <w:tmpl w:val="449699E8"/>
    <w:lvl w:ilvl="0" w:tplc="04090001">
      <w:start w:val="1"/>
      <w:numFmt w:val="bullet"/>
      <w:lvlText w:val=""/>
      <w:lvlJc w:val="left"/>
      <w:pPr>
        <w:ind w:left="76" w:hanging="360"/>
      </w:pPr>
      <w:rPr>
        <w:rFonts w:ascii="Symbol" w:hAnsi="Symbol" w:hint="default"/>
        <w:color w:val="auto"/>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44" w15:restartNumberingAfterBreak="0">
    <w:nsid w:val="7CFD4528"/>
    <w:multiLevelType w:val="hybridMultilevel"/>
    <w:tmpl w:val="F56CC886"/>
    <w:lvl w:ilvl="0" w:tplc="34090017">
      <w:start w:val="1"/>
      <w:numFmt w:val="lowerLetter"/>
      <w:lvlText w:val="%1)"/>
      <w:lvlJc w:val="left"/>
      <w:pPr>
        <w:ind w:left="-1565" w:hanging="360"/>
      </w:pPr>
      <w:rPr>
        <w:rFonts w:hint="default"/>
      </w:rPr>
    </w:lvl>
    <w:lvl w:ilvl="1" w:tplc="34090003" w:tentative="1">
      <w:start w:val="1"/>
      <w:numFmt w:val="bullet"/>
      <w:lvlText w:val="o"/>
      <w:lvlJc w:val="left"/>
      <w:pPr>
        <w:ind w:left="-845" w:hanging="360"/>
      </w:pPr>
      <w:rPr>
        <w:rFonts w:ascii="Courier New" w:hAnsi="Courier New" w:cs="Courier New" w:hint="default"/>
      </w:rPr>
    </w:lvl>
    <w:lvl w:ilvl="2" w:tplc="34090005" w:tentative="1">
      <w:start w:val="1"/>
      <w:numFmt w:val="bullet"/>
      <w:lvlText w:val=""/>
      <w:lvlJc w:val="left"/>
      <w:pPr>
        <w:ind w:left="-125" w:hanging="360"/>
      </w:pPr>
      <w:rPr>
        <w:rFonts w:ascii="Wingdings" w:hAnsi="Wingdings" w:hint="default"/>
      </w:rPr>
    </w:lvl>
    <w:lvl w:ilvl="3" w:tplc="34090001" w:tentative="1">
      <w:start w:val="1"/>
      <w:numFmt w:val="bullet"/>
      <w:lvlText w:val=""/>
      <w:lvlJc w:val="left"/>
      <w:pPr>
        <w:ind w:left="595" w:hanging="360"/>
      </w:pPr>
      <w:rPr>
        <w:rFonts w:ascii="Symbol" w:hAnsi="Symbol" w:hint="default"/>
      </w:rPr>
    </w:lvl>
    <w:lvl w:ilvl="4" w:tplc="34090003" w:tentative="1">
      <w:start w:val="1"/>
      <w:numFmt w:val="bullet"/>
      <w:lvlText w:val="o"/>
      <w:lvlJc w:val="left"/>
      <w:pPr>
        <w:ind w:left="1315" w:hanging="360"/>
      </w:pPr>
      <w:rPr>
        <w:rFonts w:ascii="Courier New" w:hAnsi="Courier New" w:cs="Courier New" w:hint="default"/>
      </w:rPr>
    </w:lvl>
    <w:lvl w:ilvl="5" w:tplc="34090005" w:tentative="1">
      <w:start w:val="1"/>
      <w:numFmt w:val="bullet"/>
      <w:lvlText w:val=""/>
      <w:lvlJc w:val="left"/>
      <w:pPr>
        <w:ind w:left="2035" w:hanging="360"/>
      </w:pPr>
      <w:rPr>
        <w:rFonts w:ascii="Wingdings" w:hAnsi="Wingdings" w:hint="default"/>
      </w:rPr>
    </w:lvl>
    <w:lvl w:ilvl="6" w:tplc="34090001" w:tentative="1">
      <w:start w:val="1"/>
      <w:numFmt w:val="bullet"/>
      <w:lvlText w:val=""/>
      <w:lvlJc w:val="left"/>
      <w:pPr>
        <w:ind w:left="2755" w:hanging="360"/>
      </w:pPr>
      <w:rPr>
        <w:rFonts w:ascii="Symbol" w:hAnsi="Symbol" w:hint="default"/>
      </w:rPr>
    </w:lvl>
    <w:lvl w:ilvl="7" w:tplc="34090003" w:tentative="1">
      <w:start w:val="1"/>
      <w:numFmt w:val="bullet"/>
      <w:lvlText w:val="o"/>
      <w:lvlJc w:val="left"/>
      <w:pPr>
        <w:ind w:left="3475" w:hanging="360"/>
      </w:pPr>
      <w:rPr>
        <w:rFonts w:ascii="Courier New" w:hAnsi="Courier New" w:cs="Courier New" w:hint="default"/>
      </w:rPr>
    </w:lvl>
    <w:lvl w:ilvl="8" w:tplc="34090005" w:tentative="1">
      <w:start w:val="1"/>
      <w:numFmt w:val="bullet"/>
      <w:lvlText w:val=""/>
      <w:lvlJc w:val="left"/>
      <w:pPr>
        <w:ind w:left="4195" w:hanging="360"/>
      </w:pPr>
      <w:rPr>
        <w:rFonts w:ascii="Wingdings" w:hAnsi="Wingdings" w:hint="default"/>
      </w:rPr>
    </w:lvl>
  </w:abstractNum>
  <w:abstractNum w:abstractNumId="45"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6"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4"/>
  </w:num>
  <w:num w:numId="3">
    <w:abstractNumId w:val="39"/>
  </w:num>
  <w:num w:numId="4">
    <w:abstractNumId w:val="1"/>
  </w:num>
  <w:num w:numId="5">
    <w:abstractNumId w:val="33"/>
  </w:num>
  <w:num w:numId="6">
    <w:abstractNumId w:val="35"/>
  </w:num>
  <w:num w:numId="7">
    <w:abstractNumId w:val="40"/>
  </w:num>
  <w:num w:numId="8">
    <w:abstractNumId w:val="23"/>
  </w:num>
  <w:num w:numId="9">
    <w:abstractNumId w:val="30"/>
  </w:num>
  <w:num w:numId="10">
    <w:abstractNumId w:val="28"/>
  </w:num>
  <w:num w:numId="11">
    <w:abstractNumId w:val="37"/>
  </w:num>
  <w:num w:numId="12">
    <w:abstractNumId w:val="36"/>
  </w:num>
  <w:num w:numId="13">
    <w:abstractNumId w:val="42"/>
  </w:num>
  <w:num w:numId="14">
    <w:abstractNumId w:val="45"/>
  </w:num>
  <w:num w:numId="15">
    <w:abstractNumId w:val="15"/>
  </w:num>
  <w:num w:numId="16">
    <w:abstractNumId w:val="25"/>
  </w:num>
  <w:num w:numId="17">
    <w:abstractNumId w:val="13"/>
  </w:num>
  <w:num w:numId="18">
    <w:abstractNumId w:val="29"/>
  </w:num>
  <w:num w:numId="19">
    <w:abstractNumId w:val="31"/>
  </w:num>
  <w:num w:numId="20">
    <w:abstractNumId w:val="10"/>
  </w:num>
  <w:num w:numId="21">
    <w:abstractNumId w:val="46"/>
  </w:num>
  <w:num w:numId="22">
    <w:abstractNumId w:val="7"/>
  </w:num>
  <w:num w:numId="23">
    <w:abstractNumId w:val="2"/>
  </w:num>
  <w:num w:numId="24">
    <w:abstractNumId w:val="24"/>
  </w:num>
  <w:num w:numId="25">
    <w:abstractNumId w:val="16"/>
  </w:num>
  <w:num w:numId="26">
    <w:abstractNumId w:val="18"/>
  </w:num>
  <w:num w:numId="27">
    <w:abstractNumId w:val="9"/>
  </w:num>
  <w:num w:numId="28">
    <w:abstractNumId w:val="3"/>
  </w:num>
  <w:num w:numId="29">
    <w:abstractNumId w:val="44"/>
  </w:num>
  <w:num w:numId="30">
    <w:abstractNumId w:val="32"/>
  </w:num>
  <w:num w:numId="31">
    <w:abstractNumId w:val="43"/>
  </w:num>
  <w:num w:numId="32">
    <w:abstractNumId w:val="38"/>
  </w:num>
  <w:num w:numId="33">
    <w:abstractNumId w:val="17"/>
  </w:num>
  <w:num w:numId="34">
    <w:abstractNumId w:val="26"/>
  </w:num>
  <w:num w:numId="35">
    <w:abstractNumId w:val="12"/>
  </w:num>
  <w:num w:numId="36">
    <w:abstractNumId w:val="41"/>
  </w:num>
  <w:num w:numId="37">
    <w:abstractNumId w:val="19"/>
  </w:num>
  <w:num w:numId="38">
    <w:abstractNumId w:val="6"/>
  </w:num>
  <w:num w:numId="39">
    <w:abstractNumId w:val="11"/>
  </w:num>
  <w:num w:numId="40">
    <w:abstractNumId w:val="20"/>
  </w:num>
  <w:num w:numId="41">
    <w:abstractNumId w:val="21"/>
  </w:num>
  <w:num w:numId="42">
    <w:abstractNumId w:val="4"/>
  </w:num>
  <w:num w:numId="43">
    <w:abstractNumId w:val="22"/>
  </w:num>
  <w:num w:numId="44">
    <w:abstractNumId w:val="34"/>
  </w:num>
  <w:num w:numId="45">
    <w:abstractNumId w:val="8"/>
  </w:num>
  <w:num w:numId="46">
    <w:abstractNumId w:val="5"/>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1012F"/>
    <w:rsid w:val="00057DA8"/>
    <w:rsid w:val="00073562"/>
    <w:rsid w:val="00086485"/>
    <w:rsid w:val="000964DE"/>
    <w:rsid w:val="000A0930"/>
    <w:rsid w:val="000A36AD"/>
    <w:rsid w:val="000A3783"/>
    <w:rsid w:val="000D7C9B"/>
    <w:rsid w:val="000E2C6B"/>
    <w:rsid w:val="000E45E5"/>
    <w:rsid w:val="00102A8C"/>
    <w:rsid w:val="00103276"/>
    <w:rsid w:val="00110E35"/>
    <w:rsid w:val="00134A66"/>
    <w:rsid w:val="001473B3"/>
    <w:rsid w:val="00160B1C"/>
    <w:rsid w:val="001653DE"/>
    <w:rsid w:val="00180DF8"/>
    <w:rsid w:val="001A0DCE"/>
    <w:rsid w:val="001A35D2"/>
    <w:rsid w:val="001A7DD4"/>
    <w:rsid w:val="001B6EFA"/>
    <w:rsid w:val="001D5750"/>
    <w:rsid w:val="001D755F"/>
    <w:rsid w:val="001E12C7"/>
    <w:rsid w:val="001E30BA"/>
    <w:rsid w:val="00205862"/>
    <w:rsid w:val="00215866"/>
    <w:rsid w:val="002165F8"/>
    <w:rsid w:val="002223E0"/>
    <w:rsid w:val="0025143A"/>
    <w:rsid w:val="00252056"/>
    <w:rsid w:val="00262B62"/>
    <w:rsid w:val="002734C6"/>
    <w:rsid w:val="002A1486"/>
    <w:rsid w:val="002A5FB9"/>
    <w:rsid w:val="002B197A"/>
    <w:rsid w:val="002D201A"/>
    <w:rsid w:val="002E0253"/>
    <w:rsid w:val="002F486F"/>
    <w:rsid w:val="002F799A"/>
    <w:rsid w:val="00326216"/>
    <w:rsid w:val="00327F09"/>
    <w:rsid w:val="0033411B"/>
    <w:rsid w:val="00344746"/>
    <w:rsid w:val="00352A9E"/>
    <w:rsid w:val="00352BBA"/>
    <w:rsid w:val="00355544"/>
    <w:rsid w:val="0036406C"/>
    <w:rsid w:val="003754C3"/>
    <w:rsid w:val="003812A9"/>
    <w:rsid w:val="00381EDE"/>
    <w:rsid w:val="003836C0"/>
    <w:rsid w:val="0039261A"/>
    <w:rsid w:val="003A22D4"/>
    <w:rsid w:val="003B0C3C"/>
    <w:rsid w:val="003E46DE"/>
    <w:rsid w:val="003F0258"/>
    <w:rsid w:val="00426BF1"/>
    <w:rsid w:val="00432027"/>
    <w:rsid w:val="00437CEA"/>
    <w:rsid w:val="00440ECE"/>
    <w:rsid w:val="00443E94"/>
    <w:rsid w:val="004603E8"/>
    <w:rsid w:val="004758AA"/>
    <w:rsid w:val="00490783"/>
    <w:rsid w:val="004A2B79"/>
    <w:rsid w:val="004D3F24"/>
    <w:rsid w:val="004D6E73"/>
    <w:rsid w:val="004F74DD"/>
    <w:rsid w:val="0050135D"/>
    <w:rsid w:val="005157A4"/>
    <w:rsid w:val="005219CD"/>
    <w:rsid w:val="00531192"/>
    <w:rsid w:val="00553D88"/>
    <w:rsid w:val="005844A9"/>
    <w:rsid w:val="005849A9"/>
    <w:rsid w:val="005914EA"/>
    <w:rsid w:val="0059598E"/>
    <w:rsid w:val="005B038A"/>
    <w:rsid w:val="005D0E65"/>
    <w:rsid w:val="005F1B65"/>
    <w:rsid w:val="00602280"/>
    <w:rsid w:val="006071E7"/>
    <w:rsid w:val="00627610"/>
    <w:rsid w:val="0063524A"/>
    <w:rsid w:val="00635665"/>
    <w:rsid w:val="0064790D"/>
    <w:rsid w:val="0065710B"/>
    <w:rsid w:val="006645E7"/>
    <w:rsid w:val="00676AD5"/>
    <w:rsid w:val="006B412D"/>
    <w:rsid w:val="006C41C9"/>
    <w:rsid w:val="006C491D"/>
    <w:rsid w:val="006C560E"/>
    <w:rsid w:val="006D72EE"/>
    <w:rsid w:val="006E1090"/>
    <w:rsid w:val="00707600"/>
    <w:rsid w:val="00711C14"/>
    <w:rsid w:val="007128EC"/>
    <w:rsid w:val="0071544A"/>
    <w:rsid w:val="00722F8B"/>
    <w:rsid w:val="007354EA"/>
    <w:rsid w:val="00736AF2"/>
    <w:rsid w:val="00745D42"/>
    <w:rsid w:val="007650C2"/>
    <w:rsid w:val="007703AA"/>
    <w:rsid w:val="00786DB5"/>
    <w:rsid w:val="00791913"/>
    <w:rsid w:val="00794598"/>
    <w:rsid w:val="00795508"/>
    <w:rsid w:val="0079690F"/>
    <w:rsid w:val="007C3D04"/>
    <w:rsid w:val="007C4235"/>
    <w:rsid w:val="007C5D61"/>
    <w:rsid w:val="007D382E"/>
    <w:rsid w:val="007E39F5"/>
    <w:rsid w:val="007E4F76"/>
    <w:rsid w:val="00810FC3"/>
    <w:rsid w:val="00816B78"/>
    <w:rsid w:val="00834D1A"/>
    <w:rsid w:val="0083711D"/>
    <w:rsid w:val="00837F09"/>
    <w:rsid w:val="00845D55"/>
    <w:rsid w:val="008505C2"/>
    <w:rsid w:val="00851583"/>
    <w:rsid w:val="00863465"/>
    <w:rsid w:val="0088263E"/>
    <w:rsid w:val="00882780"/>
    <w:rsid w:val="008871A7"/>
    <w:rsid w:val="0089625D"/>
    <w:rsid w:val="008A0260"/>
    <w:rsid w:val="008A4E69"/>
    <w:rsid w:val="008A6F73"/>
    <w:rsid w:val="008B33D2"/>
    <w:rsid w:val="008C2A6B"/>
    <w:rsid w:val="008C5A62"/>
    <w:rsid w:val="008E21EC"/>
    <w:rsid w:val="008E359A"/>
    <w:rsid w:val="008E6897"/>
    <w:rsid w:val="00900003"/>
    <w:rsid w:val="00921C99"/>
    <w:rsid w:val="00944F40"/>
    <w:rsid w:val="0094779C"/>
    <w:rsid w:val="009723CE"/>
    <w:rsid w:val="00975404"/>
    <w:rsid w:val="009831EF"/>
    <w:rsid w:val="009912B9"/>
    <w:rsid w:val="00993991"/>
    <w:rsid w:val="00993E07"/>
    <w:rsid w:val="009C0FB8"/>
    <w:rsid w:val="009C5FF1"/>
    <w:rsid w:val="009D0092"/>
    <w:rsid w:val="009D700C"/>
    <w:rsid w:val="009E2B22"/>
    <w:rsid w:val="009F4488"/>
    <w:rsid w:val="00A030A0"/>
    <w:rsid w:val="00A1337C"/>
    <w:rsid w:val="00A24134"/>
    <w:rsid w:val="00A37A52"/>
    <w:rsid w:val="00A47D41"/>
    <w:rsid w:val="00A51602"/>
    <w:rsid w:val="00A57D69"/>
    <w:rsid w:val="00A6756E"/>
    <w:rsid w:val="00A71CCD"/>
    <w:rsid w:val="00A83454"/>
    <w:rsid w:val="00A84AEE"/>
    <w:rsid w:val="00AA4872"/>
    <w:rsid w:val="00AA76B6"/>
    <w:rsid w:val="00AC6F4C"/>
    <w:rsid w:val="00AD705C"/>
    <w:rsid w:val="00AE57C9"/>
    <w:rsid w:val="00AF3C0C"/>
    <w:rsid w:val="00AF4ACF"/>
    <w:rsid w:val="00AF6929"/>
    <w:rsid w:val="00B2445F"/>
    <w:rsid w:val="00B265D3"/>
    <w:rsid w:val="00B438A3"/>
    <w:rsid w:val="00B46C82"/>
    <w:rsid w:val="00B60FD8"/>
    <w:rsid w:val="00B63865"/>
    <w:rsid w:val="00B8792F"/>
    <w:rsid w:val="00B879BD"/>
    <w:rsid w:val="00C06337"/>
    <w:rsid w:val="00C22E07"/>
    <w:rsid w:val="00C34025"/>
    <w:rsid w:val="00C512C7"/>
    <w:rsid w:val="00C51C85"/>
    <w:rsid w:val="00C54DBD"/>
    <w:rsid w:val="00C62F49"/>
    <w:rsid w:val="00C64099"/>
    <w:rsid w:val="00CB20F6"/>
    <w:rsid w:val="00CC416D"/>
    <w:rsid w:val="00CC740F"/>
    <w:rsid w:val="00CE3BBF"/>
    <w:rsid w:val="00CE4EED"/>
    <w:rsid w:val="00CF522C"/>
    <w:rsid w:val="00CF7058"/>
    <w:rsid w:val="00D01367"/>
    <w:rsid w:val="00D076A2"/>
    <w:rsid w:val="00D1121E"/>
    <w:rsid w:val="00D17475"/>
    <w:rsid w:val="00D236E3"/>
    <w:rsid w:val="00D23FE6"/>
    <w:rsid w:val="00D2659A"/>
    <w:rsid w:val="00D6144D"/>
    <w:rsid w:val="00D63B6C"/>
    <w:rsid w:val="00D83313"/>
    <w:rsid w:val="00D92FCE"/>
    <w:rsid w:val="00D97650"/>
    <w:rsid w:val="00DA646F"/>
    <w:rsid w:val="00DB0EB6"/>
    <w:rsid w:val="00DB77DD"/>
    <w:rsid w:val="00DB7F57"/>
    <w:rsid w:val="00DD2E67"/>
    <w:rsid w:val="00DD3BA3"/>
    <w:rsid w:val="00DE1432"/>
    <w:rsid w:val="00DE5268"/>
    <w:rsid w:val="00DF73B6"/>
    <w:rsid w:val="00E019E2"/>
    <w:rsid w:val="00E05A57"/>
    <w:rsid w:val="00E1795F"/>
    <w:rsid w:val="00E2763D"/>
    <w:rsid w:val="00E40B4D"/>
    <w:rsid w:val="00E430E5"/>
    <w:rsid w:val="00E56341"/>
    <w:rsid w:val="00E83024"/>
    <w:rsid w:val="00E8310E"/>
    <w:rsid w:val="00E90323"/>
    <w:rsid w:val="00E94857"/>
    <w:rsid w:val="00EA2915"/>
    <w:rsid w:val="00EA50D0"/>
    <w:rsid w:val="00EA697D"/>
    <w:rsid w:val="00EC70F7"/>
    <w:rsid w:val="00EC7A1D"/>
    <w:rsid w:val="00ED5568"/>
    <w:rsid w:val="00ED649B"/>
    <w:rsid w:val="00EE3DE6"/>
    <w:rsid w:val="00F163B6"/>
    <w:rsid w:val="00F23553"/>
    <w:rsid w:val="00F3274E"/>
    <w:rsid w:val="00F40EEB"/>
    <w:rsid w:val="00F53128"/>
    <w:rsid w:val="00F63F70"/>
    <w:rsid w:val="00F662A3"/>
    <w:rsid w:val="00F7753E"/>
    <w:rsid w:val="00F9130D"/>
    <w:rsid w:val="00F918E6"/>
    <w:rsid w:val="00F93118"/>
    <w:rsid w:val="00F93C85"/>
    <w:rsid w:val="00FC0641"/>
    <w:rsid w:val="00FE7C9D"/>
    <w:rsid w:val="00FF0CD6"/>
    <w:rsid w:val="00FF2D1B"/>
    <w:rsid w:val="00FF3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A21EB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basedOn w:val="Normal"/>
    <w:uiPriority w:val="34"/>
    <w:qFormat/>
    <w:rsid w:val="00FF2D1B"/>
    <w:pPr>
      <w:ind w:left="720"/>
      <w:contextualSpacing/>
    </w:pPr>
  </w:style>
  <w:style w:type="table" w:styleId="TableGrid">
    <w:name w:val="Table Grid"/>
    <w:basedOn w:val="TableNormal"/>
    <w:uiPriority w:val="3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FootnoteReference">
    <w:name w:val="footnote reference"/>
    <w:aliases w:val="fr"/>
    <w:basedOn w:val="DefaultParagraphFont"/>
    <w:uiPriority w:val="99"/>
    <w:rsid w:val="000A36AD"/>
    <w:rPr>
      <w:vertAlign w:val="superscript"/>
    </w:rPr>
  </w:style>
  <w:style w:type="paragraph" w:styleId="FootnoteText">
    <w:name w:val="footnote text"/>
    <w:basedOn w:val="Normal"/>
    <w:link w:val="FootnoteTextChar"/>
    <w:uiPriority w:val="99"/>
    <w:semiHidden/>
    <w:rsid w:val="000A36AD"/>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uiPriority w:val="99"/>
    <w:semiHidden/>
    <w:rsid w:val="000A36AD"/>
    <w:rPr>
      <w:rFonts w:ascii="CG Times" w:eastAsia="Times New Roman" w:hAnsi="CG Times" w:cs="Times New Roman"/>
      <w:sz w:val="24"/>
      <w:szCs w:val="20"/>
    </w:rPr>
  </w:style>
  <w:style w:type="character" w:styleId="FollowedHyperlink">
    <w:name w:val="FollowedHyperlink"/>
    <w:basedOn w:val="DefaultParagraphFont"/>
    <w:uiPriority w:val="99"/>
    <w:semiHidden/>
    <w:unhideWhenUsed/>
    <w:rsid w:val="00F3274E"/>
    <w:rPr>
      <w:color w:val="800080" w:themeColor="followedHyperlink"/>
      <w:u w:val="single"/>
    </w:rPr>
  </w:style>
  <w:style w:type="table" w:customStyle="1" w:styleId="GridTable5Dark-Accent51">
    <w:name w:val="Grid Table 5 Dark - Accent 51"/>
    <w:basedOn w:val="TableNormal"/>
    <w:uiPriority w:val="50"/>
    <w:rsid w:val="0036406C"/>
    <w:pPr>
      <w:spacing w:after="0" w:line="240" w:lineRule="auto"/>
    </w:pPr>
    <w:rPr>
      <w:rFonts w:ascii="Calibri" w:eastAsia="Calibri"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MediumShading2-Accent1">
    <w:name w:val="Medium Shading 2 Accent 1"/>
    <w:basedOn w:val="TableNormal"/>
    <w:uiPriority w:val="64"/>
    <w:rsid w:val="00437C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customStyle="1" w:styleId="BankNormal">
    <w:name w:val="BankNormal"/>
    <w:basedOn w:val="Normal"/>
    <w:rsid w:val="00ED5568"/>
    <w:pPr>
      <w:spacing w:after="24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3360">
      <w:bodyDiv w:val="1"/>
      <w:marLeft w:val="0"/>
      <w:marRight w:val="0"/>
      <w:marTop w:val="0"/>
      <w:marBottom w:val="0"/>
      <w:divBdr>
        <w:top w:val="none" w:sz="0" w:space="0" w:color="auto"/>
        <w:left w:val="none" w:sz="0" w:space="0" w:color="auto"/>
        <w:bottom w:val="none" w:sz="0" w:space="0" w:color="auto"/>
        <w:right w:val="none" w:sz="0" w:space="0" w:color="auto"/>
      </w:divBdr>
    </w:div>
    <w:div w:id="390076983">
      <w:bodyDiv w:val="1"/>
      <w:marLeft w:val="0"/>
      <w:marRight w:val="0"/>
      <w:marTop w:val="0"/>
      <w:marBottom w:val="0"/>
      <w:divBdr>
        <w:top w:val="none" w:sz="0" w:space="0" w:color="auto"/>
        <w:left w:val="none" w:sz="0" w:space="0" w:color="auto"/>
        <w:bottom w:val="none" w:sz="0" w:space="0" w:color="auto"/>
        <w:right w:val="none" w:sz="0" w:space="0" w:color="auto"/>
      </w:divBdr>
      <w:divsChild>
        <w:div w:id="193616700">
          <w:marLeft w:val="0"/>
          <w:marRight w:val="0"/>
          <w:marTop w:val="0"/>
          <w:marBottom w:val="0"/>
          <w:divBdr>
            <w:top w:val="none" w:sz="0" w:space="0" w:color="auto"/>
            <w:left w:val="none" w:sz="0" w:space="0" w:color="auto"/>
            <w:bottom w:val="none" w:sz="0" w:space="0" w:color="auto"/>
            <w:right w:val="none" w:sz="0" w:space="0" w:color="auto"/>
          </w:divBdr>
        </w:div>
      </w:divsChild>
    </w:div>
    <w:div w:id="651257829">
      <w:bodyDiv w:val="1"/>
      <w:marLeft w:val="0"/>
      <w:marRight w:val="0"/>
      <w:marTop w:val="0"/>
      <w:marBottom w:val="0"/>
      <w:divBdr>
        <w:top w:val="none" w:sz="0" w:space="0" w:color="auto"/>
        <w:left w:val="none" w:sz="0" w:space="0" w:color="auto"/>
        <w:bottom w:val="none" w:sz="0" w:space="0" w:color="auto"/>
        <w:right w:val="none" w:sz="0" w:space="0" w:color="auto"/>
      </w:divBdr>
    </w:div>
    <w:div w:id="816263343">
      <w:bodyDiv w:val="1"/>
      <w:marLeft w:val="0"/>
      <w:marRight w:val="0"/>
      <w:marTop w:val="0"/>
      <w:marBottom w:val="0"/>
      <w:divBdr>
        <w:top w:val="none" w:sz="0" w:space="0" w:color="auto"/>
        <w:left w:val="none" w:sz="0" w:space="0" w:color="auto"/>
        <w:bottom w:val="none" w:sz="0" w:space="0" w:color="auto"/>
        <w:right w:val="none" w:sz="0" w:space="0" w:color="auto"/>
      </w:divBdr>
      <w:divsChild>
        <w:div w:id="1630864192">
          <w:marLeft w:val="0"/>
          <w:marRight w:val="0"/>
          <w:marTop w:val="0"/>
          <w:marBottom w:val="0"/>
          <w:divBdr>
            <w:top w:val="none" w:sz="0" w:space="0" w:color="auto"/>
            <w:left w:val="none" w:sz="0" w:space="0" w:color="auto"/>
            <w:bottom w:val="none" w:sz="0" w:space="0" w:color="auto"/>
            <w:right w:val="none" w:sz="0" w:space="0" w:color="auto"/>
          </w:divBdr>
        </w:div>
      </w:divsChild>
    </w:div>
    <w:div w:id="1188786200">
      <w:bodyDiv w:val="1"/>
      <w:marLeft w:val="0"/>
      <w:marRight w:val="0"/>
      <w:marTop w:val="0"/>
      <w:marBottom w:val="0"/>
      <w:divBdr>
        <w:top w:val="none" w:sz="0" w:space="0" w:color="auto"/>
        <w:left w:val="none" w:sz="0" w:space="0" w:color="auto"/>
        <w:bottom w:val="none" w:sz="0" w:space="0" w:color="auto"/>
        <w:right w:val="none" w:sz="0" w:space="0" w:color="auto"/>
      </w:divBdr>
    </w:div>
    <w:div w:id="13526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tenderbox.pacific@undp.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fo.undp.org/global/documents/cap/P11%20modified%20for%20SCs%20and%20ICs.d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bigail.chang@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UNITBOM-1781-31</_dlc_DocId>
    <_dlc_DocIdUrl xmlns="bf4c0e24-4363-4a2c-98c4-ba38f29833df">
      <Url>https://intranet.undp.org/unit/bom/pso/_layouts/DocIdRedir.aspx?ID=UNITBOM-1781-31</Url>
      <Description>UNITBOM-1781-31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634897381195225099</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634897381195225099</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634897381195225099</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 ma:contentTypeDescription="Create a new document." ma:contentTypeScope="" ma:versionID="780df7d8d3aed91d5a48033825ff26f2">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b1922f39e7398e9d1155d52ca26de859"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0DA5-E4C7-410C-9B0F-0BECA3910A96}">
  <ds:schemaRefs>
    <ds:schemaRef ds:uri="http://schemas.openxmlformats.org/package/2006/metadata/core-properties"/>
    <ds:schemaRef ds:uri="http://purl.org/dc/elements/1.1/"/>
    <ds:schemaRef ds:uri="http://schemas.microsoft.com/office/2006/documentManagement/types"/>
    <ds:schemaRef ds:uri="84a3be3f-a15a-43fa-96b9-a72fbd6deddb"/>
    <ds:schemaRef ds:uri="http://schemas.microsoft.com/office/infopath/2007/PartnerControls"/>
    <ds:schemaRef ds:uri="http://purl.org/dc/dcmitype/"/>
    <ds:schemaRef ds:uri="bf4c0e24-4363-4a2c-98c4-ba38f29833df"/>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406F1EBC-D09A-4485-91E9-ED139017C92A}">
  <ds:schemaRefs>
    <ds:schemaRef ds:uri="http://schemas.microsoft.com/sharepoint/events"/>
  </ds:schemaRefs>
</ds:datastoreItem>
</file>

<file path=customXml/itemProps3.xml><?xml version="1.0" encoding="utf-8"?>
<ds:datastoreItem xmlns:ds="http://schemas.openxmlformats.org/officeDocument/2006/customXml" ds:itemID="{00C503B9-3895-421A-ACCF-166A683AC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5.xml><?xml version="1.0" encoding="utf-8"?>
<ds:datastoreItem xmlns:ds="http://schemas.openxmlformats.org/officeDocument/2006/customXml" ds:itemID="{9CB01F38-936D-4CEB-81AA-F72CF82E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3035</Words>
  <Characters>17303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Manager/>
  <Company>UNDP</Company>
  <LinksUpToDate>false</LinksUpToDate>
  <CharactersWithSpaces>20298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Ram Iyer</dc:creator>
  <cp:keywords/>
  <dc:description/>
  <cp:lastModifiedBy>Dale Kacivi</cp:lastModifiedBy>
  <cp:revision>14</cp:revision>
  <cp:lastPrinted>2011-03-24T14:16:00Z</cp:lastPrinted>
  <dcterms:created xsi:type="dcterms:W3CDTF">2019-04-26T01:34:00Z</dcterms:created>
  <dcterms:modified xsi:type="dcterms:W3CDTF">2019-06-04T03:29:00Z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f33bece7-c656-43f6-b20e-7510aac5aa65</vt:lpwstr>
  </property>
</Properties>
</file>