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9D24" w14:textId="77777777" w:rsidR="00DB77DD" w:rsidRPr="00802ABE" w:rsidRDefault="00DB77DD" w:rsidP="00DB77DD">
      <w:pPr>
        <w:tabs>
          <w:tab w:val="left" w:pos="1410"/>
        </w:tabs>
        <w:ind w:left="1410"/>
        <w:jc w:val="center"/>
      </w:pPr>
      <w:r w:rsidRPr="00802ABE">
        <w:rPr>
          <w:b/>
          <w:sz w:val="28"/>
          <w:szCs w:val="28"/>
        </w:rPr>
        <w:t>INDIVIDUAL CONSULTANT PROCUREMENT NOTICE</w:t>
      </w:r>
      <w:r w:rsidRPr="00802ABE">
        <w:t xml:space="preserve">  </w:t>
      </w:r>
      <w:r w:rsidR="009E2B22" w:rsidRPr="00802ABE">
        <w:t xml:space="preserve">      </w:t>
      </w:r>
      <w:r w:rsidRPr="00802ABE">
        <w:t xml:space="preserve">              </w:t>
      </w:r>
      <w:r w:rsidR="009E2B22" w:rsidRPr="00802ABE">
        <w:t xml:space="preserve"> </w:t>
      </w:r>
      <w:r w:rsidRPr="00802ABE">
        <w:rPr>
          <w:noProof/>
          <w:lang w:val="en-ZA" w:eastAsia="en-Z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802ABE">
        <w:t xml:space="preserve">                                      </w:t>
      </w:r>
      <w:r w:rsidRPr="00802ABE">
        <w:t xml:space="preserve">                                                                                                                                                  </w:t>
      </w:r>
    </w:p>
    <w:p w14:paraId="65AA9D25" w14:textId="77777777" w:rsidR="009E2B22" w:rsidRPr="00802ABE" w:rsidRDefault="009E2B22" w:rsidP="00DB77DD">
      <w:pPr>
        <w:tabs>
          <w:tab w:val="left" w:pos="1410"/>
        </w:tabs>
      </w:pPr>
      <w:r w:rsidRPr="00802ABE">
        <w:t xml:space="preserve">                           </w:t>
      </w:r>
    </w:p>
    <w:p w14:paraId="57D04A57" w14:textId="683C8B59" w:rsidR="00893526" w:rsidRPr="00802ABE" w:rsidRDefault="009E2B22" w:rsidP="009E2B22">
      <w:pPr>
        <w:tabs>
          <w:tab w:val="left" w:pos="1410"/>
        </w:tabs>
      </w:pPr>
      <w:r w:rsidRPr="00802ABE">
        <w:t xml:space="preserve">                                                                                                                                   </w:t>
      </w:r>
      <w:r w:rsidR="001D471A" w:rsidRPr="00802ABE">
        <w:t xml:space="preserve">       </w:t>
      </w:r>
      <w:r w:rsidRPr="00802ABE">
        <w:t>Date</w:t>
      </w:r>
      <w:r w:rsidR="00893526" w:rsidRPr="00802ABE">
        <w:t xml:space="preserve"> </w:t>
      </w:r>
      <w:r w:rsidR="006902F1">
        <w:t>26</w:t>
      </w:r>
      <w:r w:rsidR="006902F1" w:rsidRPr="006902F1">
        <w:rPr>
          <w:vertAlign w:val="superscript"/>
        </w:rPr>
        <w:t>th</w:t>
      </w:r>
      <w:r w:rsidR="006902F1">
        <w:t xml:space="preserve"> August</w:t>
      </w:r>
      <w:r w:rsidR="00003110" w:rsidRPr="00802ABE">
        <w:t xml:space="preserve"> 201</w:t>
      </w:r>
      <w:r w:rsidR="00893526" w:rsidRPr="00802ABE">
        <w:t>9</w:t>
      </w:r>
      <w:r w:rsidRPr="00802ABE">
        <w:t xml:space="preserve">      </w:t>
      </w:r>
    </w:p>
    <w:p w14:paraId="39A5C09F" w14:textId="77777777" w:rsidR="00893526" w:rsidRPr="00802ABE" w:rsidRDefault="00893526" w:rsidP="009E2B22">
      <w:pPr>
        <w:tabs>
          <w:tab w:val="left" w:pos="1410"/>
        </w:tabs>
      </w:pPr>
    </w:p>
    <w:p w14:paraId="65AA9D26" w14:textId="6CC0C07F" w:rsidR="009E2B22" w:rsidRPr="00802ABE" w:rsidRDefault="009E2B22" w:rsidP="009E2B22">
      <w:pPr>
        <w:tabs>
          <w:tab w:val="left" w:pos="1410"/>
        </w:tabs>
      </w:pPr>
      <w:r w:rsidRPr="00802ABE">
        <w:t xml:space="preserve">                                   </w:t>
      </w:r>
    </w:p>
    <w:p w14:paraId="65AA9D27" w14:textId="1F8D06C6" w:rsidR="009E2B22" w:rsidRPr="00802ABE" w:rsidRDefault="00821EF0" w:rsidP="009E2B22">
      <w:pPr>
        <w:tabs>
          <w:tab w:val="left" w:pos="1410"/>
        </w:tabs>
        <w:rPr>
          <w:b/>
        </w:rPr>
      </w:pPr>
      <w:r w:rsidRPr="00802ABE">
        <w:rPr>
          <w:b/>
          <w:noProof/>
          <w:lang w:val="en-ZA" w:eastAsia="en-ZA"/>
        </w:rPr>
        <mc:AlternateContent>
          <mc:Choice Requires="wps">
            <w:drawing>
              <wp:anchor distT="0" distB="0" distL="114300" distR="114300" simplePos="0" relativeHeight="251658240" behindDoc="0" locked="0" layoutInCell="1" allowOverlap="1" wp14:anchorId="65AA9DA0" wp14:editId="443FFF38">
                <wp:simplePos x="0" y="0"/>
                <wp:positionH relativeFrom="column">
                  <wp:posOffset>-7620</wp:posOffset>
                </wp:positionH>
                <wp:positionV relativeFrom="paragraph">
                  <wp:posOffset>88899</wp:posOffset>
                </wp:positionV>
                <wp:extent cx="6233160" cy="45719"/>
                <wp:effectExtent l="0" t="19050" r="53340"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160"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9E6B3" id="_x0000_t32" coordsize="21600,21600" o:spt="32" o:oned="t" path="m,l21600,21600e" filled="f">
                <v:path arrowok="t" fillok="f" o:connecttype="none"/>
                <o:lock v:ext="edit" shapetype="t"/>
              </v:shapetype>
              <v:shape id="AutoShape 3" o:spid="_x0000_s1026" type="#_x0000_t32" style="position:absolute;margin-left:-.6pt;margin-top:7pt;width:49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" strokecolor="blue" strokeweight="4.5pt"/>
            </w:pict>
          </mc:Fallback>
        </mc:AlternateContent>
      </w:r>
    </w:p>
    <w:p w14:paraId="2443610B" w14:textId="77777777" w:rsidR="00BF4985" w:rsidRDefault="00BF4985" w:rsidP="00893526">
      <w:pPr>
        <w:pStyle w:val="NoSpacing"/>
        <w:rPr>
          <w:rFonts w:asciiTheme="minorHAnsi" w:hAnsiTheme="minorHAnsi"/>
          <w:b/>
        </w:rPr>
      </w:pPr>
    </w:p>
    <w:p w14:paraId="1792B085" w14:textId="7E41C563" w:rsidR="00BF4985" w:rsidRDefault="00BF4985" w:rsidP="006902F1">
      <w:pPr>
        <w:pStyle w:val="NoSpacing"/>
        <w:ind w:left="1440" w:hanging="1440"/>
        <w:rPr>
          <w:b/>
          <w:sz w:val="24"/>
          <w:szCs w:val="24"/>
        </w:rPr>
      </w:pPr>
      <w:r>
        <w:rPr>
          <w:rFonts w:asciiTheme="minorHAnsi" w:hAnsiTheme="minorHAnsi"/>
          <w:b/>
        </w:rPr>
        <w:t>Project Title</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sidR="006902F1" w:rsidRPr="00D7677E">
        <w:rPr>
          <w:b/>
          <w:sz w:val="24"/>
          <w:szCs w:val="24"/>
        </w:rPr>
        <w:t xml:space="preserve">UNDP support to the Independent </w:t>
      </w:r>
    </w:p>
    <w:p w14:paraId="3C3E6D03" w14:textId="27B488D6" w:rsidR="006902F1" w:rsidRPr="00BF4985" w:rsidRDefault="006902F1" w:rsidP="006902F1">
      <w:pPr>
        <w:pStyle w:val="NoSpacing"/>
        <w:ind w:left="1440" w:hanging="1440"/>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sidRPr="00D7677E">
        <w:rPr>
          <w:b/>
          <w:sz w:val="24"/>
          <w:szCs w:val="24"/>
        </w:rPr>
        <w:t>Electoral Commission</w:t>
      </w:r>
    </w:p>
    <w:p w14:paraId="356922A4" w14:textId="47EEB771" w:rsidR="00893526" w:rsidRPr="00802ABE" w:rsidRDefault="00893526" w:rsidP="00893526">
      <w:pPr>
        <w:pStyle w:val="NoSpacing"/>
        <w:rPr>
          <w:rFonts w:asciiTheme="minorHAnsi" w:hAnsiTheme="minorHAnsi"/>
          <w:b/>
        </w:rPr>
      </w:pPr>
      <w:r w:rsidRPr="00802ABE">
        <w:rPr>
          <w:rFonts w:asciiTheme="minorHAnsi" w:hAnsiTheme="minorHAnsi"/>
          <w:b/>
        </w:rPr>
        <w:t xml:space="preserve">Number of </w:t>
      </w:r>
      <w:r w:rsidR="00AD32FF">
        <w:rPr>
          <w:rFonts w:asciiTheme="minorHAnsi" w:hAnsiTheme="minorHAnsi"/>
          <w:b/>
        </w:rPr>
        <w:t>consultancies</w:t>
      </w:r>
      <w:r w:rsidRPr="00802ABE">
        <w:rPr>
          <w:rFonts w:asciiTheme="minorHAnsi" w:hAnsiTheme="minorHAnsi"/>
          <w:b/>
        </w:rPr>
        <w:tab/>
      </w:r>
      <w:r w:rsidRPr="00802ABE">
        <w:rPr>
          <w:rFonts w:asciiTheme="minorHAnsi" w:hAnsiTheme="minorHAnsi"/>
          <w:b/>
        </w:rPr>
        <w:tab/>
      </w:r>
      <w:r w:rsidRPr="00802ABE">
        <w:rPr>
          <w:rFonts w:asciiTheme="minorHAnsi" w:hAnsiTheme="minorHAnsi"/>
          <w:b/>
        </w:rPr>
        <w:tab/>
      </w:r>
      <w:r w:rsidRPr="00802ABE">
        <w:rPr>
          <w:rFonts w:asciiTheme="minorHAnsi" w:hAnsiTheme="minorHAnsi"/>
          <w:b/>
        </w:rPr>
        <w:tab/>
        <w:t>: 1</w:t>
      </w:r>
    </w:p>
    <w:p w14:paraId="1D62C818" w14:textId="65B92506" w:rsidR="00893526" w:rsidRDefault="00893526" w:rsidP="00893526">
      <w:pPr>
        <w:pStyle w:val="NoSpacing"/>
        <w:ind w:left="5040" w:hanging="5040"/>
        <w:rPr>
          <w:rFonts w:asciiTheme="minorHAnsi" w:hAnsiTheme="minorHAnsi"/>
          <w:b/>
        </w:rPr>
      </w:pPr>
      <w:r w:rsidRPr="00802ABE">
        <w:rPr>
          <w:rFonts w:asciiTheme="minorHAnsi" w:hAnsiTheme="minorHAnsi"/>
          <w:b/>
        </w:rPr>
        <w:t>Contract Type</w:t>
      </w:r>
      <w:r w:rsidRPr="00802ABE">
        <w:rPr>
          <w:rFonts w:asciiTheme="minorHAnsi" w:hAnsiTheme="minorHAnsi"/>
          <w:b/>
        </w:rPr>
        <w:tab/>
        <w:t>: Individual Contract/R</w:t>
      </w:r>
      <w:r w:rsidR="00802ABE">
        <w:rPr>
          <w:rFonts w:asciiTheme="minorHAnsi" w:hAnsiTheme="minorHAnsi"/>
          <w:b/>
        </w:rPr>
        <w:t xml:space="preserve">eimbursement </w:t>
      </w:r>
      <w:r w:rsidRPr="00802ABE">
        <w:rPr>
          <w:rFonts w:asciiTheme="minorHAnsi" w:hAnsiTheme="minorHAnsi"/>
          <w:b/>
        </w:rPr>
        <w:t>L</w:t>
      </w:r>
      <w:r w:rsidR="00802ABE">
        <w:rPr>
          <w:rFonts w:asciiTheme="minorHAnsi" w:hAnsiTheme="minorHAnsi"/>
          <w:b/>
        </w:rPr>
        <w:t xml:space="preserve">oan </w:t>
      </w:r>
      <w:r w:rsidR="00BF4985">
        <w:rPr>
          <w:rFonts w:asciiTheme="minorHAnsi" w:hAnsiTheme="minorHAnsi"/>
          <w:b/>
        </w:rPr>
        <w:t xml:space="preserve"> </w:t>
      </w:r>
    </w:p>
    <w:p w14:paraId="0ACE35F8" w14:textId="46A74E06" w:rsidR="00BF4985" w:rsidRPr="00802ABE" w:rsidRDefault="00BF4985" w:rsidP="00893526">
      <w:pPr>
        <w:pStyle w:val="NoSpacing"/>
        <w:ind w:left="5040" w:hanging="5040"/>
        <w:rPr>
          <w:rFonts w:asciiTheme="minorHAnsi" w:hAnsiTheme="minorHAnsi"/>
          <w:b/>
        </w:rPr>
      </w:pPr>
      <w:r>
        <w:rPr>
          <w:rFonts w:asciiTheme="minorHAnsi" w:hAnsiTheme="minorHAnsi"/>
          <w:b/>
        </w:rPr>
        <w:t xml:space="preserve"> </w:t>
      </w:r>
      <w:r>
        <w:rPr>
          <w:rFonts w:asciiTheme="minorHAnsi" w:hAnsiTheme="minorHAnsi"/>
          <w:b/>
        </w:rPr>
        <w:tab/>
        <w:t xml:space="preserve">   </w:t>
      </w:r>
      <w:r w:rsidRPr="00802ABE">
        <w:rPr>
          <w:rFonts w:asciiTheme="minorHAnsi" w:hAnsiTheme="minorHAnsi"/>
          <w:b/>
        </w:rPr>
        <w:t>A</w:t>
      </w:r>
      <w:r>
        <w:rPr>
          <w:rFonts w:asciiTheme="minorHAnsi" w:hAnsiTheme="minorHAnsi"/>
          <w:b/>
        </w:rPr>
        <w:t>greement</w:t>
      </w:r>
    </w:p>
    <w:p w14:paraId="71A30460" w14:textId="77777777" w:rsidR="00893526" w:rsidRPr="00802ABE" w:rsidRDefault="00893526" w:rsidP="00893526">
      <w:pPr>
        <w:spacing w:after="0" w:line="360" w:lineRule="auto"/>
        <w:ind w:left="5040" w:hanging="5040"/>
        <w:rPr>
          <w:rFonts w:eastAsia="Calibri" w:cs="Times New Roman"/>
          <w:b/>
        </w:rPr>
      </w:pPr>
      <w:r w:rsidRPr="00802ABE">
        <w:rPr>
          <w:b/>
        </w:rPr>
        <w:t>Country</w:t>
      </w:r>
      <w:r w:rsidRPr="00802ABE">
        <w:rPr>
          <w:b/>
        </w:rPr>
        <w:tab/>
        <w:t xml:space="preserve">: South </w:t>
      </w:r>
      <w:proofErr w:type="spellStart"/>
      <w:r w:rsidRPr="00802ABE">
        <w:rPr>
          <w:b/>
        </w:rPr>
        <w:t>Afrcia</w:t>
      </w:r>
      <w:proofErr w:type="spellEnd"/>
      <w:r w:rsidRPr="00802ABE">
        <w:rPr>
          <w:b/>
        </w:rPr>
        <w:t xml:space="preserve"> </w:t>
      </w:r>
    </w:p>
    <w:p w14:paraId="59C852FF" w14:textId="77777777" w:rsidR="006902F1" w:rsidRDefault="00893526" w:rsidP="006902F1">
      <w:pPr>
        <w:pStyle w:val="NoSpacing"/>
        <w:ind w:left="4320" w:hanging="4320"/>
        <w:rPr>
          <w:rFonts w:cs="Arial"/>
        </w:rPr>
      </w:pPr>
      <w:r w:rsidRPr="00802ABE">
        <w:rPr>
          <w:rFonts w:cs="Calibri"/>
          <w:b/>
        </w:rPr>
        <w:t>Description of the assignment</w:t>
      </w:r>
      <w:r w:rsidRPr="00802ABE">
        <w:rPr>
          <w:b/>
        </w:rPr>
        <w:tab/>
      </w:r>
      <w:r w:rsidR="00AD32FF">
        <w:rPr>
          <w:b/>
        </w:rPr>
        <w:tab/>
      </w:r>
      <w:r w:rsidRPr="00802ABE">
        <w:rPr>
          <w:b/>
        </w:rPr>
        <w:t xml:space="preserve">: </w:t>
      </w:r>
      <w:r w:rsidR="006902F1">
        <w:rPr>
          <w:rFonts w:cs="Arial"/>
        </w:rPr>
        <w:t>S</w:t>
      </w:r>
      <w:r w:rsidR="006902F1" w:rsidRPr="00D7677E">
        <w:rPr>
          <w:rFonts w:cs="Arial"/>
        </w:rPr>
        <w:t>upport the UNDP South Africa in carrying the</w:t>
      </w:r>
    </w:p>
    <w:p w14:paraId="032FEBE8" w14:textId="77777777" w:rsidR="006902F1" w:rsidRDefault="006902F1" w:rsidP="006902F1">
      <w:pPr>
        <w:pStyle w:val="NoSpacing"/>
        <w:ind w:left="4320" w:firstLine="720"/>
        <w:rPr>
          <w:rFonts w:cs="Arial"/>
        </w:rPr>
      </w:pPr>
      <w:r>
        <w:rPr>
          <w:rFonts w:cs="Calibri"/>
          <w:b/>
        </w:rPr>
        <w:t xml:space="preserve">   </w:t>
      </w:r>
      <w:r w:rsidRPr="00D7677E">
        <w:rPr>
          <w:rFonts w:cs="Arial"/>
        </w:rPr>
        <w:t xml:space="preserve">key major activities </w:t>
      </w:r>
      <w:r>
        <w:rPr>
          <w:rFonts w:cs="Arial"/>
        </w:rPr>
        <w:t xml:space="preserve">with our project </w:t>
      </w:r>
      <w:r w:rsidRPr="00D7677E">
        <w:rPr>
          <w:rFonts w:cs="Arial"/>
        </w:rPr>
        <w:t xml:space="preserve">partners </w:t>
      </w:r>
    </w:p>
    <w:p w14:paraId="6AF25A3D" w14:textId="5D131EDE" w:rsidR="006902F1" w:rsidRDefault="006902F1" w:rsidP="006902F1">
      <w:pPr>
        <w:pStyle w:val="NoSpacing"/>
        <w:ind w:left="4320" w:firstLine="720"/>
        <w:rPr>
          <w:rFonts w:cs="Arial"/>
        </w:rPr>
      </w:pPr>
      <w:bookmarkStart w:id="0" w:name="_GoBack"/>
      <w:bookmarkEnd w:id="0"/>
      <w:r>
        <w:rPr>
          <w:rFonts w:cs="Arial"/>
        </w:rPr>
        <w:t xml:space="preserve">   </w:t>
      </w:r>
      <w:r>
        <w:rPr>
          <w:rFonts w:cs="Arial"/>
        </w:rPr>
        <w:t xml:space="preserve">and </w:t>
      </w:r>
      <w:proofErr w:type="gramStart"/>
      <w:r>
        <w:rPr>
          <w:rFonts w:cs="Arial"/>
        </w:rPr>
        <w:t>other</w:t>
      </w:r>
      <w:r w:rsidRPr="00D7677E">
        <w:rPr>
          <w:rFonts w:cs="Arial"/>
        </w:rPr>
        <w:t xml:space="preserve"> </w:t>
      </w:r>
      <w:r>
        <w:rPr>
          <w:rFonts w:cs="Arial"/>
        </w:rPr>
        <w:t xml:space="preserve"> stakeholders</w:t>
      </w:r>
      <w:proofErr w:type="gramEnd"/>
      <w:r>
        <w:rPr>
          <w:rFonts w:cs="Arial"/>
        </w:rPr>
        <w:t xml:space="preserve"> in the electoral </w:t>
      </w:r>
      <w:r>
        <w:rPr>
          <w:rFonts w:cs="Arial"/>
        </w:rPr>
        <w:t xml:space="preserve"> </w:t>
      </w:r>
    </w:p>
    <w:p w14:paraId="4194166C" w14:textId="61292FBA" w:rsidR="006902F1" w:rsidRDefault="006902F1" w:rsidP="006902F1">
      <w:pPr>
        <w:pStyle w:val="NoSpacing"/>
        <w:ind w:left="4320" w:firstLine="720"/>
        <w:rPr>
          <w:b/>
        </w:rPr>
      </w:pPr>
      <w:r>
        <w:rPr>
          <w:rFonts w:cs="Arial"/>
        </w:rPr>
        <w:t xml:space="preserve">   </w:t>
      </w:r>
      <w:r>
        <w:rPr>
          <w:rFonts w:cs="Arial"/>
        </w:rPr>
        <w:t>management space</w:t>
      </w:r>
    </w:p>
    <w:p w14:paraId="43026485" w14:textId="77777777" w:rsidR="006902F1" w:rsidRDefault="006902F1" w:rsidP="006902F1">
      <w:pPr>
        <w:pStyle w:val="NoSpacing"/>
        <w:ind w:left="4320" w:hanging="4320"/>
        <w:rPr>
          <w:b/>
        </w:rPr>
      </w:pPr>
    </w:p>
    <w:p w14:paraId="13C68AAB" w14:textId="4AE47616" w:rsidR="00893526" w:rsidRPr="00802ABE" w:rsidRDefault="00893526" w:rsidP="006902F1">
      <w:pPr>
        <w:pStyle w:val="NoSpacing"/>
        <w:ind w:left="4320" w:hanging="4320"/>
      </w:pPr>
      <w:r w:rsidRPr="00802ABE">
        <w:rPr>
          <w:b/>
        </w:rPr>
        <w:t>Estimated Period of assignment/services (if applicable)</w:t>
      </w:r>
      <w:r w:rsidRPr="00802ABE">
        <w:rPr>
          <w:b/>
        </w:rPr>
        <w:tab/>
        <w:t>:</w:t>
      </w:r>
      <w:r w:rsidRPr="00802ABE">
        <w:rPr>
          <w:color w:val="FF0000"/>
        </w:rPr>
        <w:t xml:space="preserve"> </w:t>
      </w:r>
      <w:r w:rsidR="006902F1">
        <w:rPr>
          <w:b/>
        </w:rPr>
        <w:t>3</w:t>
      </w:r>
      <w:r w:rsidR="00BF4985">
        <w:rPr>
          <w:b/>
        </w:rPr>
        <w:t xml:space="preserve"> months</w:t>
      </w:r>
      <w:r w:rsidRPr="00802ABE">
        <w:rPr>
          <w:b/>
        </w:rPr>
        <w:t xml:space="preserve"> </w:t>
      </w:r>
      <w:r w:rsidRPr="00802ABE">
        <w:t xml:space="preserve"> </w:t>
      </w:r>
    </w:p>
    <w:p w14:paraId="42C27C1E" w14:textId="77777777" w:rsidR="00893526" w:rsidRPr="00802ABE" w:rsidRDefault="00893526" w:rsidP="00802ABE">
      <w:pPr>
        <w:tabs>
          <w:tab w:val="left" w:pos="1410"/>
        </w:tabs>
        <w:rPr>
          <w:b/>
        </w:rPr>
      </w:pPr>
    </w:p>
    <w:p w14:paraId="3A205501" w14:textId="07B623DE" w:rsidR="00893526" w:rsidRPr="00802ABE" w:rsidRDefault="00893526" w:rsidP="00893526">
      <w:pPr>
        <w:tabs>
          <w:tab w:val="left" w:pos="1410"/>
        </w:tabs>
        <w:ind w:left="5040" w:hanging="5040"/>
        <w:rPr>
          <w:b/>
        </w:rPr>
      </w:pPr>
      <w:r w:rsidRPr="00802ABE">
        <w:rPr>
          <w:b/>
        </w:rPr>
        <w:t xml:space="preserve">Estimated Contract Commencement Date             </w:t>
      </w:r>
      <w:r w:rsidRPr="00802ABE">
        <w:rPr>
          <w:b/>
        </w:rPr>
        <w:tab/>
        <w:t xml:space="preserve">: </w:t>
      </w:r>
      <w:r w:rsidR="00AD32FF">
        <w:rPr>
          <w:b/>
        </w:rPr>
        <w:t>01</w:t>
      </w:r>
      <w:r w:rsidR="00AD32FF" w:rsidRPr="00AD32FF">
        <w:rPr>
          <w:b/>
          <w:vertAlign w:val="superscript"/>
        </w:rPr>
        <w:t>st</w:t>
      </w:r>
      <w:r w:rsidR="00AD32FF">
        <w:rPr>
          <w:b/>
        </w:rPr>
        <w:t xml:space="preserve"> </w:t>
      </w:r>
      <w:r w:rsidR="00BF4985">
        <w:rPr>
          <w:b/>
        </w:rPr>
        <w:t xml:space="preserve">October </w:t>
      </w:r>
      <w:r w:rsidRPr="00802ABE">
        <w:rPr>
          <w:b/>
        </w:rPr>
        <w:t>2019</w:t>
      </w:r>
    </w:p>
    <w:p w14:paraId="0569D37F" w14:textId="77777777" w:rsidR="00893526" w:rsidRPr="00802ABE" w:rsidRDefault="00893526" w:rsidP="00893526">
      <w:pPr>
        <w:tabs>
          <w:tab w:val="left" w:pos="1410"/>
        </w:tabs>
      </w:pPr>
    </w:p>
    <w:p w14:paraId="47E3513B" w14:textId="12DCF999" w:rsidR="00893526" w:rsidRPr="00802ABE" w:rsidRDefault="00893526" w:rsidP="00893526">
      <w:pPr>
        <w:tabs>
          <w:tab w:val="left" w:pos="1410"/>
        </w:tabs>
      </w:pPr>
      <w:r w:rsidRPr="00802ABE">
        <w:t xml:space="preserve">Proposal should be submitted by email to </w:t>
      </w:r>
      <w:hyperlink r:id="rId14" w:history="1">
        <w:r w:rsidRPr="00802ABE">
          <w:rPr>
            <w:rStyle w:val="Hyperlink"/>
          </w:rPr>
          <w:t>procurement.za@undp.org</w:t>
        </w:r>
      </w:hyperlink>
      <w:r w:rsidRPr="00802ABE">
        <w:t xml:space="preserve">  no later than </w:t>
      </w:r>
      <w:r w:rsidR="006902F1">
        <w:t>10</w:t>
      </w:r>
      <w:r w:rsidR="006902F1" w:rsidRPr="006902F1">
        <w:rPr>
          <w:vertAlign w:val="superscript"/>
        </w:rPr>
        <w:t>th</w:t>
      </w:r>
      <w:r w:rsidR="006902F1">
        <w:t xml:space="preserve"> September</w:t>
      </w:r>
      <w:r w:rsidRPr="00802ABE">
        <w:t xml:space="preserve"> 2019 11:59 Midnight, South Africa time zone (GMT +02:00).</w:t>
      </w:r>
    </w:p>
    <w:p w14:paraId="76B010B5" w14:textId="77777777" w:rsidR="00893526" w:rsidRPr="00802ABE" w:rsidRDefault="00893526" w:rsidP="00893526">
      <w:pPr>
        <w:tabs>
          <w:tab w:val="left" w:pos="1410"/>
        </w:tabs>
      </w:pPr>
      <w:r w:rsidRPr="00802ABE">
        <w:t xml:space="preserve">Any request for clarification must be sent by standard electronic communication to </w:t>
      </w:r>
      <w:hyperlink r:id="rId15" w:history="1">
        <w:r w:rsidRPr="00802ABE">
          <w:rPr>
            <w:rStyle w:val="Hyperlink"/>
          </w:rPr>
          <w:t>procurement.enquiries.za@undp.org</w:t>
        </w:r>
      </w:hyperlink>
      <w:r w:rsidRPr="00802ABE">
        <w:t>. UNDP will respond by standard electronic mail and will send responses, including an explanation of the query without identifying the source of inquiry, to all consultants.</w:t>
      </w:r>
    </w:p>
    <w:p w14:paraId="65AA9D2E" w14:textId="693F4CDA" w:rsidR="009E2B22" w:rsidRPr="00802ABE" w:rsidRDefault="007D726E" w:rsidP="009E2B22">
      <w:pPr>
        <w:tabs>
          <w:tab w:val="left" w:pos="1410"/>
        </w:tabs>
      </w:pPr>
      <w:r w:rsidRPr="00802ABE">
        <w:rPr>
          <w:noProof/>
          <w:lang w:val="en-ZA" w:eastAsia="en-ZA"/>
        </w:rPr>
        <mc:AlternateContent>
          <mc:Choice Requires="wps">
            <w:drawing>
              <wp:anchor distT="0" distB="0" distL="114300" distR="114300" simplePos="0" relativeHeight="251659264" behindDoc="0" locked="0" layoutInCell="1" allowOverlap="1" wp14:anchorId="65AA9DA1" wp14:editId="444B0EE9">
                <wp:simplePos x="0" y="0"/>
                <wp:positionH relativeFrom="column">
                  <wp:posOffset>-7620</wp:posOffset>
                </wp:positionH>
                <wp:positionV relativeFrom="paragraph">
                  <wp:posOffset>107949</wp:posOffset>
                </wp:positionV>
                <wp:extent cx="6256020" cy="45719"/>
                <wp:effectExtent l="0" t="19050" r="49530" b="501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8F94C" id="AutoShape 4" o:spid="_x0000_s1026" type="#_x0000_t32" style="position:absolute;margin-left:-.6pt;margin-top:8.5pt;width:49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wIwIAAEA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" strokecolor="blue" strokeweight="4.5pt"/>
            </w:pict>
          </mc:Fallback>
        </mc:AlternateContent>
      </w:r>
    </w:p>
    <w:p w14:paraId="17DFCE3B" w14:textId="6D535CBB" w:rsidR="009559BA" w:rsidRPr="00802ABE" w:rsidRDefault="009559BA" w:rsidP="009E2B22">
      <w:pPr>
        <w:tabs>
          <w:tab w:val="left" w:pos="1410"/>
        </w:tabs>
        <w:rPr>
          <w:b/>
        </w:rPr>
      </w:pPr>
    </w:p>
    <w:p w14:paraId="32195271" w14:textId="107C9118" w:rsidR="00003110" w:rsidRPr="00802ABE" w:rsidRDefault="00003110" w:rsidP="009E2B22">
      <w:pPr>
        <w:tabs>
          <w:tab w:val="left" w:pos="1410"/>
        </w:tabs>
        <w:rPr>
          <w:b/>
        </w:rPr>
      </w:pPr>
    </w:p>
    <w:p w14:paraId="15D7099B" w14:textId="70AFAE6B" w:rsidR="00003110" w:rsidRPr="00802ABE" w:rsidRDefault="00003110" w:rsidP="009E2B22">
      <w:pPr>
        <w:tabs>
          <w:tab w:val="left" w:pos="1410"/>
        </w:tabs>
        <w:rPr>
          <w:b/>
        </w:rPr>
      </w:pPr>
    </w:p>
    <w:p w14:paraId="1EC33137" w14:textId="4143C5A6" w:rsidR="00893526" w:rsidRPr="00802ABE" w:rsidRDefault="00893526" w:rsidP="009E2B22">
      <w:pPr>
        <w:tabs>
          <w:tab w:val="left" w:pos="1410"/>
        </w:tabs>
        <w:rPr>
          <w:b/>
        </w:rPr>
      </w:pPr>
    </w:p>
    <w:p w14:paraId="600253C2" w14:textId="54542D3D" w:rsidR="00893526" w:rsidRPr="00802ABE" w:rsidRDefault="00893526" w:rsidP="009E2B22">
      <w:pPr>
        <w:tabs>
          <w:tab w:val="left" w:pos="1410"/>
        </w:tabs>
        <w:rPr>
          <w:b/>
        </w:rPr>
      </w:pPr>
    </w:p>
    <w:p w14:paraId="65AA9D2F" w14:textId="38971A7C" w:rsidR="009E2B22" w:rsidRPr="00802ABE" w:rsidRDefault="009E2B22" w:rsidP="009E2B22">
      <w:pPr>
        <w:tabs>
          <w:tab w:val="left" w:pos="1410"/>
        </w:tabs>
        <w:rPr>
          <w:b/>
        </w:rPr>
      </w:pPr>
      <w:r w:rsidRPr="00802ABE">
        <w:rPr>
          <w:b/>
        </w:rPr>
        <w:t>1. BACKGROUND</w:t>
      </w:r>
    </w:p>
    <w:tbl>
      <w:tblPr>
        <w:tblStyle w:val="TableGrid"/>
        <w:tblW w:w="0" w:type="auto"/>
        <w:tblLook w:val="04A0" w:firstRow="1" w:lastRow="0" w:firstColumn="1" w:lastColumn="0" w:noHBand="0" w:noVBand="1"/>
      </w:tblPr>
      <w:tblGrid>
        <w:gridCol w:w="9350"/>
      </w:tblGrid>
      <w:tr w:rsidR="0065710B" w:rsidRPr="00802ABE" w14:paraId="65AA9D36" w14:textId="77777777" w:rsidTr="005A47C7">
        <w:tc>
          <w:tcPr>
            <w:tcW w:w="9350" w:type="dxa"/>
          </w:tcPr>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9134"/>
            </w:tblGrid>
            <w:tr w:rsidR="00003110" w:rsidRPr="00802ABE" w14:paraId="27E20D8B" w14:textId="77777777">
              <w:trPr>
                <w:tblCellSpacing w:w="15" w:type="dxa"/>
              </w:trPr>
              <w:tc>
                <w:tcPr>
                  <w:tcW w:w="0" w:type="auto"/>
                  <w:hideMark/>
                </w:tcPr>
                <w:p w14:paraId="6EFFBE3A" w14:textId="77777777" w:rsidR="006902F1" w:rsidRDefault="006902F1" w:rsidP="006902F1">
                  <w:pPr>
                    <w:jc w:val="both"/>
                  </w:pPr>
                  <w:r>
                    <w:t xml:space="preserve">UNDP South Africa and the Independent Electoral Commission had been in discussions since 2015 to partner on a project to strengthen the capacity of the institution, and more recently, to ensure that the commission explores innovative ways in its electoral management processes. In 2015, a project document was developed in collaboration with UNDP HQ and UNDP South Africa which proposed support across five key result areas: </w:t>
                  </w:r>
                  <w:r w:rsidRPr="00A40A56">
                    <w:rPr>
                      <w:i/>
                    </w:rPr>
                    <w:t>domestic electoral observation, civic education, enhancing their research capabilities, enhanced regional and international partnership, and gender mainstreaming throughout the electoral process.</w:t>
                  </w:r>
                  <w:r>
                    <w:t xml:space="preserve"> A new </w:t>
                  </w:r>
                  <w:proofErr w:type="spellStart"/>
                  <w:r>
                    <w:t>UCount</w:t>
                  </w:r>
                  <w:proofErr w:type="spellEnd"/>
                  <w:r>
                    <w:t xml:space="preserve"> proposal was developed in late 2018, and we received $653,021 in TRAC2 funding, focusing on similar programmatic areas but </w:t>
                  </w:r>
                  <w:proofErr w:type="spellStart"/>
                  <w:r>
                    <w:t>prioritised</w:t>
                  </w:r>
                  <w:proofErr w:type="spellEnd"/>
                  <w:r>
                    <w:t xml:space="preserve"> the use of innovation throughout the electoral process and ‘pushing the boundaries’ in each. The project will also </w:t>
                  </w:r>
                  <w:proofErr w:type="spellStart"/>
                  <w:r>
                    <w:t>prioritise</w:t>
                  </w:r>
                  <w:proofErr w:type="spellEnd"/>
                  <w:r>
                    <w:t xml:space="preserve"> South-South cooperation and will </w:t>
                  </w:r>
                  <w:proofErr w:type="spellStart"/>
                  <w:r>
                    <w:t>utilise</w:t>
                  </w:r>
                  <w:proofErr w:type="spellEnd"/>
                  <w:r>
                    <w:t xml:space="preserve"> all opportunities to build the capacity of </w:t>
                  </w:r>
                  <w:proofErr w:type="spellStart"/>
                  <w:r>
                    <w:t>neighbouring</w:t>
                  </w:r>
                  <w:proofErr w:type="spellEnd"/>
                  <w:r>
                    <w:t xml:space="preserve"> countries and to strengthen South Africa’s role as a continent leader. </w:t>
                  </w:r>
                </w:p>
                <w:p w14:paraId="6431B04D" w14:textId="77777777" w:rsidR="006902F1" w:rsidRDefault="006902F1" w:rsidP="006902F1">
                  <w:pPr>
                    <w:pStyle w:val="Body"/>
                    <w:jc w:val="both"/>
                    <w:rPr>
                      <w:rStyle w:val="eop"/>
                      <w:shd w:val="clear" w:color="auto" w:fill="FFFFFF"/>
                    </w:rPr>
                  </w:pPr>
                  <w:r>
                    <w:t xml:space="preserve">Since March 2019, </w:t>
                  </w:r>
                  <w:r>
                    <w:rPr>
                      <w:rStyle w:val="normaltextrun"/>
                      <w:shd w:val="clear" w:color="auto" w:fill="FFFFFF"/>
                      <w:lang w:val="en-GB"/>
                    </w:rPr>
                    <w:t>UNDP has on several occasions iterated with senior management of the commission and provided support in the development of knowledge products as build-up to the 8 May 2019 elections, in areas of domestic observation and civic education. The long-term support will focus on the 2021 local government elections.</w:t>
                  </w:r>
                  <w:r>
                    <w:rPr>
                      <w:rStyle w:val="eop"/>
                      <w:shd w:val="clear" w:color="auto" w:fill="FFFFFF"/>
                    </w:rPr>
                    <w:t> </w:t>
                  </w:r>
                </w:p>
                <w:p w14:paraId="61457647" w14:textId="77777777" w:rsidR="006902F1" w:rsidRPr="00944A16" w:rsidRDefault="006902F1" w:rsidP="006902F1">
                  <w:pPr>
                    <w:pStyle w:val="Body"/>
                    <w:jc w:val="both"/>
                    <w:rPr>
                      <w:lang w:val="en-US"/>
                    </w:rPr>
                  </w:pPr>
                  <w:r>
                    <w:rPr>
                      <w:rStyle w:val="eop"/>
                      <w:shd w:val="clear" w:color="auto" w:fill="FFFFFF"/>
                    </w:rPr>
                    <w:t xml:space="preserve">The short-term priorities are to finalise and sign off the project document, implement the 2019 agreed upon activities, viz. the </w:t>
                  </w:r>
                  <w:r>
                    <w:t xml:space="preserve">support the Electoral Commission in collaborating with a youth led NGO to deliver a small grants scheme to youth across South Africa to develop a peer to peer learning civic education programme; </w:t>
                  </w:r>
                  <w:r>
                    <w:rPr>
                      <w:lang w:val="en-US"/>
                    </w:rPr>
                    <w:t>the publication of a research report examining women’s political representation since democracy in the three tiers of government; and explore and provide exposure to the Commission on new technologies that can be adopted in the 2021 local government elections, as part of t</w:t>
                  </w:r>
                  <w:r w:rsidRPr="00944A16">
                    <w:rPr>
                      <w:lang w:val="en-US"/>
                    </w:rPr>
                    <w:t>ransitioning from a purely manual system to an electronic voter identification that is fool proof and cyber secure</w:t>
                  </w:r>
                  <w:r>
                    <w:rPr>
                      <w:lang w:val="en-US"/>
                    </w:rPr>
                    <w:t>.</w:t>
                  </w:r>
                </w:p>
                <w:p w14:paraId="47C33C03" w14:textId="33378588" w:rsidR="00003110" w:rsidRPr="00BF4985" w:rsidRDefault="00003110" w:rsidP="006902F1">
                  <w:pPr>
                    <w:tabs>
                      <w:tab w:val="left" w:pos="220"/>
                      <w:tab w:val="left" w:pos="720"/>
                    </w:tabs>
                    <w:autoSpaceDE w:val="0"/>
                    <w:autoSpaceDN w:val="0"/>
                    <w:jc w:val="both"/>
                    <w:rPr>
                      <w:rFonts w:ascii="Arial" w:hAnsi="Arial" w:cs="Arial"/>
                      <w:color w:val="000000"/>
                      <w:sz w:val="20"/>
                      <w:szCs w:val="20"/>
                    </w:rPr>
                  </w:pPr>
                </w:p>
              </w:tc>
            </w:tr>
          </w:tbl>
          <w:p w14:paraId="65AA9D35" w14:textId="02295D09" w:rsidR="007C7A42" w:rsidRPr="00802ABE" w:rsidRDefault="007C7A42" w:rsidP="00003110">
            <w:pPr>
              <w:spacing w:line="360" w:lineRule="auto"/>
              <w:rPr>
                <w:sz w:val="20"/>
                <w:szCs w:val="20"/>
                <w:lang w:val="en-ZA"/>
              </w:rPr>
            </w:pPr>
          </w:p>
        </w:tc>
      </w:tr>
      <w:tr w:rsidR="0065710B" w:rsidRPr="00BF4985" w14:paraId="65AA9D3D" w14:textId="77777777" w:rsidTr="005A47C7">
        <w:tc>
          <w:tcPr>
            <w:tcW w:w="9350" w:type="dxa"/>
          </w:tcPr>
          <w:p w14:paraId="2B8D7A7E" w14:textId="531CA968" w:rsidR="00BF4985" w:rsidRDefault="006902F1" w:rsidP="00BF4985">
            <w:pPr>
              <w:pStyle w:val="BodyText"/>
              <w:spacing w:line="276" w:lineRule="auto"/>
              <w:ind w:left="100" w:right="111"/>
              <w:jc w:val="both"/>
              <w:rPr>
                <w:b/>
                <w:sz w:val="20"/>
              </w:rPr>
            </w:pPr>
            <w:r w:rsidRPr="00802ABE">
              <w:rPr>
                <w:b/>
                <w:sz w:val="20"/>
              </w:rPr>
              <w:t>2. SCOPE OF WORK, RESPONSIBILITIES AND DESCRIPTION OF THE PROPOSED ANALYTICAL WORK</w:t>
            </w:r>
          </w:p>
          <w:p w14:paraId="0D9BDE5D" w14:textId="77777777" w:rsidR="006902F1" w:rsidRDefault="006902F1" w:rsidP="00BF4985">
            <w:pPr>
              <w:pStyle w:val="BodyText"/>
              <w:spacing w:line="276" w:lineRule="auto"/>
              <w:ind w:left="100" w:right="111"/>
              <w:jc w:val="both"/>
              <w:rPr>
                <w:sz w:val="22"/>
                <w:szCs w:val="22"/>
              </w:rPr>
            </w:pPr>
          </w:p>
          <w:p w14:paraId="71024BF9" w14:textId="4DA2037F" w:rsidR="00AD32FF" w:rsidRPr="00BF4985" w:rsidRDefault="006902F1" w:rsidP="00AD32FF">
            <w:pPr>
              <w:jc w:val="both"/>
              <w:rPr>
                <w:rFonts w:ascii="Times New Roman" w:hAnsi="Times New Roman" w:cs="Times New Roman"/>
                <w:bCs/>
              </w:rPr>
            </w:pPr>
            <w:r>
              <w:rPr>
                <w:rFonts w:cs="Arial"/>
              </w:rPr>
              <w:t xml:space="preserve">UNDP requires the services of consultant who will be based at the country office for the duration of the assignment. </w:t>
            </w:r>
            <w:r w:rsidRPr="00D7677E">
              <w:rPr>
                <w:rFonts w:cs="Arial"/>
              </w:rPr>
              <w:t xml:space="preserve">The purpose of this short –term consultancy is to </w:t>
            </w:r>
            <w:bookmarkStart w:id="1" w:name="_Hlk18046063"/>
            <w:r w:rsidRPr="00D7677E">
              <w:rPr>
                <w:rFonts w:cs="Arial"/>
              </w:rPr>
              <w:t xml:space="preserve">support the UNDP South Africa in carrying the key major activities </w:t>
            </w:r>
            <w:r>
              <w:rPr>
                <w:rFonts w:cs="Arial"/>
              </w:rPr>
              <w:t xml:space="preserve">with our project </w:t>
            </w:r>
            <w:r w:rsidRPr="00D7677E">
              <w:rPr>
                <w:rFonts w:cs="Arial"/>
              </w:rPr>
              <w:t xml:space="preserve">partners </w:t>
            </w:r>
            <w:r>
              <w:rPr>
                <w:rFonts w:cs="Arial"/>
              </w:rPr>
              <w:t>and other stakeholders in the electoral management space</w:t>
            </w:r>
            <w:bookmarkEnd w:id="1"/>
            <w:r>
              <w:rPr>
                <w:rFonts w:cs="Arial"/>
              </w:rPr>
              <w:t>.</w:t>
            </w:r>
          </w:p>
          <w:p w14:paraId="65AA9D3C" w14:textId="63F1DEA9" w:rsidR="00AD32FF" w:rsidRPr="00BF4985" w:rsidRDefault="00AD32FF" w:rsidP="006902F1">
            <w:pPr>
              <w:pStyle w:val="ListParagraph"/>
              <w:spacing w:after="160" w:line="259" w:lineRule="auto"/>
              <w:ind w:left="927"/>
              <w:rPr>
                <w:rFonts w:ascii="Times New Roman" w:hAnsi="Times New Roman" w:cs="Times New Roman"/>
                <w:bCs/>
              </w:rPr>
            </w:pPr>
          </w:p>
        </w:tc>
      </w:tr>
    </w:tbl>
    <w:p w14:paraId="633C7E5B" w14:textId="420F1B78" w:rsidR="006902F1" w:rsidRDefault="006902F1" w:rsidP="00A24134">
      <w:pPr>
        <w:rPr>
          <w:b/>
        </w:rPr>
      </w:pPr>
    </w:p>
    <w:p w14:paraId="589DAF4C" w14:textId="1CFB6739" w:rsidR="006902F1" w:rsidRDefault="006902F1" w:rsidP="00A24134">
      <w:pPr>
        <w:rPr>
          <w:b/>
        </w:rPr>
      </w:pPr>
    </w:p>
    <w:p w14:paraId="73B3C80D" w14:textId="77777777" w:rsidR="006902F1" w:rsidRDefault="006902F1" w:rsidP="00A24134">
      <w:pPr>
        <w:rPr>
          <w:b/>
        </w:rPr>
      </w:pPr>
    </w:p>
    <w:p w14:paraId="65AA9D40" w14:textId="746509F9" w:rsidR="002223E0" w:rsidRPr="00802ABE" w:rsidRDefault="002223E0" w:rsidP="00A24134">
      <w:pPr>
        <w:rPr>
          <w:b/>
        </w:rPr>
      </w:pPr>
      <w:r w:rsidRPr="00802ABE">
        <w:rPr>
          <w:b/>
        </w:rPr>
        <w:t xml:space="preserve">3. </w:t>
      </w:r>
      <w:r w:rsidR="00C22E07" w:rsidRPr="00802ABE">
        <w:rPr>
          <w:b/>
        </w:rPr>
        <w:t xml:space="preserve">REQUIREMENTS FOR EXPERIENCE AND </w:t>
      </w:r>
      <w:r w:rsidRPr="00802ABE">
        <w:rPr>
          <w:b/>
        </w:rPr>
        <w:t>QUALIFICATIONS</w:t>
      </w:r>
    </w:p>
    <w:tbl>
      <w:tblPr>
        <w:tblStyle w:val="TableGrid"/>
        <w:tblW w:w="0" w:type="auto"/>
        <w:tblLook w:val="04A0" w:firstRow="1" w:lastRow="0" w:firstColumn="1" w:lastColumn="0" w:noHBand="0" w:noVBand="1"/>
      </w:tblPr>
      <w:tblGrid>
        <w:gridCol w:w="9350"/>
      </w:tblGrid>
      <w:tr w:rsidR="00443E94" w:rsidRPr="00802ABE" w14:paraId="65AA9D51" w14:textId="77777777" w:rsidTr="00443E94">
        <w:tc>
          <w:tcPr>
            <w:tcW w:w="9576" w:type="dxa"/>
          </w:tcPr>
          <w:p w14:paraId="76248B2D" w14:textId="77777777" w:rsidR="006902F1" w:rsidRDefault="006902F1" w:rsidP="006902F1">
            <w:pPr>
              <w:pStyle w:val="ListParagraph"/>
              <w:numPr>
                <w:ilvl w:val="0"/>
                <w:numId w:val="42"/>
              </w:numPr>
              <w:tabs>
                <w:tab w:val="left" w:pos="3060"/>
                <w:tab w:val="left" w:pos="4860"/>
                <w:tab w:val="decimal" w:pos="9498"/>
              </w:tabs>
              <w:spacing w:before="240"/>
              <w:jc w:val="both"/>
              <w:rPr>
                <w:rFonts w:cs="Arial"/>
                <w:bCs/>
                <w:color w:val="000000" w:themeColor="text1"/>
              </w:rPr>
            </w:pPr>
            <w:r w:rsidRPr="005D171E">
              <w:rPr>
                <w:rFonts w:cs="Arial"/>
                <w:bCs/>
                <w:color w:val="000000" w:themeColor="text1"/>
              </w:rPr>
              <w:t>Bachelor's degree</w:t>
            </w:r>
            <w:r w:rsidRPr="005D171E">
              <w:rPr>
                <w:rFonts w:cs="Arial"/>
                <w:b/>
                <w:bCs/>
                <w:color w:val="000000" w:themeColor="text1"/>
              </w:rPr>
              <w:t xml:space="preserve"> </w:t>
            </w:r>
            <w:r>
              <w:t xml:space="preserve">in either </w:t>
            </w:r>
            <w:r w:rsidRPr="005D171E">
              <w:rPr>
                <w:rFonts w:cs="Arial"/>
                <w:bCs/>
                <w:color w:val="000000" w:themeColor="text1"/>
              </w:rPr>
              <w:t>Political sciences, social sciences, social policy, philosophy, human rights</w:t>
            </w:r>
            <w:r>
              <w:rPr>
                <w:rFonts w:cs="Arial"/>
                <w:bCs/>
                <w:color w:val="000000" w:themeColor="text1"/>
              </w:rPr>
              <w:t xml:space="preserve"> </w:t>
            </w:r>
          </w:p>
          <w:p w14:paraId="72FC336F" w14:textId="77777777" w:rsidR="006902F1" w:rsidRPr="005D171E" w:rsidRDefault="006902F1" w:rsidP="006902F1">
            <w:pPr>
              <w:pStyle w:val="ListParagraph"/>
              <w:numPr>
                <w:ilvl w:val="0"/>
                <w:numId w:val="42"/>
              </w:numPr>
              <w:tabs>
                <w:tab w:val="left" w:pos="3060"/>
                <w:tab w:val="left" w:pos="4860"/>
                <w:tab w:val="decimal" w:pos="9498"/>
              </w:tabs>
              <w:spacing w:before="240"/>
              <w:jc w:val="both"/>
              <w:rPr>
                <w:rFonts w:cs="Arial"/>
                <w:bCs/>
                <w:color w:val="000000" w:themeColor="text1"/>
              </w:rPr>
            </w:pPr>
            <w:r>
              <w:rPr>
                <w:rFonts w:cs="Arial"/>
                <w:bCs/>
                <w:color w:val="000000" w:themeColor="text1"/>
              </w:rPr>
              <w:t xml:space="preserve">Knowledge about electoral matters </w:t>
            </w:r>
          </w:p>
          <w:p w14:paraId="504E0D5A" w14:textId="77777777" w:rsidR="006902F1" w:rsidRDefault="006902F1" w:rsidP="006902F1">
            <w:pPr>
              <w:numPr>
                <w:ilvl w:val="0"/>
                <w:numId w:val="41"/>
              </w:numPr>
              <w:contextualSpacing/>
              <w:jc w:val="both"/>
              <w:rPr>
                <w:rFonts w:eastAsia="Times New Roman" w:cs="Arial"/>
              </w:rPr>
            </w:pPr>
            <w:r w:rsidRPr="00BC42C6">
              <w:rPr>
                <w:rFonts w:eastAsia="Times New Roman" w:cs="Arial"/>
              </w:rPr>
              <w:t xml:space="preserve">Demonstrated interest and </w:t>
            </w:r>
            <w:r>
              <w:rPr>
                <w:rFonts w:eastAsia="Times New Roman" w:cs="Arial"/>
              </w:rPr>
              <w:t>5 years’</w:t>
            </w:r>
            <w:r w:rsidRPr="00BC42C6">
              <w:rPr>
                <w:rFonts w:eastAsia="Times New Roman" w:cs="Arial"/>
              </w:rPr>
              <w:t xml:space="preserve"> experience in </w:t>
            </w:r>
            <w:r w:rsidRPr="00976A05">
              <w:rPr>
                <w:rFonts w:eastAsia="Calibri" w:cs="Arial"/>
                <w:bCs/>
                <w:color w:val="000000" w:themeColor="text1"/>
              </w:rPr>
              <w:t xml:space="preserve">social policy, government, human rights, </w:t>
            </w:r>
            <w:r>
              <w:rPr>
                <w:rFonts w:eastAsia="Calibri" w:cs="Arial"/>
                <w:bCs/>
                <w:color w:val="000000" w:themeColor="text1"/>
              </w:rPr>
              <w:t xml:space="preserve">democracy education, </w:t>
            </w:r>
            <w:r w:rsidRPr="00976A05">
              <w:rPr>
                <w:rFonts w:eastAsia="Calibri" w:cs="Arial"/>
                <w:bCs/>
                <w:color w:val="000000" w:themeColor="text1"/>
              </w:rPr>
              <w:t>community development, political analysis.</w:t>
            </w:r>
            <w:r>
              <w:rPr>
                <w:rFonts w:eastAsia="Calibri" w:cs="Arial"/>
                <w:b/>
                <w:bCs/>
                <w:color w:val="000000" w:themeColor="text1"/>
              </w:rPr>
              <w:t xml:space="preserve"> </w:t>
            </w:r>
            <w:r w:rsidRPr="00BC42C6">
              <w:rPr>
                <w:rFonts w:eastAsia="Times New Roman" w:cs="Arial"/>
              </w:rPr>
              <w:t xml:space="preserve"> </w:t>
            </w:r>
          </w:p>
          <w:p w14:paraId="5D63226A" w14:textId="77777777" w:rsidR="006902F1" w:rsidRDefault="006902F1" w:rsidP="006902F1">
            <w:pPr>
              <w:numPr>
                <w:ilvl w:val="0"/>
                <w:numId w:val="41"/>
              </w:numPr>
              <w:contextualSpacing/>
              <w:jc w:val="both"/>
              <w:rPr>
                <w:rFonts w:eastAsia="Times New Roman" w:cs="Arial"/>
              </w:rPr>
            </w:pPr>
            <w:r>
              <w:rPr>
                <w:rFonts w:eastAsia="Times New Roman" w:cs="Arial"/>
              </w:rPr>
              <w:t xml:space="preserve">Knowledge and experience working with government in South Africa at all levels, and with civil society and community-based organizations </w:t>
            </w:r>
          </w:p>
          <w:p w14:paraId="3F2C2BDA" w14:textId="77777777" w:rsidR="006902F1" w:rsidRDefault="006902F1" w:rsidP="006902F1">
            <w:pPr>
              <w:numPr>
                <w:ilvl w:val="0"/>
                <w:numId w:val="41"/>
              </w:numPr>
              <w:contextualSpacing/>
              <w:jc w:val="both"/>
              <w:rPr>
                <w:rFonts w:eastAsia="Times New Roman" w:cs="Arial"/>
              </w:rPr>
            </w:pPr>
            <w:r>
              <w:rPr>
                <w:rFonts w:eastAsia="Times New Roman" w:cs="Arial"/>
              </w:rPr>
              <w:t xml:space="preserve">Good writing and analytic skills </w:t>
            </w:r>
          </w:p>
          <w:p w14:paraId="1C9B20E4" w14:textId="77777777" w:rsidR="006902F1" w:rsidRDefault="006902F1" w:rsidP="006902F1">
            <w:pPr>
              <w:numPr>
                <w:ilvl w:val="0"/>
                <w:numId w:val="41"/>
              </w:numPr>
              <w:contextualSpacing/>
              <w:jc w:val="both"/>
              <w:rPr>
                <w:rFonts w:eastAsia="Times New Roman" w:cs="Arial"/>
              </w:rPr>
            </w:pPr>
            <w:r>
              <w:rPr>
                <w:rFonts w:eastAsia="Times New Roman" w:cs="Arial"/>
              </w:rPr>
              <w:t xml:space="preserve">Demonstrated project management and coordination experience </w:t>
            </w:r>
          </w:p>
          <w:p w14:paraId="06498460" w14:textId="77777777" w:rsidR="006902F1" w:rsidRDefault="006902F1" w:rsidP="006902F1">
            <w:pPr>
              <w:widowControl w:val="0"/>
              <w:numPr>
                <w:ilvl w:val="0"/>
                <w:numId w:val="41"/>
              </w:numPr>
              <w:tabs>
                <w:tab w:val="left" w:pos="220"/>
                <w:tab w:val="left" w:pos="720"/>
              </w:tabs>
              <w:autoSpaceDE w:val="0"/>
              <w:autoSpaceDN w:val="0"/>
              <w:adjustRightInd w:val="0"/>
              <w:rPr>
                <w:rFonts w:cs="Arial"/>
              </w:rPr>
            </w:pPr>
            <w:r w:rsidRPr="005D171E">
              <w:rPr>
                <w:rFonts w:cs="Arial"/>
              </w:rPr>
              <w:t>Excellent interpersonal skills and ability to establish and maintain</w:t>
            </w:r>
            <w:r>
              <w:rPr>
                <w:rFonts w:cs="Arial"/>
              </w:rPr>
              <w:t xml:space="preserve"> </w:t>
            </w:r>
            <w:r w:rsidRPr="005D171E">
              <w:rPr>
                <w:rFonts w:cs="Arial"/>
              </w:rPr>
              <w:t>effective partnerships and working relations in a multi-cultural, multi-ethnic env</w:t>
            </w:r>
            <w:r>
              <w:rPr>
                <w:rFonts w:cs="Arial"/>
              </w:rPr>
              <w:t>ironment,</w:t>
            </w:r>
            <w:r w:rsidRPr="005D171E">
              <w:rPr>
                <w:rFonts w:cs="Arial"/>
              </w:rPr>
              <w:t xml:space="preserve"> with sensitivity and</w:t>
            </w:r>
            <w:r>
              <w:rPr>
                <w:rFonts w:cs="Arial"/>
              </w:rPr>
              <w:t xml:space="preserve"> </w:t>
            </w:r>
            <w:r w:rsidRPr="005D171E">
              <w:rPr>
                <w:rFonts w:cs="Arial"/>
              </w:rPr>
              <w:t>respect for diversity</w:t>
            </w:r>
          </w:p>
          <w:p w14:paraId="65AA9D50" w14:textId="21F95AFE" w:rsidR="00443E94" w:rsidRPr="00BF4985" w:rsidRDefault="00BF4985" w:rsidP="006902F1">
            <w:pPr>
              <w:pStyle w:val="ListParagraph"/>
              <w:spacing w:after="160" w:line="259" w:lineRule="auto"/>
              <w:rPr>
                <w:rFonts w:ascii="Arial" w:hAnsi="Arial" w:cs="Arial"/>
                <w:sz w:val="20"/>
                <w:szCs w:val="20"/>
              </w:rPr>
            </w:pPr>
            <w:r w:rsidRPr="00B940E8">
              <w:rPr>
                <w:rFonts w:ascii="Arial" w:hAnsi="Arial" w:cs="Arial"/>
                <w:sz w:val="20"/>
                <w:szCs w:val="20"/>
              </w:rPr>
              <w:t xml:space="preserve"> </w:t>
            </w:r>
          </w:p>
        </w:tc>
      </w:tr>
    </w:tbl>
    <w:p w14:paraId="6FB16EED" w14:textId="77777777" w:rsidR="00802ABE" w:rsidRDefault="00802ABE" w:rsidP="00A24134">
      <w:pPr>
        <w:rPr>
          <w:b/>
        </w:rPr>
      </w:pPr>
    </w:p>
    <w:p w14:paraId="65AA9D53" w14:textId="5116B884" w:rsidR="002223E0" w:rsidRPr="00802ABE" w:rsidRDefault="006C491D" w:rsidP="00A24134">
      <w:pPr>
        <w:rPr>
          <w:b/>
        </w:rPr>
      </w:pPr>
      <w:r w:rsidRPr="00802ABE">
        <w:rPr>
          <w:b/>
        </w:rPr>
        <w:t xml:space="preserve">4. DOCUMENTS TO BE </w:t>
      </w:r>
      <w:r w:rsidR="004D3F24" w:rsidRPr="00802ABE">
        <w:rPr>
          <w:b/>
        </w:rPr>
        <w:t xml:space="preserve">INCLUDED </w:t>
      </w:r>
      <w:r w:rsidRPr="00802ABE">
        <w:rPr>
          <w:b/>
        </w:rPr>
        <w:t>WHEN SUBMITTING THE PROPOSALS.</w:t>
      </w:r>
    </w:p>
    <w:tbl>
      <w:tblPr>
        <w:tblStyle w:val="TableGrid"/>
        <w:tblW w:w="0" w:type="auto"/>
        <w:tblLook w:val="04A0" w:firstRow="1" w:lastRow="0" w:firstColumn="1" w:lastColumn="0" w:noHBand="0" w:noVBand="1"/>
      </w:tblPr>
      <w:tblGrid>
        <w:gridCol w:w="9350"/>
      </w:tblGrid>
      <w:tr w:rsidR="00443E94" w:rsidRPr="00802ABE" w14:paraId="65AA9D5B" w14:textId="77777777" w:rsidTr="00443E94">
        <w:tc>
          <w:tcPr>
            <w:tcW w:w="9576" w:type="dxa"/>
          </w:tcPr>
          <w:p w14:paraId="35A0E9E1" w14:textId="77777777" w:rsidR="00845233" w:rsidRPr="00802ABE" w:rsidRDefault="00845233" w:rsidP="00845233">
            <w:pPr>
              <w:jc w:val="both"/>
            </w:pPr>
            <w:r w:rsidRPr="00802ABE">
              <w:t xml:space="preserve">Applicants are required to submit the following: </w:t>
            </w:r>
          </w:p>
          <w:p w14:paraId="79392437" w14:textId="77777777" w:rsidR="00845233" w:rsidRPr="00802ABE" w:rsidRDefault="00845233" w:rsidP="00845233">
            <w:pPr>
              <w:jc w:val="both"/>
            </w:pPr>
          </w:p>
          <w:p w14:paraId="4D0AF00C" w14:textId="77777777" w:rsidR="000560CB" w:rsidRPr="00802ABE" w:rsidRDefault="000560CB" w:rsidP="000560CB">
            <w:pPr>
              <w:numPr>
                <w:ilvl w:val="0"/>
                <w:numId w:val="20"/>
              </w:numPr>
              <w:contextualSpacing/>
              <w:jc w:val="both"/>
            </w:pPr>
            <w:r w:rsidRPr="00802ABE">
              <w:t>A Technical Proposal: (</w:t>
            </w:r>
            <w:proofErr w:type="spellStart"/>
            <w:r w:rsidRPr="00802ABE">
              <w:t>i</w:t>
            </w:r>
            <w:proofErr w:type="spellEnd"/>
            <w:r w:rsidRPr="00802ABE">
              <w:t>) Letter of Interest, stating why you consider your service suitable for the assignment; and (ii) a brief methodology on the approach and implementation of the assignment, including broad time-frame (phases), and well-defined deliverables in relation to the scope of work, the costs per deliverable(s);</w:t>
            </w:r>
          </w:p>
          <w:p w14:paraId="37A7DEE4" w14:textId="5B6B5825" w:rsidR="000560CB" w:rsidRPr="00802ABE" w:rsidRDefault="000560CB" w:rsidP="000560CB">
            <w:pPr>
              <w:numPr>
                <w:ilvl w:val="0"/>
                <w:numId w:val="20"/>
              </w:numPr>
              <w:contextualSpacing/>
              <w:jc w:val="both"/>
            </w:pPr>
            <w:r w:rsidRPr="00802ABE">
              <w:t xml:space="preserve">Evidence and examples of similar </w:t>
            </w:r>
            <w:r w:rsidR="00956F35" w:rsidRPr="00802ABE">
              <w:t>work done</w:t>
            </w:r>
            <w:r w:rsidRPr="00802ABE">
              <w:t>;</w:t>
            </w:r>
          </w:p>
          <w:p w14:paraId="3E1EA533" w14:textId="77777777" w:rsidR="000560CB" w:rsidRPr="00802ABE" w:rsidRDefault="000560CB" w:rsidP="000560CB">
            <w:pPr>
              <w:numPr>
                <w:ilvl w:val="0"/>
                <w:numId w:val="20"/>
              </w:numPr>
              <w:contextualSpacing/>
              <w:jc w:val="both"/>
            </w:pPr>
            <w:r w:rsidRPr="00802ABE">
              <w:t xml:space="preserve">Personal CVs highlighting qualifications and experience in similar projects; </w:t>
            </w:r>
          </w:p>
          <w:p w14:paraId="38B45D3C" w14:textId="77777777" w:rsidR="000560CB" w:rsidRPr="00802ABE" w:rsidRDefault="000560CB" w:rsidP="000560CB">
            <w:pPr>
              <w:numPr>
                <w:ilvl w:val="0"/>
                <w:numId w:val="20"/>
              </w:numPr>
              <w:contextualSpacing/>
              <w:jc w:val="both"/>
            </w:pPr>
            <w:r w:rsidRPr="00802ABE">
              <w:t xml:space="preserve">Work references - contact details (e-mail addresses) of referees (organization for whom you’ve produced similar assignments); </w:t>
            </w:r>
          </w:p>
          <w:p w14:paraId="65AA9D5A" w14:textId="55ABF20A" w:rsidR="0065710B" w:rsidRPr="00802ABE" w:rsidRDefault="000560CB" w:rsidP="000560CB">
            <w:pPr>
              <w:numPr>
                <w:ilvl w:val="0"/>
                <w:numId w:val="20"/>
              </w:numPr>
              <w:contextualSpacing/>
              <w:jc w:val="both"/>
              <w:rPr>
                <w:rFonts w:eastAsia="Calibri"/>
              </w:rPr>
            </w:pPr>
            <w:r w:rsidRPr="00802ABE">
              <w:t>All-inclusive financial proposal indicating consultancy fee (South African Rand) and a breakdown of expenses (unit price together with any other expenses) related to the assignment. The proposal must incorporate all travel costs for the service provider to achieve the required deliverables.</w:t>
            </w:r>
          </w:p>
        </w:tc>
      </w:tr>
    </w:tbl>
    <w:p w14:paraId="65AA9D5C" w14:textId="04F9652D" w:rsidR="003836C0" w:rsidRDefault="003836C0" w:rsidP="0033411B">
      <w:pPr>
        <w:autoSpaceDE w:val="0"/>
        <w:autoSpaceDN w:val="0"/>
        <w:adjustRightInd w:val="0"/>
        <w:spacing w:after="0" w:line="240" w:lineRule="auto"/>
        <w:rPr>
          <w:rFonts w:cs="Calibri"/>
          <w:b/>
        </w:rPr>
      </w:pPr>
    </w:p>
    <w:p w14:paraId="65AA9D5D" w14:textId="77777777" w:rsidR="0065710B" w:rsidRPr="00802ABE" w:rsidRDefault="0065710B" w:rsidP="0033411B">
      <w:pPr>
        <w:autoSpaceDE w:val="0"/>
        <w:autoSpaceDN w:val="0"/>
        <w:adjustRightInd w:val="0"/>
        <w:spacing w:after="0" w:line="240" w:lineRule="auto"/>
        <w:rPr>
          <w:rFonts w:cs="Calibri"/>
          <w:b/>
        </w:rPr>
      </w:pPr>
    </w:p>
    <w:p w14:paraId="65AA9D5E" w14:textId="77777777" w:rsidR="0033411B" w:rsidRPr="00802ABE" w:rsidRDefault="00FE7C9D" w:rsidP="00A6756E">
      <w:pPr>
        <w:autoSpaceDE w:val="0"/>
        <w:autoSpaceDN w:val="0"/>
        <w:adjustRightInd w:val="0"/>
        <w:spacing w:after="0" w:line="240" w:lineRule="auto"/>
        <w:rPr>
          <w:rFonts w:cs="Calibri"/>
          <w:b/>
        </w:rPr>
      </w:pPr>
      <w:r w:rsidRPr="00802ABE">
        <w:rPr>
          <w:rFonts w:cs="Calibri"/>
          <w:b/>
        </w:rPr>
        <w:t xml:space="preserve">5. </w:t>
      </w:r>
      <w:r w:rsidR="0001012F" w:rsidRPr="00802ABE">
        <w:rPr>
          <w:rFonts w:cs="Calibri"/>
          <w:b/>
        </w:rPr>
        <w:t>FINANCIAL PROPOSAL</w:t>
      </w:r>
    </w:p>
    <w:tbl>
      <w:tblPr>
        <w:tblStyle w:val="TableGrid"/>
        <w:tblW w:w="0" w:type="auto"/>
        <w:tblLook w:val="04A0" w:firstRow="1" w:lastRow="0" w:firstColumn="1" w:lastColumn="0" w:noHBand="0" w:noVBand="1"/>
      </w:tblPr>
      <w:tblGrid>
        <w:gridCol w:w="9350"/>
      </w:tblGrid>
      <w:tr w:rsidR="00443E94" w:rsidRPr="00802ABE" w14:paraId="65AA9D69" w14:textId="77777777" w:rsidTr="00443E94">
        <w:tc>
          <w:tcPr>
            <w:tcW w:w="9576" w:type="dxa"/>
          </w:tcPr>
          <w:p w14:paraId="65AA9D60" w14:textId="77777777" w:rsidR="0065710B" w:rsidRPr="00802ABE" w:rsidRDefault="0065710B" w:rsidP="0065710B">
            <w:pPr>
              <w:pStyle w:val="ListParagraph"/>
              <w:numPr>
                <w:ilvl w:val="0"/>
                <w:numId w:val="5"/>
              </w:numPr>
              <w:autoSpaceDE w:val="0"/>
              <w:autoSpaceDN w:val="0"/>
              <w:adjustRightInd w:val="0"/>
              <w:rPr>
                <w:rFonts w:cs="Arial"/>
                <w:b/>
                <w:sz w:val="20"/>
                <w:szCs w:val="20"/>
              </w:rPr>
            </w:pPr>
            <w:r w:rsidRPr="00802ABE">
              <w:rPr>
                <w:rFonts w:cs="Arial"/>
                <w:b/>
                <w:sz w:val="20"/>
                <w:szCs w:val="20"/>
              </w:rPr>
              <w:t>Lump sum contracts</w:t>
            </w:r>
          </w:p>
          <w:p w14:paraId="26783868" w14:textId="0EDD1C64" w:rsidR="00802ABE" w:rsidRPr="00802ABE" w:rsidRDefault="0065710B" w:rsidP="0065710B">
            <w:pPr>
              <w:spacing w:line="288" w:lineRule="auto"/>
              <w:jc w:val="both"/>
            </w:pPr>
            <w:r w:rsidRPr="00802ABE">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r w:rsidR="00DB0EB6" w:rsidRPr="00802ABE">
              <w:t>.</w:t>
            </w:r>
          </w:p>
          <w:p w14:paraId="65AA9D66" w14:textId="7F1CF58B" w:rsidR="0065710B" w:rsidRPr="00802ABE" w:rsidRDefault="0065710B" w:rsidP="0065710B">
            <w:pPr>
              <w:spacing w:line="288" w:lineRule="auto"/>
              <w:jc w:val="both"/>
              <w:rPr>
                <w:b/>
                <w:u w:val="single"/>
              </w:rPr>
            </w:pPr>
            <w:r w:rsidRPr="00802ABE">
              <w:rPr>
                <w:b/>
                <w:u w:val="single"/>
              </w:rPr>
              <w:t>Travel;</w:t>
            </w:r>
          </w:p>
          <w:p w14:paraId="65AA9D67" w14:textId="77777777" w:rsidR="0065710B" w:rsidRPr="00802ABE" w:rsidRDefault="0065710B" w:rsidP="0065710B">
            <w:pPr>
              <w:spacing w:line="288" w:lineRule="auto"/>
              <w:jc w:val="both"/>
            </w:pPr>
            <w:r w:rsidRPr="00802ABE">
              <w:rPr>
                <w:u w:val="single"/>
              </w:rPr>
              <w:t>All envisaged travel costs must be included in the financial proposal</w:t>
            </w:r>
            <w:r w:rsidRPr="00802ABE">
              <w:t>. This includes all travel to join duty station/repatriation travel.  In general, UNDP should not accept travel costs exceeding those of an economy class ticket. Should the IC wish to travel on a higher class he/she should do so using their own resources.</w:t>
            </w:r>
          </w:p>
          <w:p w14:paraId="65AA9D68" w14:textId="77777777" w:rsidR="0065710B" w:rsidRPr="00802ABE" w:rsidRDefault="0065710B" w:rsidP="0065710B">
            <w:pPr>
              <w:spacing w:line="288" w:lineRule="auto"/>
              <w:jc w:val="both"/>
            </w:pPr>
            <w:r w:rsidRPr="00802ABE">
              <w:t>In the case of unforeseeable travel, payment of travel costs including tickets, lodging and terminal expenses should be agreed upon, between the respective business unit and Individual Consultant, prior to travel and will be reimbursed</w:t>
            </w:r>
          </w:p>
        </w:tc>
      </w:tr>
    </w:tbl>
    <w:p w14:paraId="65C6C8F2" w14:textId="77777777" w:rsidR="00802ABE" w:rsidRPr="00802ABE" w:rsidRDefault="00802ABE" w:rsidP="00A24134">
      <w:pPr>
        <w:rPr>
          <w:b/>
        </w:rPr>
      </w:pPr>
    </w:p>
    <w:p w14:paraId="65AA9D6B" w14:textId="6D18A6E0" w:rsidR="00E94857" w:rsidRPr="00802ABE" w:rsidRDefault="00FE7C9D" w:rsidP="00A24134">
      <w:pPr>
        <w:rPr>
          <w:b/>
        </w:rPr>
      </w:pPr>
      <w:r w:rsidRPr="00802ABE">
        <w:rPr>
          <w:b/>
        </w:rPr>
        <w:t>6</w:t>
      </w:r>
      <w:r w:rsidR="00E94857" w:rsidRPr="00802ABE">
        <w:rPr>
          <w:b/>
        </w:rPr>
        <w:t>. EVALUATION</w:t>
      </w:r>
    </w:p>
    <w:tbl>
      <w:tblPr>
        <w:tblStyle w:val="TableGrid"/>
        <w:tblW w:w="0" w:type="auto"/>
        <w:tblLook w:val="04A0" w:firstRow="1" w:lastRow="0" w:firstColumn="1" w:lastColumn="0" w:noHBand="0" w:noVBand="1"/>
      </w:tblPr>
      <w:tblGrid>
        <w:gridCol w:w="9350"/>
      </w:tblGrid>
      <w:tr w:rsidR="00443E94" w:rsidRPr="00802ABE" w14:paraId="65AA9D99" w14:textId="77777777" w:rsidTr="00443E94">
        <w:tc>
          <w:tcPr>
            <w:tcW w:w="9576" w:type="dxa"/>
          </w:tcPr>
          <w:p w14:paraId="2F953DAA" w14:textId="030A99CE" w:rsidR="007C3DB1" w:rsidRPr="00802ABE" w:rsidRDefault="008238EF" w:rsidP="007C3DB1">
            <w:pPr>
              <w:rPr>
                <w:u w:val="single"/>
              </w:rPr>
            </w:pPr>
            <w:proofErr w:type="spellStart"/>
            <w:r w:rsidRPr="00802ABE">
              <w:rPr>
                <w:rFonts w:eastAsia="Times New Roman" w:cs="Times New Roman"/>
                <w:snapToGrid w:val="0"/>
                <w:sz w:val="20"/>
                <w:szCs w:val="20"/>
                <w:u w:val="single"/>
              </w:rPr>
              <w:t>i</w:t>
            </w:r>
            <w:proofErr w:type="spellEnd"/>
            <w:r w:rsidRPr="00802ABE">
              <w:rPr>
                <w:rFonts w:eastAsia="Times New Roman" w:cs="Times New Roman"/>
                <w:snapToGrid w:val="0"/>
                <w:sz w:val="20"/>
                <w:szCs w:val="20"/>
                <w:u w:val="single"/>
              </w:rPr>
              <w:t>.</w:t>
            </w:r>
            <w:r w:rsidR="00AD32FF">
              <w:rPr>
                <w:rFonts w:eastAsia="Times New Roman" w:cs="Times New Roman"/>
                <w:snapToGrid w:val="0"/>
                <w:sz w:val="20"/>
                <w:szCs w:val="20"/>
                <w:u w:val="single"/>
              </w:rPr>
              <w:t xml:space="preserve"> Award </w:t>
            </w:r>
            <w:r w:rsidR="00BF4985">
              <w:rPr>
                <w:rFonts w:eastAsia="Times New Roman" w:cs="Times New Roman"/>
                <w:snapToGrid w:val="0"/>
                <w:sz w:val="20"/>
                <w:szCs w:val="20"/>
                <w:u w:val="single"/>
              </w:rPr>
              <w:t>–</w:t>
            </w:r>
            <w:r w:rsidR="00AD32FF">
              <w:rPr>
                <w:rFonts w:eastAsia="Times New Roman" w:cs="Times New Roman"/>
                <w:snapToGrid w:val="0"/>
                <w:sz w:val="20"/>
                <w:szCs w:val="20"/>
                <w:u w:val="single"/>
              </w:rPr>
              <w:t xml:space="preserve"> </w:t>
            </w:r>
            <w:r w:rsidR="00BF4985">
              <w:rPr>
                <w:rFonts w:eastAsia="Times New Roman" w:cs="Times New Roman"/>
                <w:snapToGrid w:val="0"/>
                <w:sz w:val="20"/>
                <w:szCs w:val="20"/>
                <w:u w:val="single"/>
              </w:rPr>
              <w:t>Lowest priced technically qualified proposal</w:t>
            </w:r>
          </w:p>
          <w:p w14:paraId="0B6B72B6" w14:textId="63C9816C" w:rsidR="007C3DB1" w:rsidRPr="00802ABE" w:rsidRDefault="007C3DB1" w:rsidP="007C3DB1">
            <w:r w:rsidRPr="00802ABE">
              <w:t>The award of a contract should be made to the individual consultant whose offer has been evaluated and determined as both:</w:t>
            </w:r>
          </w:p>
          <w:p w14:paraId="341C5C53" w14:textId="6800E6F6" w:rsidR="007C3DB1" w:rsidRPr="00802ABE" w:rsidRDefault="007C3DB1" w:rsidP="007C3DB1">
            <w:r w:rsidRPr="00802ABE">
              <w:t>a) responsive/compliant/acceptable,</w:t>
            </w:r>
          </w:p>
          <w:p w14:paraId="774F7A94" w14:textId="77777777" w:rsidR="00AD32FF" w:rsidRDefault="00AD32FF" w:rsidP="00AD32FF">
            <w:proofErr w:type="gramStart"/>
            <w:r>
              <w:t>(</w:t>
            </w:r>
            <w:r w:rsidRPr="00802ABE">
              <w:t xml:space="preserve"> </w:t>
            </w:r>
            <w:r w:rsidR="007C3DB1" w:rsidRPr="00802ABE">
              <w:t>“</w:t>
            </w:r>
            <w:proofErr w:type="gramEnd"/>
            <w:r w:rsidR="007C3DB1" w:rsidRPr="00802ABE">
              <w:t>responsive/compliant/acceptable” can be defined as fully meeting the TOR provided.</w:t>
            </w:r>
            <w:r>
              <w:t>)</w:t>
            </w:r>
          </w:p>
          <w:p w14:paraId="108A79FC" w14:textId="77777777" w:rsidR="00AD32FF" w:rsidRDefault="00AD32FF" w:rsidP="00AD32FF">
            <w:pPr>
              <w:rPr>
                <w:rFonts w:ascii="Arial" w:hAnsi="Arial" w:cs="Arial"/>
                <w:sz w:val="18"/>
                <w:szCs w:val="20"/>
                <w:lang w:val="en-AU"/>
              </w:rPr>
            </w:pPr>
          </w:p>
          <w:p w14:paraId="792F12F1" w14:textId="6774AA89" w:rsidR="00AD32FF" w:rsidRDefault="00AD32FF" w:rsidP="00AD32FF">
            <w:pPr>
              <w:rPr>
                <w:rFonts w:ascii="Arial" w:hAnsi="Arial" w:cs="Arial"/>
                <w:b/>
                <w:sz w:val="18"/>
                <w:szCs w:val="20"/>
                <w:lang w:val="en-AU"/>
              </w:rPr>
            </w:pPr>
            <w:r w:rsidRPr="00AD32FF">
              <w:rPr>
                <w:rFonts w:ascii="Arial" w:hAnsi="Arial" w:cs="Arial"/>
                <w:b/>
                <w:sz w:val="18"/>
                <w:szCs w:val="20"/>
                <w:lang w:val="en-AU"/>
              </w:rPr>
              <w:t>Evaluation</w:t>
            </w:r>
            <w:r>
              <w:rPr>
                <w:rFonts w:ascii="Arial" w:hAnsi="Arial" w:cs="Arial"/>
                <w:b/>
                <w:sz w:val="18"/>
                <w:szCs w:val="20"/>
                <w:lang w:val="en-AU"/>
              </w:rPr>
              <w:t xml:space="preserve"> criteria</w:t>
            </w:r>
            <w:r w:rsidRPr="00AD32FF">
              <w:rPr>
                <w:rFonts w:ascii="Arial" w:hAnsi="Arial" w:cs="Arial"/>
                <w:b/>
                <w:sz w:val="18"/>
                <w:szCs w:val="20"/>
                <w:lang w:val="en-AU"/>
              </w:rPr>
              <w:t>:</w:t>
            </w:r>
          </w:p>
          <w:p w14:paraId="01BF427C" w14:textId="77777777" w:rsidR="00BF4985" w:rsidRPr="00AD32FF" w:rsidRDefault="00BF4985" w:rsidP="00AD32FF">
            <w:pPr>
              <w:rPr>
                <w:rFonts w:ascii="Arial" w:hAnsi="Arial" w:cs="Arial"/>
                <w:b/>
                <w:sz w:val="18"/>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723"/>
              <w:gridCol w:w="1320"/>
            </w:tblGrid>
            <w:tr w:rsidR="006902F1" w:rsidRPr="002B106B" w14:paraId="50F2D4C5" w14:textId="77777777" w:rsidTr="00B91AC6">
              <w:trPr>
                <w:trHeight w:val="680"/>
              </w:trPr>
              <w:tc>
                <w:tcPr>
                  <w:tcW w:w="3478" w:type="dxa"/>
                  <w:shd w:val="clear" w:color="auto" w:fill="auto"/>
                </w:tcPr>
                <w:p w14:paraId="53213B23" w14:textId="77777777" w:rsidR="006902F1" w:rsidRPr="002B106B" w:rsidRDefault="006902F1" w:rsidP="006902F1">
                  <w:pPr>
                    <w:jc w:val="both"/>
                    <w:rPr>
                      <w:kern w:val="2"/>
                    </w:rPr>
                  </w:pPr>
                  <w:r w:rsidRPr="002B106B">
                    <w:rPr>
                      <w:b/>
                      <w:kern w:val="2"/>
                    </w:rPr>
                    <w:t>CRITERIA</w:t>
                  </w:r>
                </w:p>
              </w:tc>
              <w:tc>
                <w:tcPr>
                  <w:tcW w:w="3723" w:type="dxa"/>
                  <w:shd w:val="clear" w:color="auto" w:fill="auto"/>
                </w:tcPr>
                <w:p w14:paraId="3CE6A201" w14:textId="77777777" w:rsidR="006902F1" w:rsidRPr="002B106B" w:rsidRDefault="006902F1" w:rsidP="006902F1">
                  <w:pPr>
                    <w:jc w:val="both"/>
                    <w:rPr>
                      <w:kern w:val="2"/>
                    </w:rPr>
                  </w:pPr>
                  <w:r w:rsidRPr="002B106B">
                    <w:rPr>
                      <w:b/>
                      <w:kern w:val="2"/>
                    </w:rPr>
                    <w:t>GUIDELINES FOR CRITERIA APPLICATION</w:t>
                  </w:r>
                </w:p>
              </w:tc>
              <w:tc>
                <w:tcPr>
                  <w:tcW w:w="1320" w:type="dxa"/>
                  <w:shd w:val="clear" w:color="auto" w:fill="auto"/>
                </w:tcPr>
                <w:p w14:paraId="76E1D69A" w14:textId="77777777" w:rsidR="006902F1" w:rsidRPr="002B106B" w:rsidRDefault="006902F1" w:rsidP="006902F1">
                  <w:pPr>
                    <w:jc w:val="both"/>
                    <w:rPr>
                      <w:kern w:val="2"/>
                    </w:rPr>
                  </w:pPr>
                  <w:r w:rsidRPr="002B106B">
                    <w:rPr>
                      <w:b/>
                      <w:kern w:val="2"/>
                    </w:rPr>
                    <w:t>WEIGHT</w:t>
                  </w:r>
                </w:p>
              </w:tc>
            </w:tr>
            <w:tr w:rsidR="006902F1" w:rsidRPr="002B106B" w14:paraId="22025297" w14:textId="77777777" w:rsidTr="00B91AC6">
              <w:trPr>
                <w:trHeight w:val="590"/>
              </w:trPr>
              <w:tc>
                <w:tcPr>
                  <w:tcW w:w="3478" w:type="dxa"/>
                  <w:vMerge w:val="restart"/>
                  <w:shd w:val="clear" w:color="auto" w:fill="auto"/>
                </w:tcPr>
                <w:p w14:paraId="0ED9691A" w14:textId="77777777" w:rsidR="006902F1" w:rsidRPr="002B106B" w:rsidRDefault="006902F1" w:rsidP="006902F1">
                  <w:pPr>
                    <w:jc w:val="both"/>
                    <w:rPr>
                      <w:kern w:val="2"/>
                    </w:rPr>
                  </w:pPr>
                  <w:r w:rsidRPr="002B106B">
                    <w:rPr>
                      <w:b/>
                      <w:kern w:val="2"/>
                    </w:rPr>
                    <w:t>COMPETENCE AND EXPERTISE</w:t>
                  </w:r>
                </w:p>
              </w:tc>
              <w:tc>
                <w:tcPr>
                  <w:tcW w:w="3723" w:type="dxa"/>
                  <w:shd w:val="clear" w:color="auto" w:fill="auto"/>
                </w:tcPr>
                <w:p w14:paraId="45A1D4A0" w14:textId="77777777" w:rsidR="006902F1" w:rsidRDefault="006902F1" w:rsidP="006902F1">
                  <w:pPr>
                    <w:spacing w:after="0" w:line="240" w:lineRule="auto"/>
                    <w:contextualSpacing/>
                    <w:jc w:val="both"/>
                    <w:rPr>
                      <w:rFonts w:eastAsia="Times New Roman" w:cs="Arial"/>
                    </w:rPr>
                  </w:pPr>
                  <w:r w:rsidRPr="00BC42C6">
                    <w:rPr>
                      <w:rFonts w:eastAsia="Times New Roman" w:cs="Arial"/>
                    </w:rPr>
                    <w:t xml:space="preserve">Demonstrated interest and </w:t>
                  </w:r>
                  <w:r>
                    <w:rPr>
                      <w:rFonts w:eastAsia="Times New Roman" w:cs="Arial"/>
                    </w:rPr>
                    <w:t xml:space="preserve">5 </w:t>
                  </w:r>
                  <w:r w:rsidRPr="00BC42C6">
                    <w:rPr>
                      <w:rFonts w:eastAsia="Times New Roman" w:cs="Arial"/>
                    </w:rPr>
                    <w:t xml:space="preserve">experience in </w:t>
                  </w:r>
                  <w:r w:rsidRPr="00976A05">
                    <w:rPr>
                      <w:rFonts w:eastAsia="Calibri" w:cs="Arial"/>
                      <w:bCs/>
                      <w:color w:val="000000" w:themeColor="text1"/>
                    </w:rPr>
                    <w:t xml:space="preserve">social policy, government, human rights, </w:t>
                  </w:r>
                  <w:r>
                    <w:rPr>
                      <w:rFonts w:eastAsia="Calibri" w:cs="Arial"/>
                      <w:bCs/>
                      <w:color w:val="000000" w:themeColor="text1"/>
                    </w:rPr>
                    <w:t xml:space="preserve">democracy education, </w:t>
                  </w:r>
                  <w:r w:rsidRPr="00976A05">
                    <w:rPr>
                      <w:rFonts w:eastAsia="Calibri" w:cs="Arial"/>
                      <w:bCs/>
                      <w:color w:val="000000" w:themeColor="text1"/>
                    </w:rPr>
                    <w:t>community development, political analysis.</w:t>
                  </w:r>
                  <w:r>
                    <w:rPr>
                      <w:rFonts w:eastAsia="Calibri" w:cs="Arial"/>
                      <w:b/>
                      <w:bCs/>
                      <w:color w:val="000000" w:themeColor="text1"/>
                    </w:rPr>
                    <w:t xml:space="preserve"> </w:t>
                  </w:r>
                  <w:r w:rsidRPr="00BC42C6">
                    <w:rPr>
                      <w:rFonts w:eastAsia="Times New Roman" w:cs="Arial"/>
                    </w:rPr>
                    <w:t xml:space="preserve"> </w:t>
                  </w:r>
                </w:p>
                <w:p w14:paraId="6C66D138" w14:textId="77777777" w:rsidR="006902F1" w:rsidRPr="002B106B" w:rsidRDefault="006902F1" w:rsidP="006902F1">
                  <w:pPr>
                    <w:tabs>
                      <w:tab w:val="left" w:pos="220"/>
                      <w:tab w:val="left" w:pos="720"/>
                    </w:tabs>
                    <w:autoSpaceDE w:val="0"/>
                    <w:autoSpaceDN w:val="0"/>
                    <w:jc w:val="both"/>
                    <w:rPr>
                      <w:kern w:val="2"/>
                    </w:rPr>
                  </w:pPr>
                </w:p>
              </w:tc>
              <w:tc>
                <w:tcPr>
                  <w:tcW w:w="1320" w:type="dxa"/>
                  <w:vMerge w:val="restart"/>
                  <w:shd w:val="clear" w:color="auto" w:fill="auto"/>
                </w:tcPr>
                <w:p w14:paraId="3F753C0B" w14:textId="77777777" w:rsidR="006902F1" w:rsidRPr="002B106B" w:rsidRDefault="006902F1" w:rsidP="006902F1">
                  <w:pPr>
                    <w:jc w:val="both"/>
                    <w:rPr>
                      <w:kern w:val="2"/>
                    </w:rPr>
                  </w:pPr>
                  <w:r>
                    <w:rPr>
                      <w:kern w:val="2"/>
                    </w:rPr>
                    <w:t>3</w:t>
                  </w:r>
                  <w:r w:rsidRPr="002B106B">
                    <w:rPr>
                      <w:kern w:val="2"/>
                    </w:rPr>
                    <w:t>0</w:t>
                  </w:r>
                </w:p>
                <w:p w14:paraId="0F8D3EA7" w14:textId="77777777" w:rsidR="006902F1" w:rsidRPr="002B106B" w:rsidRDefault="006902F1" w:rsidP="006902F1">
                  <w:pPr>
                    <w:jc w:val="both"/>
                    <w:rPr>
                      <w:kern w:val="2"/>
                    </w:rPr>
                  </w:pPr>
                </w:p>
                <w:p w14:paraId="38A9392D" w14:textId="77777777" w:rsidR="006902F1" w:rsidRPr="002B106B" w:rsidRDefault="006902F1" w:rsidP="006902F1">
                  <w:pPr>
                    <w:jc w:val="both"/>
                    <w:rPr>
                      <w:kern w:val="2"/>
                    </w:rPr>
                  </w:pPr>
                </w:p>
                <w:p w14:paraId="4F034924" w14:textId="77777777" w:rsidR="006902F1" w:rsidRPr="002B106B" w:rsidRDefault="006902F1" w:rsidP="006902F1">
                  <w:pPr>
                    <w:jc w:val="both"/>
                    <w:rPr>
                      <w:kern w:val="2"/>
                    </w:rPr>
                  </w:pPr>
                </w:p>
                <w:p w14:paraId="4C19C318" w14:textId="77777777" w:rsidR="006902F1" w:rsidRPr="002B106B" w:rsidRDefault="006902F1" w:rsidP="006902F1">
                  <w:pPr>
                    <w:jc w:val="both"/>
                    <w:rPr>
                      <w:kern w:val="2"/>
                    </w:rPr>
                  </w:pPr>
                  <w:r>
                    <w:rPr>
                      <w:kern w:val="2"/>
                    </w:rPr>
                    <w:t>20</w:t>
                  </w:r>
                </w:p>
                <w:p w14:paraId="135E4178" w14:textId="77777777" w:rsidR="006902F1" w:rsidRPr="002B106B" w:rsidRDefault="006902F1" w:rsidP="006902F1">
                  <w:pPr>
                    <w:jc w:val="both"/>
                    <w:rPr>
                      <w:kern w:val="2"/>
                    </w:rPr>
                  </w:pPr>
                  <w:r w:rsidRPr="002B106B">
                    <w:rPr>
                      <w:kern w:val="2"/>
                    </w:rPr>
                    <w:t>30</w:t>
                  </w:r>
                </w:p>
              </w:tc>
            </w:tr>
            <w:tr w:rsidR="006902F1" w:rsidRPr="002B106B" w14:paraId="237A90FA" w14:textId="77777777" w:rsidTr="00B91AC6">
              <w:trPr>
                <w:trHeight w:val="273"/>
              </w:trPr>
              <w:tc>
                <w:tcPr>
                  <w:tcW w:w="3478" w:type="dxa"/>
                  <w:vMerge/>
                  <w:shd w:val="clear" w:color="auto" w:fill="auto"/>
                </w:tcPr>
                <w:p w14:paraId="4E2734F6" w14:textId="77777777" w:rsidR="006902F1" w:rsidRPr="002B106B" w:rsidRDefault="006902F1" w:rsidP="006902F1">
                  <w:pPr>
                    <w:jc w:val="both"/>
                    <w:rPr>
                      <w:b/>
                      <w:kern w:val="2"/>
                    </w:rPr>
                  </w:pPr>
                </w:p>
              </w:tc>
              <w:tc>
                <w:tcPr>
                  <w:tcW w:w="3723" w:type="dxa"/>
                  <w:shd w:val="clear" w:color="auto" w:fill="auto"/>
                </w:tcPr>
                <w:p w14:paraId="51278D7E" w14:textId="77777777" w:rsidR="006902F1" w:rsidRDefault="006902F1" w:rsidP="006902F1">
                  <w:pPr>
                    <w:pStyle w:val="ColorfulList-Accent11"/>
                    <w:widowControl w:val="0"/>
                    <w:ind w:left="0" w:right="164"/>
                    <w:jc w:val="both"/>
                    <w:rPr>
                      <w:rFonts w:asciiTheme="minorHAnsi" w:hAnsiTheme="minorHAnsi"/>
                      <w:kern w:val="2"/>
                      <w:sz w:val="22"/>
                      <w:szCs w:val="22"/>
                    </w:rPr>
                  </w:pPr>
                  <w:r w:rsidRPr="002B106B">
                    <w:rPr>
                      <w:rFonts w:asciiTheme="minorHAnsi" w:hAnsiTheme="minorHAnsi"/>
                      <w:kern w:val="2"/>
                      <w:sz w:val="22"/>
                      <w:szCs w:val="22"/>
                    </w:rPr>
                    <w:t>Report writing skills and experience</w:t>
                  </w:r>
                </w:p>
                <w:p w14:paraId="756C0997" w14:textId="77777777" w:rsidR="006902F1" w:rsidRDefault="006902F1" w:rsidP="006902F1">
                  <w:pPr>
                    <w:pStyle w:val="ColorfulList-Accent11"/>
                    <w:widowControl w:val="0"/>
                    <w:ind w:left="0" w:right="164"/>
                    <w:jc w:val="both"/>
                    <w:rPr>
                      <w:rFonts w:asciiTheme="minorHAnsi" w:hAnsiTheme="minorHAnsi"/>
                      <w:kern w:val="2"/>
                      <w:sz w:val="22"/>
                      <w:szCs w:val="22"/>
                    </w:rPr>
                  </w:pPr>
                </w:p>
                <w:p w14:paraId="4CB8D87F" w14:textId="77777777" w:rsidR="006902F1" w:rsidRDefault="006902F1" w:rsidP="006902F1">
                  <w:pPr>
                    <w:spacing w:after="0" w:line="240" w:lineRule="auto"/>
                    <w:contextualSpacing/>
                    <w:jc w:val="both"/>
                    <w:rPr>
                      <w:rFonts w:eastAsia="Times New Roman" w:cs="Arial"/>
                    </w:rPr>
                  </w:pPr>
                  <w:r>
                    <w:rPr>
                      <w:rFonts w:eastAsia="Times New Roman" w:cs="Arial"/>
                    </w:rPr>
                    <w:t xml:space="preserve">Knowledge and experience working with government in South Africa at all levels, and with civil society and community-based organizations </w:t>
                  </w:r>
                </w:p>
                <w:p w14:paraId="6A5656AD" w14:textId="77777777" w:rsidR="006902F1" w:rsidRPr="002B106B" w:rsidRDefault="006902F1" w:rsidP="006902F1">
                  <w:pPr>
                    <w:pStyle w:val="ColorfulList-Accent11"/>
                    <w:widowControl w:val="0"/>
                    <w:ind w:left="0" w:right="164"/>
                    <w:jc w:val="both"/>
                    <w:rPr>
                      <w:rFonts w:asciiTheme="minorHAnsi" w:hAnsiTheme="minorHAnsi"/>
                      <w:kern w:val="2"/>
                      <w:sz w:val="22"/>
                      <w:szCs w:val="22"/>
                    </w:rPr>
                  </w:pPr>
                </w:p>
              </w:tc>
              <w:tc>
                <w:tcPr>
                  <w:tcW w:w="1320" w:type="dxa"/>
                  <w:vMerge/>
                  <w:shd w:val="clear" w:color="auto" w:fill="auto"/>
                </w:tcPr>
                <w:p w14:paraId="0D482330" w14:textId="77777777" w:rsidR="006902F1" w:rsidRPr="002B106B" w:rsidRDefault="006902F1" w:rsidP="006902F1">
                  <w:pPr>
                    <w:ind w:right="-27"/>
                    <w:jc w:val="both"/>
                    <w:rPr>
                      <w:kern w:val="2"/>
                    </w:rPr>
                  </w:pPr>
                </w:p>
              </w:tc>
            </w:tr>
            <w:tr w:rsidR="006902F1" w:rsidRPr="002B106B" w14:paraId="0836CB8D" w14:textId="77777777" w:rsidTr="00B91AC6">
              <w:trPr>
                <w:trHeight w:val="273"/>
              </w:trPr>
              <w:tc>
                <w:tcPr>
                  <w:tcW w:w="3478" w:type="dxa"/>
                  <w:vMerge/>
                  <w:shd w:val="clear" w:color="auto" w:fill="auto"/>
                </w:tcPr>
                <w:p w14:paraId="30188490" w14:textId="77777777" w:rsidR="006902F1" w:rsidRPr="002B106B" w:rsidRDefault="006902F1" w:rsidP="006902F1">
                  <w:pPr>
                    <w:jc w:val="both"/>
                    <w:rPr>
                      <w:kern w:val="2"/>
                    </w:rPr>
                  </w:pPr>
                </w:p>
              </w:tc>
              <w:tc>
                <w:tcPr>
                  <w:tcW w:w="3723" w:type="dxa"/>
                  <w:shd w:val="clear" w:color="auto" w:fill="auto"/>
                </w:tcPr>
                <w:p w14:paraId="37A25590" w14:textId="77777777" w:rsidR="006902F1" w:rsidRPr="002B106B" w:rsidRDefault="006902F1" w:rsidP="006902F1">
                  <w:pPr>
                    <w:tabs>
                      <w:tab w:val="left" w:pos="3060"/>
                      <w:tab w:val="left" w:pos="4860"/>
                      <w:tab w:val="decimal" w:pos="9498"/>
                    </w:tabs>
                    <w:spacing w:before="240" w:after="0" w:line="240" w:lineRule="auto"/>
                    <w:jc w:val="both"/>
                    <w:rPr>
                      <w:rFonts w:cs="Arial"/>
                      <w:bCs/>
                      <w:color w:val="000000" w:themeColor="text1"/>
                    </w:rPr>
                  </w:pPr>
                  <w:r w:rsidRPr="002B106B">
                    <w:rPr>
                      <w:rFonts w:cs="Arial"/>
                      <w:bCs/>
                      <w:color w:val="000000" w:themeColor="text1"/>
                    </w:rPr>
                    <w:t xml:space="preserve">Knowledge about electoral matters </w:t>
                  </w:r>
                </w:p>
                <w:p w14:paraId="69B95990" w14:textId="77777777" w:rsidR="006902F1" w:rsidRPr="002B106B" w:rsidRDefault="006902F1" w:rsidP="006902F1">
                  <w:pPr>
                    <w:ind w:left="36" w:right="164"/>
                    <w:jc w:val="both"/>
                    <w:rPr>
                      <w:kern w:val="2"/>
                    </w:rPr>
                  </w:pPr>
                </w:p>
              </w:tc>
              <w:tc>
                <w:tcPr>
                  <w:tcW w:w="1320" w:type="dxa"/>
                  <w:shd w:val="clear" w:color="auto" w:fill="auto"/>
                </w:tcPr>
                <w:p w14:paraId="06ADEADE" w14:textId="77777777" w:rsidR="006902F1" w:rsidRDefault="006902F1" w:rsidP="006902F1">
                  <w:pPr>
                    <w:jc w:val="both"/>
                    <w:rPr>
                      <w:kern w:val="2"/>
                    </w:rPr>
                  </w:pPr>
                </w:p>
                <w:p w14:paraId="5917FC4C" w14:textId="77777777" w:rsidR="006902F1" w:rsidRPr="002B106B" w:rsidRDefault="006902F1" w:rsidP="006902F1">
                  <w:pPr>
                    <w:jc w:val="both"/>
                    <w:rPr>
                      <w:kern w:val="2"/>
                    </w:rPr>
                  </w:pPr>
                  <w:r>
                    <w:rPr>
                      <w:kern w:val="2"/>
                    </w:rPr>
                    <w:t>20</w:t>
                  </w:r>
                </w:p>
              </w:tc>
            </w:tr>
            <w:tr w:rsidR="006902F1" w:rsidRPr="002B106B" w14:paraId="16C2C887" w14:textId="77777777" w:rsidTr="00B91AC6">
              <w:trPr>
                <w:trHeight w:val="257"/>
              </w:trPr>
              <w:tc>
                <w:tcPr>
                  <w:tcW w:w="7201" w:type="dxa"/>
                  <w:gridSpan w:val="2"/>
                  <w:shd w:val="clear" w:color="auto" w:fill="auto"/>
                </w:tcPr>
                <w:p w14:paraId="392B8ED4" w14:textId="77777777" w:rsidR="006902F1" w:rsidRPr="002B106B" w:rsidRDefault="006902F1" w:rsidP="006902F1">
                  <w:pPr>
                    <w:jc w:val="both"/>
                    <w:rPr>
                      <w:rFonts w:cs="Arial"/>
                      <w:b/>
                    </w:rPr>
                  </w:pPr>
                  <w:bookmarkStart w:id="2" w:name="_Toc321158348"/>
                  <w:r w:rsidRPr="002B106B">
                    <w:rPr>
                      <w:rFonts w:cs="Arial"/>
                      <w:b/>
                      <w:caps/>
                    </w:rPr>
                    <w:t xml:space="preserve">Total points </w:t>
                  </w:r>
                  <w:bookmarkEnd w:id="2"/>
                </w:p>
              </w:tc>
              <w:tc>
                <w:tcPr>
                  <w:tcW w:w="1320" w:type="dxa"/>
                  <w:shd w:val="clear" w:color="auto" w:fill="auto"/>
                </w:tcPr>
                <w:p w14:paraId="5713341B" w14:textId="77777777" w:rsidR="006902F1" w:rsidRPr="002B106B" w:rsidRDefault="006902F1" w:rsidP="006902F1">
                  <w:pPr>
                    <w:jc w:val="both"/>
                    <w:rPr>
                      <w:rFonts w:cs="Arial"/>
                      <w:color w:val="000000"/>
                    </w:rPr>
                  </w:pPr>
                  <w:bookmarkStart w:id="3" w:name="_Toc321158349"/>
                  <w:r w:rsidRPr="002B106B">
                    <w:rPr>
                      <w:rFonts w:cs="Arial"/>
                      <w:b/>
                      <w:caps/>
                    </w:rPr>
                    <w:t>100</w:t>
                  </w:r>
                  <w:bookmarkEnd w:id="3"/>
                </w:p>
              </w:tc>
            </w:tr>
          </w:tbl>
          <w:p w14:paraId="65AA9D98" w14:textId="77777777" w:rsidR="00443E94" w:rsidRPr="00802ABE" w:rsidRDefault="00443E94" w:rsidP="00A24134">
            <w:pPr>
              <w:rPr>
                <w:b/>
              </w:rPr>
            </w:pPr>
          </w:p>
        </w:tc>
      </w:tr>
    </w:tbl>
    <w:p w14:paraId="65AA9D9B" w14:textId="2A46E459" w:rsidR="00EA50D0" w:rsidRPr="00802ABE" w:rsidRDefault="00956F35" w:rsidP="00A24134">
      <w:pPr>
        <w:rPr>
          <w:b/>
          <w:sz w:val="24"/>
          <w:szCs w:val="24"/>
          <w:u w:val="single"/>
        </w:rPr>
      </w:pPr>
      <w:r w:rsidRPr="00802ABE">
        <w:rPr>
          <w:b/>
          <w:sz w:val="24"/>
          <w:szCs w:val="24"/>
          <w:u w:val="single"/>
        </w:rPr>
        <w:t>ATTACHEMENTS TO THIS NOTICE:</w:t>
      </w:r>
    </w:p>
    <w:p w14:paraId="65AA9D9C" w14:textId="5E8C1CD0" w:rsidR="00103276" w:rsidRPr="00802ABE" w:rsidRDefault="00103276" w:rsidP="00956F35">
      <w:pPr>
        <w:pStyle w:val="ListParagraph"/>
        <w:numPr>
          <w:ilvl w:val="0"/>
          <w:numId w:val="28"/>
        </w:numPr>
        <w:rPr>
          <w:b/>
          <w:sz w:val="24"/>
          <w:szCs w:val="24"/>
          <w:u w:val="single"/>
        </w:rPr>
      </w:pPr>
      <w:r w:rsidRPr="00802ABE">
        <w:rPr>
          <w:b/>
        </w:rPr>
        <w:t xml:space="preserve"> TERMS OF REFERENCES (TOR</w:t>
      </w:r>
      <w:r w:rsidR="00ED649B" w:rsidRPr="00802ABE">
        <w:rPr>
          <w:b/>
        </w:rPr>
        <w:t>)</w:t>
      </w:r>
      <w:r w:rsidR="007650C2" w:rsidRPr="00802ABE">
        <w:rPr>
          <w:b/>
        </w:rPr>
        <w:t xml:space="preserve"> </w:t>
      </w:r>
    </w:p>
    <w:p w14:paraId="65AA9D9D" w14:textId="7A4D2107" w:rsidR="00103276" w:rsidRPr="00802ABE" w:rsidRDefault="00103276" w:rsidP="00956F35">
      <w:pPr>
        <w:pStyle w:val="ListParagraph"/>
        <w:numPr>
          <w:ilvl w:val="0"/>
          <w:numId w:val="28"/>
        </w:numPr>
        <w:rPr>
          <w:b/>
        </w:rPr>
      </w:pPr>
      <w:r w:rsidRPr="00802ABE">
        <w:rPr>
          <w:b/>
        </w:rPr>
        <w:t xml:space="preserve"> INDIVIDUAL CONSULTANT GENERAL TERMS AND CONDITIONS </w:t>
      </w:r>
    </w:p>
    <w:p w14:paraId="1882601F" w14:textId="1C6F8735" w:rsidR="00956F35" w:rsidRPr="00802ABE" w:rsidRDefault="00956F35" w:rsidP="00956F35">
      <w:pPr>
        <w:pStyle w:val="ListParagraph"/>
        <w:numPr>
          <w:ilvl w:val="0"/>
          <w:numId w:val="28"/>
        </w:numPr>
        <w:rPr>
          <w:b/>
        </w:rPr>
      </w:pPr>
      <w:r w:rsidRPr="00802ABE">
        <w:rPr>
          <w:b/>
        </w:rPr>
        <w:t>CONFIRMATION OF INTEREST AND SUBMISSION OF FINANCIAL PROPOSAL</w:t>
      </w:r>
    </w:p>
    <w:sectPr w:rsidR="00956F35" w:rsidRPr="00802ABE"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7F5B" w14:textId="77777777" w:rsidR="00CE2896" w:rsidRDefault="00CE2896" w:rsidP="00A24134">
      <w:pPr>
        <w:spacing w:after="0" w:line="240" w:lineRule="auto"/>
      </w:pPr>
      <w:r>
        <w:separator/>
      </w:r>
    </w:p>
  </w:endnote>
  <w:endnote w:type="continuationSeparator" w:id="0">
    <w:p w14:paraId="3CD81175" w14:textId="77777777" w:rsidR="00CE2896" w:rsidRDefault="00CE2896"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0252" w14:textId="77777777" w:rsidR="00CE2896" w:rsidRDefault="00CE2896" w:rsidP="00A24134">
      <w:pPr>
        <w:spacing w:after="0" w:line="240" w:lineRule="auto"/>
      </w:pPr>
      <w:r>
        <w:separator/>
      </w:r>
    </w:p>
  </w:footnote>
  <w:footnote w:type="continuationSeparator" w:id="0">
    <w:p w14:paraId="453B0954" w14:textId="77777777" w:rsidR="00CE2896" w:rsidRDefault="00CE2896"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4.8pt;height:4.8pt" o:bullet="t">
        <v:imagedata r:id="rId1" o:title="bullet"/>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017251C"/>
    <w:multiLevelType w:val="hybridMultilevel"/>
    <w:tmpl w:val="C91E3A6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D65193"/>
    <w:multiLevelType w:val="hybridMultilevel"/>
    <w:tmpl w:val="7F2A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C4281"/>
    <w:multiLevelType w:val="hybridMultilevel"/>
    <w:tmpl w:val="380EDDF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6" w15:restartNumberingAfterBreak="0">
    <w:nsid w:val="22B359D8"/>
    <w:multiLevelType w:val="multilevel"/>
    <w:tmpl w:val="E35E49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3"/>
      <w:lvlJc w:val="left"/>
      <w:pPr>
        <w:tabs>
          <w:tab w:val="num" w:pos="1080"/>
        </w:tabs>
        <w:ind w:left="1080" w:hanging="360"/>
      </w:pPr>
      <w:rPr>
        <w:rFonts w:ascii="Courier New" w:hAnsi="Courier New" w:hint="default"/>
        <w:sz w:val="20"/>
      </w:rPr>
    </w:lvl>
    <w:lvl w:ilvl="2" w:tentative="1">
      <w:start w:val="1"/>
      <w:numFmt w:val="bullet"/>
      <w:lvlText w:val=""/>
      <w:lvlPicBulletId w:val="4"/>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3470E05"/>
    <w:multiLevelType w:val="hybridMultilevel"/>
    <w:tmpl w:val="8FAC33F0"/>
    <w:lvl w:ilvl="0" w:tplc="1C09000F">
      <w:start w:val="6"/>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6D444F1"/>
    <w:multiLevelType w:val="multilevel"/>
    <w:tmpl w:val="418E5AE2"/>
    <w:lvl w:ilvl="0">
      <w:start w:val="3"/>
      <w:numFmt w:val="decimal"/>
      <w:lvlText w:val="%1"/>
      <w:lvlJc w:val="left"/>
      <w:pPr>
        <w:ind w:left="360" w:hanging="360"/>
      </w:pPr>
      <w:rPr>
        <w:rFonts w:hint="default"/>
        <w:color w:val="000000"/>
        <w:u w:val="none"/>
      </w:rPr>
    </w:lvl>
    <w:lvl w:ilvl="1">
      <w:start w:val="2"/>
      <w:numFmt w:val="decimal"/>
      <w:lvlText w:val="%1.%2"/>
      <w:lvlJc w:val="left"/>
      <w:pPr>
        <w:ind w:left="720" w:hanging="360"/>
      </w:pPr>
      <w:rPr>
        <w:rFonts w:hint="default"/>
        <w:color w:val="000000"/>
        <w:u w:val="none"/>
      </w:rPr>
    </w:lvl>
    <w:lvl w:ilvl="2">
      <w:start w:val="1"/>
      <w:numFmt w:val="decimal"/>
      <w:lvlText w:val="%1.%2.%3"/>
      <w:lvlJc w:val="left"/>
      <w:pPr>
        <w:ind w:left="1440" w:hanging="720"/>
      </w:pPr>
      <w:rPr>
        <w:rFonts w:hint="default"/>
        <w:color w:val="000000"/>
        <w:u w:val="none"/>
      </w:rPr>
    </w:lvl>
    <w:lvl w:ilvl="3">
      <w:start w:val="1"/>
      <w:numFmt w:val="decimal"/>
      <w:lvlText w:val="%1.%2.%3.%4"/>
      <w:lvlJc w:val="left"/>
      <w:pPr>
        <w:ind w:left="1800" w:hanging="720"/>
      </w:pPr>
      <w:rPr>
        <w:rFonts w:hint="default"/>
        <w:color w:val="000000"/>
        <w:u w:val="none"/>
      </w:rPr>
    </w:lvl>
    <w:lvl w:ilvl="4">
      <w:start w:val="1"/>
      <w:numFmt w:val="decimal"/>
      <w:lvlText w:val="%1.%2.%3.%4.%5"/>
      <w:lvlJc w:val="left"/>
      <w:pPr>
        <w:ind w:left="2160" w:hanging="720"/>
      </w:pPr>
      <w:rPr>
        <w:rFonts w:hint="default"/>
        <w:color w:val="000000"/>
        <w:u w:val="none"/>
      </w:rPr>
    </w:lvl>
    <w:lvl w:ilvl="5">
      <w:start w:val="1"/>
      <w:numFmt w:val="decimal"/>
      <w:lvlText w:val="%1.%2.%3.%4.%5.%6"/>
      <w:lvlJc w:val="left"/>
      <w:pPr>
        <w:ind w:left="2880" w:hanging="1080"/>
      </w:pPr>
      <w:rPr>
        <w:rFonts w:hint="default"/>
        <w:color w:val="000000"/>
        <w:u w:val="none"/>
      </w:rPr>
    </w:lvl>
    <w:lvl w:ilvl="6">
      <w:start w:val="1"/>
      <w:numFmt w:val="decimal"/>
      <w:lvlText w:val="%1.%2.%3.%4.%5.%6.%7"/>
      <w:lvlJc w:val="left"/>
      <w:pPr>
        <w:ind w:left="3240" w:hanging="1080"/>
      </w:pPr>
      <w:rPr>
        <w:rFonts w:hint="default"/>
        <w:color w:val="000000"/>
        <w:u w:val="none"/>
      </w:rPr>
    </w:lvl>
    <w:lvl w:ilvl="7">
      <w:start w:val="1"/>
      <w:numFmt w:val="decimal"/>
      <w:lvlText w:val="%1.%2.%3.%4.%5.%6.%7.%8"/>
      <w:lvlJc w:val="left"/>
      <w:pPr>
        <w:ind w:left="3960" w:hanging="1440"/>
      </w:pPr>
      <w:rPr>
        <w:rFonts w:hint="default"/>
        <w:color w:val="000000"/>
        <w:u w:val="none"/>
      </w:rPr>
    </w:lvl>
    <w:lvl w:ilvl="8">
      <w:start w:val="1"/>
      <w:numFmt w:val="decimal"/>
      <w:lvlText w:val="%1.%2.%3.%4.%5.%6.%7.%8.%9"/>
      <w:lvlJc w:val="left"/>
      <w:pPr>
        <w:ind w:left="4320" w:hanging="1440"/>
      </w:pPr>
      <w:rPr>
        <w:rFonts w:hint="default"/>
        <w:color w:val="000000"/>
        <w:u w:val="none"/>
      </w:rPr>
    </w:lvl>
  </w:abstractNum>
  <w:abstractNum w:abstractNumId="9" w15:restartNumberingAfterBreak="0">
    <w:nsid w:val="2C8767E4"/>
    <w:multiLevelType w:val="hybridMultilevel"/>
    <w:tmpl w:val="1FF8D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E496CD4"/>
    <w:multiLevelType w:val="hybridMultilevel"/>
    <w:tmpl w:val="97F0448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1333940"/>
    <w:multiLevelType w:val="hybridMultilevel"/>
    <w:tmpl w:val="2806CD9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1350CC0"/>
    <w:multiLevelType w:val="hybridMultilevel"/>
    <w:tmpl w:val="B46E83D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2453029"/>
    <w:multiLevelType w:val="hybridMultilevel"/>
    <w:tmpl w:val="834206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59C5BAB"/>
    <w:multiLevelType w:val="multilevel"/>
    <w:tmpl w:val="174E51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32CEC"/>
    <w:multiLevelType w:val="hybridMultilevel"/>
    <w:tmpl w:val="37809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1E588C"/>
    <w:multiLevelType w:val="hybridMultilevel"/>
    <w:tmpl w:val="38EAF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E719C"/>
    <w:multiLevelType w:val="multilevel"/>
    <w:tmpl w:val="7CD4377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1C25696"/>
    <w:multiLevelType w:val="multilevel"/>
    <w:tmpl w:val="B85ADAA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63E6D"/>
    <w:multiLevelType w:val="hybridMultilevel"/>
    <w:tmpl w:val="28D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B55086"/>
    <w:multiLevelType w:val="hybridMultilevel"/>
    <w:tmpl w:val="04B83F14"/>
    <w:lvl w:ilvl="0" w:tplc="1C090017">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3" w15:restartNumberingAfterBreak="0">
    <w:nsid w:val="59793796"/>
    <w:multiLevelType w:val="hybridMultilevel"/>
    <w:tmpl w:val="85B275BE"/>
    <w:lvl w:ilvl="0" w:tplc="568A4628">
      <w:start w:val="1"/>
      <w:numFmt w:val="lowerRoman"/>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D53CB"/>
    <w:multiLevelType w:val="hybridMultilevel"/>
    <w:tmpl w:val="8E3E4DFC"/>
    <w:lvl w:ilvl="0" w:tplc="FAFAEF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1D44C4E"/>
    <w:multiLevelType w:val="hybridMultilevel"/>
    <w:tmpl w:val="1B46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762DB"/>
    <w:multiLevelType w:val="hybridMultilevel"/>
    <w:tmpl w:val="41D61BA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41390B"/>
    <w:multiLevelType w:val="hybridMultilevel"/>
    <w:tmpl w:val="4A061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DC6E3B"/>
    <w:multiLevelType w:val="hybridMultilevel"/>
    <w:tmpl w:val="56381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AE585A"/>
    <w:multiLevelType w:val="multilevel"/>
    <w:tmpl w:val="7A5CAD5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D1CD9"/>
    <w:multiLevelType w:val="multilevel"/>
    <w:tmpl w:val="CA444D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F392F36"/>
    <w:multiLevelType w:val="hybridMultilevel"/>
    <w:tmpl w:val="C3B6B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06F2933"/>
    <w:multiLevelType w:val="hybridMultilevel"/>
    <w:tmpl w:val="7624A7D6"/>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FE6BD6"/>
    <w:multiLevelType w:val="hybridMultilevel"/>
    <w:tmpl w:val="F1665B6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42F0DCD"/>
    <w:multiLevelType w:val="hybridMultilevel"/>
    <w:tmpl w:val="6900AD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C84B08"/>
    <w:multiLevelType w:val="hybridMultilevel"/>
    <w:tmpl w:val="5AA25FA6"/>
    <w:lvl w:ilvl="0" w:tplc="1C090005">
      <w:start w:val="1"/>
      <w:numFmt w:val="bullet"/>
      <w:lvlText w:val=""/>
      <w:lvlJc w:val="left"/>
      <w:pPr>
        <w:ind w:left="720" w:hanging="360"/>
      </w:pPr>
      <w:rPr>
        <w:rFonts w:ascii="Wingdings" w:hAnsi="Wingdings" w:hint="default"/>
      </w:rPr>
    </w:lvl>
    <w:lvl w:ilvl="1" w:tplc="04090003">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39" w15:restartNumberingAfterBreak="0">
    <w:nsid w:val="77E268FD"/>
    <w:multiLevelType w:val="hybridMultilevel"/>
    <w:tmpl w:val="01E285A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0" w15:restartNumberingAfterBreak="0">
    <w:nsid w:val="77F41FB5"/>
    <w:multiLevelType w:val="hybridMultilevel"/>
    <w:tmpl w:val="4BE8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62183"/>
    <w:multiLevelType w:val="hybridMultilevel"/>
    <w:tmpl w:val="F4F2AFF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
  </w:num>
  <w:num w:numId="3">
    <w:abstractNumId w:val="31"/>
  </w:num>
  <w:num w:numId="4">
    <w:abstractNumId w:val="3"/>
  </w:num>
  <w:num w:numId="5">
    <w:abstractNumId w:val="20"/>
  </w:num>
  <w:num w:numId="6">
    <w:abstractNumId w:val="24"/>
  </w:num>
  <w:num w:numId="7">
    <w:abstractNumId w:val="35"/>
  </w:num>
  <w:num w:numId="8">
    <w:abstractNumId w:val="15"/>
  </w:num>
  <w:num w:numId="9">
    <w:abstractNumId w:val="29"/>
  </w:num>
  <w:num w:numId="10">
    <w:abstractNumId w:val="19"/>
  </w:num>
  <w:num w:numId="11">
    <w:abstractNumId w:val="37"/>
  </w:num>
  <w:num w:numId="12">
    <w:abstractNumId w:val="41"/>
  </w:num>
  <w:num w:numId="13">
    <w:abstractNumId w:val="17"/>
  </w:num>
  <w:num w:numId="14">
    <w:abstractNumId w:val="40"/>
  </w:num>
  <w:num w:numId="15">
    <w:abstractNumId w:val="25"/>
  </w:num>
  <w:num w:numId="16">
    <w:abstractNumId w:val="23"/>
  </w:num>
  <w:num w:numId="17">
    <w:abstractNumId w:val="2"/>
  </w:num>
  <w:num w:numId="18">
    <w:abstractNumId w:val="12"/>
  </w:num>
  <w:num w:numId="19">
    <w:abstractNumId w:val="0"/>
  </w:num>
  <w:num w:numId="20">
    <w:abstractNumId w:val="10"/>
  </w:num>
  <w:num w:numId="21">
    <w:abstractNumId w:val="6"/>
  </w:num>
  <w:num w:numId="22">
    <w:abstractNumId w:val="11"/>
  </w:num>
  <w:num w:numId="23">
    <w:abstractNumId w:val="38"/>
  </w:num>
  <w:num w:numId="24">
    <w:abstractNumId w:val="36"/>
  </w:num>
  <w:num w:numId="25">
    <w:abstractNumId w:val="27"/>
  </w:num>
  <w:num w:numId="26">
    <w:abstractNumId w:val="33"/>
  </w:num>
  <w:num w:numId="27">
    <w:abstractNumId w:val="30"/>
  </w:num>
  <w:num w:numId="28">
    <w:abstractNumId w:val="16"/>
  </w:num>
  <w:num w:numId="29">
    <w:abstractNumId w:val="14"/>
  </w:num>
  <w:num w:numId="30">
    <w:abstractNumId w:val="18"/>
  </w:num>
  <w:num w:numId="31">
    <w:abstractNumId w:val="32"/>
  </w:num>
  <w:num w:numId="32">
    <w:abstractNumId w:val="8"/>
  </w:num>
  <w:num w:numId="33">
    <w:abstractNumId w:val="21"/>
  </w:num>
  <w:num w:numId="34">
    <w:abstractNumId w:val="5"/>
  </w:num>
  <w:num w:numId="35">
    <w:abstractNumId w:val="28"/>
  </w:num>
  <w:num w:numId="36">
    <w:abstractNumId w:val="39"/>
  </w:num>
  <w:num w:numId="37">
    <w:abstractNumId w:val="22"/>
  </w:num>
  <w:num w:numId="38">
    <w:abstractNumId w:val="7"/>
  </w:num>
  <w:num w:numId="39">
    <w:abstractNumId w:val="34"/>
  </w:num>
  <w:num w:numId="40">
    <w:abstractNumId w:val="9"/>
  </w:num>
  <w:num w:numId="41">
    <w:abstractNumId w:val="2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110"/>
    <w:rsid w:val="0001012F"/>
    <w:rsid w:val="00045641"/>
    <w:rsid w:val="000560CB"/>
    <w:rsid w:val="00057DA8"/>
    <w:rsid w:val="00086485"/>
    <w:rsid w:val="000964DE"/>
    <w:rsid w:val="000B08C4"/>
    <w:rsid w:val="000E2C6B"/>
    <w:rsid w:val="000E45E5"/>
    <w:rsid w:val="00103276"/>
    <w:rsid w:val="00134A66"/>
    <w:rsid w:val="001473B3"/>
    <w:rsid w:val="00180DF8"/>
    <w:rsid w:val="001A0DCE"/>
    <w:rsid w:val="001D471A"/>
    <w:rsid w:val="001E30BA"/>
    <w:rsid w:val="002223E0"/>
    <w:rsid w:val="00277DCC"/>
    <w:rsid w:val="00297012"/>
    <w:rsid w:val="002A1486"/>
    <w:rsid w:val="002B197A"/>
    <w:rsid w:val="002E2D6C"/>
    <w:rsid w:val="002F799A"/>
    <w:rsid w:val="00326B06"/>
    <w:rsid w:val="0033411B"/>
    <w:rsid w:val="003702D4"/>
    <w:rsid w:val="003754C3"/>
    <w:rsid w:val="003812A9"/>
    <w:rsid w:val="003836C0"/>
    <w:rsid w:val="003A22D4"/>
    <w:rsid w:val="003B0C3C"/>
    <w:rsid w:val="003F0258"/>
    <w:rsid w:val="00432027"/>
    <w:rsid w:val="00440ECE"/>
    <w:rsid w:val="0044181C"/>
    <w:rsid w:val="00443E94"/>
    <w:rsid w:val="004758AA"/>
    <w:rsid w:val="00484719"/>
    <w:rsid w:val="004A2B79"/>
    <w:rsid w:val="004D3F24"/>
    <w:rsid w:val="005246E5"/>
    <w:rsid w:val="00566D02"/>
    <w:rsid w:val="005A47C7"/>
    <w:rsid w:val="005B038A"/>
    <w:rsid w:val="005F1B65"/>
    <w:rsid w:val="005F1EA5"/>
    <w:rsid w:val="0063524A"/>
    <w:rsid w:val="0065710B"/>
    <w:rsid w:val="00663B85"/>
    <w:rsid w:val="00676AD5"/>
    <w:rsid w:val="0068498F"/>
    <w:rsid w:val="006902F1"/>
    <w:rsid w:val="006C0C18"/>
    <w:rsid w:val="006C491D"/>
    <w:rsid w:val="006E1090"/>
    <w:rsid w:val="0071475E"/>
    <w:rsid w:val="007354EA"/>
    <w:rsid w:val="00736897"/>
    <w:rsid w:val="0076335A"/>
    <w:rsid w:val="007650C2"/>
    <w:rsid w:val="00770B81"/>
    <w:rsid w:val="007C3DB1"/>
    <w:rsid w:val="007C4235"/>
    <w:rsid w:val="007C7A42"/>
    <w:rsid w:val="007D382E"/>
    <w:rsid w:val="007D726E"/>
    <w:rsid w:val="007E4F76"/>
    <w:rsid w:val="00802ABE"/>
    <w:rsid w:val="00810FC3"/>
    <w:rsid w:val="00816B78"/>
    <w:rsid w:val="00821EF0"/>
    <w:rsid w:val="008238EF"/>
    <w:rsid w:val="00834D1A"/>
    <w:rsid w:val="0083711D"/>
    <w:rsid w:val="00837F09"/>
    <w:rsid w:val="00845233"/>
    <w:rsid w:val="00882780"/>
    <w:rsid w:val="00883E89"/>
    <w:rsid w:val="00884CF6"/>
    <w:rsid w:val="00893526"/>
    <w:rsid w:val="008A0260"/>
    <w:rsid w:val="008A4E69"/>
    <w:rsid w:val="008A6097"/>
    <w:rsid w:val="008A6F73"/>
    <w:rsid w:val="008B33D2"/>
    <w:rsid w:val="008E21EC"/>
    <w:rsid w:val="00944F40"/>
    <w:rsid w:val="0094779C"/>
    <w:rsid w:val="009559BA"/>
    <w:rsid w:val="00956F35"/>
    <w:rsid w:val="009723CE"/>
    <w:rsid w:val="009912B9"/>
    <w:rsid w:val="00993E07"/>
    <w:rsid w:val="009D00A5"/>
    <w:rsid w:val="009E2B22"/>
    <w:rsid w:val="00A030A0"/>
    <w:rsid w:val="00A24134"/>
    <w:rsid w:val="00A37107"/>
    <w:rsid w:val="00A51E21"/>
    <w:rsid w:val="00A6756E"/>
    <w:rsid w:val="00A83454"/>
    <w:rsid w:val="00A84AEE"/>
    <w:rsid w:val="00AA4872"/>
    <w:rsid w:val="00AA76B6"/>
    <w:rsid w:val="00AC6F4C"/>
    <w:rsid w:val="00AD32FF"/>
    <w:rsid w:val="00AF3C0C"/>
    <w:rsid w:val="00AF6929"/>
    <w:rsid w:val="00B2445F"/>
    <w:rsid w:val="00B438A3"/>
    <w:rsid w:val="00B60FD8"/>
    <w:rsid w:val="00B879BD"/>
    <w:rsid w:val="00BF4985"/>
    <w:rsid w:val="00BF60A5"/>
    <w:rsid w:val="00C00A95"/>
    <w:rsid w:val="00C14BED"/>
    <w:rsid w:val="00C22E07"/>
    <w:rsid w:val="00C62F49"/>
    <w:rsid w:val="00C64099"/>
    <w:rsid w:val="00CE2896"/>
    <w:rsid w:val="00CE2D1B"/>
    <w:rsid w:val="00CE5105"/>
    <w:rsid w:val="00CF522C"/>
    <w:rsid w:val="00D17475"/>
    <w:rsid w:val="00D2659A"/>
    <w:rsid w:val="00D92FCE"/>
    <w:rsid w:val="00DA646F"/>
    <w:rsid w:val="00DB0EB6"/>
    <w:rsid w:val="00DB77DD"/>
    <w:rsid w:val="00DB7F57"/>
    <w:rsid w:val="00DD3BA3"/>
    <w:rsid w:val="00DD6033"/>
    <w:rsid w:val="00DE1432"/>
    <w:rsid w:val="00E430E5"/>
    <w:rsid w:val="00E56341"/>
    <w:rsid w:val="00E8310E"/>
    <w:rsid w:val="00E90323"/>
    <w:rsid w:val="00E94857"/>
    <w:rsid w:val="00EA50D0"/>
    <w:rsid w:val="00EA697D"/>
    <w:rsid w:val="00EB7526"/>
    <w:rsid w:val="00ED649B"/>
    <w:rsid w:val="00F40EEB"/>
    <w:rsid w:val="00F662A3"/>
    <w:rsid w:val="00F73830"/>
    <w:rsid w:val="00F7753E"/>
    <w:rsid w:val="00F9130D"/>
    <w:rsid w:val="00F918E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paragraph" w:styleId="Heading2">
    <w:name w:val="heading 2"/>
    <w:basedOn w:val="Normal"/>
    <w:next w:val="Normal"/>
    <w:link w:val="Heading2Char"/>
    <w:uiPriority w:val="9"/>
    <w:qFormat/>
    <w:rsid w:val="000560CB"/>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Numbered List Paragraph,AJ- List1,Riana Table Bullets 1,Bullets,Heading,List Paragraph1,List Paragraph (numbered (a)),WB Para,Párrafo de lista1"/>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Mention">
    <w:name w:val="Mention"/>
    <w:basedOn w:val="DefaultParagraphFont"/>
    <w:uiPriority w:val="99"/>
    <w:semiHidden/>
    <w:unhideWhenUsed/>
    <w:rsid w:val="001D471A"/>
    <w:rPr>
      <w:color w:val="2B579A"/>
      <w:shd w:val="clear" w:color="auto" w:fill="E6E6E6"/>
    </w:rPr>
  </w:style>
  <w:style w:type="paragraph" w:styleId="BodyText">
    <w:name w:val="Body Text"/>
    <w:basedOn w:val="Normal"/>
    <w:link w:val="BodyTextChar"/>
    <w:semiHidden/>
    <w:rsid w:val="008238EF"/>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8238EF"/>
    <w:rPr>
      <w:rFonts w:ascii="Times New Roman" w:eastAsia="Times New Roman" w:hAnsi="Times New Roman" w:cs="Times New Roman"/>
      <w:snapToGrid w:val="0"/>
      <w:sz w:val="24"/>
      <w:szCs w:val="20"/>
    </w:rPr>
  </w:style>
  <w:style w:type="paragraph" w:styleId="NoSpacing">
    <w:name w:val="No Spacing"/>
    <w:uiPriority w:val="1"/>
    <w:qFormat/>
    <w:rsid w:val="00A37107"/>
    <w:pPr>
      <w:spacing w:after="0" w:line="240" w:lineRule="auto"/>
    </w:pPr>
    <w:rPr>
      <w:rFonts w:ascii="Calibri" w:eastAsia="Calibri" w:hAnsi="Calibri" w:cs="Times New Roman"/>
    </w:rPr>
  </w:style>
  <w:style w:type="character" w:customStyle="1" w:styleId="ListParagraphChar">
    <w:name w:val="List Paragraph Char"/>
    <w:aliases w:val="Numbered List Paragraph Char,AJ- List1 Char,Riana Table Bullets 1 Char,Bullets Char,Heading Char,List Paragraph1 Char,List Paragraph (numbered (a)) Char,WB Para Char,Párrafo de lista1 Char"/>
    <w:link w:val="ListParagraph"/>
    <w:uiPriority w:val="34"/>
    <w:qFormat/>
    <w:locked/>
    <w:rsid w:val="00A37107"/>
  </w:style>
  <w:style w:type="character" w:styleId="UnresolvedMention">
    <w:name w:val="Unresolved Mention"/>
    <w:basedOn w:val="DefaultParagraphFont"/>
    <w:uiPriority w:val="99"/>
    <w:semiHidden/>
    <w:unhideWhenUsed/>
    <w:rsid w:val="00BF60A5"/>
    <w:rPr>
      <w:color w:val="808080"/>
      <w:shd w:val="clear" w:color="auto" w:fill="E6E6E6"/>
    </w:rPr>
  </w:style>
  <w:style w:type="character" w:customStyle="1" w:styleId="Heading2Char">
    <w:name w:val="Heading 2 Char"/>
    <w:basedOn w:val="DefaultParagraphFont"/>
    <w:link w:val="Heading2"/>
    <w:uiPriority w:val="9"/>
    <w:rsid w:val="000560CB"/>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956F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02ABE"/>
    <w:pPr>
      <w:spacing w:after="120"/>
      <w:ind w:left="283"/>
    </w:pPr>
  </w:style>
  <w:style w:type="character" w:customStyle="1" w:styleId="BodyTextIndentChar">
    <w:name w:val="Body Text Indent Char"/>
    <w:basedOn w:val="DefaultParagraphFont"/>
    <w:link w:val="BodyTextIndent"/>
    <w:uiPriority w:val="99"/>
    <w:semiHidden/>
    <w:rsid w:val="00802ABE"/>
  </w:style>
  <w:style w:type="paragraph" w:customStyle="1" w:styleId="Default">
    <w:name w:val="Default"/>
    <w:rsid w:val="00802ABE"/>
    <w:pPr>
      <w:autoSpaceDE w:val="0"/>
      <w:autoSpaceDN w:val="0"/>
      <w:adjustRightInd w:val="0"/>
      <w:spacing w:after="0" w:line="240" w:lineRule="auto"/>
    </w:pPr>
    <w:rPr>
      <w:rFonts w:ascii="Arial" w:hAnsi="Arial" w:cs="Arial"/>
      <w:color w:val="000000"/>
      <w:sz w:val="24"/>
      <w:szCs w:val="24"/>
      <w:lang w:val="en-ZA"/>
    </w:rPr>
  </w:style>
  <w:style w:type="character" w:customStyle="1" w:styleId="normaltextrun">
    <w:name w:val="normaltextrun"/>
    <w:basedOn w:val="DefaultParagraphFont"/>
    <w:rsid w:val="006902F1"/>
  </w:style>
  <w:style w:type="character" w:customStyle="1" w:styleId="eop">
    <w:name w:val="eop"/>
    <w:basedOn w:val="DefaultParagraphFont"/>
    <w:rsid w:val="006902F1"/>
  </w:style>
  <w:style w:type="paragraph" w:customStyle="1" w:styleId="Body">
    <w:name w:val="Body"/>
    <w:rsid w:val="006902F1"/>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ZA" w:eastAsia="en-ZA"/>
    </w:rPr>
  </w:style>
  <w:style w:type="paragraph" w:customStyle="1" w:styleId="ColorfulList-Accent11">
    <w:name w:val="Colorful List - Accent 11"/>
    <w:basedOn w:val="Normal"/>
    <w:uiPriority w:val="99"/>
    <w:qFormat/>
    <w:rsid w:val="006902F1"/>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curement.enquiries.za@undp.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za@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3F90D-D28F-488E-B5FC-5A4685154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openxmlformats.org/package/2006/metadata/core-properties"/>
    <ds:schemaRef ds:uri="http://purl.org/dc/elements/1.1/"/>
    <ds:schemaRef ds:uri="http://purl.org/dc/dcmitype/"/>
    <ds:schemaRef ds:uri="http://schemas.microsoft.com/office/2006/metadata/properties"/>
    <ds:schemaRef ds:uri="8264c5cc-ec60-4b56-8111-ce635d3d139a"/>
    <ds:schemaRef ds:uri="http://schemas.microsoft.com/office/2006/documentManagement/types"/>
    <ds:schemaRef ds:uri="http://purl.org/dc/terms/"/>
    <ds:schemaRef ds:uri="http://www.w3.org/XML/1998/namespace"/>
    <ds:schemaRef ds:uri="http://schemas.microsoft.com/office/infopath/2007/PartnerControls"/>
    <ds:schemaRef ds:uri="e560140e-7b2f-4392-90df-e7567e3021a3"/>
    <ds:schemaRef ds:uri="http://schemas.microsoft.com/sharepoint/v3"/>
  </ds:schemaRefs>
</ds:datastoreItem>
</file>

<file path=customXml/itemProps4.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5.xml><?xml version="1.0" encoding="utf-8"?>
<ds:datastoreItem xmlns:ds="http://schemas.openxmlformats.org/officeDocument/2006/customXml" ds:itemID="{6BAF5F8C-7272-4E2C-92C5-1570934F7B22}">
  <ds:schemaRefs>
    <ds:schemaRef ds:uri="office.server.policy"/>
  </ds:schemaRefs>
</ds:datastoreItem>
</file>

<file path=customXml/itemProps6.xml><?xml version="1.0" encoding="utf-8"?>
<ds:datastoreItem xmlns:ds="http://schemas.openxmlformats.org/officeDocument/2006/customXml" ds:itemID="{838AF7DA-142D-4E21-B5F4-E5ABE8BE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Lerato Maimela</cp:lastModifiedBy>
  <cp:revision>2</cp:revision>
  <cp:lastPrinted>2019-08-24T13:07:00Z</cp:lastPrinted>
  <dcterms:created xsi:type="dcterms:W3CDTF">2019-08-30T06:35:00Z</dcterms:created>
  <dcterms:modified xsi:type="dcterms:W3CDTF">2019-08-30T06:35:00Z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