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BC7D" w14:textId="77777777" w:rsidR="00BD0BDD" w:rsidRPr="0030696B" w:rsidRDefault="00BD0BDD" w:rsidP="00BD0BDD">
      <w:pPr>
        <w:ind w:left="720" w:hanging="720"/>
        <w:jc w:val="center"/>
        <w:rPr>
          <w:rFonts w:asciiTheme="minorHAnsi" w:hAnsiTheme="minorHAnsi"/>
          <w:b/>
          <w:color w:val="002060"/>
          <w:sz w:val="28"/>
          <w:szCs w:val="22"/>
        </w:rPr>
      </w:pPr>
      <w:bookmarkStart w:id="0" w:name="_GoBack"/>
      <w:bookmarkEnd w:id="0"/>
      <w:r w:rsidRPr="0030696B">
        <w:rPr>
          <w:rFonts w:asciiTheme="minorHAnsi" w:hAnsiTheme="minorHAnsi"/>
          <w:b/>
          <w:color w:val="002060"/>
          <w:sz w:val="28"/>
          <w:szCs w:val="22"/>
        </w:rPr>
        <w:t>Terms of Reference</w:t>
      </w:r>
    </w:p>
    <w:p w14:paraId="380C04C4" w14:textId="77777777" w:rsidR="00BD0BDD" w:rsidRPr="0030696B" w:rsidRDefault="00BD0BDD" w:rsidP="00BD0BDD">
      <w:pPr>
        <w:jc w:val="center"/>
        <w:rPr>
          <w:rFonts w:asciiTheme="minorHAnsi" w:hAnsiTheme="minorHAnsi"/>
          <w:b/>
          <w:color w:val="002060"/>
          <w:sz w:val="28"/>
          <w:szCs w:val="22"/>
        </w:rPr>
      </w:pPr>
      <w:r>
        <w:rPr>
          <w:rFonts w:asciiTheme="minorHAnsi" w:hAnsiTheme="minorHAnsi"/>
          <w:b/>
          <w:color w:val="002060"/>
          <w:sz w:val="28"/>
          <w:szCs w:val="22"/>
        </w:rPr>
        <w:t>D</w:t>
      </w:r>
      <w:r w:rsidRPr="00F6659A">
        <w:rPr>
          <w:rFonts w:asciiTheme="minorHAnsi" w:hAnsiTheme="minorHAnsi"/>
          <w:b/>
          <w:color w:val="002060"/>
          <w:sz w:val="28"/>
          <w:szCs w:val="22"/>
        </w:rPr>
        <w:t xml:space="preserve">isaster </w:t>
      </w:r>
      <w:r>
        <w:rPr>
          <w:rFonts w:asciiTheme="minorHAnsi" w:hAnsiTheme="minorHAnsi"/>
          <w:b/>
          <w:color w:val="002060"/>
          <w:sz w:val="28"/>
          <w:szCs w:val="22"/>
        </w:rPr>
        <w:t>P</w:t>
      </w:r>
      <w:r w:rsidRPr="00F6659A">
        <w:rPr>
          <w:rFonts w:asciiTheme="minorHAnsi" w:hAnsiTheme="minorHAnsi"/>
          <w:b/>
          <w:color w:val="002060"/>
          <w:sz w:val="28"/>
          <w:szCs w:val="22"/>
        </w:rPr>
        <w:t xml:space="preserve">reparedness </w:t>
      </w:r>
      <w:r>
        <w:rPr>
          <w:rFonts w:asciiTheme="minorHAnsi" w:hAnsiTheme="minorHAnsi"/>
          <w:b/>
          <w:color w:val="002060"/>
          <w:sz w:val="28"/>
          <w:szCs w:val="22"/>
        </w:rPr>
        <w:t>M</w:t>
      </w:r>
      <w:r w:rsidRPr="00F6659A">
        <w:rPr>
          <w:rFonts w:asciiTheme="minorHAnsi" w:hAnsiTheme="minorHAnsi"/>
          <w:b/>
          <w:color w:val="002060"/>
          <w:sz w:val="28"/>
          <w:szCs w:val="22"/>
        </w:rPr>
        <w:t xml:space="preserve">odeling </w:t>
      </w:r>
      <w:r>
        <w:rPr>
          <w:rFonts w:asciiTheme="minorHAnsi" w:hAnsiTheme="minorHAnsi"/>
          <w:b/>
          <w:color w:val="002060"/>
          <w:sz w:val="28"/>
          <w:szCs w:val="22"/>
        </w:rPr>
        <w:t>C</w:t>
      </w:r>
      <w:r w:rsidRPr="00F6659A">
        <w:rPr>
          <w:rFonts w:asciiTheme="minorHAnsi" w:hAnsiTheme="minorHAnsi"/>
          <w:b/>
          <w:color w:val="002060"/>
          <w:sz w:val="28"/>
          <w:szCs w:val="22"/>
        </w:rPr>
        <w:t>onsultant</w:t>
      </w:r>
    </w:p>
    <w:p w14:paraId="401FA8B2" w14:textId="77777777" w:rsidR="00BD0BDD" w:rsidRPr="005D6E20" w:rsidRDefault="00BD0BDD" w:rsidP="00BD0BDD">
      <w:pPr>
        <w:ind w:left="720" w:firstLine="720"/>
        <w:rPr>
          <w:rFonts w:asciiTheme="minorHAnsi" w:hAnsiTheme="minorHAnsi"/>
          <w:b/>
          <w:color w:val="00206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9010"/>
      </w:tblGrid>
      <w:tr w:rsidR="00BD0BDD" w:rsidRPr="005D6E20" w14:paraId="67B58BDA" w14:textId="77777777" w:rsidTr="008C7AB0">
        <w:tc>
          <w:tcPr>
            <w:tcW w:w="9010" w:type="dxa"/>
            <w:shd w:val="clear" w:color="000000" w:fill="F2F2F2"/>
          </w:tcPr>
          <w:p w14:paraId="1997982C" w14:textId="77777777" w:rsidR="00BD0BDD" w:rsidRPr="005D6E20" w:rsidRDefault="00BD0BDD" w:rsidP="008C7AB0">
            <w:pPr>
              <w:jc w:val="both"/>
              <w:rPr>
                <w:rFonts w:asciiTheme="minorHAnsi" w:hAnsiTheme="minorHAnsi"/>
                <w:b/>
                <w:color w:val="002060"/>
                <w:sz w:val="22"/>
                <w:szCs w:val="22"/>
              </w:rPr>
            </w:pPr>
            <w:r w:rsidRPr="0030696B">
              <w:rPr>
                <w:rFonts w:asciiTheme="minorHAnsi" w:hAnsiTheme="minorHAnsi"/>
                <w:b/>
                <w:color w:val="002060"/>
                <w:sz w:val="22"/>
                <w:szCs w:val="22"/>
              </w:rPr>
              <w:t>I. Assignment Information</w:t>
            </w:r>
          </w:p>
        </w:tc>
      </w:tr>
      <w:tr w:rsidR="00BD0BDD" w:rsidRPr="005D6E20" w14:paraId="665B453C" w14:textId="77777777" w:rsidTr="008C7AB0">
        <w:tc>
          <w:tcPr>
            <w:tcW w:w="9010" w:type="dxa"/>
            <w:shd w:val="clear" w:color="000000" w:fill="FFFFFF"/>
          </w:tcPr>
          <w:p w14:paraId="3AC3090E" w14:textId="77777777" w:rsidR="00BD0BDD" w:rsidRPr="005D6E20" w:rsidRDefault="00BD0BDD" w:rsidP="008C7AB0">
            <w:pPr>
              <w:jc w:val="both"/>
              <w:rPr>
                <w:rFonts w:asciiTheme="minorHAnsi" w:hAnsiTheme="minorHAnsi"/>
                <w:b/>
                <w:sz w:val="22"/>
                <w:szCs w:val="22"/>
              </w:rPr>
            </w:pPr>
          </w:p>
          <w:p w14:paraId="673F3646" w14:textId="77777777" w:rsidR="00BD0BDD" w:rsidRPr="005D6E20" w:rsidRDefault="00BD0BDD" w:rsidP="008C7AB0">
            <w:pPr>
              <w:jc w:val="both"/>
              <w:rPr>
                <w:rFonts w:asciiTheme="minorHAnsi" w:hAnsiTheme="minorHAnsi"/>
                <w:b/>
                <w:sz w:val="22"/>
                <w:szCs w:val="22"/>
              </w:rPr>
            </w:pPr>
            <w:r w:rsidRPr="005D6E20">
              <w:rPr>
                <w:rFonts w:asciiTheme="minorHAnsi" w:hAnsiTheme="minorHAnsi"/>
                <w:b/>
                <w:sz w:val="22"/>
                <w:szCs w:val="22"/>
              </w:rPr>
              <w:t>Title:</w:t>
            </w:r>
            <w:r w:rsidRPr="005D6E20">
              <w:rPr>
                <w:rFonts w:asciiTheme="minorHAnsi" w:hAnsiTheme="minorHAnsi"/>
                <w:sz w:val="22"/>
                <w:szCs w:val="22"/>
              </w:rPr>
              <w:t xml:space="preserve"> </w:t>
            </w:r>
            <w:r w:rsidRPr="00F6659A">
              <w:rPr>
                <w:rFonts w:asciiTheme="minorHAnsi" w:hAnsiTheme="minorHAnsi"/>
                <w:b/>
                <w:sz w:val="22"/>
                <w:szCs w:val="22"/>
              </w:rPr>
              <w:t xml:space="preserve">Disaster Preparedness Modeling </w:t>
            </w:r>
            <w:r w:rsidR="00F97B17">
              <w:rPr>
                <w:rFonts w:asciiTheme="minorHAnsi" w:hAnsiTheme="minorHAnsi"/>
                <w:b/>
                <w:sz w:val="22"/>
                <w:szCs w:val="22"/>
              </w:rPr>
              <w:t xml:space="preserve">Consultant </w:t>
            </w:r>
            <w:r>
              <w:rPr>
                <w:rFonts w:asciiTheme="minorHAnsi" w:hAnsiTheme="minorHAnsi"/>
                <w:b/>
                <w:sz w:val="22"/>
                <w:szCs w:val="22"/>
              </w:rPr>
              <w:t>(Individual Contractor - IC)</w:t>
            </w:r>
          </w:p>
          <w:p w14:paraId="7F12139C" w14:textId="77777777" w:rsidR="00BD0BDD" w:rsidRPr="0030696B" w:rsidRDefault="00BD0BDD" w:rsidP="008C7AB0">
            <w:pPr>
              <w:jc w:val="both"/>
              <w:rPr>
                <w:rFonts w:asciiTheme="minorHAnsi" w:hAnsiTheme="minorHAnsi"/>
                <w:sz w:val="22"/>
                <w:szCs w:val="22"/>
              </w:rPr>
            </w:pPr>
            <w:r w:rsidRPr="0030696B">
              <w:rPr>
                <w:rFonts w:asciiTheme="minorHAnsi" w:hAnsiTheme="minorHAnsi"/>
                <w:sz w:val="22"/>
                <w:szCs w:val="22"/>
              </w:rPr>
              <w:t>Providing the Building Damage Assessment team with technical assistance in the development of the Building Damage Assessment tool, including but not limited to preparedness forecast.</w:t>
            </w:r>
          </w:p>
          <w:p w14:paraId="7387555C" w14:textId="77777777" w:rsidR="00BD0BDD" w:rsidRPr="005D6E20" w:rsidRDefault="00BD0BDD" w:rsidP="008C7AB0">
            <w:pPr>
              <w:jc w:val="both"/>
              <w:rPr>
                <w:rFonts w:asciiTheme="minorHAnsi" w:hAnsiTheme="minorHAnsi"/>
                <w:strike/>
                <w:sz w:val="22"/>
                <w:szCs w:val="22"/>
              </w:rPr>
            </w:pPr>
            <w:r w:rsidRPr="005D6E20">
              <w:rPr>
                <w:rFonts w:asciiTheme="minorHAnsi" w:hAnsiTheme="minorHAnsi"/>
                <w:b/>
                <w:sz w:val="22"/>
                <w:szCs w:val="22"/>
              </w:rPr>
              <w:t>Duty Station:</w:t>
            </w:r>
            <w:r w:rsidRPr="005D6E20">
              <w:rPr>
                <w:rFonts w:asciiTheme="minorHAnsi" w:hAnsiTheme="minorHAnsi"/>
                <w:sz w:val="22"/>
                <w:szCs w:val="22"/>
              </w:rPr>
              <w:t xml:space="preserve"> UNDP Barbados &amp; the OECS sub-regional office</w:t>
            </w:r>
            <w:r>
              <w:rPr>
                <w:rFonts w:asciiTheme="minorHAnsi" w:hAnsiTheme="minorHAnsi"/>
                <w:sz w:val="22"/>
                <w:szCs w:val="22"/>
              </w:rPr>
              <w:t>.</w:t>
            </w:r>
            <w:r w:rsidRPr="005D6E20">
              <w:rPr>
                <w:rFonts w:asciiTheme="minorHAnsi" w:hAnsiTheme="minorHAnsi"/>
                <w:sz w:val="22"/>
                <w:szCs w:val="22"/>
              </w:rPr>
              <w:t xml:space="preserve"> </w:t>
            </w:r>
          </w:p>
          <w:p w14:paraId="29E296D8" w14:textId="77777777" w:rsidR="00BD0BDD" w:rsidRPr="005D6E20" w:rsidRDefault="00BD0BDD" w:rsidP="008C7AB0">
            <w:pPr>
              <w:jc w:val="both"/>
              <w:rPr>
                <w:rFonts w:asciiTheme="minorHAnsi" w:hAnsiTheme="minorHAnsi"/>
                <w:sz w:val="22"/>
                <w:szCs w:val="22"/>
              </w:rPr>
            </w:pPr>
            <w:r w:rsidRPr="005D6E20">
              <w:rPr>
                <w:rFonts w:asciiTheme="minorHAnsi" w:hAnsiTheme="minorHAnsi"/>
                <w:b/>
                <w:sz w:val="22"/>
                <w:szCs w:val="22"/>
              </w:rPr>
              <w:t>Starting Date</w:t>
            </w:r>
            <w:r w:rsidRPr="005D6E20">
              <w:rPr>
                <w:rFonts w:asciiTheme="minorHAnsi" w:hAnsiTheme="minorHAnsi"/>
                <w:sz w:val="22"/>
                <w:szCs w:val="22"/>
              </w:rPr>
              <w:t xml:space="preserve">: </w:t>
            </w:r>
            <w:r w:rsidR="0000315F">
              <w:rPr>
                <w:rFonts w:asciiTheme="minorHAnsi" w:hAnsiTheme="minorHAnsi"/>
                <w:sz w:val="22"/>
                <w:szCs w:val="22"/>
              </w:rPr>
              <w:t>23</w:t>
            </w:r>
            <w:r w:rsidRPr="005D6E20">
              <w:rPr>
                <w:rFonts w:asciiTheme="minorHAnsi" w:hAnsiTheme="minorHAnsi"/>
                <w:sz w:val="22"/>
                <w:szCs w:val="22"/>
              </w:rPr>
              <w:t xml:space="preserve"> September 2019</w:t>
            </w:r>
          </w:p>
          <w:p w14:paraId="74C1B003" w14:textId="77777777" w:rsidR="00BD0BDD" w:rsidRPr="005D6E20" w:rsidRDefault="00BD0BDD" w:rsidP="008C7AB0">
            <w:pPr>
              <w:jc w:val="both"/>
              <w:rPr>
                <w:rFonts w:asciiTheme="minorHAnsi" w:hAnsiTheme="minorHAnsi"/>
                <w:sz w:val="22"/>
                <w:szCs w:val="22"/>
              </w:rPr>
            </w:pPr>
            <w:r w:rsidRPr="005D6E20">
              <w:rPr>
                <w:rFonts w:asciiTheme="minorHAnsi" w:hAnsiTheme="minorHAnsi"/>
                <w:b/>
                <w:sz w:val="22"/>
                <w:szCs w:val="22"/>
              </w:rPr>
              <w:t>Duration of the consultancy:</w:t>
            </w:r>
            <w:r w:rsidRPr="005D6E20">
              <w:rPr>
                <w:rFonts w:asciiTheme="minorHAnsi" w:hAnsiTheme="minorHAnsi"/>
                <w:sz w:val="22"/>
                <w:szCs w:val="22"/>
              </w:rPr>
              <w:t xml:space="preserve"> </w:t>
            </w:r>
            <w:r w:rsidR="0000315F">
              <w:rPr>
                <w:rFonts w:asciiTheme="minorHAnsi" w:hAnsiTheme="minorHAnsi"/>
                <w:sz w:val="22"/>
                <w:szCs w:val="22"/>
              </w:rPr>
              <w:t>2.5</w:t>
            </w:r>
            <w:r w:rsidRPr="005D6E20">
              <w:rPr>
                <w:rFonts w:asciiTheme="minorHAnsi" w:hAnsiTheme="minorHAnsi"/>
                <w:sz w:val="22"/>
                <w:szCs w:val="22"/>
              </w:rPr>
              <w:t xml:space="preserve"> months</w:t>
            </w:r>
          </w:p>
          <w:p w14:paraId="458A513C" w14:textId="77777777" w:rsidR="00BD0BDD" w:rsidRPr="005D6E20" w:rsidRDefault="00BD0BDD" w:rsidP="008C7AB0">
            <w:pPr>
              <w:jc w:val="both"/>
              <w:rPr>
                <w:rFonts w:asciiTheme="minorHAnsi" w:hAnsiTheme="minorHAnsi"/>
                <w:sz w:val="22"/>
                <w:szCs w:val="22"/>
              </w:rPr>
            </w:pPr>
          </w:p>
        </w:tc>
      </w:tr>
      <w:tr w:rsidR="00BD0BDD" w:rsidRPr="005D6E20" w14:paraId="6BFA16FA" w14:textId="77777777" w:rsidTr="008C7AB0">
        <w:tc>
          <w:tcPr>
            <w:tcW w:w="9010" w:type="dxa"/>
            <w:shd w:val="clear" w:color="000000" w:fill="F2F2F2"/>
          </w:tcPr>
          <w:p w14:paraId="567BF1DA" w14:textId="77777777" w:rsidR="00BD0BDD" w:rsidRPr="005D6E20" w:rsidRDefault="00BD0BDD" w:rsidP="008C7AB0">
            <w:pPr>
              <w:jc w:val="both"/>
              <w:rPr>
                <w:rFonts w:asciiTheme="minorHAnsi" w:hAnsiTheme="minorHAnsi"/>
                <w:b/>
                <w:sz w:val="22"/>
                <w:szCs w:val="22"/>
              </w:rPr>
            </w:pPr>
            <w:r w:rsidRPr="0030696B">
              <w:rPr>
                <w:rFonts w:asciiTheme="minorHAnsi" w:hAnsiTheme="minorHAnsi"/>
                <w:b/>
                <w:color w:val="002060"/>
                <w:sz w:val="22"/>
                <w:szCs w:val="22"/>
              </w:rPr>
              <w:t>II. Background</w:t>
            </w:r>
          </w:p>
        </w:tc>
      </w:tr>
      <w:tr w:rsidR="00BD0BDD" w:rsidRPr="005D6E20" w14:paraId="762AABB4" w14:textId="77777777" w:rsidTr="008C7AB0">
        <w:tc>
          <w:tcPr>
            <w:tcW w:w="9010" w:type="dxa"/>
            <w:shd w:val="clear" w:color="000000" w:fill="FFFFFF"/>
          </w:tcPr>
          <w:p w14:paraId="74506C67" w14:textId="77777777" w:rsidR="00BD0BDD" w:rsidRPr="00AB1A15" w:rsidRDefault="00BD0BDD" w:rsidP="008C7AB0">
            <w:pPr>
              <w:spacing w:line="276" w:lineRule="auto"/>
              <w:jc w:val="both"/>
              <w:rPr>
                <w:rFonts w:asciiTheme="minorHAnsi" w:hAnsiTheme="minorHAnsi"/>
                <w:sz w:val="22"/>
                <w:szCs w:val="22"/>
              </w:rPr>
            </w:pPr>
          </w:p>
          <w:p w14:paraId="4C5BA7B9" w14:textId="77777777" w:rsidR="00BD0BDD" w:rsidRPr="00AB1A15" w:rsidRDefault="00BD0BDD" w:rsidP="008C7AB0">
            <w:pPr>
              <w:spacing w:line="276" w:lineRule="auto"/>
              <w:jc w:val="both"/>
              <w:rPr>
                <w:rFonts w:asciiTheme="minorHAnsi" w:hAnsiTheme="minorHAnsi"/>
                <w:sz w:val="22"/>
                <w:szCs w:val="22"/>
              </w:rPr>
            </w:pPr>
            <w:r w:rsidRPr="00AB1A15">
              <w:rPr>
                <w:rFonts w:asciiTheme="minorHAnsi" w:hAnsiTheme="minorHAnsi"/>
                <w:sz w:val="22"/>
                <w:szCs w:val="22"/>
              </w:rPr>
              <w:t xml:space="preserve">The 2017 Hurricanes season in the Caribbean was particularly active. Hurricanes Irma and Maria impacted multiple islands within a week causing massive devastation and triggering a crisis that almost two years later is still affecting many communities impacted. </w:t>
            </w:r>
          </w:p>
          <w:p w14:paraId="733E4B3B" w14:textId="77777777" w:rsidR="00BD0BDD" w:rsidRPr="00AB1A15" w:rsidRDefault="00BD0BDD" w:rsidP="008C7AB0">
            <w:pPr>
              <w:spacing w:line="276" w:lineRule="auto"/>
              <w:jc w:val="both"/>
              <w:rPr>
                <w:rFonts w:asciiTheme="minorHAnsi" w:hAnsiTheme="minorHAnsi" w:cstheme="minorHAnsi"/>
                <w:sz w:val="22"/>
                <w:szCs w:val="22"/>
              </w:rPr>
            </w:pPr>
            <w:r w:rsidRPr="00AB1A15">
              <w:rPr>
                <w:rFonts w:asciiTheme="minorHAnsi" w:hAnsiTheme="minorHAnsi"/>
                <w:sz w:val="22"/>
                <w:szCs w:val="22"/>
              </w:rPr>
              <w:t xml:space="preserve">In this context, the United Nation Development Programme (UNDP) Barbados &amp; the OECS sub-regional office and the UNDP Crisis Bureau in HQ designed a tool to rapidly assess damage to buildings in post-disaster contexts (immediately after natural disasters). The </w:t>
            </w:r>
            <w:hyperlink r:id="rId10" w:history="1">
              <w:r w:rsidRPr="00AB1A15">
                <w:rPr>
                  <w:rStyle w:val="Hyperlink"/>
                  <w:rFonts w:asciiTheme="minorHAnsi" w:hAnsiTheme="minorHAnsi"/>
                  <w:color w:val="8496B0" w:themeColor="text2" w:themeTint="99"/>
                  <w:sz w:val="22"/>
                  <w:szCs w:val="22"/>
                  <w:u w:val="single"/>
                </w:rPr>
                <w:t>Building Damage Assessment (BDA) Toolkit</w:t>
              </w:r>
            </w:hyperlink>
            <w:r w:rsidRPr="00AB1A15">
              <w:rPr>
                <w:rFonts w:asciiTheme="minorHAnsi" w:hAnsiTheme="minorHAnsi"/>
                <w:sz w:val="22"/>
                <w:szCs w:val="22"/>
              </w:rPr>
              <w:t xml:space="preserve"> </w:t>
            </w:r>
            <w:r w:rsidRPr="00AB1A15">
              <w:rPr>
                <w:rFonts w:asciiTheme="minorHAnsi" w:hAnsiTheme="minorHAnsi" w:cstheme="minorHAnsi"/>
                <w:sz w:val="22"/>
                <w:szCs w:val="22"/>
              </w:rPr>
              <w:t>is designed to support national and local authorities in crisis-affected countries around the world to assess residential and non-residential infrastructures and collect timely data to make informed decisions and prioritization for risk-informed rehabilitation and rebuilding.</w:t>
            </w:r>
          </w:p>
          <w:p w14:paraId="37D90D45" w14:textId="77777777" w:rsidR="00BD0BDD" w:rsidRPr="00AB1A15" w:rsidRDefault="00BD0BDD" w:rsidP="008C7AB0">
            <w:pPr>
              <w:spacing w:line="276" w:lineRule="auto"/>
              <w:jc w:val="both"/>
              <w:rPr>
                <w:rFonts w:asciiTheme="minorHAnsi" w:hAnsiTheme="minorHAnsi" w:cstheme="minorHAnsi"/>
                <w:sz w:val="22"/>
                <w:szCs w:val="22"/>
              </w:rPr>
            </w:pPr>
          </w:p>
          <w:p w14:paraId="1CDEED34" w14:textId="77777777" w:rsidR="00BD0BDD" w:rsidRPr="00AB1A15" w:rsidRDefault="00BD0BDD" w:rsidP="008C7AB0">
            <w:pPr>
              <w:jc w:val="both"/>
              <w:rPr>
                <w:rFonts w:asciiTheme="minorHAnsi" w:hAnsiTheme="minorHAnsi"/>
                <w:sz w:val="22"/>
                <w:szCs w:val="22"/>
              </w:rPr>
            </w:pPr>
            <w:r w:rsidRPr="00AB1A15">
              <w:rPr>
                <w:rFonts w:asciiTheme="minorHAnsi" w:hAnsiTheme="minorHAnsi"/>
                <w:sz w:val="22"/>
                <w:szCs w:val="22"/>
              </w:rPr>
              <w:t xml:space="preserve">The BDA Toolkit is operated using a flexible online questionnaire that gathers information about buildings, including damage to the structure, vulnerability of the occupants, etc. The information is collected on the field through smartphones using </w:t>
            </w:r>
            <w:hyperlink r:id="rId11" w:anchor="/forms" w:history="1">
              <w:r w:rsidRPr="00AB1A15">
                <w:rPr>
                  <w:rStyle w:val="Hyperlink"/>
                  <w:rFonts w:asciiTheme="minorHAnsi" w:hAnsiTheme="minorHAnsi"/>
                  <w:color w:val="8496B0" w:themeColor="text2" w:themeTint="99"/>
                  <w:sz w:val="22"/>
                  <w:szCs w:val="22"/>
                  <w:u w:val="single"/>
                </w:rPr>
                <w:t>KoboToolbox</w:t>
              </w:r>
            </w:hyperlink>
            <w:r w:rsidRPr="00AB1A15">
              <w:rPr>
                <w:rFonts w:asciiTheme="minorHAnsi" w:hAnsiTheme="minorHAnsi"/>
                <w:sz w:val="22"/>
                <w:szCs w:val="22"/>
              </w:rPr>
              <w:t xml:space="preserve"> (an opensource data collection platform that allows rapid information gathering and facilitates the post-collection data analysis). After the data is collected in the field and uploaded to KoboToolbox, it is cleaned and visualized into </w:t>
            </w:r>
            <w:hyperlink r:id="rId12" w:history="1">
              <w:r w:rsidRPr="00AB1A15">
                <w:rPr>
                  <w:rStyle w:val="Hyperlink"/>
                  <w:rFonts w:asciiTheme="minorHAnsi" w:hAnsiTheme="minorHAnsi"/>
                  <w:color w:val="8496B0" w:themeColor="text2" w:themeTint="99"/>
                  <w:sz w:val="22"/>
                  <w:szCs w:val="22"/>
                  <w:u w:val="single"/>
                </w:rPr>
                <w:t>Microsoft Power BI</w:t>
              </w:r>
            </w:hyperlink>
            <w:r w:rsidRPr="00AB1A15">
              <w:rPr>
                <w:rFonts w:asciiTheme="minorHAnsi" w:hAnsiTheme="minorHAnsi"/>
                <w:sz w:val="22"/>
                <w:szCs w:val="22"/>
              </w:rPr>
              <w:t xml:space="preserve"> (an intelligence platform for the analysis and real-time visualization of data and interactive maps). Once this process is completed, the information is handed over from UNDP to the government of the affected area. Governments can use this powerful data for rapid reconstruction, policy-making and preparedness for future disasters. The BDA maps and associated dataset represent a critical baseline against which national and local authorities can track risk-informed reconstruction and rehabilitation efforts for an effective recovery.</w:t>
            </w:r>
          </w:p>
          <w:p w14:paraId="2F3EB544" w14:textId="77777777" w:rsidR="00BD0BDD" w:rsidRPr="00AB1A15" w:rsidRDefault="00BD0BDD" w:rsidP="008C7AB0">
            <w:pPr>
              <w:jc w:val="both"/>
              <w:rPr>
                <w:rFonts w:asciiTheme="minorHAnsi" w:hAnsiTheme="minorHAnsi"/>
                <w:sz w:val="22"/>
                <w:szCs w:val="22"/>
              </w:rPr>
            </w:pPr>
          </w:p>
          <w:p w14:paraId="13BCAF39" w14:textId="77777777" w:rsidR="00BD0BDD" w:rsidRPr="00AB1A15" w:rsidRDefault="00BD0BDD" w:rsidP="008C7AB0">
            <w:pPr>
              <w:jc w:val="both"/>
              <w:rPr>
                <w:rFonts w:asciiTheme="minorHAnsi" w:hAnsiTheme="minorHAnsi"/>
                <w:sz w:val="22"/>
                <w:szCs w:val="22"/>
              </w:rPr>
            </w:pPr>
            <w:r w:rsidRPr="00AB1A15">
              <w:rPr>
                <w:rFonts w:asciiTheme="minorHAnsi" w:hAnsiTheme="minorHAnsi"/>
                <w:sz w:val="22"/>
                <w:szCs w:val="22"/>
              </w:rPr>
              <w:t xml:space="preserve">The first BDA was conducted in Dominica and Barbuda (In Dominica alone, almost 29,500 buildings were assessed by over 150 surveyors in three months). Most recently, on December 2018, a pilot exercise was conducted over 200 structures in Roseau, the capital of Dominica, to test the practicability of a new tool (BDA 2.0) incorporating lessons learnt from the first BDA. </w:t>
            </w:r>
          </w:p>
          <w:p w14:paraId="489AD60E" w14:textId="77777777" w:rsidR="00BD0BDD" w:rsidRPr="00AB1A15" w:rsidRDefault="00BD0BDD" w:rsidP="008C7AB0">
            <w:pPr>
              <w:jc w:val="both"/>
              <w:rPr>
                <w:rFonts w:asciiTheme="minorHAnsi" w:hAnsiTheme="minorHAnsi" w:cstheme="minorHAnsi"/>
                <w:sz w:val="22"/>
                <w:szCs w:val="22"/>
              </w:rPr>
            </w:pPr>
          </w:p>
          <w:p w14:paraId="7712A156" w14:textId="77777777" w:rsidR="00BD0BDD" w:rsidRPr="00AB1A15" w:rsidRDefault="00BD0BDD" w:rsidP="008C7AB0">
            <w:pPr>
              <w:jc w:val="both"/>
              <w:rPr>
                <w:rFonts w:asciiTheme="minorHAnsi" w:hAnsiTheme="minorHAnsi" w:cstheme="minorHAnsi"/>
                <w:b/>
                <w:color w:val="0070C0"/>
                <w:sz w:val="22"/>
                <w:szCs w:val="22"/>
              </w:rPr>
            </w:pPr>
            <w:r w:rsidRPr="00AB1A15">
              <w:rPr>
                <w:rFonts w:asciiTheme="minorHAnsi" w:hAnsiTheme="minorHAnsi"/>
                <w:sz w:val="22"/>
                <w:szCs w:val="22"/>
              </w:rPr>
              <w:t xml:space="preserve">The BDA 2.0 includes a more comprehensive and flexible questionnaire, a </w:t>
            </w:r>
            <w:r w:rsidRPr="00AB1A15">
              <w:rPr>
                <w:rFonts w:asciiTheme="minorHAnsi" w:hAnsiTheme="minorHAnsi"/>
                <w:noProof/>
                <w:sz w:val="22"/>
                <w:szCs w:val="22"/>
              </w:rPr>
              <w:t>wider</w:t>
            </w:r>
            <w:r w:rsidRPr="00AB1A15">
              <w:rPr>
                <w:rFonts w:asciiTheme="minorHAnsi" w:hAnsiTheme="minorHAnsi"/>
                <w:sz w:val="22"/>
                <w:szCs w:val="22"/>
              </w:rPr>
              <w:t xml:space="preserve"> set of data fields, higher GPS accuracy and the </w:t>
            </w:r>
            <w:r w:rsidRPr="00AB1A15">
              <w:rPr>
                <w:rFonts w:asciiTheme="minorHAnsi" w:hAnsiTheme="minorHAnsi"/>
                <w:noProof/>
                <w:sz w:val="22"/>
                <w:szCs w:val="22"/>
              </w:rPr>
              <w:t>possibility</w:t>
            </w:r>
            <w:r w:rsidRPr="00AB1A15">
              <w:rPr>
                <w:rFonts w:asciiTheme="minorHAnsi" w:hAnsiTheme="minorHAnsi"/>
                <w:sz w:val="22"/>
                <w:szCs w:val="22"/>
              </w:rPr>
              <w:t xml:space="preserve"> to use any smartphone for data gathering</w:t>
            </w:r>
            <w:r w:rsidRPr="00AB1A15">
              <w:rPr>
                <w:rFonts w:asciiTheme="minorHAnsi" w:hAnsiTheme="minorHAnsi" w:cstheme="minorHAnsi"/>
                <w:sz w:val="22"/>
                <w:szCs w:val="22"/>
              </w:rPr>
              <w:t>.</w:t>
            </w:r>
            <w:r w:rsidRPr="00AB1A15">
              <w:rPr>
                <w:rFonts w:asciiTheme="minorHAnsi" w:hAnsiTheme="minorHAnsi" w:cstheme="minorHAnsi"/>
                <w:b/>
                <w:color w:val="0070C0"/>
                <w:sz w:val="22"/>
                <w:szCs w:val="22"/>
              </w:rPr>
              <w:t xml:space="preserve"> </w:t>
            </w:r>
            <w:r w:rsidRPr="00AB1A15">
              <w:rPr>
                <w:rFonts w:asciiTheme="minorHAnsi" w:hAnsiTheme="minorHAnsi" w:cstheme="minorHAnsi"/>
                <w:sz w:val="22"/>
                <w:szCs w:val="22"/>
              </w:rPr>
              <w:t xml:space="preserve">The new questionnaire of approximately 190 questions follows a holistic and multidisciplinary approach that includes inputs from different UN agencies such as WFP and UNICEF. The BDA 2.0 not only aims to assess building damage but more multidimensional data gathering, including demographic and vulnerability information about households as well as damage to public facilities such as education or health facilities. </w:t>
            </w:r>
          </w:p>
          <w:p w14:paraId="20C460AC" w14:textId="77777777" w:rsidR="00BD0BDD" w:rsidRPr="00AB1A15" w:rsidRDefault="00BD0BDD" w:rsidP="008C7AB0">
            <w:pPr>
              <w:jc w:val="both"/>
              <w:rPr>
                <w:rFonts w:asciiTheme="minorHAnsi" w:hAnsiTheme="minorHAnsi" w:cstheme="minorHAnsi"/>
                <w:sz w:val="22"/>
                <w:szCs w:val="22"/>
              </w:rPr>
            </w:pPr>
          </w:p>
          <w:p w14:paraId="28BD66D9" w14:textId="77777777" w:rsidR="00BD0BDD" w:rsidRPr="00AB1A15" w:rsidRDefault="00BD0BDD" w:rsidP="008C7AB0">
            <w:pPr>
              <w:jc w:val="both"/>
              <w:rPr>
                <w:rFonts w:asciiTheme="minorHAnsi" w:hAnsiTheme="minorHAnsi" w:cstheme="minorHAnsi"/>
                <w:sz w:val="22"/>
                <w:szCs w:val="22"/>
              </w:rPr>
            </w:pPr>
            <w:r w:rsidRPr="00AB1A15">
              <w:rPr>
                <w:rFonts w:asciiTheme="minorHAnsi" w:hAnsiTheme="minorHAnsi" w:cstheme="minorHAnsi"/>
                <w:sz w:val="22"/>
                <w:szCs w:val="22"/>
              </w:rPr>
              <w:t xml:space="preserve">After the success of both the BDA 1.0 (Dominica and Barbuda in early 2018) and the BDA 2.0 pilot in Roseau (Dominica, December 2018), UNDP is aiming to incorporate the BDA Toolkit as a corporate tool. In that context, a partnership with </w:t>
            </w:r>
            <w:hyperlink r:id="rId13" w:history="1">
              <w:r w:rsidRPr="00AB1A15">
                <w:rPr>
                  <w:rStyle w:val="Hyperlink"/>
                  <w:rFonts w:asciiTheme="minorHAnsi" w:hAnsiTheme="minorHAnsi"/>
                  <w:color w:val="8496B0" w:themeColor="text2" w:themeTint="99"/>
                  <w:sz w:val="22"/>
                  <w:szCs w:val="22"/>
                  <w:u w:val="single"/>
                </w:rPr>
                <w:t>Impact</w:t>
              </w:r>
            </w:hyperlink>
            <w:r w:rsidRPr="00AB1A15">
              <w:rPr>
                <w:rFonts w:asciiTheme="minorHAnsi" w:hAnsiTheme="minorHAnsi" w:cstheme="minorHAnsi"/>
                <w:sz w:val="22"/>
                <w:szCs w:val="22"/>
              </w:rPr>
              <w:t>, a Swiss NGO that provides technical and operational support to strengthen systems and tools related to rapid assessment and analysis, has been established.</w:t>
            </w:r>
          </w:p>
          <w:p w14:paraId="051F6DCD" w14:textId="77777777" w:rsidR="00BD0BDD" w:rsidRPr="00AB1A15" w:rsidRDefault="00BD0BDD" w:rsidP="008C7AB0">
            <w:pPr>
              <w:jc w:val="both"/>
              <w:rPr>
                <w:rFonts w:asciiTheme="minorHAnsi" w:hAnsiTheme="minorHAnsi" w:cstheme="minorHAnsi"/>
                <w:sz w:val="22"/>
                <w:szCs w:val="22"/>
              </w:rPr>
            </w:pPr>
          </w:p>
          <w:p w14:paraId="21C3F238" w14:textId="77777777" w:rsidR="00BD0BDD" w:rsidRPr="00AB1A15" w:rsidRDefault="00BD0BDD" w:rsidP="008C7AB0">
            <w:pPr>
              <w:jc w:val="both"/>
              <w:rPr>
                <w:rFonts w:asciiTheme="minorHAnsi" w:hAnsiTheme="minorHAnsi" w:cstheme="minorHAnsi"/>
                <w:sz w:val="22"/>
                <w:szCs w:val="22"/>
              </w:rPr>
            </w:pPr>
            <w:r w:rsidRPr="00AB1A15">
              <w:rPr>
                <w:rFonts w:asciiTheme="minorHAnsi" w:hAnsiTheme="minorHAnsi" w:cstheme="minorHAnsi"/>
                <w:sz w:val="22"/>
                <w:szCs w:val="22"/>
              </w:rPr>
              <w:t>In sum; UNDP BDA team in Barbados, UNDP Crisis Bureau team in HQ and Impact are working together aiming to boost and standardize the BDA Toolkit for corporate use.</w:t>
            </w:r>
          </w:p>
          <w:p w14:paraId="75301047" w14:textId="77777777" w:rsidR="00BD0BDD" w:rsidRPr="00AB1A15" w:rsidRDefault="00BD0BDD" w:rsidP="008C7AB0">
            <w:pPr>
              <w:jc w:val="both"/>
              <w:rPr>
                <w:rFonts w:asciiTheme="minorHAnsi" w:hAnsiTheme="minorHAnsi" w:cstheme="minorHAnsi"/>
                <w:sz w:val="22"/>
                <w:szCs w:val="22"/>
              </w:rPr>
            </w:pPr>
          </w:p>
          <w:p w14:paraId="4FED6E00" w14:textId="77777777" w:rsidR="00BD0BDD" w:rsidRPr="00AB1A15" w:rsidRDefault="00BD0BDD" w:rsidP="008C7AB0">
            <w:pPr>
              <w:jc w:val="both"/>
              <w:rPr>
                <w:rFonts w:asciiTheme="minorHAnsi" w:hAnsiTheme="minorHAnsi"/>
                <w:b/>
                <w:sz w:val="22"/>
                <w:szCs w:val="22"/>
              </w:rPr>
            </w:pPr>
            <w:r w:rsidRPr="00AB1A15">
              <w:rPr>
                <w:rFonts w:asciiTheme="minorHAnsi" w:hAnsiTheme="minorHAnsi" w:cstheme="minorHAnsi"/>
                <w:b/>
                <w:sz w:val="22"/>
                <w:szCs w:val="22"/>
              </w:rPr>
              <w:t>In this regard, the UNDP BDA team in Barbados is seeking to engage an IC to support in technical aspects of this process.</w:t>
            </w:r>
          </w:p>
          <w:p w14:paraId="62A1D9BA" w14:textId="77777777" w:rsidR="00BD0BDD" w:rsidRPr="00AB1A15" w:rsidRDefault="00BD0BDD" w:rsidP="008C7AB0">
            <w:pPr>
              <w:spacing w:line="276" w:lineRule="auto"/>
              <w:jc w:val="both"/>
              <w:rPr>
                <w:rFonts w:asciiTheme="minorHAnsi" w:hAnsiTheme="minorHAnsi"/>
                <w:sz w:val="22"/>
                <w:szCs w:val="22"/>
              </w:rPr>
            </w:pPr>
          </w:p>
        </w:tc>
      </w:tr>
      <w:tr w:rsidR="00BD0BDD" w:rsidRPr="005D6E20" w14:paraId="43449DA4" w14:textId="77777777" w:rsidTr="008C7AB0">
        <w:tblPrEx>
          <w:shd w:val="clear" w:color="auto" w:fill="auto"/>
        </w:tblPrEx>
        <w:tc>
          <w:tcPr>
            <w:tcW w:w="9010" w:type="dxa"/>
            <w:shd w:val="clear" w:color="auto" w:fill="F2F2F2"/>
          </w:tcPr>
          <w:p w14:paraId="5E0A1140" w14:textId="77777777" w:rsidR="00BD0BDD" w:rsidRPr="005D6E20" w:rsidRDefault="00BD0BDD" w:rsidP="008C7AB0">
            <w:pPr>
              <w:jc w:val="both"/>
              <w:rPr>
                <w:rFonts w:asciiTheme="minorHAnsi" w:hAnsiTheme="minorHAnsi"/>
                <w:b/>
                <w:sz w:val="22"/>
                <w:szCs w:val="22"/>
              </w:rPr>
            </w:pPr>
            <w:r w:rsidRPr="0030696B">
              <w:rPr>
                <w:rFonts w:asciiTheme="minorHAnsi" w:hAnsiTheme="minorHAnsi"/>
                <w:b/>
                <w:color w:val="002060"/>
                <w:sz w:val="22"/>
                <w:szCs w:val="22"/>
              </w:rPr>
              <w:lastRenderedPageBreak/>
              <w:t xml:space="preserve">III. Duties and Responsibilities </w:t>
            </w:r>
          </w:p>
        </w:tc>
      </w:tr>
      <w:tr w:rsidR="00BD0BDD" w:rsidRPr="005D6E20" w14:paraId="758F9442" w14:textId="77777777" w:rsidTr="008C7AB0">
        <w:tblPrEx>
          <w:shd w:val="clear" w:color="auto" w:fill="auto"/>
        </w:tblPrEx>
        <w:tc>
          <w:tcPr>
            <w:tcW w:w="9010" w:type="dxa"/>
            <w:shd w:val="clear" w:color="auto" w:fill="auto"/>
          </w:tcPr>
          <w:p w14:paraId="3A606ACE" w14:textId="77777777" w:rsidR="00BD0BDD" w:rsidRPr="005D6E20" w:rsidRDefault="00BD0BDD" w:rsidP="008C7AB0">
            <w:pPr>
              <w:jc w:val="both"/>
              <w:rPr>
                <w:rFonts w:asciiTheme="minorHAnsi" w:hAnsiTheme="minorHAnsi"/>
                <w:sz w:val="22"/>
                <w:szCs w:val="22"/>
              </w:rPr>
            </w:pPr>
          </w:p>
          <w:p w14:paraId="1FEE2C97" w14:textId="77777777" w:rsidR="00BD0BDD" w:rsidRPr="005D6E20" w:rsidRDefault="00BD0BDD" w:rsidP="008C7AB0">
            <w:pPr>
              <w:jc w:val="both"/>
              <w:rPr>
                <w:rFonts w:asciiTheme="minorHAnsi" w:hAnsiTheme="minorHAnsi"/>
                <w:sz w:val="22"/>
                <w:szCs w:val="22"/>
              </w:rPr>
            </w:pPr>
            <w:r w:rsidRPr="005D6E20">
              <w:rPr>
                <w:rFonts w:asciiTheme="minorHAnsi" w:hAnsiTheme="minorHAnsi"/>
                <w:sz w:val="22"/>
                <w:szCs w:val="22"/>
              </w:rPr>
              <w:t xml:space="preserve">The IC will report directly to the </w:t>
            </w:r>
            <w:r>
              <w:rPr>
                <w:rFonts w:asciiTheme="minorHAnsi" w:hAnsiTheme="minorHAnsi"/>
                <w:sz w:val="22"/>
                <w:szCs w:val="22"/>
              </w:rPr>
              <w:t>Technical Coordinator</w:t>
            </w:r>
            <w:r w:rsidRPr="005D6E20">
              <w:rPr>
                <w:rFonts w:asciiTheme="minorHAnsi" w:hAnsiTheme="minorHAnsi"/>
                <w:sz w:val="22"/>
                <w:szCs w:val="22"/>
              </w:rPr>
              <w:t xml:space="preserve"> in close collaboration with the Resilience and Innovation Specialist consultant and the ICT Support. Under the guidance of their team, the </w:t>
            </w:r>
            <w:r>
              <w:rPr>
                <w:rFonts w:asciiTheme="minorHAnsi" w:hAnsiTheme="minorHAnsi"/>
                <w:sz w:val="22"/>
                <w:szCs w:val="22"/>
              </w:rPr>
              <w:t>IC</w:t>
            </w:r>
            <w:r w:rsidRPr="005D6E20">
              <w:rPr>
                <w:rFonts w:asciiTheme="minorHAnsi" w:hAnsiTheme="minorHAnsi"/>
                <w:sz w:val="22"/>
                <w:szCs w:val="22"/>
              </w:rPr>
              <w:t xml:space="preserve"> will provide support in the following area</w:t>
            </w:r>
            <w:r w:rsidRPr="005D6E20">
              <w:rPr>
                <w:rFonts w:asciiTheme="minorHAnsi" w:hAnsiTheme="minorHAnsi" w:cs="Calibri"/>
                <w:sz w:val="22"/>
                <w:szCs w:val="22"/>
              </w:rPr>
              <w:t xml:space="preserve">: </w:t>
            </w:r>
          </w:p>
          <w:p w14:paraId="0F3168D6" w14:textId="77777777" w:rsidR="00BD0BDD" w:rsidRPr="005D6E20" w:rsidRDefault="00BD0BDD" w:rsidP="008C7AB0">
            <w:pPr>
              <w:jc w:val="both"/>
              <w:rPr>
                <w:rFonts w:asciiTheme="minorHAnsi" w:hAnsiTheme="minorHAnsi" w:cs="Calibri"/>
                <w:sz w:val="22"/>
                <w:szCs w:val="22"/>
              </w:rPr>
            </w:pPr>
          </w:p>
        </w:tc>
      </w:tr>
      <w:tr w:rsidR="00BD0BDD" w:rsidRPr="005D6E20" w14:paraId="73E48770" w14:textId="77777777" w:rsidTr="008C7AB0">
        <w:tblPrEx>
          <w:shd w:val="clear" w:color="auto" w:fill="auto"/>
        </w:tblPrEx>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037A2DC" w14:textId="77777777" w:rsidR="00BD0BDD" w:rsidRPr="005D6E20" w:rsidRDefault="00BD0BDD" w:rsidP="008C7AB0">
            <w:pPr>
              <w:jc w:val="both"/>
              <w:rPr>
                <w:rFonts w:asciiTheme="minorHAnsi" w:hAnsiTheme="minorHAnsi"/>
                <w:b/>
                <w:sz w:val="22"/>
                <w:szCs w:val="22"/>
              </w:rPr>
            </w:pPr>
            <w:bookmarkStart w:id="1" w:name="_Hlk15462571"/>
          </w:p>
          <w:p w14:paraId="116FA791" w14:textId="77777777" w:rsidR="00BD0BDD" w:rsidRPr="005D6E20" w:rsidRDefault="00BD0BDD" w:rsidP="008C7AB0">
            <w:pPr>
              <w:jc w:val="both"/>
              <w:rPr>
                <w:rFonts w:asciiTheme="minorHAnsi" w:hAnsiTheme="minorHAnsi"/>
                <w:b/>
                <w:sz w:val="22"/>
                <w:szCs w:val="22"/>
              </w:rPr>
            </w:pPr>
            <w:r w:rsidRPr="005D6E20">
              <w:rPr>
                <w:rFonts w:asciiTheme="minorHAnsi" w:hAnsiTheme="minorHAnsi"/>
                <w:b/>
                <w:sz w:val="22"/>
                <w:szCs w:val="22"/>
              </w:rPr>
              <w:t>Building Damage Assessment 2.0: Data Visualization and Preparedness Phase</w:t>
            </w:r>
          </w:p>
          <w:p w14:paraId="037C30C2" w14:textId="77777777" w:rsidR="00BD0BDD" w:rsidRPr="005D6E20" w:rsidRDefault="00BD0BDD" w:rsidP="008C7AB0">
            <w:pPr>
              <w:jc w:val="both"/>
              <w:rPr>
                <w:rFonts w:asciiTheme="minorHAnsi" w:hAnsiTheme="minorHAnsi"/>
                <w:b/>
                <w:sz w:val="22"/>
                <w:szCs w:val="22"/>
              </w:rPr>
            </w:pPr>
          </w:p>
          <w:p w14:paraId="4E67361A" w14:textId="77777777" w:rsidR="00BD0BDD" w:rsidRPr="005D6E20" w:rsidRDefault="00BD0BDD" w:rsidP="008C7AB0">
            <w:pPr>
              <w:jc w:val="both"/>
              <w:rPr>
                <w:rFonts w:asciiTheme="minorHAnsi" w:hAnsiTheme="minorHAnsi"/>
                <w:sz w:val="22"/>
                <w:szCs w:val="22"/>
              </w:rPr>
            </w:pPr>
            <w:r w:rsidRPr="005D6E20">
              <w:rPr>
                <w:rFonts w:asciiTheme="minorHAnsi" w:hAnsiTheme="minorHAnsi"/>
                <w:sz w:val="22"/>
                <w:szCs w:val="22"/>
              </w:rPr>
              <w:t>The IC will:</w:t>
            </w:r>
          </w:p>
          <w:p w14:paraId="6893630D" w14:textId="77777777" w:rsidR="00BD0BDD" w:rsidRPr="005D6E20" w:rsidRDefault="00BD0BDD" w:rsidP="008C7AB0">
            <w:pPr>
              <w:jc w:val="both"/>
              <w:rPr>
                <w:rFonts w:asciiTheme="minorHAnsi" w:hAnsiTheme="minorHAnsi"/>
                <w:sz w:val="22"/>
                <w:szCs w:val="22"/>
              </w:rPr>
            </w:pPr>
          </w:p>
          <w:p w14:paraId="794BE13B" w14:textId="77777777" w:rsidR="00BD0BDD" w:rsidRPr="005D6E20" w:rsidRDefault="00BD0BDD" w:rsidP="00BD0BDD">
            <w:pPr>
              <w:pStyle w:val="ListParagraph"/>
              <w:numPr>
                <w:ilvl w:val="0"/>
                <w:numId w:val="3"/>
              </w:numPr>
              <w:spacing w:after="160" w:line="259" w:lineRule="auto"/>
              <w:contextualSpacing/>
              <w:rPr>
                <w:rFonts w:asciiTheme="minorHAnsi" w:hAnsiTheme="minorHAnsi"/>
              </w:rPr>
            </w:pPr>
            <w:r>
              <w:rPr>
                <w:rFonts w:asciiTheme="minorHAnsi" w:hAnsiTheme="minorHAnsi"/>
              </w:rPr>
              <w:t>Provide technical a</w:t>
            </w:r>
            <w:r w:rsidRPr="005D6E20">
              <w:rPr>
                <w:rFonts w:asciiTheme="minorHAnsi" w:hAnsiTheme="minorHAnsi"/>
              </w:rPr>
              <w:t>ssist</w:t>
            </w:r>
            <w:r>
              <w:rPr>
                <w:rFonts w:asciiTheme="minorHAnsi" w:hAnsiTheme="minorHAnsi"/>
              </w:rPr>
              <w:t>ance to the</w:t>
            </w:r>
            <w:r w:rsidRPr="005D6E20">
              <w:rPr>
                <w:rFonts w:asciiTheme="minorHAnsi" w:hAnsiTheme="minorHAnsi"/>
              </w:rPr>
              <w:t xml:space="preserve"> Impact team in their partnership with the BDA team (both in Barbados </w:t>
            </w:r>
            <w:r>
              <w:rPr>
                <w:rFonts w:asciiTheme="minorHAnsi" w:hAnsiTheme="minorHAnsi"/>
              </w:rPr>
              <w:t>office</w:t>
            </w:r>
            <w:r w:rsidRPr="005D6E20">
              <w:rPr>
                <w:rFonts w:asciiTheme="minorHAnsi" w:hAnsiTheme="minorHAnsi"/>
              </w:rPr>
              <w:t xml:space="preserve"> and </w:t>
            </w:r>
            <w:r>
              <w:rPr>
                <w:rFonts w:asciiTheme="minorHAnsi" w:hAnsiTheme="minorHAnsi"/>
              </w:rPr>
              <w:t xml:space="preserve">the </w:t>
            </w:r>
            <w:r w:rsidRPr="005D6E20">
              <w:rPr>
                <w:rFonts w:asciiTheme="minorHAnsi" w:hAnsiTheme="minorHAnsi"/>
              </w:rPr>
              <w:t>Crisis Bureau team in HQ) to boost the BDA Toolkit.</w:t>
            </w:r>
          </w:p>
          <w:p w14:paraId="6F0C89C5" w14:textId="77777777" w:rsidR="00BD0BDD" w:rsidRPr="005D6E20" w:rsidRDefault="00BD0BDD" w:rsidP="00BD0BDD">
            <w:pPr>
              <w:pStyle w:val="ListParagraph"/>
              <w:numPr>
                <w:ilvl w:val="0"/>
                <w:numId w:val="3"/>
              </w:numPr>
              <w:spacing w:after="160" w:line="259" w:lineRule="auto"/>
              <w:contextualSpacing/>
              <w:rPr>
                <w:rFonts w:asciiTheme="minorHAnsi" w:hAnsiTheme="minorHAnsi"/>
              </w:rPr>
            </w:pPr>
            <w:r>
              <w:rPr>
                <w:rFonts w:asciiTheme="minorHAnsi" w:hAnsiTheme="minorHAnsi"/>
              </w:rPr>
              <w:t>Support</w:t>
            </w:r>
            <w:r w:rsidRPr="005D6E20">
              <w:rPr>
                <w:rFonts w:asciiTheme="minorHAnsi" w:hAnsiTheme="minorHAnsi"/>
              </w:rPr>
              <w:t xml:space="preserve"> the BDA ICT team on developing the preparedness section of the data visualization; which includes:</w:t>
            </w:r>
          </w:p>
          <w:p w14:paraId="4F0E35CA" w14:textId="77777777" w:rsidR="00BD0BDD" w:rsidRPr="005D6E20" w:rsidRDefault="00BD0BDD" w:rsidP="00BD0BDD">
            <w:pPr>
              <w:pStyle w:val="ListParagraph"/>
              <w:numPr>
                <w:ilvl w:val="0"/>
                <w:numId w:val="4"/>
              </w:numPr>
              <w:spacing w:after="160" w:line="259" w:lineRule="auto"/>
              <w:ind w:left="965"/>
              <w:contextualSpacing/>
              <w:rPr>
                <w:rFonts w:asciiTheme="minorHAnsi" w:hAnsiTheme="minorHAnsi"/>
              </w:rPr>
            </w:pPr>
            <w:r w:rsidRPr="005D6E20">
              <w:rPr>
                <w:rFonts w:asciiTheme="minorHAnsi" w:hAnsiTheme="minorHAnsi"/>
              </w:rPr>
              <w:t xml:space="preserve">Developing a preparedness forecast formula using the data available from the pilot exercise to predict </w:t>
            </w:r>
            <w:r>
              <w:rPr>
                <w:rFonts w:asciiTheme="minorHAnsi" w:hAnsiTheme="minorHAnsi"/>
              </w:rPr>
              <w:t xml:space="preserve">the </w:t>
            </w:r>
            <w:r w:rsidRPr="005D6E20">
              <w:rPr>
                <w:rFonts w:asciiTheme="minorHAnsi" w:hAnsiTheme="minorHAnsi"/>
              </w:rPr>
              <w:t xml:space="preserve">damage caused to structures by a variety of natural </w:t>
            </w:r>
            <w:r>
              <w:rPr>
                <w:rFonts w:asciiTheme="minorHAnsi" w:hAnsiTheme="minorHAnsi"/>
              </w:rPr>
              <w:t>hazards</w:t>
            </w:r>
            <w:r w:rsidRPr="005D6E20">
              <w:rPr>
                <w:rFonts w:asciiTheme="minorHAnsi" w:hAnsiTheme="minorHAnsi"/>
              </w:rPr>
              <w:t>, including hurricanes, tsunamis, flooding and earthquakes to complement the BDA visualization.</w:t>
            </w:r>
          </w:p>
          <w:p w14:paraId="6F325D86" w14:textId="77777777" w:rsidR="00BD0BDD" w:rsidRPr="005D6E20" w:rsidRDefault="00BD0BDD" w:rsidP="00BD0BDD">
            <w:pPr>
              <w:pStyle w:val="ListParagraph"/>
              <w:numPr>
                <w:ilvl w:val="0"/>
                <w:numId w:val="4"/>
              </w:numPr>
              <w:spacing w:after="160" w:line="259" w:lineRule="auto"/>
              <w:ind w:left="965"/>
              <w:contextualSpacing/>
              <w:rPr>
                <w:rFonts w:asciiTheme="minorHAnsi" w:eastAsiaTheme="minorHAnsi" w:hAnsiTheme="minorHAnsi"/>
              </w:rPr>
            </w:pPr>
            <w:r w:rsidRPr="005D6E20">
              <w:rPr>
                <w:rFonts w:asciiTheme="minorHAnsi" w:hAnsiTheme="minorHAnsi"/>
              </w:rPr>
              <w:t>Design a model for best evacuation routes and shelter locations to complement the BDA visualization.</w:t>
            </w:r>
          </w:p>
          <w:p w14:paraId="7A3AC108" w14:textId="77777777" w:rsidR="00BD0BDD" w:rsidRPr="005D6E20" w:rsidRDefault="00BD0BDD" w:rsidP="00BD0BDD">
            <w:pPr>
              <w:pStyle w:val="ListParagraph"/>
              <w:numPr>
                <w:ilvl w:val="0"/>
                <w:numId w:val="4"/>
              </w:numPr>
              <w:spacing w:after="160" w:line="259" w:lineRule="auto"/>
              <w:ind w:left="965"/>
              <w:contextualSpacing/>
              <w:rPr>
                <w:rFonts w:asciiTheme="minorHAnsi" w:eastAsiaTheme="minorHAnsi" w:hAnsiTheme="minorHAnsi"/>
              </w:rPr>
            </w:pPr>
            <w:r w:rsidRPr="005D6E20">
              <w:rPr>
                <w:rFonts w:asciiTheme="minorHAnsi" w:eastAsiaTheme="minorHAnsi" w:hAnsiTheme="minorHAnsi"/>
              </w:rPr>
              <w:t>Adding different layers of hazard maps to the existing visualization report.</w:t>
            </w:r>
          </w:p>
          <w:p w14:paraId="3B0C4AB7" w14:textId="77777777" w:rsidR="00BD0BDD" w:rsidRDefault="00BD0BDD" w:rsidP="00BD0BDD">
            <w:pPr>
              <w:pStyle w:val="ListParagraph"/>
              <w:numPr>
                <w:ilvl w:val="0"/>
                <w:numId w:val="3"/>
              </w:numPr>
              <w:spacing w:after="160" w:line="259" w:lineRule="auto"/>
              <w:contextualSpacing/>
              <w:rPr>
                <w:rFonts w:asciiTheme="minorHAnsi" w:hAnsiTheme="minorHAnsi"/>
              </w:rPr>
            </w:pPr>
            <w:r>
              <w:t xml:space="preserve">Collaborate with the UNDP Philippines </w:t>
            </w:r>
            <w:proofErr w:type="spellStart"/>
            <w:r>
              <w:t>DevLive</w:t>
            </w:r>
            <w:proofErr w:type="spellEnd"/>
            <w:r>
              <w:t xml:space="preserve">+ project in </w:t>
            </w:r>
            <w:r w:rsidRPr="00BE4502">
              <w:t>relevant tasks</w:t>
            </w:r>
            <w:r>
              <w:t xml:space="preserve"> (</w:t>
            </w:r>
            <w:proofErr w:type="spellStart"/>
            <w:r>
              <w:t>DevLive</w:t>
            </w:r>
            <w:proofErr w:type="spellEnd"/>
            <w:r>
              <w:t>+ is a similar project developed by UNDP colleagues in Philippines and it is expected to share technical knowledge with them).</w:t>
            </w:r>
          </w:p>
          <w:p w14:paraId="619B1D3A" w14:textId="77777777" w:rsidR="00BD0BDD" w:rsidRPr="00102809" w:rsidRDefault="00BD0BDD" w:rsidP="00BD0BDD">
            <w:pPr>
              <w:pStyle w:val="ListParagraph"/>
              <w:numPr>
                <w:ilvl w:val="0"/>
                <w:numId w:val="3"/>
              </w:numPr>
              <w:spacing w:after="160" w:line="259" w:lineRule="auto"/>
              <w:contextualSpacing/>
              <w:rPr>
                <w:rFonts w:asciiTheme="minorHAnsi" w:hAnsiTheme="minorHAnsi"/>
              </w:rPr>
            </w:pPr>
            <w:r w:rsidRPr="005D6E20">
              <w:rPr>
                <w:rFonts w:asciiTheme="minorHAnsi" w:hAnsiTheme="minorHAnsi"/>
              </w:rPr>
              <w:t xml:space="preserve">Liaise with other UNDP teams that support the BDA Toolkit, including the Bureau for Management Services (BMS) and the </w:t>
            </w:r>
            <w:r w:rsidRPr="005D6E20">
              <w:rPr>
                <w:rFonts w:asciiTheme="minorHAnsi" w:hAnsiTheme="minorHAnsi" w:cs="Calibri"/>
                <w:bCs/>
              </w:rPr>
              <w:t>Office of Information Management and Technology (OIMT), as well as with external partners such as academia and private sector.</w:t>
            </w:r>
          </w:p>
          <w:p w14:paraId="16BD369B" w14:textId="77777777" w:rsidR="00BD0BDD" w:rsidRPr="00145AC1" w:rsidRDefault="00BD0BDD" w:rsidP="00BD0BDD">
            <w:pPr>
              <w:pStyle w:val="ListParagraph"/>
              <w:numPr>
                <w:ilvl w:val="0"/>
                <w:numId w:val="3"/>
              </w:numPr>
              <w:spacing w:after="160" w:line="259" w:lineRule="auto"/>
              <w:contextualSpacing/>
              <w:rPr>
                <w:rFonts w:asciiTheme="minorHAnsi" w:hAnsiTheme="minorHAnsi"/>
              </w:rPr>
            </w:pPr>
            <w:r w:rsidRPr="005D6E20">
              <w:rPr>
                <w:rFonts w:asciiTheme="minorHAnsi" w:hAnsiTheme="minorHAnsi"/>
              </w:rPr>
              <w:t>Any other technical requirement that may arise during the process of boosting the BDA.</w:t>
            </w:r>
          </w:p>
        </w:tc>
      </w:tr>
      <w:bookmarkEnd w:id="1"/>
      <w:tr w:rsidR="00BD0BDD" w:rsidRPr="005D6E20" w14:paraId="4B7CB508" w14:textId="77777777" w:rsidTr="008C7AB0">
        <w:tc>
          <w:tcPr>
            <w:tcW w:w="9010" w:type="dxa"/>
            <w:shd w:val="clear" w:color="000000" w:fill="F2F2F2"/>
          </w:tcPr>
          <w:p w14:paraId="212CB732" w14:textId="77777777" w:rsidR="00BD0BDD" w:rsidRPr="005D6E20" w:rsidRDefault="00BD0BDD" w:rsidP="008C7AB0">
            <w:pPr>
              <w:rPr>
                <w:rFonts w:asciiTheme="minorHAnsi" w:hAnsiTheme="minorHAnsi"/>
                <w:b/>
                <w:sz w:val="22"/>
                <w:szCs w:val="22"/>
              </w:rPr>
            </w:pPr>
            <w:r w:rsidRPr="0030696B">
              <w:rPr>
                <w:rFonts w:asciiTheme="minorHAnsi" w:hAnsiTheme="minorHAnsi"/>
                <w:b/>
                <w:color w:val="002060"/>
                <w:sz w:val="22"/>
                <w:szCs w:val="22"/>
              </w:rPr>
              <w:t>IV. Duration of the Consultancy</w:t>
            </w:r>
          </w:p>
        </w:tc>
      </w:tr>
      <w:tr w:rsidR="00BD0BDD" w:rsidRPr="005D6E20" w14:paraId="714C9A52" w14:textId="77777777" w:rsidTr="008C7AB0">
        <w:tc>
          <w:tcPr>
            <w:tcW w:w="9010" w:type="dxa"/>
            <w:shd w:val="clear" w:color="000000" w:fill="FFFFFF"/>
          </w:tcPr>
          <w:p w14:paraId="0A39D2C5" w14:textId="77777777" w:rsidR="00BD0BDD" w:rsidRPr="005D6E20" w:rsidRDefault="00BD0BDD" w:rsidP="008C7AB0">
            <w:pPr>
              <w:jc w:val="both"/>
              <w:rPr>
                <w:rFonts w:asciiTheme="minorHAnsi" w:hAnsiTheme="minorHAnsi"/>
                <w:sz w:val="22"/>
                <w:szCs w:val="22"/>
              </w:rPr>
            </w:pPr>
          </w:p>
          <w:p w14:paraId="67578164" w14:textId="77777777" w:rsidR="00BD0BDD" w:rsidRDefault="00BD0BDD" w:rsidP="008C7AB0">
            <w:pPr>
              <w:jc w:val="both"/>
              <w:rPr>
                <w:rFonts w:asciiTheme="minorHAnsi" w:hAnsiTheme="minorHAnsi"/>
                <w:sz w:val="22"/>
                <w:szCs w:val="22"/>
              </w:rPr>
            </w:pPr>
            <w:r w:rsidRPr="005D6E20">
              <w:rPr>
                <w:rFonts w:asciiTheme="minorHAnsi" w:hAnsiTheme="minorHAnsi"/>
                <w:sz w:val="22"/>
                <w:szCs w:val="22"/>
              </w:rPr>
              <w:t xml:space="preserve">The duration of the consultancy will be for a </w:t>
            </w:r>
            <w:r w:rsidR="00E401D6">
              <w:rPr>
                <w:rFonts w:asciiTheme="minorHAnsi" w:hAnsiTheme="minorHAnsi"/>
                <w:sz w:val="22"/>
                <w:szCs w:val="22"/>
              </w:rPr>
              <w:t>2.5 months</w:t>
            </w:r>
            <w:r w:rsidRPr="005D6E20">
              <w:rPr>
                <w:rFonts w:asciiTheme="minorHAnsi" w:hAnsiTheme="minorHAnsi"/>
                <w:sz w:val="22"/>
                <w:szCs w:val="22"/>
              </w:rPr>
              <w:t xml:space="preserve"> period.</w:t>
            </w:r>
          </w:p>
          <w:p w14:paraId="230BD184" w14:textId="77777777" w:rsidR="00E401D6" w:rsidRDefault="00E401D6" w:rsidP="008C7AB0">
            <w:pPr>
              <w:jc w:val="both"/>
              <w:rPr>
                <w:rFonts w:asciiTheme="minorHAnsi" w:hAnsiTheme="minorHAnsi"/>
                <w:sz w:val="22"/>
                <w:szCs w:val="22"/>
              </w:rPr>
            </w:pPr>
          </w:p>
          <w:p w14:paraId="177175EB" w14:textId="77777777" w:rsidR="00E401D6" w:rsidRDefault="00E401D6" w:rsidP="008C7AB0">
            <w:pPr>
              <w:jc w:val="both"/>
              <w:rPr>
                <w:rFonts w:asciiTheme="minorHAnsi" w:hAnsiTheme="minorHAnsi"/>
                <w:sz w:val="22"/>
                <w:szCs w:val="22"/>
              </w:rPr>
            </w:pPr>
          </w:p>
          <w:p w14:paraId="76C57E5A" w14:textId="77777777" w:rsidR="00E401D6" w:rsidRPr="005D6E20" w:rsidRDefault="00E401D6" w:rsidP="008C7AB0">
            <w:pPr>
              <w:jc w:val="both"/>
              <w:rPr>
                <w:rFonts w:asciiTheme="minorHAnsi" w:hAnsiTheme="minorHAnsi"/>
                <w:sz w:val="22"/>
                <w:szCs w:val="22"/>
              </w:rPr>
            </w:pPr>
          </w:p>
          <w:p w14:paraId="118D3590" w14:textId="77777777" w:rsidR="00BD0BDD" w:rsidRPr="005D6E20" w:rsidRDefault="00BD0BDD" w:rsidP="008C7AB0">
            <w:pPr>
              <w:jc w:val="both"/>
              <w:rPr>
                <w:rFonts w:asciiTheme="minorHAnsi" w:hAnsiTheme="minorHAnsi"/>
                <w:sz w:val="22"/>
                <w:szCs w:val="22"/>
              </w:rPr>
            </w:pPr>
          </w:p>
        </w:tc>
      </w:tr>
      <w:tr w:rsidR="00BD0BDD" w:rsidRPr="005D6E20" w14:paraId="18FBDFE5" w14:textId="77777777" w:rsidTr="008C7AB0">
        <w:tc>
          <w:tcPr>
            <w:tcW w:w="9010" w:type="dxa"/>
            <w:shd w:val="clear" w:color="000000" w:fill="F2F2F2"/>
          </w:tcPr>
          <w:p w14:paraId="22C920CB" w14:textId="77777777" w:rsidR="00BD0BDD" w:rsidRPr="005D6E20" w:rsidRDefault="00BD0BDD" w:rsidP="008C7AB0">
            <w:pPr>
              <w:rPr>
                <w:rFonts w:asciiTheme="minorHAnsi" w:hAnsiTheme="minorHAnsi"/>
                <w:b/>
                <w:sz w:val="22"/>
                <w:szCs w:val="22"/>
              </w:rPr>
            </w:pPr>
            <w:r w:rsidRPr="0030696B">
              <w:rPr>
                <w:rFonts w:asciiTheme="minorHAnsi" w:hAnsiTheme="minorHAnsi"/>
                <w:b/>
                <w:color w:val="002060"/>
                <w:sz w:val="22"/>
                <w:szCs w:val="22"/>
              </w:rPr>
              <w:lastRenderedPageBreak/>
              <w:t>V. Competency requirements and Education</w:t>
            </w:r>
          </w:p>
        </w:tc>
      </w:tr>
      <w:tr w:rsidR="00BD0BDD" w:rsidRPr="005D6E20" w14:paraId="6C00236B" w14:textId="77777777" w:rsidTr="008C7AB0">
        <w:tc>
          <w:tcPr>
            <w:tcW w:w="9010" w:type="dxa"/>
            <w:tcBorders>
              <w:top w:val="single" w:sz="4" w:space="0" w:color="000000"/>
              <w:left w:val="single" w:sz="4" w:space="0" w:color="000000"/>
              <w:bottom w:val="single" w:sz="4" w:space="0" w:color="000000"/>
              <w:right w:val="single" w:sz="4" w:space="0" w:color="000000"/>
            </w:tcBorders>
            <w:shd w:val="clear" w:color="auto" w:fill="FFFFFF"/>
          </w:tcPr>
          <w:p w14:paraId="11C906FF" w14:textId="77777777" w:rsidR="00BD0BDD" w:rsidRPr="005D6E20" w:rsidRDefault="00BD0BDD" w:rsidP="008C7AB0">
            <w:pPr>
              <w:contextualSpacing/>
              <w:jc w:val="both"/>
              <w:rPr>
                <w:rFonts w:asciiTheme="minorHAnsi" w:eastAsiaTheme="minorEastAsia" w:hAnsiTheme="minorHAnsi" w:cstheme="minorBidi"/>
                <w:b/>
                <w:sz w:val="22"/>
                <w:szCs w:val="22"/>
                <w:u w:val="single"/>
                <w:lang w:val="en-GB" w:eastAsia="en-GB"/>
              </w:rPr>
            </w:pPr>
          </w:p>
          <w:p w14:paraId="681E1DF4" w14:textId="77777777" w:rsidR="00BD0BDD" w:rsidRDefault="00BD0BDD" w:rsidP="008C7AB0">
            <w:pPr>
              <w:contextualSpacing/>
              <w:jc w:val="both"/>
              <w:rPr>
                <w:rFonts w:asciiTheme="minorHAnsi" w:eastAsiaTheme="minorEastAsia" w:hAnsiTheme="minorHAnsi" w:cstheme="minorBidi"/>
                <w:b/>
                <w:sz w:val="22"/>
                <w:szCs w:val="22"/>
                <w:u w:val="single"/>
                <w:lang w:val="en-GB" w:eastAsia="en-GB"/>
              </w:rPr>
            </w:pPr>
            <w:bookmarkStart w:id="2" w:name="_Hlk15393744"/>
            <w:r w:rsidRPr="005D6E20">
              <w:rPr>
                <w:rFonts w:asciiTheme="minorHAnsi" w:eastAsiaTheme="minorEastAsia" w:hAnsiTheme="minorHAnsi" w:cstheme="minorBidi"/>
                <w:b/>
                <w:sz w:val="22"/>
                <w:szCs w:val="22"/>
                <w:u w:val="single"/>
                <w:lang w:val="en-GB" w:eastAsia="en-GB"/>
              </w:rPr>
              <w:t>Technical/Functional</w:t>
            </w:r>
          </w:p>
          <w:p w14:paraId="6670181E" w14:textId="77777777" w:rsidR="00BD0BDD" w:rsidRPr="005D6E20" w:rsidRDefault="00BD0BDD" w:rsidP="008C7AB0">
            <w:pPr>
              <w:contextualSpacing/>
              <w:jc w:val="both"/>
              <w:rPr>
                <w:rFonts w:asciiTheme="minorHAnsi" w:eastAsiaTheme="minorEastAsia" w:hAnsiTheme="minorHAnsi" w:cstheme="minorBidi"/>
                <w:b/>
                <w:sz w:val="22"/>
                <w:szCs w:val="22"/>
                <w:u w:val="single"/>
                <w:lang w:val="en-GB" w:eastAsia="en-GB"/>
              </w:rPr>
            </w:pPr>
          </w:p>
          <w:p w14:paraId="755A281D" w14:textId="77777777" w:rsidR="00BD0BDD" w:rsidRPr="005D6E20" w:rsidRDefault="00BD0BDD" w:rsidP="008C7AB0">
            <w:pPr>
              <w:contextualSpacing/>
              <w:jc w:val="both"/>
              <w:rPr>
                <w:rFonts w:asciiTheme="minorHAnsi" w:eastAsiaTheme="minorEastAsia" w:hAnsiTheme="minorHAnsi" w:cstheme="minorBidi"/>
                <w:b/>
                <w:sz w:val="22"/>
                <w:szCs w:val="22"/>
                <w:u w:val="single"/>
                <w:lang w:val="en-GB" w:eastAsia="en-GB"/>
              </w:rPr>
            </w:pPr>
            <w:r w:rsidRPr="005D6E20">
              <w:rPr>
                <w:rFonts w:asciiTheme="minorHAnsi" w:eastAsiaTheme="minorEastAsia" w:hAnsiTheme="minorHAnsi" w:cstheme="minorBidi"/>
                <w:sz w:val="22"/>
                <w:szCs w:val="22"/>
                <w:lang w:val="en-GB" w:eastAsia="en-GB"/>
              </w:rPr>
              <w:t>The IC must fulfil the minimum requirements hereunder:</w:t>
            </w:r>
          </w:p>
          <w:p w14:paraId="1EC1CBFC" w14:textId="77777777" w:rsidR="00BD0BDD" w:rsidRPr="005D6E20"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Education and experience: BA or equivalent in</w:t>
            </w:r>
            <w:r>
              <w:rPr>
                <w:rFonts w:asciiTheme="minorHAnsi" w:eastAsiaTheme="minorEastAsia" w:hAnsiTheme="minorHAnsi" w:cstheme="minorBidi"/>
                <w:lang w:val="en-GB" w:eastAsia="en-GB"/>
              </w:rPr>
              <w:t xml:space="preserve"> </w:t>
            </w:r>
            <w:r w:rsidR="003E6766" w:rsidRPr="005D6E20">
              <w:rPr>
                <w:rFonts w:asciiTheme="minorHAnsi" w:eastAsiaTheme="minorEastAsia" w:hAnsiTheme="minorHAnsi" w:cstheme="minorBidi"/>
                <w:lang w:val="en-GB" w:eastAsia="en-GB"/>
              </w:rPr>
              <w:t>engineering</w:t>
            </w:r>
            <w:r w:rsidR="003E6766">
              <w:rPr>
                <w:rFonts w:asciiTheme="minorHAnsi" w:eastAsiaTheme="minorEastAsia" w:hAnsiTheme="minorHAnsi" w:cstheme="minorBidi"/>
                <w:lang w:val="en-GB" w:eastAsia="en-GB"/>
              </w:rPr>
              <w:t xml:space="preserve">, </w:t>
            </w:r>
            <w:r>
              <w:rPr>
                <w:rFonts w:asciiTheme="minorHAnsi" w:eastAsiaTheme="minorEastAsia" w:hAnsiTheme="minorHAnsi" w:cstheme="minorBidi"/>
                <w:lang w:val="en-GB" w:eastAsia="en-GB"/>
              </w:rPr>
              <w:t>data science</w:t>
            </w:r>
            <w:r w:rsidRPr="005D6E20">
              <w:rPr>
                <w:rFonts w:asciiTheme="minorHAnsi" w:eastAsiaTheme="minorEastAsia" w:hAnsiTheme="minorHAnsi" w:cstheme="minorBidi"/>
                <w:lang w:val="en-GB" w:eastAsia="en-GB"/>
              </w:rPr>
              <w:t>, statistics</w:t>
            </w:r>
            <w:r>
              <w:rPr>
                <w:rFonts w:asciiTheme="minorHAnsi" w:eastAsiaTheme="minorEastAsia" w:hAnsiTheme="minorHAnsi" w:cstheme="minorBidi"/>
                <w:lang w:val="en-GB" w:eastAsia="en-GB"/>
              </w:rPr>
              <w:t xml:space="preserve">, </w:t>
            </w:r>
            <w:r>
              <w:t>computer/information technology programming</w:t>
            </w:r>
            <w:r w:rsidRPr="005D6E20">
              <w:rPr>
                <w:rFonts w:asciiTheme="minorHAnsi" w:eastAsiaTheme="minorEastAsia" w:hAnsiTheme="minorHAnsi" w:cstheme="minorBidi"/>
                <w:lang w:val="en-GB" w:eastAsia="en-GB"/>
              </w:rPr>
              <w:t xml:space="preserve"> or related field; </w:t>
            </w:r>
          </w:p>
          <w:p w14:paraId="0BBB484F" w14:textId="77777777" w:rsidR="00BD0BDD" w:rsidRPr="005D6E20"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Minimum of </w:t>
            </w:r>
            <w:r w:rsidRPr="005D6E20">
              <w:rPr>
                <w:rFonts w:asciiTheme="minorHAnsi" w:eastAsiaTheme="minorEastAsia" w:hAnsiTheme="minorHAnsi" w:cstheme="minorBidi"/>
                <w:lang w:val="en-GB" w:eastAsia="en-GB"/>
              </w:rPr>
              <w:t>1-2 years of experience in working on</w:t>
            </w:r>
            <w:r w:rsidR="003E6766">
              <w:rPr>
                <w:rFonts w:asciiTheme="minorHAnsi" w:eastAsiaTheme="minorEastAsia" w:hAnsiTheme="minorHAnsi" w:cstheme="minorBidi"/>
                <w:lang w:val="en-GB" w:eastAsia="en-GB"/>
              </w:rPr>
              <w:t xml:space="preserve"> structural engineering, </w:t>
            </w:r>
            <w:r>
              <w:rPr>
                <w:rFonts w:asciiTheme="minorHAnsi" w:eastAsiaTheme="minorEastAsia" w:hAnsiTheme="minorHAnsi"/>
                <w:lang w:val="en-GB" w:eastAsia="en-GB"/>
              </w:rPr>
              <w:t>statistical model building</w:t>
            </w:r>
            <w:r w:rsidR="003E6766">
              <w:rPr>
                <w:rFonts w:asciiTheme="minorHAnsi" w:eastAsiaTheme="minorEastAsia" w:hAnsiTheme="minorHAnsi"/>
                <w:lang w:val="en-GB" w:eastAsia="en-GB"/>
              </w:rPr>
              <w:t xml:space="preserve">, </w:t>
            </w:r>
            <w:r w:rsidRPr="005D6E20">
              <w:rPr>
                <w:rFonts w:asciiTheme="minorHAnsi" w:eastAsiaTheme="minorEastAsia" w:hAnsiTheme="minorHAnsi"/>
                <w:lang w:val="en-GB" w:eastAsia="en-GB"/>
              </w:rPr>
              <w:t>GIS mapping</w:t>
            </w:r>
            <w:r w:rsidRPr="005D6E20">
              <w:rPr>
                <w:rFonts w:asciiTheme="minorHAnsi" w:eastAsiaTheme="minorEastAsia" w:hAnsiTheme="minorHAnsi" w:cstheme="minorBidi"/>
                <w:lang w:val="en-GB" w:eastAsia="en-GB"/>
              </w:rPr>
              <w:t xml:space="preserve"> </w:t>
            </w:r>
            <w:r w:rsidR="003E6766">
              <w:rPr>
                <w:rFonts w:asciiTheme="minorHAnsi" w:eastAsiaTheme="minorEastAsia" w:hAnsiTheme="minorHAnsi" w:cstheme="minorBidi"/>
                <w:lang w:val="en-GB" w:eastAsia="en-GB"/>
              </w:rPr>
              <w:t xml:space="preserve">or similar field </w:t>
            </w:r>
            <w:r w:rsidRPr="005D6E20">
              <w:rPr>
                <w:rFonts w:asciiTheme="minorHAnsi" w:eastAsiaTheme="minorEastAsia" w:hAnsiTheme="minorHAnsi" w:cstheme="minorBidi"/>
                <w:lang w:val="en-GB" w:eastAsia="en-GB"/>
              </w:rPr>
              <w:t xml:space="preserve">complemented with an </w:t>
            </w:r>
            <w:r w:rsidRPr="005D6E20">
              <w:rPr>
                <w:rFonts w:asciiTheme="minorHAnsi" w:eastAsiaTheme="minorEastAsia" w:hAnsiTheme="minorHAnsi" w:cstheme="minorBidi"/>
                <w:noProof/>
                <w:lang w:val="en-GB" w:eastAsia="en-GB"/>
              </w:rPr>
              <w:t>academic</w:t>
            </w:r>
            <w:r w:rsidRPr="005D6E20">
              <w:rPr>
                <w:rFonts w:asciiTheme="minorHAnsi" w:eastAsiaTheme="minorEastAsia" w:hAnsiTheme="minorHAnsi" w:cstheme="minorBidi"/>
                <w:lang w:val="en-GB" w:eastAsia="en-GB"/>
              </w:rPr>
              <w:t xml:space="preserve"> background in the relevant field also acceptable; </w:t>
            </w:r>
          </w:p>
          <w:p w14:paraId="2AD1B64C" w14:textId="77777777" w:rsidR="00BD0BDD" w:rsidRPr="001D462D"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sidRPr="005D6E20">
              <w:rPr>
                <w:rFonts w:asciiTheme="minorHAnsi" w:eastAsiaTheme="minorEastAsia" w:hAnsiTheme="minorHAnsi"/>
                <w:lang w:val="en-GB" w:eastAsia="en-GB"/>
              </w:rPr>
              <w:t xml:space="preserve">Solid IT background </w:t>
            </w:r>
            <w:r>
              <w:rPr>
                <w:rFonts w:asciiTheme="minorHAnsi" w:eastAsiaTheme="minorEastAsia" w:hAnsiTheme="minorHAnsi"/>
                <w:lang w:val="en-GB" w:eastAsia="en-GB"/>
              </w:rPr>
              <w:t>is</w:t>
            </w:r>
            <w:r w:rsidRPr="005D6E20">
              <w:rPr>
                <w:rFonts w:asciiTheme="minorHAnsi" w:eastAsiaTheme="minorEastAsia" w:hAnsiTheme="minorHAnsi"/>
                <w:lang w:val="en-GB" w:eastAsia="en-GB"/>
              </w:rPr>
              <w:t xml:space="preserve"> an asset;</w:t>
            </w:r>
          </w:p>
          <w:p w14:paraId="4A4B52E8" w14:textId="77777777" w:rsidR="00BD0BDD"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Pr>
                <w:rFonts w:asciiTheme="minorHAnsi" w:eastAsiaTheme="minorEastAsia" w:hAnsiTheme="minorHAnsi"/>
                <w:lang w:val="en-GB" w:eastAsia="en-GB"/>
              </w:rPr>
              <w:t>Experience working with large datasets in Excel, or similar, is an asset;</w:t>
            </w:r>
          </w:p>
          <w:p w14:paraId="46B86B31" w14:textId="77777777" w:rsidR="00BD0BDD"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Background in disaster recovery and preparedness is an asset;</w:t>
            </w:r>
          </w:p>
          <w:p w14:paraId="2BF519A2" w14:textId="77777777" w:rsidR="00BD0BDD"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Experience with early warning systems is an asset;</w:t>
            </w:r>
          </w:p>
          <w:p w14:paraId="74E525BA" w14:textId="77777777" w:rsidR="00BD0BDD" w:rsidRPr="009A6001"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Background in statistics or statistical analysis (focus on regression analysis, principal component analysis and/or geospatial analysis) is an asset;</w:t>
            </w:r>
          </w:p>
          <w:p w14:paraId="15E55486" w14:textId="77777777" w:rsidR="00BD0BDD" w:rsidRPr="005D6E20"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Interest in recovery work; </w:t>
            </w:r>
          </w:p>
          <w:p w14:paraId="19E84736" w14:textId="77777777" w:rsidR="00BD0BDD" w:rsidRDefault="00BD0BDD" w:rsidP="00BD0BDD">
            <w:pPr>
              <w:pStyle w:val="ListParagraph"/>
              <w:numPr>
                <w:ilvl w:val="0"/>
                <w:numId w:val="7"/>
              </w:numPr>
              <w:spacing w:after="0"/>
              <w:ind w:left="764"/>
              <w:contextualSpacing/>
              <w:jc w:val="both"/>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Language: English at a working level.</w:t>
            </w:r>
          </w:p>
          <w:p w14:paraId="7F00B4BC" w14:textId="77777777" w:rsidR="00BD0BDD" w:rsidRPr="005D6E20" w:rsidRDefault="00BD0BDD" w:rsidP="008C7AB0">
            <w:pPr>
              <w:rPr>
                <w:rFonts w:asciiTheme="minorHAnsi" w:hAnsiTheme="minorHAnsi"/>
                <w:b/>
                <w:sz w:val="22"/>
                <w:szCs w:val="22"/>
                <w:u w:val="single"/>
              </w:rPr>
            </w:pPr>
          </w:p>
          <w:p w14:paraId="5922937F" w14:textId="77777777" w:rsidR="00BD0BDD" w:rsidRDefault="00BD0BDD" w:rsidP="008C7AB0">
            <w:pPr>
              <w:rPr>
                <w:rFonts w:asciiTheme="minorHAnsi" w:hAnsiTheme="minorHAnsi"/>
                <w:b/>
                <w:sz w:val="22"/>
                <w:szCs w:val="22"/>
                <w:u w:val="single"/>
              </w:rPr>
            </w:pPr>
            <w:r w:rsidRPr="005D6E20">
              <w:rPr>
                <w:rFonts w:asciiTheme="minorHAnsi" w:hAnsiTheme="minorHAnsi"/>
                <w:b/>
                <w:sz w:val="22"/>
                <w:szCs w:val="22"/>
                <w:u w:val="single"/>
              </w:rPr>
              <w:t>Core Behavioral Competencies include:</w:t>
            </w:r>
          </w:p>
          <w:p w14:paraId="1E814B13" w14:textId="77777777" w:rsidR="00BD0BDD" w:rsidRPr="005D6E20" w:rsidRDefault="00BD0BDD" w:rsidP="008C7AB0">
            <w:pPr>
              <w:rPr>
                <w:rFonts w:asciiTheme="minorHAnsi" w:hAnsiTheme="minorHAnsi"/>
                <w:b/>
                <w:sz w:val="22"/>
                <w:szCs w:val="22"/>
                <w:u w:val="single"/>
              </w:rPr>
            </w:pPr>
          </w:p>
          <w:p w14:paraId="6129ECDF"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Effective interactive communication; </w:t>
            </w:r>
          </w:p>
          <w:p w14:paraId="2071001B"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Client service and people</w:t>
            </w:r>
            <w:r>
              <w:rPr>
                <w:rFonts w:asciiTheme="minorHAnsi" w:eastAsiaTheme="minorEastAsia" w:hAnsiTheme="minorHAnsi" w:cstheme="minorBidi"/>
                <w:lang w:val="en-GB" w:eastAsia="en-GB"/>
              </w:rPr>
              <w:t>-</w:t>
            </w:r>
            <w:r w:rsidRPr="005D6E20">
              <w:rPr>
                <w:rFonts w:asciiTheme="minorHAnsi" w:eastAsiaTheme="minorEastAsia" w:hAnsiTheme="minorHAnsi" w:cstheme="minorBidi"/>
                <w:lang w:val="en-GB" w:eastAsia="en-GB"/>
              </w:rPr>
              <w:t xml:space="preserve">oriented; </w:t>
            </w:r>
          </w:p>
          <w:p w14:paraId="2A1DBE29"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Initiative taking;</w:t>
            </w:r>
          </w:p>
          <w:p w14:paraId="52150721"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Creative thinking; </w:t>
            </w:r>
          </w:p>
          <w:p w14:paraId="0BBF6DD5"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Relationship/network building; </w:t>
            </w:r>
          </w:p>
          <w:p w14:paraId="49E54CFC"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Teamwork and cooperation; </w:t>
            </w:r>
          </w:p>
          <w:p w14:paraId="7CC739C2"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Adaptability;</w:t>
            </w:r>
          </w:p>
          <w:p w14:paraId="01FFBBFF" w14:textId="77777777" w:rsidR="00BD0BDD" w:rsidRPr="005D6E20" w:rsidRDefault="00BD0BDD" w:rsidP="00BD0BDD">
            <w:pPr>
              <w:pStyle w:val="ListParagraph"/>
              <w:numPr>
                <w:ilvl w:val="0"/>
                <w:numId w:val="6"/>
              </w:numPr>
              <w:spacing w:after="0"/>
              <w:ind w:left="764"/>
              <w:contextualSpacing/>
              <w:rPr>
                <w:rFonts w:asciiTheme="minorHAnsi" w:eastAsiaTheme="minorEastAsia" w:hAnsiTheme="minorHAnsi" w:cstheme="minorBidi"/>
                <w:lang w:val="en-GB" w:eastAsia="en-GB"/>
              </w:rPr>
            </w:pPr>
            <w:r w:rsidRPr="005D6E20">
              <w:rPr>
                <w:rFonts w:asciiTheme="minorHAnsi" w:eastAsiaTheme="minorEastAsia" w:hAnsiTheme="minorHAnsi" w:cstheme="minorBidi"/>
                <w:lang w:val="en-GB" w:eastAsia="en-GB"/>
              </w:rPr>
              <w:t xml:space="preserve">Effective time management and ability to work within tight deadlines. </w:t>
            </w:r>
            <w:bookmarkEnd w:id="2"/>
          </w:p>
          <w:p w14:paraId="4ADBC422" w14:textId="77777777" w:rsidR="00BD0BDD" w:rsidRPr="005D6E20" w:rsidRDefault="00BD0BDD" w:rsidP="008C7AB0">
            <w:pPr>
              <w:spacing w:after="200"/>
              <w:ind w:left="720"/>
              <w:contextualSpacing/>
              <w:rPr>
                <w:rFonts w:asciiTheme="minorHAnsi" w:eastAsiaTheme="minorEastAsia" w:hAnsiTheme="minorHAnsi" w:cstheme="minorBidi"/>
                <w:sz w:val="22"/>
                <w:szCs w:val="22"/>
                <w:lang w:val="en-GB" w:eastAsia="en-GB"/>
              </w:rPr>
            </w:pPr>
          </w:p>
        </w:tc>
      </w:tr>
      <w:tr w:rsidR="00BD0BDD" w:rsidRPr="005D6E20" w14:paraId="44F8E0B0" w14:textId="77777777" w:rsidTr="008C7AB0">
        <w:tc>
          <w:tcPr>
            <w:tcW w:w="9010" w:type="dxa"/>
            <w:shd w:val="clear" w:color="000000" w:fill="F2F2F2"/>
          </w:tcPr>
          <w:p w14:paraId="5C5BB342" w14:textId="77777777" w:rsidR="00BD0BDD" w:rsidRPr="005D6E20" w:rsidRDefault="00BD0BDD" w:rsidP="008C7AB0">
            <w:pPr>
              <w:rPr>
                <w:rFonts w:asciiTheme="minorHAnsi" w:hAnsiTheme="minorHAnsi"/>
                <w:b/>
                <w:sz w:val="22"/>
                <w:szCs w:val="22"/>
              </w:rPr>
            </w:pPr>
            <w:r w:rsidRPr="005D6E20">
              <w:rPr>
                <w:rFonts w:asciiTheme="minorHAnsi" w:hAnsiTheme="minorHAnsi"/>
                <w:b/>
                <w:sz w:val="22"/>
                <w:szCs w:val="22"/>
                <w:highlight w:val="yellow"/>
              </w:rPr>
              <w:br w:type="page"/>
            </w:r>
            <w:r w:rsidRPr="0030696B">
              <w:rPr>
                <w:rFonts w:asciiTheme="minorHAnsi" w:hAnsiTheme="minorHAnsi"/>
                <w:b/>
                <w:color w:val="002060"/>
                <w:sz w:val="22"/>
                <w:szCs w:val="22"/>
              </w:rPr>
              <w:t>VI. Supervision</w:t>
            </w:r>
          </w:p>
        </w:tc>
      </w:tr>
      <w:tr w:rsidR="00BD0BDD" w:rsidRPr="005D6E20" w14:paraId="42F60998" w14:textId="77777777" w:rsidTr="008C7AB0">
        <w:tc>
          <w:tcPr>
            <w:tcW w:w="9010" w:type="dxa"/>
            <w:shd w:val="clear" w:color="000000" w:fill="FFFFFF"/>
          </w:tcPr>
          <w:p w14:paraId="1AD0A77E" w14:textId="77777777" w:rsidR="00BD0BDD" w:rsidRPr="005D6E20" w:rsidRDefault="00BD0BDD" w:rsidP="008C7AB0">
            <w:pPr>
              <w:jc w:val="both"/>
              <w:rPr>
                <w:rFonts w:asciiTheme="minorHAnsi" w:hAnsiTheme="minorHAnsi"/>
                <w:sz w:val="22"/>
                <w:szCs w:val="22"/>
              </w:rPr>
            </w:pPr>
          </w:p>
          <w:p w14:paraId="51B6414C" w14:textId="77777777" w:rsidR="00BD0BDD" w:rsidRDefault="00BD0BDD" w:rsidP="008C7AB0">
            <w:pPr>
              <w:jc w:val="both"/>
              <w:rPr>
                <w:rFonts w:asciiTheme="minorHAnsi" w:hAnsiTheme="minorHAnsi"/>
                <w:sz w:val="22"/>
                <w:szCs w:val="22"/>
              </w:rPr>
            </w:pPr>
            <w:r w:rsidRPr="005D6E20">
              <w:rPr>
                <w:rFonts w:asciiTheme="minorHAnsi" w:hAnsiTheme="minorHAnsi"/>
                <w:sz w:val="22"/>
                <w:szCs w:val="22"/>
              </w:rPr>
              <w:t xml:space="preserve">The IC will report directly to the </w:t>
            </w:r>
            <w:r>
              <w:rPr>
                <w:rFonts w:asciiTheme="minorHAnsi" w:hAnsiTheme="minorHAnsi"/>
                <w:sz w:val="22"/>
                <w:szCs w:val="22"/>
              </w:rPr>
              <w:t>Technical Coordinator</w:t>
            </w:r>
            <w:r w:rsidRPr="005D6E20">
              <w:rPr>
                <w:rFonts w:asciiTheme="minorHAnsi" w:hAnsiTheme="minorHAnsi"/>
                <w:sz w:val="22"/>
                <w:szCs w:val="22"/>
              </w:rPr>
              <w:t xml:space="preserve"> in close collaboration with the Resilience and Innovation Specialist consultant and the ICT Support. </w:t>
            </w:r>
          </w:p>
          <w:p w14:paraId="57F3E71C" w14:textId="77777777" w:rsidR="00BD0BDD" w:rsidRPr="005D6E20" w:rsidRDefault="00BD0BDD" w:rsidP="008C7AB0">
            <w:pPr>
              <w:jc w:val="both"/>
              <w:rPr>
                <w:rFonts w:asciiTheme="minorHAnsi" w:hAnsiTheme="minorHAnsi"/>
                <w:sz w:val="22"/>
                <w:szCs w:val="22"/>
              </w:rPr>
            </w:pPr>
          </w:p>
        </w:tc>
      </w:tr>
      <w:tr w:rsidR="00BD0BDD" w:rsidRPr="005D6E20" w14:paraId="2EC44A1D" w14:textId="77777777" w:rsidTr="008C7AB0">
        <w:tc>
          <w:tcPr>
            <w:tcW w:w="9010" w:type="dxa"/>
            <w:shd w:val="clear" w:color="000000" w:fill="F2F2F2"/>
          </w:tcPr>
          <w:p w14:paraId="73DADFB0" w14:textId="77777777" w:rsidR="00BD0BDD" w:rsidRPr="005D6E20" w:rsidRDefault="00BD0BDD" w:rsidP="008C7AB0">
            <w:pPr>
              <w:rPr>
                <w:rFonts w:asciiTheme="minorHAnsi" w:hAnsiTheme="minorHAnsi"/>
                <w:b/>
                <w:sz w:val="22"/>
                <w:szCs w:val="22"/>
              </w:rPr>
            </w:pPr>
            <w:r w:rsidRPr="005D6E20">
              <w:rPr>
                <w:rFonts w:asciiTheme="minorHAnsi" w:hAnsiTheme="minorHAnsi"/>
                <w:b/>
                <w:sz w:val="22"/>
                <w:szCs w:val="22"/>
                <w:highlight w:val="yellow"/>
              </w:rPr>
              <w:br w:type="page"/>
            </w:r>
            <w:r w:rsidRPr="0030696B">
              <w:rPr>
                <w:rFonts w:asciiTheme="minorHAnsi" w:hAnsiTheme="minorHAnsi"/>
                <w:b/>
                <w:color w:val="002060"/>
                <w:sz w:val="22"/>
                <w:szCs w:val="22"/>
              </w:rPr>
              <w:t xml:space="preserve">VII. Deliverables </w:t>
            </w:r>
          </w:p>
        </w:tc>
      </w:tr>
      <w:tr w:rsidR="00BD0BDD" w:rsidRPr="005D6E20" w14:paraId="7599D921" w14:textId="77777777" w:rsidTr="008C7AB0">
        <w:tc>
          <w:tcPr>
            <w:tcW w:w="9010" w:type="dxa"/>
            <w:shd w:val="clear" w:color="000000" w:fill="FFFFFF"/>
          </w:tcPr>
          <w:p w14:paraId="3B5C1905" w14:textId="77777777" w:rsidR="00BD0BDD" w:rsidRDefault="00BD0BDD" w:rsidP="008C7AB0"/>
          <w:tbl>
            <w:tblPr>
              <w:tblStyle w:val="TableGrid"/>
              <w:tblW w:w="0" w:type="auto"/>
              <w:tblLook w:val="04A0" w:firstRow="1" w:lastRow="0" w:firstColumn="1" w:lastColumn="0" w:noHBand="0" w:noVBand="1"/>
            </w:tblPr>
            <w:tblGrid>
              <w:gridCol w:w="6247"/>
              <w:gridCol w:w="1527"/>
              <w:gridCol w:w="1010"/>
            </w:tblGrid>
            <w:tr w:rsidR="00BD0BDD" w:rsidRPr="005D6E20" w14:paraId="32958615" w14:textId="77777777" w:rsidTr="008C7AB0">
              <w:tc>
                <w:tcPr>
                  <w:tcW w:w="6247" w:type="dxa"/>
                </w:tcPr>
                <w:p w14:paraId="5738B087" w14:textId="77777777" w:rsidR="00BD0BDD" w:rsidRDefault="00BD0BDD" w:rsidP="008C7AB0">
                  <w:pPr>
                    <w:jc w:val="both"/>
                    <w:rPr>
                      <w:rFonts w:asciiTheme="minorHAnsi" w:hAnsiTheme="minorHAnsi"/>
                      <w:sz w:val="22"/>
                      <w:szCs w:val="22"/>
                    </w:rPr>
                  </w:pPr>
                  <w:r w:rsidRPr="005D6E20">
                    <w:rPr>
                      <w:rFonts w:asciiTheme="minorHAnsi" w:hAnsiTheme="minorHAnsi"/>
                      <w:sz w:val="22"/>
                      <w:szCs w:val="22"/>
                    </w:rPr>
                    <w:t>Deliverables</w:t>
                  </w:r>
                </w:p>
                <w:p w14:paraId="34D91179" w14:textId="77777777" w:rsidR="00BD0BDD" w:rsidRPr="005D6E20" w:rsidRDefault="00BD0BDD" w:rsidP="008C7AB0">
                  <w:pPr>
                    <w:jc w:val="both"/>
                    <w:rPr>
                      <w:rFonts w:asciiTheme="minorHAnsi" w:hAnsiTheme="minorHAnsi"/>
                      <w:sz w:val="22"/>
                      <w:szCs w:val="22"/>
                    </w:rPr>
                  </w:pPr>
                </w:p>
              </w:tc>
              <w:tc>
                <w:tcPr>
                  <w:tcW w:w="1527" w:type="dxa"/>
                </w:tcPr>
                <w:p w14:paraId="06800E0D" w14:textId="77777777" w:rsidR="00BD0BDD" w:rsidRPr="005D6E20" w:rsidRDefault="00BD0BDD" w:rsidP="008C7AB0">
                  <w:pPr>
                    <w:jc w:val="both"/>
                    <w:rPr>
                      <w:rFonts w:asciiTheme="minorHAnsi" w:hAnsiTheme="minorHAnsi"/>
                      <w:sz w:val="22"/>
                      <w:szCs w:val="22"/>
                    </w:rPr>
                  </w:pPr>
                  <w:r w:rsidRPr="005D6E20">
                    <w:rPr>
                      <w:rFonts w:asciiTheme="minorHAnsi" w:hAnsiTheme="minorHAnsi"/>
                      <w:sz w:val="22"/>
                      <w:szCs w:val="22"/>
                    </w:rPr>
                    <w:t xml:space="preserve">Timeline </w:t>
                  </w:r>
                </w:p>
              </w:tc>
              <w:tc>
                <w:tcPr>
                  <w:tcW w:w="1010" w:type="dxa"/>
                </w:tcPr>
                <w:p w14:paraId="79A7B9F3" w14:textId="77777777" w:rsidR="00BD0BDD" w:rsidRPr="005D6E20" w:rsidRDefault="00BD0BDD" w:rsidP="008C7AB0">
                  <w:pPr>
                    <w:jc w:val="both"/>
                    <w:rPr>
                      <w:rFonts w:asciiTheme="minorHAnsi" w:hAnsiTheme="minorHAnsi"/>
                      <w:sz w:val="22"/>
                      <w:szCs w:val="22"/>
                    </w:rPr>
                  </w:pPr>
                  <w:r w:rsidRPr="005D6E20">
                    <w:rPr>
                      <w:rFonts w:asciiTheme="minorHAnsi" w:hAnsiTheme="minorHAnsi"/>
                      <w:sz w:val="22"/>
                      <w:szCs w:val="22"/>
                    </w:rPr>
                    <w:t>Payment</w:t>
                  </w:r>
                </w:p>
              </w:tc>
            </w:tr>
            <w:tr w:rsidR="00BD0BDD" w:rsidRPr="005D6E20" w14:paraId="15577693" w14:textId="77777777" w:rsidTr="008C7AB0">
              <w:tc>
                <w:tcPr>
                  <w:tcW w:w="6247" w:type="dxa"/>
                </w:tcPr>
                <w:p w14:paraId="2D458F33" w14:textId="77777777" w:rsidR="00BD0BDD" w:rsidRDefault="00BD0BDD" w:rsidP="008C7AB0">
                  <w:pPr>
                    <w:jc w:val="both"/>
                    <w:rPr>
                      <w:rFonts w:asciiTheme="minorHAnsi" w:hAnsiTheme="minorHAnsi"/>
                      <w:sz w:val="22"/>
                      <w:szCs w:val="22"/>
                    </w:rPr>
                  </w:pPr>
                </w:p>
                <w:p w14:paraId="60935A83" w14:textId="77777777" w:rsidR="00BD0BDD" w:rsidRDefault="00BD0BDD" w:rsidP="00BD0BDD">
                  <w:pPr>
                    <w:pStyle w:val="ListParagraph"/>
                    <w:numPr>
                      <w:ilvl w:val="0"/>
                      <w:numId w:val="1"/>
                    </w:numPr>
                    <w:spacing w:after="0" w:line="240" w:lineRule="auto"/>
                    <w:jc w:val="both"/>
                    <w:rPr>
                      <w:rFonts w:asciiTheme="minorHAnsi" w:hAnsiTheme="minorHAnsi"/>
                    </w:rPr>
                  </w:pPr>
                  <w:r>
                    <w:rPr>
                      <w:rFonts w:asciiTheme="minorHAnsi" w:hAnsiTheme="minorHAnsi"/>
                    </w:rPr>
                    <w:t>Preparation of the preparedness section (preparedness forecast formula, a model for evacuation routes and hazard maps) initiated.</w:t>
                  </w:r>
                </w:p>
                <w:p w14:paraId="10043C45" w14:textId="77777777" w:rsidR="00BD0BDD" w:rsidRDefault="00BD0BDD" w:rsidP="00BD0BDD">
                  <w:pPr>
                    <w:pStyle w:val="ListParagraph"/>
                    <w:numPr>
                      <w:ilvl w:val="0"/>
                      <w:numId w:val="1"/>
                    </w:numPr>
                    <w:spacing w:after="0" w:line="240" w:lineRule="auto"/>
                    <w:jc w:val="both"/>
                    <w:rPr>
                      <w:rFonts w:asciiTheme="minorHAnsi" w:hAnsiTheme="minorHAnsi"/>
                    </w:rPr>
                  </w:pPr>
                  <w:r>
                    <w:rPr>
                      <w:rFonts w:asciiTheme="minorHAnsi" w:hAnsiTheme="minorHAnsi"/>
                    </w:rPr>
                    <w:t>Other technical inputs provided.</w:t>
                  </w:r>
                </w:p>
                <w:p w14:paraId="0D88CD08" w14:textId="77777777" w:rsidR="00BD0BDD" w:rsidRPr="009E6EE1" w:rsidRDefault="00BD0BDD" w:rsidP="008C7AB0">
                  <w:pPr>
                    <w:jc w:val="both"/>
                    <w:rPr>
                      <w:rFonts w:asciiTheme="minorHAnsi" w:hAnsiTheme="minorHAnsi"/>
                    </w:rPr>
                  </w:pPr>
                </w:p>
              </w:tc>
              <w:tc>
                <w:tcPr>
                  <w:tcW w:w="1527" w:type="dxa"/>
                </w:tcPr>
                <w:p w14:paraId="542E5497" w14:textId="77777777" w:rsidR="00BD0BDD" w:rsidRDefault="00BD0BDD" w:rsidP="008C7AB0">
                  <w:pPr>
                    <w:jc w:val="both"/>
                    <w:rPr>
                      <w:rFonts w:asciiTheme="minorHAnsi" w:hAnsiTheme="minorHAnsi"/>
                      <w:sz w:val="22"/>
                      <w:szCs w:val="22"/>
                    </w:rPr>
                  </w:pPr>
                </w:p>
                <w:p w14:paraId="107016E6" w14:textId="77777777" w:rsidR="00BD0BDD" w:rsidRPr="005D6E20" w:rsidRDefault="0000315F" w:rsidP="008C7AB0">
                  <w:pPr>
                    <w:jc w:val="both"/>
                    <w:rPr>
                      <w:rFonts w:asciiTheme="minorHAnsi" w:hAnsiTheme="minorHAnsi"/>
                      <w:sz w:val="22"/>
                      <w:szCs w:val="22"/>
                    </w:rPr>
                  </w:pPr>
                  <w:r>
                    <w:rPr>
                      <w:rFonts w:asciiTheme="minorHAnsi" w:hAnsiTheme="minorHAnsi"/>
                      <w:sz w:val="22"/>
                      <w:szCs w:val="22"/>
                    </w:rPr>
                    <w:t>3 weeks after signature of contract</w:t>
                  </w:r>
                </w:p>
              </w:tc>
              <w:tc>
                <w:tcPr>
                  <w:tcW w:w="1010" w:type="dxa"/>
                </w:tcPr>
                <w:p w14:paraId="372B3A91" w14:textId="77777777" w:rsidR="00BD0BDD" w:rsidRPr="00C43591" w:rsidRDefault="00BD0BDD" w:rsidP="008C7AB0">
                  <w:pPr>
                    <w:jc w:val="both"/>
                    <w:rPr>
                      <w:rFonts w:asciiTheme="minorHAnsi" w:hAnsiTheme="minorHAnsi"/>
                      <w:sz w:val="22"/>
                      <w:szCs w:val="22"/>
                    </w:rPr>
                  </w:pPr>
                </w:p>
                <w:p w14:paraId="10728B52" w14:textId="77777777" w:rsidR="00BD0BDD" w:rsidRPr="00C43591" w:rsidRDefault="00BD0BDD" w:rsidP="008C7AB0">
                  <w:pPr>
                    <w:jc w:val="both"/>
                    <w:rPr>
                      <w:rFonts w:asciiTheme="minorHAnsi" w:hAnsiTheme="minorHAnsi"/>
                      <w:sz w:val="22"/>
                      <w:szCs w:val="22"/>
                    </w:rPr>
                  </w:pPr>
                  <w:r w:rsidRPr="00C43591">
                    <w:rPr>
                      <w:rFonts w:asciiTheme="minorHAnsi" w:hAnsiTheme="minorHAnsi"/>
                      <w:sz w:val="22"/>
                      <w:szCs w:val="22"/>
                    </w:rPr>
                    <w:t>40%</w:t>
                  </w:r>
                </w:p>
              </w:tc>
            </w:tr>
            <w:tr w:rsidR="00BD0BDD" w:rsidRPr="005D6E20" w14:paraId="1A781312" w14:textId="77777777" w:rsidTr="008C7AB0">
              <w:tc>
                <w:tcPr>
                  <w:tcW w:w="6247" w:type="dxa"/>
                </w:tcPr>
                <w:p w14:paraId="576C9834" w14:textId="77777777" w:rsidR="00BD0BDD" w:rsidRPr="00AA6475" w:rsidRDefault="00BD0BDD" w:rsidP="00BD0BDD">
                  <w:pPr>
                    <w:pStyle w:val="ListParagraph"/>
                    <w:numPr>
                      <w:ilvl w:val="0"/>
                      <w:numId w:val="1"/>
                    </w:numPr>
                    <w:spacing w:after="0" w:line="240" w:lineRule="auto"/>
                    <w:jc w:val="both"/>
                    <w:rPr>
                      <w:rFonts w:asciiTheme="minorHAnsi" w:hAnsiTheme="minorHAnsi"/>
                    </w:rPr>
                  </w:pPr>
                  <w:r>
                    <w:rPr>
                      <w:rFonts w:asciiTheme="minorHAnsi" w:hAnsiTheme="minorHAnsi"/>
                    </w:rPr>
                    <w:t>Preparation of the preparedness section (preparedness forecast formula, a model for evacuation routes and hazard maps) advanced.</w:t>
                  </w:r>
                </w:p>
                <w:p w14:paraId="7C17E292" w14:textId="77777777" w:rsidR="00BD0BDD" w:rsidRPr="00AA6475" w:rsidRDefault="00BD0BDD" w:rsidP="00BD0BDD">
                  <w:pPr>
                    <w:pStyle w:val="ListParagraph"/>
                    <w:numPr>
                      <w:ilvl w:val="0"/>
                      <w:numId w:val="1"/>
                    </w:numPr>
                    <w:jc w:val="both"/>
                    <w:rPr>
                      <w:rFonts w:asciiTheme="minorHAnsi" w:hAnsiTheme="minorHAnsi"/>
                    </w:rPr>
                  </w:pPr>
                  <w:r>
                    <w:rPr>
                      <w:rFonts w:asciiTheme="minorHAnsi" w:hAnsiTheme="minorHAnsi"/>
                    </w:rPr>
                    <w:lastRenderedPageBreak/>
                    <w:t>Other technical inputs provided.</w:t>
                  </w:r>
                </w:p>
              </w:tc>
              <w:tc>
                <w:tcPr>
                  <w:tcW w:w="1527" w:type="dxa"/>
                </w:tcPr>
                <w:p w14:paraId="3B5BF985" w14:textId="77777777" w:rsidR="00BD0BDD" w:rsidRPr="005D6E20" w:rsidRDefault="0000315F" w:rsidP="008C7AB0">
                  <w:pPr>
                    <w:jc w:val="both"/>
                    <w:rPr>
                      <w:rFonts w:asciiTheme="minorHAnsi" w:hAnsiTheme="minorHAnsi"/>
                      <w:sz w:val="22"/>
                      <w:szCs w:val="22"/>
                    </w:rPr>
                  </w:pPr>
                  <w:r>
                    <w:rPr>
                      <w:rFonts w:asciiTheme="minorHAnsi" w:hAnsiTheme="minorHAnsi"/>
                      <w:sz w:val="22"/>
                      <w:szCs w:val="22"/>
                    </w:rPr>
                    <w:lastRenderedPageBreak/>
                    <w:t>5 weeks after signature of contract</w:t>
                  </w:r>
                </w:p>
              </w:tc>
              <w:tc>
                <w:tcPr>
                  <w:tcW w:w="1010" w:type="dxa"/>
                </w:tcPr>
                <w:p w14:paraId="52802E2B" w14:textId="77777777" w:rsidR="00BD0BDD" w:rsidRPr="00C43591" w:rsidRDefault="00E401D6" w:rsidP="008C7AB0">
                  <w:pPr>
                    <w:jc w:val="both"/>
                    <w:rPr>
                      <w:rFonts w:asciiTheme="minorHAnsi" w:hAnsiTheme="minorHAnsi"/>
                      <w:sz w:val="22"/>
                      <w:szCs w:val="22"/>
                    </w:rPr>
                  </w:pPr>
                  <w:r>
                    <w:rPr>
                      <w:rFonts w:asciiTheme="minorHAnsi" w:hAnsiTheme="minorHAnsi"/>
                      <w:sz w:val="22"/>
                      <w:szCs w:val="22"/>
                    </w:rPr>
                    <w:t>3</w:t>
                  </w:r>
                  <w:r w:rsidR="00BD0BDD" w:rsidRPr="00C43591">
                    <w:rPr>
                      <w:rFonts w:asciiTheme="minorHAnsi" w:hAnsiTheme="minorHAnsi"/>
                      <w:sz w:val="22"/>
                      <w:szCs w:val="22"/>
                    </w:rPr>
                    <w:t>0%</w:t>
                  </w:r>
                </w:p>
              </w:tc>
            </w:tr>
            <w:tr w:rsidR="00BD0BDD" w:rsidRPr="005D6E20" w14:paraId="6338D3D7" w14:textId="77777777" w:rsidTr="008C7AB0">
              <w:tc>
                <w:tcPr>
                  <w:tcW w:w="6247" w:type="dxa"/>
                </w:tcPr>
                <w:p w14:paraId="0B805F27" w14:textId="77777777" w:rsidR="00BD0BDD" w:rsidRPr="009E6EE1" w:rsidRDefault="00BD0BDD" w:rsidP="008C7AB0">
                  <w:pPr>
                    <w:jc w:val="both"/>
                    <w:rPr>
                      <w:rFonts w:asciiTheme="minorHAnsi" w:hAnsiTheme="minorHAnsi"/>
                    </w:rPr>
                  </w:pPr>
                </w:p>
                <w:p w14:paraId="56CF04D4" w14:textId="77777777" w:rsidR="00BD0BDD" w:rsidRPr="005D6E20" w:rsidRDefault="00BD0BDD" w:rsidP="00BD0BDD">
                  <w:pPr>
                    <w:pStyle w:val="ListParagraph"/>
                    <w:numPr>
                      <w:ilvl w:val="0"/>
                      <w:numId w:val="5"/>
                    </w:numPr>
                    <w:spacing w:after="0"/>
                    <w:jc w:val="both"/>
                    <w:rPr>
                      <w:rFonts w:asciiTheme="minorHAnsi" w:hAnsiTheme="minorHAnsi"/>
                    </w:rPr>
                  </w:pPr>
                  <w:r w:rsidRPr="005D6E20">
                    <w:rPr>
                      <w:rFonts w:asciiTheme="minorHAnsi" w:hAnsiTheme="minorHAnsi"/>
                    </w:rPr>
                    <w:t>Preparedness forecast formula for different natural disaster scenarios (tsunami, hurricane, earthquake, flooding) finalized</w:t>
                  </w:r>
                  <w:r w:rsidR="003E6766">
                    <w:rPr>
                      <w:rFonts w:asciiTheme="minorHAnsi" w:hAnsiTheme="minorHAnsi"/>
                    </w:rPr>
                    <w:t>.</w:t>
                  </w:r>
                </w:p>
                <w:p w14:paraId="5EF9128E" w14:textId="77777777" w:rsidR="00BD0BDD" w:rsidRPr="005D6E20" w:rsidRDefault="00BD0BDD" w:rsidP="00BD0BDD">
                  <w:pPr>
                    <w:pStyle w:val="ListParagraph"/>
                    <w:numPr>
                      <w:ilvl w:val="0"/>
                      <w:numId w:val="5"/>
                    </w:numPr>
                    <w:spacing w:after="0"/>
                    <w:jc w:val="both"/>
                    <w:rPr>
                      <w:rFonts w:asciiTheme="minorHAnsi" w:hAnsiTheme="minorHAnsi"/>
                    </w:rPr>
                  </w:pPr>
                  <w:r w:rsidRPr="005D6E20">
                    <w:rPr>
                      <w:rFonts w:asciiTheme="minorHAnsi" w:hAnsiTheme="minorHAnsi"/>
                    </w:rPr>
                    <w:t>Model for best evacuation routes and shelter locations completed</w:t>
                  </w:r>
                  <w:r w:rsidR="003E6766">
                    <w:rPr>
                      <w:rFonts w:asciiTheme="minorHAnsi" w:hAnsiTheme="minorHAnsi"/>
                    </w:rPr>
                    <w:t>.</w:t>
                  </w:r>
                </w:p>
                <w:p w14:paraId="1449ADC0" w14:textId="77777777" w:rsidR="00BD0BDD" w:rsidRDefault="00BD0BDD" w:rsidP="00BD0BDD">
                  <w:pPr>
                    <w:pStyle w:val="ListParagraph"/>
                    <w:numPr>
                      <w:ilvl w:val="0"/>
                      <w:numId w:val="5"/>
                    </w:numPr>
                    <w:spacing w:after="0"/>
                    <w:jc w:val="both"/>
                    <w:rPr>
                      <w:rFonts w:asciiTheme="minorHAnsi" w:hAnsiTheme="minorHAnsi"/>
                    </w:rPr>
                  </w:pPr>
                  <w:r w:rsidRPr="005D6E20">
                    <w:rPr>
                      <w:rFonts w:asciiTheme="minorHAnsi" w:hAnsiTheme="minorHAnsi"/>
                    </w:rPr>
                    <w:t>Hazard maps included</w:t>
                  </w:r>
                  <w:r w:rsidR="003E6766">
                    <w:rPr>
                      <w:rFonts w:asciiTheme="minorHAnsi" w:hAnsiTheme="minorHAnsi"/>
                    </w:rPr>
                    <w:t>.</w:t>
                  </w:r>
                </w:p>
                <w:p w14:paraId="699B6242" w14:textId="77777777" w:rsidR="00BD0BDD" w:rsidRDefault="00BD0BDD" w:rsidP="00BD0BDD">
                  <w:pPr>
                    <w:pStyle w:val="ListParagraph"/>
                    <w:numPr>
                      <w:ilvl w:val="0"/>
                      <w:numId w:val="5"/>
                    </w:numPr>
                    <w:spacing w:after="0"/>
                    <w:jc w:val="both"/>
                    <w:rPr>
                      <w:rFonts w:asciiTheme="minorHAnsi" w:hAnsiTheme="minorHAnsi"/>
                    </w:rPr>
                  </w:pPr>
                  <w:r w:rsidRPr="00234F63">
                    <w:rPr>
                      <w:rFonts w:asciiTheme="minorHAnsi" w:hAnsiTheme="minorHAnsi"/>
                    </w:rPr>
                    <w:t>Other technical inputs provided.</w:t>
                  </w:r>
                </w:p>
                <w:p w14:paraId="09157112" w14:textId="77777777" w:rsidR="00BD0BDD" w:rsidRDefault="00BD0BDD" w:rsidP="00BD0BDD">
                  <w:pPr>
                    <w:pStyle w:val="ListParagraph"/>
                    <w:numPr>
                      <w:ilvl w:val="0"/>
                      <w:numId w:val="5"/>
                    </w:numPr>
                    <w:spacing w:after="0"/>
                    <w:jc w:val="both"/>
                    <w:rPr>
                      <w:rFonts w:asciiTheme="minorHAnsi" w:hAnsiTheme="minorHAnsi"/>
                    </w:rPr>
                  </w:pPr>
                  <w:r>
                    <w:rPr>
                      <w:rFonts w:asciiTheme="minorHAnsi" w:hAnsiTheme="minorHAnsi"/>
                    </w:rPr>
                    <w:t>Final activities report completed.</w:t>
                  </w:r>
                </w:p>
                <w:p w14:paraId="169F7305" w14:textId="77777777" w:rsidR="00BD0BDD" w:rsidRDefault="00BD0BDD" w:rsidP="00BD0BDD">
                  <w:pPr>
                    <w:pStyle w:val="ListParagraph"/>
                    <w:numPr>
                      <w:ilvl w:val="0"/>
                      <w:numId w:val="5"/>
                    </w:numPr>
                    <w:spacing w:after="0"/>
                    <w:jc w:val="both"/>
                    <w:rPr>
                      <w:rFonts w:asciiTheme="minorHAnsi" w:hAnsiTheme="minorHAnsi"/>
                    </w:rPr>
                  </w:pPr>
                  <w:r>
                    <w:rPr>
                      <w:rFonts w:asciiTheme="minorHAnsi" w:hAnsiTheme="minorHAnsi"/>
                    </w:rPr>
                    <w:t>Technical report completed.</w:t>
                  </w:r>
                </w:p>
                <w:p w14:paraId="7E0C321F" w14:textId="77777777" w:rsidR="00BD0BDD" w:rsidRPr="009E6EE1" w:rsidRDefault="00BD0BDD" w:rsidP="008C7AB0">
                  <w:pPr>
                    <w:jc w:val="both"/>
                    <w:rPr>
                      <w:rFonts w:asciiTheme="minorHAnsi" w:hAnsiTheme="minorHAnsi"/>
                    </w:rPr>
                  </w:pPr>
                </w:p>
              </w:tc>
              <w:tc>
                <w:tcPr>
                  <w:tcW w:w="1527" w:type="dxa"/>
                </w:tcPr>
                <w:p w14:paraId="34EBCF04" w14:textId="77777777" w:rsidR="00BD0BDD" w:rsidRDefault="00BD0BDD" w:rsidP="008C7AB0">
                  <w:pPr>
                    <w:jc w:val="both"/>
                    <w:rPr>
                      <w:rFonts w:asciiTheme="minorHAnsi" w:hAnsiTheme="minorHAnsi"/>
                      <w:sz w:val="22"/>
                      <w:szCs w:val="22"/>
                    </w:rPr>
                  </w:pPr>
                </w:p>
                <w:p w14:paraId="55719AC1" w14:textId="77777777" w:rsidR="00BD0BDD" w:rsidRPr="005D6E20" w:rsidRDefault="0000315F" w:rsidP="008C7AB0">
                  <w:pPr>
                    <w:jc w:val="both"/>
                    <w:rPr>
                      <w:rFonts w:asciiTheme="minorHAnsi" w:hAnsiTheme="minorHAnsi"/>
                      <w:sz w:val="22"/>
                      <w:szCs w:val="22"/>
                    </w:rPr>
                  </w:pPr>
                  <w:r>
                    <w:rPr>
                      <w:rFonts w:asciiTheme="minorHAnsi" w:hAnsiTheme="minorHAnsi"/>
                      <w:sz w:val="22"/>
                      <w:szCs w:val="22"/>
                    </w:rPr>
                    <w:t>8 weeks after signature of contract</w:t>
                  </w:r>
                </w:p>
              </w:tc>
              <w:tc>
                <w:tcPr>
                  <w:tcW w:w="1010" w:type="dxa"/>
                </w:tcPr>
                <w:p w14:paraId="024AB0D7" w14:textId="77777777" w:rsidR="00BD0BDD" w:rsidRPr="00C43591" w:rsidRDefault="00BD0BDD" w:rsidP="008C7AB0">
                  <w:pPr>
                    <w:jc w:val="both"/>
                    <w:rPr>
                      <w:rFonts w:asciiTheme="minorHAnsi" w:hAnsiTheme="minorHAnsi"/>
                      <w:sz w:val="22"/>
                      <w:szCs w:val="22"/>
                    </w:rPr>
                  </w:pPr>
                </w:p>
                <w:p w14:paraId="066EC99A" w14:textId="77777777" w:rsidR="00BD0BDD" w:rsidRPr="00C43591" w:rsidRDefault="00BD0BDD" w:rsidP="008C7AB0">
                  <w:pPr>
                    <w:jc w:val="both"/>
                    <w:rPr>
                      <w:rFonts w:asciiTheme="minorHAnsi" w:hAnsiTheme="minorHAnsi"/>
                      <w:sz w:val="22"/>
                      <w:szCs w:val="22"/>
                    </w:rPr>
                  </w:pPr>
                  <w:r w:rsidRPr="00C43591">
                    <w:rPr>
                      <w:rFonts w:asciiTheme="minorHAnsi" w:hAnsiTheme="minorHAnsi"/>
                      <w:sz w:val="22"/>
                      <w:szCs w:val="22"/>
                    </w:rPr>
                    <w:t>30%</w:t>
                  </w:r>
                </w:p>
              </w:tc>
            </w:tr>
          </w:tbl>
          <w:p w14:paraId="1623C719" w14:textId="77777777" w:rsidR="00BD0BDD" w:rsidRPr="005D6E20" w:rsidRDefault="00BD0BDD" w:rsidP="008C7AB0">
            <w:pPr>
              <w:jc w:val="both"/>
              <w:rPr>
                <w:rFonts w:asciiTheme="minorHAnsi" w:hAnsiTheme="minorHAnsi"/>
                <w:sz w:val="22"/>
                <w:szCs w:val="22"/>
              </w:rPr>
            </w:pPr>
          </w:p>
        </w:tc>
      </w:tr>
      <w:tr w:rsidR="00BD0BDD" w:rsidRPr="005D6E20" w14:paraId="6A662D10" w14:textId="77777777" w:rsidTr="008C7AB0">
        <w:tc>
          <w:tcPr>
            <w:tcW w:w="9010" w:type="dxa"/>
            <w:shd w:val="clear" w:color="000000" w:fill="F2F2F2"/>
          </w:tcPr>
          <w:p w14:paraId="2A2BB908" w14:textId="77777777" w:rsidR="00BD0BDD" w:rsidRPr="0030696B" w:rsidRDefault="00BD0BDD" w:rsidP="008C7AB0">
            <w:pPr>
              <w:rPr>
                <w:rFonts w:asciiTheme="minorHAnsi" w:hAnsiTheme="minorHAnsi"/>
                <w:b/>
                <w:color w:val="002060"/>
                <w:sz w:val="22"/>
                <w:szCs w:val="22"/>
              </w:rPr>
            </w:pPr>
            <w:r w:rsidRPr="0030696B">
              <w:rPr>
                <w:rFonts w:asciiTheme="minorHAnsi" w:hAnsiTheme="minorHAnsi"/>
                <w:b/>
                <w:color w:val="002060"/>
                <w:sz w:val="22"/>
                <w:szCs w:val="22"/>
                <w:highlight w:val="yellow"/>
              </w:rPr>
              <w:lastRenderedPageBreak/>
              <w:br w:type="page"/>
            </w:r>
            <w:r w:rsidRPr="0030696B">
              <w:rPr>
                <w:rFonts w:asciiTheme="minorHAnsi" w:hAnsiTheme="minorHAnsi"/>
                <w:b/>
                <w:color w:val="002060"/>
                <w:sz w:val="22"/>
                <w:szCs w:val="22"/>
              </w:rPr>
              <w:t>VIII. Documents to be included when submitting the Proposals</w:t>
            </w:r>
          </w:p>
        </w:tc>
      </w:tr>
      <w:tr w:rsidR="00BD0BDD" w:rsidRPr="005D6E20" w14:paraId="4E121DEA" w14:textId="77777777" w:rsidTr="008C7AB0">
        <w:tc>
          <w:tcPr>
            <w:tcW w:w="9010" w:type="dxa"/>
            <w:shd w:val="clear" w:color="000000" w:fill="FFFFFF"/>
          </w:tcPr>
          <w:p w14:paraId="6CDBB1C0" w14:textId="77777777" w:rsidR="0000315F" w:rsidRPr="005D6E20" w:rsidRDefault="0000315F" w:rsidP="0000315F">
            <w:pPr>
              <w:jc w:val="both"/>
              <w:rPr>
                <w:rFonts w:asciiTheme="minorHAnsi" w:hAnsiTheme="minorHAnsi"/>
                <w:sz w:val="22"/>
                <w:szCs w:val="22"/>
              </w:rPr>
            </w:pPr>
          </w:p>
          <w:p w14:paraId="433F0504" w14:textId="77777777" w:rsidR="0000315F" w:rsidRPr="005D6E20" w:rsidRDefault="0000315F" w:rsidP="0000315F">
            <w:pPr>
              <w:rPr>
                <w:rFonts w:asciiTheme="minorHAnsi" w:hAnsiTheme="minorHAnsi"/>
                <w:sz w:val="22"/>
                <w:szCs w:val="22"/>
              </w:rPr>
            </w:pPr>
            <w:r w:rsidRPr="005D6E20">
              <w:rPr>
                <w:rFonts w:asciiTheme="minorHAnsi" w:hAnsiTheme="minorHAnsi"/>
                <w:sz w:val="22"/>
                <w:szCs w:val="22"/>
              </w:rPr>
              <w:t>Interested individual consultants must submit the following documents/information to demonstrate their qualifications:</w:t>
            </w:r>
          </w:p>
          <w:p w14:paraId="63B04471" w14:textId="77777777" w:rsidR="0000315F" w:rsidRDefault="0000315F" w:rsidP="0000315F">
            <w:pPr>
              <w:rPr>
                <w:rFonts w:asciiTheme="minorHAnsi" w:hAnsiTheme="minorHAnsi"/>
                <w:sz w:val="22"/>
                <w:szCs w:val="22"/>
              </w:rPr>
            </w:pPr>
            <w:r>
              <w:rPr>
                <w:rFonts w:asciiTheme="minorHAnsi" w:hAnsiTheme="minorHAnsi"/>
                <w:sz w:val="22"/>
                <w:szCs w:val="22"/>
              </w:rPr>
              <w:t>1</w:t>
            </w:r>
            <w:r w:rsidRPr="005D6E20">
              <w:rPr>
                <w:rFonts w:asciiTheme="minorHAnsi" w:hAnsiTheme="minorHAnsi"/>
                <w:sz w:val="22"/>
                <w:szCs w:val="22"/>
              </w:rPr>
              <w:t xml:space="preserve">. Updated CV </w:t>
            </w:r>
          </w:p>
          <w:p w14:paraId="7C3E82A8" w14:textId="77777777" w:rsidR="0000315F" w:rsidRDefault="0000315F" w:rsidP="0000315F">
            <w:pPr>
              <w:rPr>
                <w:rFonts w:asciiTheme="minorHAnsi" w:hAnsiTheme="minorHAnsi"/>
                <w:sz w:val="22"/>
                <w:szCs w:val="22"/>
              </w:rPr>
            </w:pPr>
            <w:r w:rsidRPr="00416C93">
              <w:rPr>
                <w:rFonts w:asciiTheme="minorHAnsi" w:hAnsiTheme="minorHAnsi"/>
                <w:sz w:val="22"/>
                <w:szCs w:val="22"/>
              </w:rPr>
              <w:t>2. Financial proposal</w:t>
            </w:r>
          </w:p>
          <w:p w14:paraId="05275E8C" w14:textId="77777777" w:rsidR="0000315F" w:rsidRPr="005D6E20" w:rsidRDefault="0000315F" w:rsidP="0000315F">
            <w:pPr>
              <w:rPr>
                <w:rFonts w:asciiTheme="minorHAnsi" w:hAnsiTheme="minorHAnsi"/>
                <w:sz w:val="22"/>
                <w:szCs w:val="22"/>
              </w:rPr>
            </w:pPr>
          </w:p>
          <w:p w14:paraId="5262C98B" w14:textId="77777777" w:rsidR="0000315F" w:rsidRPr="00416C93" w:rsidRDefault="0000315F" w:rsidP="0000315F">
            <w:pPr>
              <w:autoSpaceDE w:val="0"/>
              <w:autoSpaceDN w:val="0"/>
              <w:adjustRightInd w:val="0"/>
              <w:ind w:left="248"/>
              <w:rPr>
                <w:rFonts w:asciiTheme="minorHAnsi" w:hAnsiTheme="minorHAnsi"/>
                <w:sz w:val="22"/>
                <w:szCs w:val="22"/>
              </w:rPr>
            </w:pPr>
            <w:r w:rsidRPr="00416C93">
              <w:rPr>
                <w:rFonts w:asciiTheme="minorHAnsi" w:hAnsiTheme="minorHAnsi"/>
                <w:sz w:val="22"/>
                <w:szCs w:val="22"/>
              </w:rPr>
              <w:t>Lump sum contracts</w:t>
            </w:r>
          </w:p>
          <w:p w14:paraId="32DACB8A" w14:textId="77777777" w:rsidR="0000315F" w:rsidRPr="00416C93" w:rsidRDefault="0000315F" w:rsidP="0000315F">
            <w:pPr>
              <w:ind w:left="248"/>
              <w:rPr>
                <w:rFonts w:asciiTheme="minorHAnsi" w:hAnsiTheme="minorHAnsi"/>
                <w:sz w:val="22"/>
                <w:szCs w:val="22"/>
              </w:rPr>
            </w:pPr>
            <w:r w:rsidRPr="00416C93">
              <w:rPr>
                <w:rFonts w:asciiTheme="minorHAnsi" w:hAnsiTheme="minorHAnsi"/>
                <w:sz w:val="22"/>
                <w:szCs w:val="22"/>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0EBF3225" w14:textId="77777777" w:rsidR="0000315F" w:rsidRPr="00416C93" w:rsidRDefault="0000315F" w:rsidP="0000315F">
            <w:pPr>
              <w:ind w:left="248"/>
              <w:rPr>
                <w:rFonts w:asciiTheme="minorHAnsi" w:hAnsiTheme="minorHAnsi"/>
                <w:sz w:val="22"/>
                <w:szCs w:val="22"/>
              </w:rPr>
            </w:pPr>
          </w:p>
          <w:p w14:paraId="57F37415" w14:textId="77777777" w:rsidR="0000315F" w:rsidRPr="00416C93" w:rsidRDefault="0000315F" w:rsidP="0000315F">
            <w:pPr>
              <w:pStyle w:val="ListParagraph"/>
              <w:spacing w:line="240" w:lineRule="auto"/>
              <w:ind w:left="248"/>
              <w:contextualSpacing/>
              <w:rPr>
                <w:rFonts w:asciiTheme="minorHAnsi" w:hAnsiTheme="minorHAnsi"/>
              </w:rPr>
            </w:pPr>
            <w:r w:rsidRPr="00416C93">
              <w:rPr>
                <w:rFonts w:asciiTheme="minorHAnsi" w:hAnsiTheme="minorHAnsi"/>
              </w:rPr>
              <w:t>TRAVEL</w:t>
            </w:r>
          </w:p>
          <w:p w14:paraId="31B91DC6" w14:textId="77777777" w:rsidR="0000315F" w:rsidRPr="00416C93" w:rsidRDefault="0000315F" w:rsidP="0000315F">
            <w:pPr>
              <w:ind w:left="248"/>
              <w:rPr>
                <w:rFonts w:asciiTheme="minorHAnsi" w:hAnsiTheme="minorHAnsi"/>
                <w:sz w:val="22"/>
                <w:szCs w:val="22"/>
              </w:rPr>
            </w:pPr>
            <w:r w:rsidRPr="00416C93">
              <w:rPr>
                <w:rFonts w:asciiTheme="minorHAnsi" w:hAnsiTheme="minorHAnsi"/>
                <w:sz w:val="22"/>
                <w:szCs w:val="22"/>
              </w:rPr>
              <w:t>All envisaged travel costs must be included in the financial proposal. This includes all travel to join duty station/repatriation travel. In general, UNDP should not accept travel costs exceeding those of an economy class ticket. Should the Individual Consultant wish to travel on a higher class he/she should do so using their own resources.</w:t>
            </w:r>
          </w:p>
          <w:p w14:paraId="25B80E19" w14:textId="77777777" w:rsidR="0000315F" w:rsidRPr="00416C93" w:rsidRDefault="0000315F" w:rsidP="0000315F">
            <w:pPr>
              <w:pStyle w:val="NoSpacing"/>
              <w:ind w:left="248"/>
              <w:rPr>
                <w:rFonts w:eastAsia="Times New Roman" w:cs="Times New Roman"/>
              </w:rPr>
            </w:pPr>
            <w:r w:rsidRPr="00416C93">
              <w:rPr>
                <w:rFonts w:eastAsia="Times New Roman" w:cs="Times New Roman"/>
              </w:rPr>
              <w:t>In the case of unforeseeable travel, payment of travel costs including tickets, lodging and terminal expenses should be agreed upon, between the respective business unit and Individual Consultant, prior to travel and will be reimbursed.</w:t>
            </w:r>
          </w:p>
          <w:p w14:paraId="21018E68" w14:textId="77777777" w:rsidR="0000315F" w:rsidRPr="00416C93" w:rsidRDefault="0000315F" w:rsidP="0000315F">
            <w:pPr>
              <w:pStyle w:val="NoSpacing"/>
              <w:ind w:left="248"/>
              <w:rPr>
                <w:rFonts w:eastAsia="Times New Roman" w:cs="Times New Roman"/>
              </w:rPr>
            </w:pPr>
          </w:p>
          <w:p w14:paraId="53C0DD88" w14:textId="77777777" w:rsidR="0000315F" w:rsidRPr="00416C93" w:rsidRDefault="0000315F" w:rsidP="0000315F">
            <w:pPr>
              <w:pStyle w:val="ListParagraph"/>
              <w:spacing w:line="240" w:lineRule="auto"/>
              <w:ind w:left="248"/>
              <w:contextualSpacing/>
              <w:rPr>
                <w:rFonts w:asciiTheme="minorHAnsi" w:hAnsiTheme="minorHAnsi"/>
              </w:rPr>
            </w:pPr>
            <w:r w:rsidRPr="00416C93">
              <w:rPr>
                <w:rFonts w:asciiTheme="minorHAnsi" w:hAnsiTheme="minorHAnsi"/>
              </w:rPr>
              <w:t>EVALUATION</w:t>
            </w:r>
          </w:p>
          <w:p w14:paraId="28FF9BA0" w14:textId="77777777" w:rsidR="0000315F" w:rsidRPr="00416C93" w:rsidRDefault="0000315F" w:rsidP="0000315F">
            <w:pPr>
              <w:ind w:left="248"/>
              <w:rPr>
                <w:rFonts w:asciiTheme="minorHAnsi" w:hAnsiTheme="minorHAnsi"/>
                <w:sz w:val="22"/>
                <w:szCs w:val="22"/>
              </w:rPr>
            </w:pPr>
            <w:r w:rsidRPr="00416C93">
              <w:rPr>
                <w:rFonts w:asciiTheme="minorHAnsi" w:hAnsiTheme="minorHAnsi"/>
                <w:sz w:val="22"/>
                <w:szCs w:val="22"/>
              </w:rPr>
              <w:t>Individual consultants will be evaluated based on the following methodologies:</w:t>
            </w:r>
          </w:p>
          <w:p w14:paraId="71020E35" w14:textId="77777777" w:rsidR="0000315F" w:rsidRPr="00416C93" w:rsidRDefault="0000315F" w:rsidP="0000315F">
            <w:pPr>
              <w:pStyle w:val="NoSpacing"/>
              <w:numPr>
                <w:ilvl w:val="0"/>
                <w:numId w:val="8"/>
              </w:numPr>
              <w:ind w:left="248"/>
              <w:rPr>
                <w:rFonts w:eastAsia="Times New Roman" w:cs="Times New Roman"/>
              </w:rPr>
            </w:pPr>
            <w:r w:rsidRPr="00416C93">
              <w:rPr>
                <w:rFonts w:eastAsia="Times New Roman" w:cs="Times New Roman"/>
              </w:rPr>
              <w:t>Cumulative analysis</w:t>
            </w:r>
          </w:p>
          <w:p w14:paraId="76E7F339" w14:textId="77777777" w:rsidR="0000315F" w:rsidRPr="00416C93" w:rsidRDefault="0000315F" w:rsidP="0000315F">
            <w:pPr>
              <w:pStyle w:val="NoSpacing"/>
              <w:ind w:left="248"/>
              <w:rPr>
                <w:rFonts w:eastAsia="Times New Roman" w:cs="Times New Roman"/>
              </w:rPr>
            </w:pPr>
            <w:r w:rsidRPr="00416C93">
              <w:rPr>
                <w:rFonts w:eastAsia="Times New Roman" w:cs="Times New Roman"/>
              </w:rPr>
              <w:t>When using this weighted scoring method, the award of the contract should be made to the individual consultant whose offer has been evaluated and determined as:</w:t>
            </w:r>
          </w:p>
          <w:p w14:paraId="3B6AC82B" w14:textId="77777777" w:rsidR="0000315F" w:rsidRPr="00416C93" w:rsidRDefault="0000315F" w:rsidP="0000315F">
            <w:pPr>
              <w:pStyle w:val="NoSpacing"/>
              <w:numPr>
                <w:ilvl w:val="0"/>
                <w:numId w:val="9"/>
              </w:numPr>
              <w:ind w:left="248"/>
              <w:rPr>
                <w:rFonts w:eastAsia="Times New Roman" w:cs="Times New Roman"/>
              </w:rPr>
            </w:pPr>
            <w:r w:rsidRPr="00416C93">
              <w:rPr>
                <w:rFonts w:eastAsia="Times New Roman" w:cs="Times New Roman"/>
              </w:rPr>
              <w:t>responsive/compliant/acceptable, and</w:t>
            </w:r>
          </w:p>
          <w:p w14:paraId="0A8DFA35" w14:textId="77777777" w:rsidR="0000315F" w:rsidRPr="00416C93" w:rsidRDefault="0000315F" w:rsidP="0000315F">
            <w:pPr>
              <w:pStyle w:val="NoSpacing"/>
              <w:numPr>
                <w:ilvl w:val="0"/>
                <w:numId w:val="9"/>
              </w:numPr>
              <w:ind w:left="248"/>
              <w:rPr>
                <w:rFonts w:eastAsia="Times New Roman" w:cs="Times New Roman"/>
              </w:rPr>
            </w:pPr>
            <w:r w:rsidRPr="00416C93">
              <w:rPr>
                <w:rFonts w:eastAsia="Times New Roman" w:cs="Times New Roman"/>
              </w:rPr>
              <w:t>Having received the highest score out of a pre-determined set of weighted technical and financial criteria** specific to the solicitation</w:t>
            </w:r>
          </w:p>
          <w:p w14:paraId="03C47BE7" w14:textId="77777777" w:rsidR="0000315F" w:rsidRPr="00416C93" w:rsidRDefault="0000315F" w:rsidP="0000315F">
            <w:pPr>
              <w:pStyle w:val="NoSpacing"/>
              <w:ind w:left="248"/>
              <w:rPr>
                <w:rFonts w:eastAsia="Times New Roman" w:cs="Times New Roman"/>
              </w:rPr>
            </w:pPr>
          </w:p>
          <w:p w14:paraId="23D20CAF" w14:textId="77777777" w:rsidR="0000315F" w:rsidRPr="00416C93" w:rsidRDefault="0000315F" w:rsidP="0000315F">
            <w:pPr>
              <w:pStyle w:val="NoSpacing"/>
              <w:ind w:left="248"/>
              <w:rPr>
                <w:rFonts w:eastAsia="Times New Roman" w:cs="Times New Roman"/>
              </w:rPr>
            </w:pPr>
            <w:r w:rsidRPr="00416C93">
              <w:rPr>
                <w:rFonts w:eastAsia="Times New Roman" w:cs="Times New Roman"/>
              </w:rPr>
              <w:t>* Technical Criteria weight; [70%]; * Financial Criteria weight; [30%]</w:t>
            </w:r>
          </w:p>
          <w:p w14:paraId="4C3D5F27" w14:textId="77777777" w:rsidR="0000315F" w:rsidRPr="00416C93" w:rsidRDefault="0000315F" w:rsidP="0000315F">
            <w:pPr>
              <w:pStyle w:val="NoSpacing"/>
              <w:ind w:left="248"/>
              <w:rPr>
                <w:rFonts w:eastAsia="Times New Roman" w:cs="Times New Roman"/>
              </w:rPr>
            </w:pPr>
          </w:p>
          <w:p w14:paraId="6978433E" w14:textId="77777777" w:rsidR="0000315F" w:rsidRPr="00416C93" w:rsidRDefault="0000315F" w:rsidP="0000315F">
            <w:pPr>
              <w:pStyle w:val="NoSpacing"/>
              <w:ind w:left="248"/>
              <w:rPr>
                <w:rFonts w:eastAsia="Times New Roman" w:cs="Times New Roman"/>
              </w:rPr>
            </w:pPr>
            <w:r w:rsidRPr="00416C93">
              <w:rPr>
                <w:rFonts w:eastAsia="Times New Roman" w:cs="Times New Roman"/>
              </w:rPr>
              <w:lastRenderedPageBreak/>
              <w:t xml:space="preserve">Only candidates obtaining a minimum of 49 points would be considered for the Financial Evaluation. </w:t>
            </w:r>
          </w:p>
          <w:p w14:paraId="45B886D4" w14:textId="77777777" w:rsidR="0000315F" w:rsidRPr="00416C93" w:rsidRDefault="0000315F" w:rsidP="0000315F">
            <w:pPr>
              <w:pStyle w:val="NoSpacing"/>
              <w:rPr>
                <w:rFonts w:eastAsia="Times New Roman" w:cs="Times New Roman"/>
              </w:rPr>
            </w:pPr>
          </w:p>
          <w:p w14:paraId="53193CAB" w14:textId="77777777" w:rsidR="0000315F" w:rsidRPr="00416C93" w:rsidRDefault="0000315F" w:rsidP="0000315F">
            <w:pPr>
              <w:pStyle w:val="NoSpacing"/>
              <w:rPr>
                <w:rFonts w:eastAsia="Times New Roman" w:cs="Times New Roman"/>
              </w:rPr>
            </w:pPr>
          </w:p>
          <w:tbl>
            <w:tblPr>
              <w:tblStyle w:val="TableGrid"/>
              <w:tblW w:w="0" w:type="auto"/>
              <w:tblLook w:val="04A0" w:firstRow="1" w:lastRow="0" w:firstColumn="1" w:lastColumn="0" w:noHBand="0" w:noVBand="1"/>
            </w:tblPr>
            <w:tblGrid>
              <w:gridCol w:w="6159"/>
              <w:gridCol w:w="1344"/>
              <w:gridCol w:w="1281"/>
            </w:tblGrid>
            <w:tr w:rsidR="0000315F" w:rsidRPr="00416C93" w14:paraId="1F1272CA" w14:textId="77777777" w:rsidTr="000558D9">
              <w:tc>
                <w:tcPr>
                  <w:tcW w:w="6205" w:type="dxa"/>
                </w:tcPr>
                <w:p w14:paraId="0A395B2B"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Criteria</w:t>
                  </w:r>
                </w:p>
              </w:tc>
              <w:tc>
                <w:tcPr>
                  <w:tcW w:w="1350" w:type="dxa"/>
                </w:tcPr>
                <w:p w14:paraId="556B3B70"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Weight</w:t>
                  </w:r>
                </w:p>
              </w:tc>
              <w:tc>
                <w:tcPr>
                  <w:tcW w:w="1288" w:type="dxa"/>
                </w:tcPr>
                <w:p w14:paraId="0DD42815"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Max. Point</w:t>
                  </w:r>
                </w:p>
              </w:tc>
            </w:tr>
            <w:tr w:rsidR="0000315F" w:rsidRPr="00416C93" w14:paraId="388DFDD3" w14:textId="77777777" w:rsidTr="000558D9">
              <w:tc>
                <w:tcPr>
                  <w:tcW w:w="6205" w:type="dxa"/>
                </w:tcPr>
                <w:p w14:paraId="21CA7BF6" w14:textId="77777777" w:rsidR="0000315F" w:rsidRPr="00416C93" w:rsidRDefault="0000315F" w:rsidP="0000315F">
                  <w:pPr>
                    <w:rPr>
                      <w:rFonts w:asciiTheme="minorHAnsi" w:hAnsiTheme="minorHAnsi"/>
                      <w:sz w:val="22"/>
                      <w:szCs w:val="22"/>
                      <w:lang w:eastAsia="en-US"/>
                    </w:rPr>
                  </w:pPr>
                  <w:r w:rsidRPr="00416C93">
                    <w:rPr>
                      <w:rFonts w:asciiTheme="minorHAnsi" w:hAnsiTheme="minorHAnsi"/>
                      <w:sz w:val="22"/>
                      <w:szCs w:val="22"/>
                      <w:lang w:eastAsia="en-US"/>
                    </w:rPr>
                    <w:t>Technical</w:t>
                  </w:r>
                </w:p>
              </w:tc>
              <w:tc>
                <w:tcPr>
                  <w:tcW w:w="1350" w:type="dxa"/>
                  <w:vAlign w:val="center"/>
                </w:tcPr>
                <w:p w14:paraId="70025844"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70</w:t>
                  </w:r>
                </w:p>
              </w:tc>
              <w:tc>
                <w:tcPr>
                  <w:tcW w:w="1288" w:type="dxa"/>
                  <w:vAlign w:val="center"/>
                </w:tcPr>
                <w:p w14:paraId="250128FB"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70</w:t>
                  </w:r>
                </w:p>
              </w:tc>
            </w:tr>
            <w:tr w:rsidR="0000315F" w:rsidRPr="00416C93" w14:paraId="55C9470E" w14:textId="77777777" w:rsidTr="000558D9">
              <w:tc>
                <w:tcPr>
                  <w:tcW w:w="6205" w:type="dxa"/>
                </w:tcPr>
                <w:p w14:paraId="3A4F5CEC" w14:textId="77777777" w:rsidR="0000315F" w:rsidRPr="00416C93" w:rsidRDefault="0000315F" w:rsidP="0000315F">
                  <w:pPr>
                    <w:pStyle w:val="ListParagraph"/>
                    <w:numPr>
                      <w:ilvl w:val="0"/>
                      <w:numId w:val="2"/>
                    </w:numPr>
                    <w:spacing w:after="0" w:line="240" w:lineRule="auto"/>
                    <w:contextualSpacing/>
                    <w:jc w:val="both"/>
                    <w:rPr>
                      <w:rFonts w:asciiTheme="minorHAnsi" w:hAnsiTheme="minorHAnsi"/>
                      <w:lang w:eastAsia="en-US"/>
                    </w:rPr>
                  </w:pPr>
                  <w:r w:rsidRPr="00416C93">
                    <w:rPr>
                      <w:rFonts w:asciiTheme="minorHAnsi" w:hAnsiTheme="minorHAnsi"/>
                      <w:lang w:eastAsia="en-US"/>
                    </w:rPr>
                    <w:t>At least 7 years of relevant work experience field of expertise (related to gender equality, climate change or disaster recovery), Caribbean experience is desirable</w:t>
                  </w:r>
                </w:p>
                <w:p w14:paraId="11AC9856" w14:textId="77777777" w:rsidR="0000315F" w:rsidRPr="00416C93" w:rsidRDefault="0000315F" w:rsidP="0000315F">
                  <w:pPr>
                    <w:pStyle w:val="ListParagraph"/>
                    <w:numPr>
                      <w:ilvl w:val="0"/>
                      <w:numId w:val="2"/>
                    </w:numPr>
                    <w:spacing w:after="0" w:line="240" w:lineRule="auto"/>
                    <w:contextualSpacing/>
                    <w:jc w:val="both"/>
                    <w:rPr>
                      <w:rFonts w:asciiTheme="minorHAnsi" w:hAnsiTheme="minorHAnsi"/>
                      <w:lang w:eastAsia="en-US"/>
                    </w:rPr>
                  </w:pPr>
                  <w:r w:rsidRPr="00416C93">
                    <w:rPr>
                      <w:rFonts w:asciiTheme="minorHAnsi" w:hAnsiTheme="minorHAnsi"/>
                      <w:lang w:eastAsia="en-US"/>
                    </w:rPr>
                    <w:t xml:space="preserve">Specific training in facilitation methods is a distinct asset </w:t>
                  </w:r>
                </w:p>
              </w:tc>
              <w:tc>
                <w:tcPr>
                  <w:tcW w:w="1350" w:type="dxa"/>
                  <w:vAlign w:val="center"/>
                </w:tcPr>
                <w:p w14:paraId="255CE37A"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30</w:t>
                  </w:r>
                </w:p>
              </w:tc>
              <w:tc>
                <w:tcPr>
                  <w:tcW w:w="1288" w:type="dxa"/>
                  <w:vAlign w:val="center"/>
                </w:tcPr>
                <w:p w14:paraId="778F76B0"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30</w:t>
                  </w:r>
                </w:p>
              </w:tc>
            </w:tr>
            <w:tr w:rsidR="0000315F" w:rsidRPr="00416C93" w14:paraId="737D4367" w14:textId="77777777" w:rsidTr="000558D9">
              <w:tc>
                <w:tcPr>
                  <w:tcW w:w="6205" w:type="dxa"/>
                </w:tcPr>
                <w:p w14:paraId="25B7CD83" w14:textId="77777777" w:rsidR="0000315F" w:rsidRPr="00416C93" w:rsidRDefault="0000315F" w:rsidP="0000315F">
                  <w:pPr>
                    <w:pStyle w:val="ListParagraph"/>
                    <w:numPr>
                      <w:ilvl w:val="0"/>
                      <w:numId w:val="2"/>
                    </w:numPr>
                    <w:spacing w:after="0" w:line="240" w:lineRule="auto"/>
                    <w:contextualSpacing/>
                    <w:jc w:val="both"/>
                    <w:rPr>
                      <w:rFonts w:asciiTheme="minorHAnsi" w:hAnsiTheme="minorHAnsi"/>
                      <w:lang w:eastAsia="en-US"/>
                    </w:rPr>
                  </w:pPr>
                  <w:r w:rsidRPr="00416C93">
                    <w:rPr>
                      <w:rFonts w:asciiTheme="minorHAnsi" w:hAnsiTheme="minorHAnsi"/>
                      <w:lang w:eastAsia="en-US"/>
                    </w:rPr>
                    <w:t xml:space="preserve">At least 5 previous similar </w:t>
                  </w:r>
                  <w:r w:rsidR="00E401D6" w:rsidRPr="00416C93">
                    <w:rPr>
                      <w:rFonts w:asciiTheme="minorHAnsi" w:hAnsiTheme="minorHAnsi"/>
                      <w:lang w:eastAsia="en-US"/>
                    </w:rPr>
                    <w:t>specialized</w:t>
                  </w:r>
                  <w:r w:rsidRPr="00416C93">
                    <w:rPr>
                      <w:rFonts w:asciiTheme="minorHAnsi" w:hAnsiTheme="minorHAnsi"/>
                      <w:lang w:eastAsia="en-US"/>
                    </w:rPr>
                    <w:t xml:space="preserve"> facilitation assignments, preferably in the target countries (provide evidence of work and outcome)</w:t>
                  </w:r>
                </w:p>
              </w:tc>
              <w:tc>
                <w:tcPr>
                  <w:tcW w:w="1350" w:type="dxa"/>
                  <w:vAlign w:val="center"/>
                </w:tcPr>
                <w:p w14:paraId="1753E3DF"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20</w:t>
                  </w:r>
                </w:p>
              </w:tc>
              <w:tc>
                <w:tcPr>
                  <w:tcW w:w="1288" w:type="dxa"/>
                  <w:vAlign w:val="center"/>
                </w:tcPr>
                <w:p w14:paraId="0859AE38"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20</w:t>
                  </w:r>
                </w:p>
              </w:tc>
            </w:tr>
            <w:tr w:rsidR="0000315F" w:rsidRPr="00416C93" w14:paraId="7C21CEBD" w14:textId="77777777" w:rsidTr="000558D9">
              <w:tc>
                <w:tcPr>
                  <w:tcW w:w="6205" w:type="dxa"/>
                </w:tcPr>
                <w:p w14:paraId="278FB4F0" w14:textId="77777777" w:rsidR="0000315F" w:rsidRPr="00416C93" w:rsidRDefault="0000315F" w:rsidP="0000315F">
                  <w:pPr>
                    <w:pStyle w:val="ListParagraph"/>
                    <w:numPr>
                      <w:ilvl w:val="0"/>
                      <w:numId w:val="2"/>
                    </w:numPr>
                    <w:spacing w:before="120" w:after="120" w:line="240" w:lineRule="auto"/>
                    <w:contextualSpacing/>
                    <w:jc w:val="both"/>
                    <w:rPr>
                      <w:rFonts w:asciiTheme="minorHAnsi" w:hAnsiTheme="minorHAnsi"/>
                      <w:lang w:eastAsia="en-US"/>
                    </w:rPr>
                  </w:pPr>
                  <w:r w:rsidRPr="00416C93">
                    <w:rPr>
                      <w:rFonts w:asciiTheme="minorHAnsi" w:hAnsiTheme="minorHAnsi"/>
                      <w:lang w:eastAsia="en-US"/>
                    </w:rPr>
                    <w:t>An advanced degree (Masters or higher) in gender equality, sociology, social policy, development studies, climate change and development, environmental management, disaster management, or a related field</w:t>
                  </w:r>
                </w:p>
              </w:tc>
              <w:tc>
                <w:tcPr>
                  <w:tcW w:w="1350" w:type="dxa"/>
                  <w:vAlign w:val="center"/>
                </w:tcPr>
                <w:p w14:paraId="4F1D3207"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20</w:t>
                  </w:r>
                </w:p>
              </w:tc>
              <w:tc>
                <w:tcPr>
                  <w:tcW w:w="1288" w:type="dxa"/>
                  <w:vAlign w:val="center"/>
                </w:tcPr>
                <w:p w14:paraId="2E152464"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20</w:t>
                  </w:r>
                </w:p>
              </w:tc>
            </w:tr>
            <w:tr w:rsidR="0000315F" w:rsidRPr="00416C93" w14:paraId="0627DFC1" w14:textId="77777777" w:rsidTr="000558D9">
              <w:tc>
                <w:tcPr>
                  <w:tcW w:w="6205" w:type="dxa"/>
                </w:tcPr>
                <w:p w14:paraId="380534A1" w14:textId="77777777" w:rsidR="0000315F" w:rsidRPr="00416C93" w:rsidRDefault="0000315F" w:rsidP="0000315F">
                  <w:pPr>
                    <w:rPr>
                      <w:rFonts w:asciiTheme="minorHAnsi" w:hAnsiTheme="minorHAnsi"/>
                      <w:sz w:val="22"/>
                      <w:szCs w:val="22"/>
                      <w:lang w:eastAsia="en-US"/>
                    </w:rPr>
                  </w:pPr>
                  <w:r w:rsidRPr="00416C93">
                    <w:rPr>
                      <w:rFonts w:asciiTheme="minorHAnsi" w:hAnsiTheme="minorHAnsi"/>
                      <w:sz w:val="22"/>
                      <w:szCs w:val="22"/>
                      <w:lang w:eastAsia="en-US"/>
                    </w:rPr>
                    <w:t>Financial</w:t>
                  </w:r>
                </w:p>
              </w:tc>
              <w:tc>
                <w:tcPr>
                  <w:tcW w:w="1350" w:type="dxa"/>
                  <w:vAlign w:val="center"/>
                </w:tcPr>
                <w:p w14:paraId="3AC0C3A7"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30</w:t>
                  </w:r>
                </w:p>
              </w:tc>
              <w:tc>
                <w:tcPr>
                  <w:tcW w:w="1288" w:type="dxa"/>
                  <w:vAlign w:val="center"/>
                </w:tcPr>
                <w:p w14:paraId="101EBC3B" w14:textId="77777777" w:rsidR="0000315F" w:rsidRPr="00416C93" w:rsidRDefault="0000315F" w:rsidP="0000315F">
                  <w:pPr>
                    <w:jc w:val="center"/>
                    <w:rPr>
                      <w:rFonts w:asciiTheme="minorHAnsi" w:hAnsiTheme="minorHAnsi"/>
                      <w:sz w:val="22"/>
                      <w:szCs w:val="22"/>
                      <w:lang w:eastAsia="en-US"/>
                    </w:rPr>
                  </w:pPr>
                  <w:r w:rsidRPr="00416C93">
                    <w:rPr>
                      <w:rFonts w:asciiTheme="minorHAnsi" w:hAnsiTheme="minorHAnsi"/>
                      <w:sz w:val="22"/>
                      <w:szCs w:val="22"/>
                      <w:lang w:eastAsia="en-US"/>
                    </w:rPr>
                    <w:t>30</w:t>
                  </w:r>
                </w:p>
              </w:tc>
            </w:tr>
          </w:tbl>
          <w:p w14:paraId="42BFAB0E" w14:textId="77777777" w:rsidR="00BD0BDD" w:rsidRPr="005D6E20" w:rsidRDefault="00BD0BDD" w:rsidP="008C7AB0">
            <w:pPr>
              <w:rPr>
                <w:rFonts w:asciiTheme="minorHAnsi" w:hAnsiTheme="minorHAnsi"/>
                <w:sz w:val="22"/>
                <w:szCs w:val="22"/>
              </w:rPr>
            </w:pPr>
          </w:p>
        </w:tc>
      </w:tr>
    </w:tbl>
    <w:p w14:paraId="28126E14" w14:textId="77777777" w:rsidR="00BD0BDD" w:rsidRPr="005D6E20" w:rsidRDefault="00BD0BDD" w:rsidP="00BD0BDD">
      <w:pPr>
        <w:autoSpaceDE w:val="0"/>
        <w:autoSpaceDN w:val="0"/>
        <w:adjustRightInd w:val="0"/>
        <w:rPr>
          <w:rFonts w:asciiTheme="minorHAnsi" w:hAnsiTheme="minorHAnsi" w:cs="Calibri"/>
          <w:color w:val="000000" w:themeColor="text1"/>
          <w:sz w:val="22"/>
          <w:szCs w:val="22"/>
        </w:rPr>
      </w:pPr>
    </w:p>
    <w:p w14:paraId="6615C776" w14:textId="77777777" w:rsidR="00F30A63" w:rsidRDefault="00F30A63"/>
    <w:sectPr w:rsidR="00F30A63" w:rsidSect="006C22C0">
      <w:headerReference w:type="default" r:id="rId14"/>
      <w:footerReference w:type="even" r:id="rId15"/>
      <w:footerReference w:type="default" r:id="rId1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2EA1" w14:textId="77777777" w:rsidR="00A82A2D" w:rsidRDefault="00A82A2D">
      <w:r>
        <w:separator/>
      </w:r>
    </w:p>
  </w:endnote>
  <w:endnote w:type="continuationSeparator" w:id="0">
    <w:p w14:paraId="7EF7BEA3" w14:textId="77777777" w:rsidR="00A82A2D" w:rsidRDefault="00A8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C6C3" w14:textId="77777777" w:rsidR="00605D90" w:rsidRDefault="00A01F89" w:rsidP="007B16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2DC6A" w14:textId="77777777" w:rsidR="00605D90" w:rsidRDefault="00595CB0" w:rsidP="00AA5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5869" w14:textId="77777777" w:rsidR="00605D90" w:rsidRPr="00061B15" w:rsidRDefault="00A01F89" w:rsidP="007B167B">
    <w:pPr>
      <w:pStyle w:val="Footer"/>
      <w:framePr w:wrap="auto" w:vAnchor="text" w:hAnchor="margin" w:xAlign="right" w:y="1"/>
      <w:rPr>
        <w:rStyle w:val="PageNumber"/>
        <w:sz w:val="16"/>
        <w:szCs w:val="16"/>
      </w:rPr>
    </w:pPr>
    <w:r w:rsidRPr="00061B15">
      <w:rPr>
        <w:rStyle w:val="PageNumber"/>
        <w:sz w:val="16"/>
        <w:szCs w:val="16"/>
      </w:rPr>
      <w:fldChar w:fldCharType="begin"/>
    </w:r>
    <w:r w:rsidRPr="00061B15">
      <w:rPr>
        <w:rStyle w:val="PageNumber"/>
        <w:sz w:val="16"/>
        <w:szCs w:val="16"/>
      </w:rPr>
      <w:instrText xml:space="preserve">PAGE  </w:instrText>
    </w:r>
    <w:r w:rsidRPr="00061B15">
      <w:rPr>
        <w:rStyle w:val="PageNumber"/>
        <w:sz w:val="16"/>
        <w:szCs w:val="16"/>
      </w:rPr>
      <w:fldChar w:fldCharType="separate"/>
    </w:r>
    <w:r>
      <w:rPr>
        <w:rStyle w:val="PageNumber"/>
        <w:noProof/>
        <w:sz w:val="16"/>
        <w:szCs w:val="16"/>
      </w:rPr>
      <w:t>5</w:t>
    </w:r>
    <w:r w:rsidRPr="00061B15">
      <w:rPr>
        <w:rStyle w:val="PageNumber"/>
        <w:sz w:val="16"/>
        <w:szCs w:val="16"/>
      </w:rPr>
      <w:fldChar w:fldCharType="end"/>
    </w:r>
  </w:p>
  <w:p w14:paraId="0F168CDD" w14:textId="77777777" w:rsidR="00605D90" w:rsidRDefault="00595CB0" w:rsidP="00AA5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B028" w14:textId="77777777" w:rsidR="00A82A2D" w:rsidRDefault="00A82A2D">
      <w:r>
        <w:separator/>
      </w:r>
    </w:p>
  </w:footnote>
  <w:footnote w:type="continuationSeparator" w:id="0">
    <w:p w14:paraId="3A40DF60" w14:textId="77777777" w:rsidR="00A82A2D" w:rsidRDefault="00A8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D358" w14:textId="77777777" w:rsidR="00605D90" w:rsidRPr="009D4910" w:rsidRDefault="00A01F89" w:rsidP="009D4910">
    <w:pPr>
      <w:pStyle w:val="Header"/>
    </w:pPr>
    <w:r>
      <w:rPr>
        <w:rFonts w:asciiTheme="minorHAnsi" w:hAnsiTheme="minorHAnsi"/>
        <w:b/>
        <w:sz w:val="22"/>
        <w:szCs w:val="22"/>
      </w:rPr>
      <w:t>UNDP - United Nations Development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606F"/>
    <w:multiLevelType w:val="hybridMultilevel"/>
    <w:tmpl w:val="D9F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6355"/>
    <w:multiLevelType w:val="hybridMultilevel"/>
    <w:tmpl w:val="15302BB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062C4"/>
    <w:multiLevelType w:val="hybridMultilevel"/>
    <w:tmpl w:val="AA805C1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928B4"/>
    <w:multiLevelType w:val="hybridMultilevel"/>
    <w:tmpl w:val="2E5A7A70"/>
    <w:lvl w:ilvl="0" w:tplc="2A9AB416">
      <w:start w:val="1"/>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F6182"/>
    <w:multiLevelType w:val="hybridMultilevel"/>
    <w:tmpl w:val="FA82D1EC"/>
    <w:lvl w:ilvl="0" w:tplc="2A9AB416">
      <w:start w:val="1"/>
      <w:numFmt w:val="bullet"/>
      <w:lvlText w:val="-"/>
      <w:lvlJc w:val="left"/>
      <w:pPr>
        <w:ind w:left="720" w:hanging="360"/>
      </w:pPr>
      <w:rPr>
        <w:rFonts w:ascii="Calibri Light" w:eastAsiaTheme="minorHAnsi" w:hAnsi="Calibri Light"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F7103"/>
    <w:multiLevelType w:val="hybridMultilevel"/>
    <w:tmpl w:val="C7328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92AD3"/>
    <w:multiLevelType w:val="hybridMultilevel"/>
    <w:tmpl w:val="319A3BE2"/>
    <w:lvl w:ilvl="0" w:tplc="2A9AB416">
      <w:start w:val="1"/>
      <w:numFmt w:val="bullet"/>
      <w:lvlText w:val="-"/>
      <w:lvlJc w:val="left"/>
      <w:pPr>
        <w:ind w:left="720" w:hanging="360"/>
      </w:pPr>
      <w:rPr>
        <w:rFonts w:ascii="Calibri Light" w:eastAsiaTheme="minorHAnsi" w:hAnsi="Calibri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8"/>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xMTE0M7O0MDVW0lEKTi0uzszPAykwrgUA8Tx5NywAAAA="/>
  </w:docVars>
  <w:rsids>
    <w:rsidRoot w:val="00BD0BDD"/>
    <w:rsid w:val="0000315F"/>
    <w:rsid w:val="001264E1"/>
    <w:rsid w:val="003E6766"/>
    <w:rsid w:val="00595CB0"/>
    <w:rsid w:val="00A01F89"/>
    <w:rsid w:val="00A82A2D"/>
    <w:rsid w:val="00BD0BDD"/>
    <w:rsid w:val="00E401D6"/>
    <w:rsid w:val="00F30A63"/>
    <w:rsid w:val="00F9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3472"/>
  <w15:chartTrackingRefBased/>
  <w15:docId w15:val="{3FB8F9E1-072C-48F6-B3FB-21042C15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BDD"/>
    <w:pPr>
      <w:tabs>
        <w:tab w:val="center" w:pos="4320"/>
        <w:tab w:val="right" w:pos="8640"/>
      </w:tabs>
    </w:pPr>
  </w:style>
  <w:style w:type="character" w:customStyle="1" w:styleId="FooterChar">
    <w:name w:val="Footer Char"/>
    <w:basedOn w:val="DefaultParagraphFont"/>
    <w:link w:val="Footer"/>
    <w:rsid w:val="00BD0BDD"/>
    <w:rPr>
      <w:rFonts w:ascii="Times New Roman" w:eastAsia="Times New Roman" w:hAnsi="Times New Roman" w:cs="Times New Roman"/>
      <w:sz w:val="24"/>
      <w:szCs w:val="24"/>
    </w:rPr>
  </w:style>
  <w:style w:type="character" w:styleId="PageNumber">
    <w:name w:val="page number"/>
    <w:rsid w:val="00BD0BDD"/>
    <w:rPr>
      <w:rFonts w:cs="Times New Roman"/>
    </w:rPr>
  </w:style>
  <w:style w:type="paragraph" w:styleId="ListParagraph">
    <w:name w:val="List Paragraph"/>
    <w:basedOn w:val="Normal"/>
    <w:link w:val="ListParagraphChar"/>
    <w:uiPriority w:val="34"/>
    <w:qFormat/>
    <w:rsid w:val="00BD0BDD"/>
    <w:pPr>
      <w:spacing w:after="200" w:line="276" w:lineRule="auto"/>
      <w:ind w:left="720"/>
    </w:pPr>
    <w:rPr>
      <w:rFonts w:ascii="Calibri" w:hAnsi="Calibri"/>
      <w:sz w:val="22"/>
      <w:szCs w:val="22"/>
    </w:rPr>
  </w:style>
  <w:style w:type="paragraph" w:styleId="Header">
    <w:name w:val="header"/>
    <w:basedOn w:val="Normal"/>
    <w:link w:val="HeaderChar"/>
    <w:rsid w:val="00BD0BDD"/>
    <w:pPr>
      <w:tabs>
        <w:tab w:val="center" w:pos="4680"/>
        <w:tab w:val="right" w:pos="9360"/>
      </w:tabs>
    </w:pPr>
  </w:style>
  <w:style w:type="character" w:customStyle="1" w:styleId="HeaderChar">
    <w:name w:val="Header Char"/>
    <w:basedOn w:val="DefaultParagraphFont"/>
    <w:link w:val="Header"/>
    <w:rsid w:val="00BD0BDD"/>
    <w:rPr>
      <w:rFonts w:ascii="Times New Roman" w:eastAsia="Times New Roman" w:hAnsi="Times New Roman" w:cs="Times New Roman"/>
      <w:sz w:val="24"/>
      <w:szCs w:val="24"/>
    </w:rPr>
  </w:style>
  <w:style w:type="character" w:styleId="Hyperlink">
    <w:name w:val="Hyperlink"/>
    <w:rsid w:val="00BD0BDD"/>
    <w:rPr>
      <w:rFonts w:cs="Times New Roman"/>
      <w:color w:val="000000"/>
      <w:u w:val="none"/>
      <w:effect w:val="none"/>
    </w:rPr>
  </w:style>
  <w:style w:type="table" w:styleId="TableGrid">
    <w:name w:val="Table Grid"/>
    <w:basedOn w:val="TableNormal"/>
    <w:uiPriority w:val="59"/>
    <w:rsid w:val="00BD0BD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D0BDD"/>
    <w:pPr>
      <w:spacing w:after="0" w:line="240" w:lineRule="auto"/>
    </w:pPr>
  </w:style>
  <w:style w:type="character" w:customStyle="1" w:styleId="ListParagraphChar">
    <w:name w:val="List Paragraph Char"/>
    <w:link w:val="ListParagraph"/>
    <w:uiPriority w:val="34"/>
    <w:rsid w:val="00BD0B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act-initiativ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bi.microsoft.com/e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obo.humanitarianresponse.info/accounts/login/?nex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ndp.org/content/buildingdamageassessment/e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1" ma:contentTypeDescription="Create a new document." ma:contentTypeScope="" ma:versionID="2f3f651525b1c336d860368eddf3aa68">
  <xsd:schema xmlns:xsd="http://www.w3.org/2001/XMLSchema" xmlns:xs="http://www.w3.org/2001/XMLSchema" xmlns:p="http://schemas.microsoft.com/office/2006/metadata/properties" xmlns:ns3="d327b1d3-dcb8-41b8-a884-18d15cae653d" xmlns:ns4="b9c69bf5-e2d3-46cf-9855-167c2821e02f" targetNamespace="http://schemas.microsoft.com/office/2006/metadata/properties" ma:root="true" ma:fieldsID="94c066a7366839c86f809fddfa44ac2f" ns3:_="" ns4:_="">
    <xsd:import namespace="d327b1d3-dcb8-41b8-a884-18d15cae653d"/>
    <xsd:import namespace="b9c69bf5-e2d3-46cf-9855-167c2821e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90CD4-6A70-40AB-890A-16A6539700E8}">
  <ds:schemaRefs>
    <ds:schemaRef ds:uri="http://purl.org/dc/terms/"/>
    <ds:schemaRef ds:uri="http://schemas.microsoft.com/office/2006/metadata/properties"/>
    <ds:schemaRef ds:uri="http://schemas.microsoft.com/office/2006/documentManagement/types"/>
    <ds:schemaRef ds:uri="b9c69bf5-e2d3-46cf-9855-167c2821e02f"/>
    <ds:schemaRef ds:uri="d327b1d3-dcb8-41b8-a884-18d15cae653d"/>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E01C88-E497-4AD8-B7F4-3155E1F289B5}">
  <ds:schemaRefs>
    <ds:schemaRef ds:uri="http://schemas.microsoft.com/sharepoint/v3/contenttype/forms"/>
  </ds:schemaRefs>
</ds:datastoreItem>
</file>

<file path=customXml/itemProps3.xml><?xml version="1.0" encoding="utf-8"?>
<ds:datastoreItem xmlns:ds="http://schemas.openxmlformats.org/officeDocument/2006/customXml" ds:itemID="{BE680A4B-937F-414F-9A15-1F3717FB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b1d3-dcb8-41b8-a884-18d15cae653d"/>
    <ds:schemaRef ds:uri="b9c69bf5-e2d3-46cf-9855-167c2821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Guirao</dc:creator>
  <cp:keywords/>
  <dc:description/>
  <cp:lastModifiedBy>Dwayne Nurse</cp:lastModifiedBy>
  <cp:revision>2</cp:revision>
  <dcterms:created xsi:type="dcterms:W3CDTF">2019-09-04T20:11:00Z</dcterms:created>
  <dcterms:modified xsi:type="dcterms:W3CDTF">2019-09-04T20:11:00Z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y fmtid="{D5CDD505-2E9C-101B-9397-08002B2CF9AE}" pid="3" name="_dlc_DocIdItemGuid">
    <vt:lpwstr>1ced465b-ce92-4345-8a93-c02181aa5a0f</vt:lpwstr>
  </property>
</Properties>
</file>