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F10CD6" w14:textId="1FB4B91C" w:rsidR="00E574B4" w:rsidRPr="008A2AE1" w:rsidRDefault="0017596C" w:rsidP="0017596C">
      <w:pPr>
        <w:spacing w:after="0" w:line="240" w:lineRule="auto"/>
        <w:ind w:left="-90" w:right="-360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bookmarkStart w:id="0" w:name="_GoBack"/>
      <w:bookmarkEnd w:id="0"/>
      <w:r w:rsidRPr="000B70D8">
        <w:rPr>
          <w:rFonts w:ascii="Arial" w:eastAsia="Times New Roman" w:hAnsi="Arial" w:cs="Arial"/>
          <w:b/>
          <w:bCs/>
          <w:sz w:val="32"/>
          <w:szCs w:val="32"/>
        </w:rPr>
        <w:t>Ref</w:t>
      </w:r>
      <w:r w:rsidRPr="008A2AE1">
        <w:rPr>
          <w:rFonts w:ascii="Arial" w:eastAsia="Times New Roman" w:hAnsi="Arial" w:cs="Arial"/>
          <w:b/>
          <w:bCs/>
          <w:sz w:val="32"/>
          <w:szCs w:val="32"/>
        </w:rPr>
        <w:t xml:space="preserve">. </w:t>
      </w:r>
      <w:r w:rsidR="008416D6">
        <w:rPr>
          <w:rFonts w:ascii="Arial" w:eastAsia="Times New Roman" w:hAnsi="Arial" w:cs="Arial"/>
          <w:b/>
          <w:bCs/>
          <w:sz w:val="32"/>
          <w:szCs w:val="32"/>
        </w:rPr>
        <w:t>RFQ</w:t>
      </w:r>
      <w:r w:rsidR="00E574B4" w:rsidRPr="008A2AE1">
        <w:rPr>
          <w:rFonts w:ascii="Arial" w:eastAsia="Times New Roman" w:hAnsi="Arial" w:cs="Arial"/>
          <w:b/>
          <w:bCs/>
          <w:sz w:val="32"/>
          <w:szCs w:val="32"/>
        </w:rPr>
        <w:t>-</w:t>
      </w:r>
      <w:r w:rsidR="00E574B4" w:rsidRPr="00E574B4">
        <w:rPr>
          <w:rFonts w:ascii="Arial" w:eastAsia="Times New Roman" w:hAnsi="Arial" w:cs="Arial"/>
          <w:b/>
          <w:bCs/>
          <w:sz w:val="32"/>
          <w:szCs w:val="32"/>
        </w:rPr>
        <w:t>TKM</w:t>
      </w:r>
      <w:r w:rsidR="00E574B4" w:rsidRPr="008A2AE1">
        <w:rPr>
          <w:rFonts w:ascii="Arial" w:eastAsia="Times New Roman" w:hAnsi="Arial" w:cs="Arial"/>
          <w:b/>
          <w:bCs/>
          <w:sz w:val="32"/>
          <w:szCs w:val="32"/>
        </w:rPr>
        <w:t>-</w:t>
      </w:r>
      <w:r w:rsidR="008416D6" w:rsidRPr="008A2AE1">
        <w:rPr>
          <w:rFonts w:ascii="Arial" w:eastAsia="Times New Roman" w:hAnsi="Arial" w:cs="Arial"/>
          <w:b/>
          <w:bCs/>
          <w:sz w:val="32"/>
          <w:szCs w:val="32"/>
        </w:rPr>
        <w:t>017</w:t>
      </w:r>
      <w:r w:rsidR="00E574B4" w:rsidRPr="008A2AE1">
        <w:rPr>
          <w:rFonts w:ascii="Arial" w:eastAsia="Times New Roman" w:hAnsi="Arial" w:cs="Arial"/>
          <w:b/>
          <w:bCs/>
          <w:sz w:val="32"/>
          <w:szCs w:val="32"/>
        </w:rPr>
        <w:t>-201</w:t>
      </w:r>
      <w:r w:rsidR="00F42B82" w:rsidRPr="008A2AE1">
        <w:rPr>
          <w:rFonts w:ascii="Arial" w:eastAsia="Times New Roman" w:hAnsi="Arial" w:cs="Arial"/>
          <w:b/>
          <w:bCs/>
          <w:sz w:val="32"/>
          <w:szCs w:val="32"/>
        </w:rPr>
        <w:t>9</w:t>
      </w:r>
      <w:r w:rsidR="00E574B4" w:rsidRPr="008A2AE1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</w:p>
    <w:p w14:paraId="78E720AF" w14:textId="77777777" w:rsidR="008416D6" w:rsidRDefault="008416D6" w:rsidP="0017596C">
      <w:pPr>
        <w:spacing w:after="0" w:line="240" w:lineRule="auto"/>
        <w:ind w:left="-90" w:right="-360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8416D6">
        <w:rPr>
          <w:rFonts w:ascii="Arial" w:eastAsia="Times New Roman" w:hAnsi="Arial" w:cs="Arial"/>
          <w:b/>
          <w:bCs/>
          <w:sz w:val="32"/>
          <w:szCs w:val="32"/>
        </w:rPr>
        <w:t xml:space="preserve">“Certification (validation) of biological safety cabinets (BSC) </w:t>
      </w:r>
    </w:p>
    <w:p w14:paraId="03908BFB" w14:textId="2CEFC664" w:rsidR="0017596C" w:rsidRDefault="008416D6" w:rsidP="0017596C">
      <w:pPr>
        <w:spacing w:after="0" w:line="240" w:lineRule="auto"/>
        <w:ind w:left="-90" w:right="-360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8416D6">
        <w:rPr>
          <w:rFonts w:ascii="Arial" w:eastAsia="Times New Roman" w:hAnsi="Arial" w:cs="Arial"/>
          <w:b/>
          <w:bCs/>
          <w:sz w:val="32"/>
          <w:szCs w:val="32"/>
        </w:rPr>
        <w:t xml:space="preserve">in TB laboratories of Turkmenistan” </w:t>
      </w:r>
    </w:p>
    <w:p w14:paraId="059AB0D7" w14:textId="77777777" w:rsidR="008416D6" w:rsidRPr="008416D6" w:rsidRDefault="008416D6" w:rsidP="0017596C">
      <w:pPr>
        <w:spacing w:after="0" w:line="240" w:lineRule="auto"/>
        <w:ind w:left="-90" w:right="-360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tbl>
      <w:tblPr>
        <w:tblW w:w="14130" w:type="dxa"/>
        <w:tblInd w:w="-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155"/>
        <w:gridCol w:w="1167"/>
        <w:gridCol w:w="5070"/>
        <w:gridCol w:w="6738"/>
      </w:tblGrid>
      <w:tr w:rsidR="0017596C" w:rsidRPr="000B70D8" w14:paraId="2DDF7616" w14:textId="77777777" w:rsidTr="00326D23">
        <w:trPr>
          <w:trHeight w:val="875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A63464F" w14:textId="53825B37" w:rsidR="0017596C" w:rsidRPr="008416D6" w:rsidRDefault="008416D6" w:rsidP="0017596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Q-A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D8D41AD" w14:textId="77777777" w:rsidR="0017596C" w:rsidRPr="000B70D8" w:rsidRDefault="0017596C" w:rsidP="0017596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2F1D8927" w14:textId="6AECD7E0" w:rsidR="0017596C" w:rsidRPr="008416D6" w:rsidRDefault="008416D6" w:rsidP="0017596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  <w:p w14:paraId="1B236806" w14:textId="77777777" w:rsidR="0017596C" w:rsidRPr="000B70D8" w:rsidRDefault="0017596C" w:rsidP="0017596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85A7344" w14:textId="3AC48957" w:rsidR="0017596C" w:rsidRPr="008416D6" w:rsidRDefault="008416D6" w:rsidP="0017596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Question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104BD51" w14:textId="4F457E4C" w:rsidR="0017596C" w:rsidRPr="008416D6" w:rsidRDefault="008416D6" w:rsidP="0017596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Answer</w:t>
            </w:r>
          </w:p>
        </w:tc>
      </w:tr>
      <w:tr w:rsidR="0002606B" w:rsidRPr="008416D6" w14:paraId="050E2CD1" w14:textId="77777777" w:rsidTr="0002606B"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C20388" w14:textId="77777777" w:rsidR="0002606B" w:rsidRPr="000B70D8" w:rsidRDefault="0002606B" w:rsidP="00D71C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B70D8">
              <w:rPr>
                <w:rFonts w:ascii="Arial" w:hAnsi="Arial" w:cs="Arial"/>
              </w:rPr>
              <w:t>Round 1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8864BC" w14:textId="2C9AC601" w:rsidR="0002606B" w:rsidRPr="00C25520" w:rsidRDefault="0002606B" w:rsidP="008416D6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  <w:proofErr w:type="gramStart"/>
            <w:r>
              <w:rPr>
                <w:rFonts w:ascii="Arial" w:hAnsi="Arial" w:cs="Arial"/>
              </w:rPr>
              <w:t>Sept</w:t>
            </w:r>
            <w:r w:rsidRPr="008416D6">
              <w:rPr>
                <w:rFonts w:ascii="Arial" w:hAnsi="Arial" w:cs="Arial"/>
                <w:lang w:val="ru-RU"/>
              </w:rPr>
              <w:t>,</w:t>
            </w:r>
            <w:proofErr w:type="gramEnd"/>
            <w:r w:rsidRPr="008416D6">
              <w:rPr>
                <w:rFonts w:ascii="Arial" w:hAnsi="Arial" w:cs="Arial"/>
                <w:lang w:val="ru-RU"/>
              </w:rPr>
              <w:t xml:space="preserve"> 9</w:t>
            </w:r>
            <w:r>
              <w:rPr>
                <w:rFonts w:ascii="Arial" w:hAnsi="Arial" w:cs="Arial"/>
              </w:rPr>
              <w:t>th</w:t>
            </w:r>
            <w:r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E6F54" w14:textId="72630D8F" w:rsidR="0002606B" w:rsidRDefault="00F114FB" w:rsidP="008762E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 w:rsidR="0002606B">
              <w:rPr>
                <w:rFonts w:ascii="Arial" w:hAnsi="Arial" w:cs="Arial"/>
              </w:rPr>
              <w:t xml:space="preserve">Could potential Contractor </w:t>
            </w:r>
            <w:r w:rsidR="0002606B" w:rsidRPr="008416D6">
              <w:rPr>
                <w:rFonts w:ascii="Arial" w:hAnsi="Arial" w:cs="Arial"/>
              </w:rPr>
              <w:t>request negotiation</w:t>
            </w:r>
            <w:r w:rsidR="0002606B">
              <w:rPr>
                <w:rFonts w:ascii="Arial" w:hAnsi="Arial" w:cs="Arial"/>
              </w:rPr>
              <w:t xml:space="preserve"> on extension of time period for performance of services, if it suspects that performance of services </w:t>
            </w:r>
            <w:r w:rsidR="0002606B" w:rsidRPr="008416D6">
              <w:rPr>
                <w:rFonts w:ascii="Arial" w:hAnsi="Arial" w:cs="Arial"/>
              </w:rPr>
              <w:t>only November might be tight</w:t>
            </w:r>
            <w:r w:rsidR="0002606B">
              <w:rPr>
                <w:rFonts w:ascii="Arial" w:hAnsi="Arial" w:cs="Arial"/>
              </w:rPr>
              <w:t xml:space="preserve">? </w:t>
            </w:r>
          </w:p>
          <w:p w14:paraId="538D641A" w14:textId="16E635E6" w:rsidR="0002606B" w:rsidRPr="008416D6" w:rsidRDefault="0002606B" w:rsidP="008762E3">
            <w:pPr>
              <w:spacing w:after="0" w:line="240" w:lineRule="auto"/>
              <w:rPr>
                <w:rFonts w:ascii="Arial" w:hAnsi="Arial" w:cs="Arial"/>
              </w:rPr>
            </w:pPr>
            <w:r w:rsidRPr="008416D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6112F" w14:textId="70B07D7E" w:rsidR="0002606B" w:rsidRPr="008416D6" w:rsidRDefault="0002606B" w:rsidP="008762E3">
            <w:pPr>
              <w:spacing w:line="240" w:lineRule="auto"/>
              <w:ind w:right="6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 period for performance of services</w:t>
            </w:r>
            <w:r w:rsidR="008A2AE1">
              <w:rPr>
                <w:rFonts w:ascii="Arial" w:hAnsi="Arial" w:cs="Arial"/>
              </w:rPr>
              <w:t xml:space="preserve"> could </w:t>
            </w:r>
            <w:r w:rsidR="001F7102">
              <w:rPr>
                <w:rFonts w:ascii="Arial" w:hAnsi="Arial" w:cs="Arial"/>
                <w:lang w:val="en-GB"/>
              </w:rPr>
              <w:t xml:space="preserve">be </w:t>
            </w:r>
            <w:r>
              <w:rPr>
                <w:rFonts w:ascii="Arial" w:hAnsi="Arial" w:cs="Arial"/>
              </w:rPr>
              <w:t>negoti</w:t>
            </w:r>
            <w:r w:rsidR="001F7102">
              <w:rPr>
                <w:rFonts w:ascii="Arial" w:hAnsi="Arial" w:cs="Arial"/>
              </w:rPr>
              <w:t xml:space="preserve">ated </w:t>
            </w:r>
            <w:r w:rsidR="008A2AE1">
              <w:rPr>
                <w:rFonts w:ascii="Arial" w:hAnsi="Arial" w:cs="Arial"/>
              </w:rPr>
              <w:t>with potential Contractor</w:t>
            </w:r>
            <w:r>
              <w:rPr>
                <w:rFonts w:ascii="Arial" w:hAnsi="Arial" w:cs="Arial"/>
              </w:rPr>
              <w:t xml:space="preserve">. </w:t>
            </w:r>
          </w:p>
        </w:tc>
      </w:tr>
      <w:tr w:rsidR="0002606B" w:rsidRPr="008416D6" w14:paraId="4E6EA216" w14:textId="77777777" w:rsidTr="006A727A"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F78AB6" w14:textId="77777777" w:rsidR="0002606B" w:rsidRPr="000B70D8" w:rsidRDefault="0002606B" w:rsidP="00D71C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914F84" w14:textId="77777777" w:rsidR="0002606B" w:rsidRDefault="0002606B" w:rsidP="008416D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63EFC" w14:textId="51CE2F08" w:rsidR="0002606B" w:rsidRDefault="00F114FB" w:rsidP="008762E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r w:rsidR="002D3532">
              <w:rPr>
                <w:rFonts w:ascii="Arial" w:hAnsi="Arial" w:cs="Arial"/>
              </w:rPr>
              <w:t>P</w:t>
            </w:r>
            <w:r w:rsidR="0002606B">
              <w:rPr>
                <w:rFonts w:ascii="Arial" w:hAnsi="Arial" w:cs="Arial"/>
              </w:rPr>
              <w:t xml:space="preserve">lease provide </w:t>
            </w:r>
            <w:r w:rsidR="002D3532" w:rsidRPr="008416D6">
              <w:rPr>
                <w:rFonts w:ascii="Arial" w:hAnsi="Arial" w:cs="Arial"/>
              </w:rPr>
              <w:t xml:space="preserve">information </w:t>
            </w:r>
            <w:r w:rsidR="002D3532">
              <w:rPr>
                <w:rFonts w:ascii="Arial" w:hAnsi="Arial" w:cs="Arial"/>
              </w:rPr>
              <w:t xml:space="preserve">on </w:t>
            </w:r>
            <w:r w:rsidR="0002606B" w:rsidRPr="008416D6">
              <w:rPr>
                <w:rFonts w:ascii="Arial" w:hAnsi="Arial" w:cs="Arial"/>
              </w:rPr>
              <w:t>any local approved transport contact</w:t>
            </w:r>
          </w:p>
          <w:p w14:paraId="4DA46E44" w14:textId="5744B2A5" w:rsidR="0002606B" w:rsidRPr="008416D6" w:rsidRDefault="0002606B" w:rsidP="008762E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8A1B8" w14:textId="77777777" w:rsidR="0002606B" w:rsidRDefault="008A2AE1" w:rsidP="008762E3">
            <w:pPr>
              <w:spacing w:after="0" w:line="240" w:lineRule="auto"/>
              <w:ind w:right="62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UNDP </w:t>
            </w:r>
            <w:r w:rsidR="00F114FB">
              <w:rPr>
                <w:rFonts w:ascii="Arial" w:hAnsi="Arial" w:cs="Arial"/>
                <w:lang w:val="en-GB"/>
              </w:rPr>
              <w:t xml:space="preserve">Turkmenistan Country office </w:t>
            </w:r>
            <w:r>
              <w:rPr>
                <w:rFonts w:ascii="Arial" w:hAnsi="Arial" w:cs="Arial"/>
                <w:lang w:val="en-GB"/>
              </w:rPr>
              <w:t>does not have information about local approved transport contact. Please note that most of traveling would be done by air, a</w:t>
            </w:r>
            <w:r w:rsidR="0008041A">
              <w:rPr>
                <w:rFonts w:ascii="Arial" w:hAnsi="Arial" w:cs="Arial"/>
                <w:lang w:val="en-GB"/>
              </w:rPr>
              <w:t xml:space="preserve">irfare to each regional centre (where sites are located) from c. Ashgabat </w:t>
            </w:r>
            <w:r w:rsidR="006C3B53">
              <w:rPr>
                <w:rFonts w:ascii="Arial" w:hAnsi="Arial" w:cs="Arial"/>
                <w:lang w:val="en-GB"/>
              </w:rPr>
              <w:t xml:space="preserve">is </w:t>
            </w:r>
            <w:r w:rsidR="0008041A">
              <w:rPr>
                <w:rFonts w:ascii="Arial" w:hAnsi="Arial" w:cs="Arial"/>
                <w:lang w:val="en-GB"/>
              </w:rPr>
              <w:t xml:space="preserve">approx. 130 </w:t>
            </w:r>
            <w:proofErr w:type="spellStart"/>
            <w:r w:rsidR="0008041A">
              <w:rPr>
                <w:rFonts w:ascii="Arial" w:hAnsi="Arial" w:cs="Arial"/>
                <w:lang w:val="en-GB"/>
              </w:rPr>
              <w:t>usd</w:t>
            </w:r>
            <w:proofErr w:type="spellEnd"/>
            <w:r w:rsidR="0008041A">
              <w:rPr>
                <w:rFonts w:ascii="Arial" w:hAnsi="Arial" w:cs="Arial"/>
                <w:lang w:val="en-GB"/>
              </w:rPr>
              <w:t xml:space="preserve">/person (round-trip). Ground transport to be negotiated at place. </w:t>
            </w:r>
          </w:p>
          <w:p w14:paraId="38271573" w14:textId="5E16D43A" w:rsidR="008762E3" w:rsidRPr="00BA64A8" w:rsidRDefault="008762E3" w:rsidP="008762E3">
            <w:pPr>
              <w:spacing w:after="0" w:line="240" w:lineRule="auto"/>
              <w:ind w:right="63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02606B" w:rsidRPr="008416D6" w14:paraId="2EB9DAE7" w14:textId="77777777" w:rsidTr="004C2943"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B6E3C2" w14:textId="77777777" w:rsidR="0002606B" w:rsidRPr="000B70D8" w:rsidRDefault="0002606B" w:rsidP="00D71C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4C79CB" w14:textId="77777777" w:rsidR="0002606B" w:rsidRDefault="0002606B" w:rsidP="008416D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443F0" w14:textId="13BCB103" w:rsidR="0002606B" w:rsidRDefault="00F114FB" w:rsidP="0002606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  <w:r w:rsidR="002D3532">
              <w:rPr>
                <w:rFonts w:ascii="Arial" w:hAnsi="Arial" w:cs="Arial"/>
              </w:rPr>
              <w:t>P</w:t>
            </w:r>
            <w:r w:rsidR="0002606B">
              <w:rPr>
                <w:rFonts w:ascii="Arial" w:hAnsi="Arial" w:cs="Arial"/>
              </w:rPr>
              <w:t xml:space="preserve">lease </w:t>
            </w:r>
            <w:r w:rsidR="0002606B" w:rsidRPr="008416D6">
              <w:rPr>
                <w:rFonts w:ascii="Arial" w:hAnsi="Arial" w:cs="Arial"/>
              </w:rPr>
              <w:t xml:space="preserve">provide contact details </w:t>
            </w:r>
            <w:r w:rsidR="0002606B">
              <w:rPr>
                <w:rFonts w:ascii="Arial" w:hAnsi="Arial" w:cs="Arial"/>
              </w:rPr>
              <w:t xml:space="preserve">for </w:t>
            </w:r>
            <w:r w:rsidR="0002606B" w:rsidRPr="008416D6">
              <w:rPr>
                <w:rFonts w:ascii="Arial" w:hAnsi="Arial" w:cs="Arial"/>
              </w:rPr>
              <w:t xml:space="preserve">local accommodation </w:t>
            </w:r>
            <w:r w:rsidR="0002606B">
              <w:rPr>
                <w:rFonts w:ascii="Arial" w:hAnsi="Arial" w:cs="Arial"/>
              </w:rPr>
              <w:t>on sites where services are planned to be provided</w:t>
            </w:r>
          </w:p>
          <w:p w14:paraId="16E94561" w14:textId="35B55ED8" w:rsidR="0002606B" w:rsidRPr="0002606B" w:rsidRDefault="0002606B" w:rsidP="0002606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A0BCD" w14:textId="28E081F9" w:rsidR="00EE76D8" w:rsidRPr="00BA64A8" w:rsidRDefault="00EB42D4" w:rsidP="008762E3">
            <w:pPr>
              <w:spacing w:after="0"/>
              <w:ind w:right="62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UNDP </w:t>
            </w:r>
            <w:r w:rsidR="00F114FB">
              <w:rPr>
                <w:rFonts w:ascii="Arial" w:hAnsi="Arial" w:cs="Arial"/>
                <w:lang w:val="en-GB"/>
              </w:rPr>
              <w:t xml:space="preserve">Turkmenistan Country office </w:t>
            </w:r>
            <w:r>
              <w:rPr>
                <w:rFonts w:ascii="Arial" w:hAnsi="Arial" w:cs="Arial"/>
                <w:lang w:val="en-GB"/>
              </w:rPr>
              <w:t>does not have information on local accommodation contact details. Please note that p</w:t>
            </w:r>
            <w:r w:rsidR="00BA64A8">
              <w:rPr>
                <w:rFonts w:ascii="Arial" w:hAnsi="Arial" w:cs="Arial"/>
                <w:lang w:val="en-GB"/>
              </w:rPr>
              <w:t>ossible accommodation places include</w:t>
            </w:r>
            <w:r w:rsidR="00667FF2">
              <w:rPr>
                <w:rFonts w:ascii="Arial" w:hAnsi="Arial" w:cs="Arial"/>
                <w:lang w:val="en-GB"/>
              </w:rPr>
              <w:t>, but not limited to</w:t>
            </w:r>
            <w:r w:rsidR="00BA64A8">
              <w:rPr>
                <w:rFonts w:ascii="Arial" w:hAnsi="Arial" w:cs="Arial"/>
                <w:lang w:val="en-GB"/>
              </w:rPr>
              <w:t xml:space="preserve">; </w:t>
            </w:r>
          </w:p>
          <w:p w14:paraId="5D7F4351" w14:textId="12538AB9" w:rsidR="0002606B" w:rsidRDefault="00302FD5" w:rsidP="008762E3">
            <w:pPr>
              <w:spacing w:after="0"/>
              <w:ind w:right="6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302FD5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site – “</w:t>
            </w:r>
            <w:proofErr w:type="spellStart"/>
            <w:r>
              <w:rPr>
                <w:rFonts w:ascii="Arial" w:hAnsi="Arial" w:cs="Arial"/>
              </w:rPr>
              <w:t>Dashoguz</w:t>
            </w:r>
            <w:proofErr w:type="spellEnd"/>
            <w:r>
              <w:rPr>
                <w:rFonts w:ascii="Arial" w:hAnsi="Arial" w:cs="Arial"/>
              </w:rPr>
              <w:t>” hotel,</w:t>
            </w:r>
            <w:r w:rsidR="002D3532">
              <w:rPr>
                <w:rFonts w:ascii="Arial" w:hAnsi="Arial" w:cs="Arial"/>
              </w:rPr>
              <w:t xml:space="preserve"> c. </w:t>
            </w:r>
            <w:proofErr w:type="spellStart"/>
            <w:r w:rsidR="002D3532">
              <w:rPr>
                <w:rFonts w:ascii="Arial" w:hAnsi="Arial" w:cs="Arial"/>
              </w:rPr>
              <w:t>Dashoguz</w:t>
            </w:r>
            <w:proofErr w:type="spellEnd"/>
            <w:r w:rsidR="002D3532">
              <w:rPr>
                <w:rFonts w:ascii="Arial" w:hAnsi="Arial" w:cs="Arial"/>
              </w:rPr>
              <w:t xml:space="preserve"> -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apprx</w:t>
            </w:r>
            <w:proofErr w:type="spellEnd"/>
            <w:r>
              <w:rPr>
                <w:rFonts w:ascii="Arial" w:hAnsi="Arial" w:cs="Arial"/>
              </w:rPr>
              <w:t xml:space="preserve">. 80 </w:t>
            </w:r>
            <w:proofErr w:type="spellStart"/>
            <w:r>
              <w:rPr>
                <w:rFonts w:ascii="Arial" w:hAnsi="Arial" w:cs="Arial"/>
              </w:rPr>
              <w:t>usd</w:t>
            </w:r>
            <w:proofErr w:type="spellEnd"/>
            <w:r>
              <w:rPr>
                <w:rFonts w:ascii="Arial" w:hAnsi="Arial" w:cs="Arial"/>
              </w:rPr>
              <w:t xml:space="preserve">/night; </w:t>
            </w:r>
          </w:p>
          <w:p w14:paraId="1591123A" w14:textId="179D8609" w:rsidR="00302FD5" w:rsidRDefault="00302FD5" w:rsidP="008762E3">
            <w:pPr>
              <w:spacing w:after="0"/>
              <w:ind w:right="6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302FD5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site – “</w:t>
            </w:r>
            <w:proofErr w:type="spellStart"/>
            <w:r>
              <w:rPr>
                <w:rFonts w:ascii="Arial" w:hAnsi="Arial" w:cs="Arial"/>
              </w:rPr>
              <w:t>Yupek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Yoly</w:t>
            </w:r>
            <w:proofErr w:type="spellEnd"/>
            <w:r>
              <w:rPr>
                <w:rFonts w:ascii="Arial" w:hAnsi="Arial" w:cs="Arial"/>
              </w:rPr>
              <w:t xml:space="preserve">” hotel, </w:t>
            </w:r>
            <w:r w:rsidR="002D3532">
              <w:rPr>
                <w:rFonts w:ascii="Arial" w:hAnsi="Arial" w:cs="Arial"/>
              </w:rPr>
              <w:t xml:space="preserve">c. Turkmenabad - </w:t>
            </w:r>
            <w:proofErr w:type="spellStart"/>
            <w:r>
              <w:rPr>
                <w:rFonts w:ascii="Arial" w:hAnsi="Arial" w:cs="Arial"/>
              </w:rPr>
              <w:t>apprx</w:t>
            </w:r>
            <w:proofErr w:type="spellEnd"/>
            <w:r>
              <w:rPr>
                <w:rFonts w:ascii="Arial" w:hAnsi="Arial" w:cs="Arial"/>
              </w:rPr>
              <w:t xml:space="preserve">. 100 </w:t>
            </w:r>
            <w:proofErr w:type="spellStart"/>
            <w:r>
              <w:rPr>
                <w:rFonts w:ascii="Arial" w:hAnsi="Arial" w:cs="Arial"/>
              </w:rPr>
              <w:t>usd</w:t>
            </w:r>
            <w:proofErr w:type="spellEnd"/>
            <w:r>
              <w:rPr>
                <w:rFonts w:ascii="Arial" w:hAnsi="Arial" w:cs="Arial"/>
              </w:rPr>
              <w:t xml:space="preserve">/night; </w:t>
            </w:r>
          </w:p>
          <w:p w14:paraId="34E5381A" w14:textId="55DF2147" w:rsidR="00302FD5" w:rsidRDefault="00302FD5" w:rsidP="008762E3">
            <w:pPr>
              <w:spacing w:after="0"/>
              <w:ind w:right="6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302FD5"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site – “Mary” hotel, </w:t>
            </w:r>
            <w:r w:rsidR="002D3532">
              <w:rPr>
                <w:rFonts w:ascii="Arial" w:hAnsi="Arial" w:cs="Arial"/>
              </w:rPr>
              <w:t xml:space="preserve">c. Mary - </w:t>
            </w:r>
            <w:r>
              <w:rPr>
                <w:rFonts w:ascii="Arial" w:hAnsi="Arial" w:cs="Arial"/>
              </w:rPr>
              <w:t xml:space="preserve">approx. 80 </w:t>
            </w:r>
            <w:proofErr w:type="spellStart"/>
            <w:r>
              <w:rPr>
                <w:rFonts w:ascii="Arial" w:hAnsi="Arial" w:cs="Arial"/>
              </w:rPr>
              <w:t>usd</w:t>
            </w:r>
            <w:proofErr w:type="spellEnd"/>
            <w:r>
              <w:rPr>
                <w:rFonts w:ascii="Arial" w:hAnsi="Arial" w:cs="Arial"/>
              </w:rPr>
              <w:t xml:space="preserve">/night; </w:t>
            </w:r>
          </w:p>
          <w:p w14:paraId="3CCADD88" w14:textId="7D78A4C4" w:rsidR="00302FD5" w:rsidRDefault="00302FD5" w:rsidP="008762E3">
            <w:pPr>
              <w:spacing w:after="0"/>
              <w:ind w:right="6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302FD5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site - “Mary” hotel, </w:t>
            </w:r>
            <w:r w:rsidR="002D3532">
              <w:rPr>
                <w:rFonts w:ascii="Arial" w:hAnsi="Arial" w:cs="Arial"/>
              </w:rPr>
              <w:t xml:space="preserve">c. Mary - </w:t>
            </w:r>
            <w:r>
              <w:rPr>
                <w:rFonts w:ascii="Arial" w:hAnsi="Arial" w:cs="Arial"/>
              </w:rPr>
              <w:t xml:space="preserve">approx. 80 </w:t>
            </w:r>
            <w:proofErr w:type="spellStart"/>
            <w:r>
              <w:rPr>
                <w:rFonts w:ascii="Arial" w:hAnsi="Arial" w:cs="Arial"/>
              </w:rPr>
              <w:t>usd</w:t>
            </w:r>
            <w:proofErr w:type="spellEnd"/>
            <w:r>
              <w:rPr>
                <w:rFonts w:ascii="Arial" w:hAnsi="Arial" w:cs="Arial"/>
              </w:rPr>
              <w:t>/night;</w:t>
            </w:r>
          </w:p>
          <w:p w14:paraId="72AE9A60" w14:textId="3A4EEC72" w:rsidR="00302FD5" w:rsidRDefault="00302FD5" w:rsidP="008762E3">
            <w:pPr>
              <w:spacing w:after="0"/>
              <w:ind w:right="6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302FD5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site – “</w:t>
            </w:r>
            <w:proofErr w:type="spellStart"/>
            <w:r>
              <w:rPr>
                <w:rFonts w:ascii="Arial" w:hAnsi="Arial" w:cs="Arial"/>
              </w:rPr>
              <w:t>Nebitchi</w:t>
            </w:r>
            <w:proofErr w:type="spellEnd"/>
            <w:r>
              <w:rPr>
                <w:rFonts w:ascii="Arial" w:hAnsi="Arial" w:cs="Arial"/>
              </w:rPr>
              <w:t xml:space="preserve">” hotel, </w:t>
            </w:r>
            <w:r w:rsidR="002D3532">
              <w:rPr>
                <w:rFonts w:ascii="Arial" w:hAnsi="Arial" w:cs="Arial"/>
              </w:rPr>
              <w:t xml:space="preserve">c. </w:t>
            </w:r>
            <w:proofErr w:type="spellStart"/>
            <w:r w:rsidR="002D3532">
              <w:rPr>
                <w:rFonts w:ascii="Arial" w:hAnsi="Arial" w:cs="Arial"/>
              </w:rPr>
              <w:t>Balkanabat</w:t>
            </w:r>
            <w:proofErr w:type="spellEnd"/>
            <w:r w:rsidR="002D3532">
              <w:rPr>
                <w:rFonts w:ascii="Arial" w:hAnsi="Arial" w:cs="Arial"/>
              </w:rPr>
              <w:t xml:space="preserve"> - </w:t>
            </w:r>
            <w:r>
              <w:rPr>
                <w:rFonts w:ascii="Arial" w:hAnsi="Arial" w:cs="Arial"/>
              </w:rPr>
              <w:t xml:space="preserve">approx. 100 </w:t>
            </w:r>
            <w:proofErr w:type="spellStart"/>
            <w:r>
              <w:rPr>
                <w:rFonts w:ascii="Arial" w:hAnsi="Arial" w:cs="Arial"/>
              </w:rPr>
              <w:t>usd</w:t>
            </w:r>
            <w:proofErr w:type="spellEnd"/>
            <w:r>
              <w:rPr>
                <w:rFonts w:ascii="Arial" w:hAnsi="Arial" w:cs="Arial"/>
              </w:rPr>
              <w:t xml:space="preserve">/night; </w:t>
            </w:r>
          </w:p>
          <w:p w14:paraId="4E193439" w14:textId="04E176BD" w:rsidR="00302FD5" w:rsidRDefault="00302FD5" w:rsidP="008762E3">
            <w:pPr>
              <w:spacing w:after="0"/>
              <w:ind w:right="6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302FD5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site – site is close to </w:t>
            </w:r>
            <w:r w:rsidR="002D3532">
              <w:rPr>
                <w:rFonts w:ascii="Arial" w:hAnsi="Arial" w:cs="Arial"/>
              </w:rPr>
              <w:t xml:space="preserve">c. </w:t>
            </w:r>
            <w:r>
              <w:rPr>
                <w:rFonts w:ascii="Arial" w:hAnsi="Arial" w:cs="Arial"/>
              </w:rPr>
              <w:t xml:space="preserve">Ashgabat, “Sport” hotel, approx. 100 </w:t>
            </w:r>
            <w:proofErr w:type="spellStart"/>
            <w:r>
              <w:rPr>
                <w:rFonts w:ascii="Arial" w:hAnsi="Arial" w:cs="Arial"/>
              </w:rPr>
              <w:t>usd</w:t>
            </w:r>
            <w:proofErr w:type="spellEnd"/>
            <w:r>
              <w:rPr>
                <w:rFonts w:ascii="Arial" w:hAnsi="Arial" w:cs="Arial"/>
              </w:rPr>
              <w:t xml:space="preserve">/night or any other hotel in </w:t>
            </w:r>
            <w:r w:rsidR="002D3532">
              <w:rPr>
                <w:rFonts w:ascii="Arial" w:hAnsi="Arial" w:cs="Arial"/>
              </w:rPr>
              <w:t xml:space="preserve">c. </w:t>
            </w:r>
            <w:r>
              <w:rPr>
                <w:rFonts w:ascii="Arial" w:hAnsi="Arial" w:cs="Arial"/>
              </w:rPr>
              <w:t>Ashgabat;</w:t>
            </w:r>
          </w:p>
          <w:p w14:paraId="2A13413E" w14:textId="04A29396" w:rsidR="00302FD5" w:rsidRDefault="00302FD5" w:rsidP="008762E3">
            <w:pPr>
              <w:spacing w:after="0"/>
              <w:ind w:right="6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Pr="00302FD5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site – “Sport” hotel, approx. 100 </w:t>
            </w:r>
            <w:proofErr w:type="spellStart"/>
            <w:r>
              <w:rPr>
                <w:rFonts w:ascii="Arial" w:hAnsi="Arial" w:cs="Arial"/>
              </w:rPr>
              <w:t>usd</w:t>
            </w:r>
            <w:proofErr w:type="spellEnd"/>
            <w:r>
              <w:rPr>
                <w:rFonts w:ascii="Arial" w:hAnsi="Arial" w:cs="Arial"/>
              </w:rPr>
              <w:t xml:space="preserve">/night, or any other hotel in </w:t>
            </w:r>
            <w:r w:rsidR="002D3532">
              <w:rPr>
                <w:rFonts w:ascii="Arial" w:hAnsi="Arial" w:cs="Arial"/>
              </w:rPr>
              <w:t xml:space="preserve">c. </w:t>
            </w:r>
            <w:r>
              <w:rPr>
                <w:rFonts w:ascii="Arial" w:hAnsi="Arial" w:cs="Arial"/>
              </w:rPr>
              <w:t>Ashgabat</w:t>
            </w:r>
            <w:r w:rsidR="00F114FB">
              <w:rPr>
                <w:rFonts w:ascii="Arial" w:hAnsi="Arial" w:cs="Arial"/>
              </w:rPr>
              <w:t>.</w:t>
            </w:r>
          </w:p>
          <w:p w14:paraId="0E174B8B" w14:textId="0D1CEF41" w:rsidR="002D3532" w:rsidRPr="008416D6" w:rsidRDefault="002D3532" w:rsidP="008762E3">
            <w:pPr>
              <w:spacing w:after="0"/>
              <w:ind w:right="62"/>
              <w:jc w:val="both"/>
              <w:rPr>
                <w:rFonts w:ascii="Arial" w:hAnsi="Arial" w:cs="Arial"/>
              </w:rPr>
            </w:pPr>
          </w:p>
        </w:tc>
      </w:tr>
      <w:tr w:rsidR="00F114FB" w:rsidRPr="008416D6" w14:paraId="2EA2C386" w14:textId="77777777" w:rsidTr="004C2943"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C73716" w14:textId="77777777" w:rsidR="00F114FB" w:rsidRPr="000B70D8" w:rsidRDefault="00F114FB" w:rsidP="00F114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993702" w14:textId="77777777" w:rsidR="00F114FB" w:rsidRDefault="00F114FB" w:rsidP="00F114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5633E" w14:textId="77777777" w:rsidR="00F114FB" w:rsidRPr="0002606B" w:rsidRDefault="00F114FB" w:rsidP="00F114F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RFQ documentation does not foresee procurement of </w:t>
            </w:r>
            <w:r w:rsidRPr="0002606B">
              <w:rPr>
                <w:rFonts w:ascii="Arial" w:hAnsi="Arial" w:cs="Arial"/>
              </w:rPr>
              <w:t xml:space="preserve">spares </w:t>
            </w:r>
            <w:r>
              <w:rPr>
                <w:rFonts w:ascii="Arial" w:hAnsi="Arial" w:cs="Arial"/>
              </w:rPr>
              <w:t xml:space="preserve">and/or </w:t>
            </w:r>
            <w:r w:rsidRPr="0002606B">
              <w:rPr>
                <w:rFonts w:ascii="Arial" w:hAnsi="Arial" w:cs="Arial"/>
              </w:rPr>
              <w:t xml:space="preserve">filters </w:t>
            </w:r>
            <w:r>
              <w:rPr>
                <w:rFonts w:ascii="Arial" w:hAnsi="Arial" w:cs="Arial"/>
              </w:rPr>
              <w:t xml:space="preserve">and if, upon outcome of services, there would be a need for spares or filters, those additional items would </w:t>
            </w:r>
            <w:r w:rsidRPr="0002606B">
              <w:rPr>
                <w:rFonts w:ascii="Arial" w:hAnsi="Arial" w:cs="Arial"/>
              </w:rPr>
              <w:t xml:space="preserve">be priced separately by </w:t>
            </w:r>
            <w:r>
              <w:rPr>
                <w:rFonts w:ascii="Arial" w:hAnsi="Arial" w:cs="Arial"/>
              </w:rPr>
              <w:t xml:space="preserve">potential Contractor’s </w:t>
            </w:r>
            <w:r w:rsidRPr="0002606B">
              <w:rPr>
                <w:rFonts w:ascii="Arial" w:hAnsi="Arial" w:cs="Arial"/>
              </w:rPr>
              <w:t>staff?</w:t>
            </w:r>
          </w:p>
          <w:p w14:paraId="28E036C6" w14:textId="77777777" w:rsidR="00F114FB" w:rsidRDefault="00F114FB" w:rsidP="00F114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4824B" w14:textId="77777777" w:rsidR="00F114FB" w:rsidRDefault="00F114FB" w:rsidP="00F114FB">
            <w:pPr>
              <w:ind w:right="6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Contractor’s scope of services includes certification (validation) of biological safety cabinets only. Procurement of spares or filters is NOT included in scope of the present RFQ. </w:t>
            </w:r>
          </w:p>
          <w:p w14:paraId="70B1EDCF" w14:textId="5F9C8773" w:rsidR="00F114FB" w:rsidRDefault="00F114FB" w:rsidP="00F114FB">
            <w:pPr>
              <w:spacing w:after="0"/>
              <w:ind w:right="6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However, upon completion of performing services, Contractor will provide report with recommendation for necessary spares and/or filters, according to which UNDP Turkmenistan </w:t>
            </w:r>
            <w:r w:rsidR="008762E3">
              <w:rPr>
                <w:rFonts w:ascii="Arial" w:hAnsi="Arial" w:cs="Arial"/>
              </w:rPr>
              <w:t xml:space="preserve">Country office </w:t>
            </w:r>
            <w:r>
              <w:rPr>
                <w:rFonts w:ascii="Arial" w:hAnsi="Arial" w:cs="Arial"/>
              </w:rPr>
              <w:t>would procure recommended spares and/or filters under separate contract.</w:t>
            </w:r>
          </w:p>
          <w:p w14:paraId="3CA204E6" w14:textId="53409C1D" w:rsidR="00F114FB" w:rsidRDefault="00F114FB" w:rsidP="00F114FB">
            <w:pPr>
              <w:spacing w:after="0"/>
              <w:ind w:right="62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F114FB" w:rsidRPr="008416D6" w14:paraId="29F18BCC" w14:textId="77777777" w:rsidTr="004C2943">
        <w:tc>
          <w:tcPr>
            <w:tcW w:w="1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BF4912" w14:textId="77777777" w:rsidR="00F114FB" w:rsidRPr="000B70D8" w:rsidRDefault="00F114FB" w:rsidP="00F114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33797" w14:textId="77777777" w:rsidR="00F114FB" w:rsidRDefault="00F114FB" w:rsidP="00F114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0D10D" w14:textId="77777777" w:rsidR="00F114FB" w:rsidRPr="00F114FB" w:rsidRDefault="00F114FB" w:rsidP="00F114FB">
            <w:pPr>
              <w:spacing w:after="0" w:line="240" w:lineRule="auto"/>
              <w:rPr>
                <w:rFonts w:ascii="Arial" w:hAnsi="Arial" w:cs="Arial"/>
              </w:rPr>
            </w:pPr>
            <w:r w:rsidRPr="00F114FB">
              <w:rPr>
                <w:rFonts w:ascii="Arial" w:hAnsi="Arial" w:cs="Arial"/>
              </w:rPr>
              <w:t>5. Are there any special country requirements or precautions for the located TB facilities located at the various sites?</w:t>
            </w:r>
          </w:p>
          <w:p w14:paraId="1E588608" w14:textId="28DECC72" w:rsidR="00F114FB" w:rsidRPr="0002606B" w:rsidRDefault="00F114FB" w:rsidP="00F114FB">
            <w:pPr>
              <w:spacing w:after="0" w:line="240" w:lineRule="auto"/>
              <w:rPr>
                <w:rFonts w:ascii="Arial" w:hAnsi="Arial" w:cs="Arial"/>
                <w:lang w:val="en-ZA"/>
              </w:rPr>
            </w:pP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AA325" w14:textId="09708503" w:rsidR="00F114FB" w:rsidRPr="008416D6" w:rsidRDefault="00F114FB" w:rsidP="00F114FB">
            <w:pPr>
              <w:ind w:right="6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UNDP Turkmenistan Country office would facilitate access to the TB facilities located at various sites. </w:t>
            </w:r>
          </w:p>
        </w:tc>
      </w:tr>
    </w:tbl>
    <w:p w14:paraId="60973352" w14:textId="77777777" w:rsidR="0097378A" w:rsidRPr="008416D6" w:rsidRDefault="0097378A" w:rsidP="008A2AE1">
      <w:pPr>
        <w:rPr>
          <w:rFonts w:ascii="Arial" w:hAnsi="Arial" w:cs="Arial"/>
        </w:rPr>
      </w:pPr>
    </w:p>
    <w:sectPr w:rsidR="0097378A" w:rsidRPr="008416D6" w:rsidSect="008A2AE1">
      <w:pgSz w:w="15840" w:h="12240" w:orient="landscape"/>
      <w:pgMar w:top="993" w:right="1134" w:bottom="85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97006"/>
    <w:multiLevelType w:val="multilevel"/>
    <w:tmpl w:val="D374B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9B62435"/>
    <w:multiLevelType w:val="hybridMultilevel"/>
    <w:tmpl w:val="8326D8F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73FEA"/>
    <w:multiLevelType w:val="hybridMultilevel"/>
    <w:tmpl w:val="A53C6158"/>
    <w:lvl w:ilvl="0" w:tplc="FAEA67E8">
      <w:start w:val="1"/>
      <w:numFmt w:val="decimal"/>
      <w:lvlText w:val="%1."/>
      <w:lvlJc w:val="left"/>
      <w:pPr>
        <w:ind w:left="331" w:hanging="360"/>
      </w:pPr>
      <w:rPr>
        <w:rFonts w:ascii="Calibri" w:hAnsi="Calibri" w:hint="default"/>
        <w:color w:val="1F497D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51" w:hanging="360"/>
      </w:pPr>
    </w:lvl>
    <w:lvl w:ilvl="2" w:tplc="0409001B" w:tentative="1">
      <w:start w:val="1"/>
      <w:numFmt w:val="lowerRoman"/>
      <w:lvlText w:val="%3."/>
      <w:lvlJc w:val="right"/>
      <w:pPr>
        <w:ind w:left="1771" w:hanging="180"/>
      </w:pPr>
    </w:lvl>
    <w:lvl w:ilvl="3" w:tplc="0409000F" w:tentative="1">
      <w:start w:val="1"/>
      <w:numFmt w:val="decimal"/>
      <w:lvlText w:val="%4."/>
      <w:lvlJc w:val="left"/>
      <w:pPr>
        <w:ind w:left="2491" w:hanging="360"/>
      </w:pPr>
    </w:lvl>
    <w:lvl w:ilvl="4" w:tplc="04090019" w:tentative="1">
      <w:start w:val="1"/>
      <w:numFmt w:val="lowerLetter"/>
      <w:lvlText w:val="%5."/>
      <w:lvlJc w:val="left"/>
      <w:pPr>
        <w:ind w:left="3211" w:hanging="360"/>
      </w:pPr>
    </w:lvl>
    <w:lvl w:ilvl="5" w:tplc="0409001B" w:tentative="1">
      <w:start w:val="1"/>
      <w:numFmt w:val="lowerRoman"/>
      <w:lvlText w:val="%6."/>
      <w:lvlJc w:val="right"/>
      <w:pPr>
        <w:ind w:left="3931" w:hanging="180"/>
      </w:pPr>
    </w:lvl>
    <w:lvl w:ilvl="6" w:tplc="0409000F" w:tentative="1">
      <w:start w:val="1"/>
      <w:numFmt w:val="decimal"/>
      <w:lvlText w:val="%7."/>
      <w:lvlJc w:val="left"/>
      <w:pPr>
        <w:ind w:left="4651" w:hanging="360"/>
      </w:pPr>
    </w:lvl>
    <w:lvl w:ilvl="7" w:tplc="04090019" w:tentative="1">
      <w:start w:val="1"/>
      <w:numFmt w:val="lowerLetter"/>
      <w:lvlText w:val="%8."/>
      <w:lvlJc w:val="left"/>
      <w:pPr>
        <w:ind w:left="5371" w:hanging="360"/>
      </w:pPr>
    </w:lvl>
    <w:lvl w:ilvl="8" w:tplc="0409001B" w:tentative="1">
      <w:start w:val="1"/>
      <w:numFmt w:val="lowerRoman"/>
      <w:lvlText w:val="%9."/>
      <w:lvlJc w:val="right"/>
      <w:pPr>
        <w:ind w:left="6091" w:hanging="180"/>
      </w:pPr>
    </w:lvl>
  </w:abstractNum>
  <w:abstractNum w:abstractNumId="3" w15:restartNumberingAfterBreak="0">
    <w:nsid w:val="1F3741D6"/>
    <w:multiLevelType w:val="hybridMultilevel"/>
    <w:tmpl w:val="0420A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04C1A"/>
    <w:multiLevelType w:val="multilevel"/>
    <w:tmpl w:val="A03EF4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0D18F7"/>
    <w:multiLevelType w:val="hybridMultilevel"/>
    <w:tmpl w:val="4DCABEEE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1F08F9"/>
    <w:multiLevelType w:val="multilevel"/>
    <w:tmpl w:val="F8846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E76439"/>
    <w:multiLevelType w:val="hybridMultilevel"/>
    <w:tmpl w:val="A1FA9E40"/>
    <w:lvl w:ilvl="0" w:tplc="94FE60DE">
      <w:start w:val="1"/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57C5B62"/>
    <w:multiLevelType w:val="hybridMultilevel"/>
    <w:tmpl w:val="BA364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DA1B97"/>
    <w:multiLevelType w:val="hybridMultilevel"/>
    <w:tmpl w:val="4A74B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547B0E"/>
    <w:multiLevelType w:val="hybridMultilevel"/>
    <w:tmpl w:val="1298C840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51A43E4E"/>
    <w:multiLevelType w:val="hybridMultilevel"/>
    <w:tmpl w:val="DD56E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4F768A"/>
    <w:multiLevelType w:val="hybridMultilevel"/>
    <w:tmpl w:val="96D28224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BF2573"/>
    <w:multiLevelType w:val="multilevel"/>
    <w:tmpl w:val="DF4E4E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1F12A9D"/>
    <w:multiLevelType w:val="multilevel"/>
    <w:tmpl w:val="D47C2D10"/>
    <w:lvl w:ilvl="0">
      <w:start w:val="1"/>
      <w:numFmt w:val="bullet"/>
      <w:lvlText w:val="o"/>
      <w:lvlJc w:val="left"/>
      <w:pPr>
        <w:tabs>
          <w:tab w:val="num" w:pos="625"/>
        </w:tabs>
        <w:ind w:left="625" w:hanging="360"/>
      </w:pPr>
      <w:rPr>
        <w:rFonts w:ascii="Courier New" w:hAnsi="Courier New" w:cs="Courier Ne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28B46E8"/>
    <w:multiLevelType w:val="hybridMultilevel"/>
    <w:tmpl w:val="7854A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DC5E9B"/>
    <w:multiLevelType w:val="hybridMultilevel"/>
    <w:tmpl w:val="F856AF4E"/>
    <w:lvl w:ilvl="0" w:tplc="D90424CC">
      <w:start w:val="1"/>
      <w:numFmt w:val="decimal"/>
      <w:lvlText w:val="%1."/>
      <w:lvlJc w:val="left"/>
      <w:pPr>
        <w:ind w:left="7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6" w:hanging="360"/>
      </w:pPr>
    </w:lvl>
    <w:lvl w:ilvl="2" w:tplc="0409001B" w:tentative="1">
      <w:start w:val="1"/>
      <w:numFmt w:val="lowerRoman"/>
      <w:lvlText w:val="%3."/>
      <w:lvlJc w:val="right"/>
      <w:pPr>
        <w:ind w:left="2146" w:hanging="180"/>
      </w:pPr>
    </w:lvl>
    <w:lvl w:ilvl="3" w:tplc="0409000F" w:tentative="1">
      <w:start w:val="1"/>
      <w:numFmt w:val="decimal"/>
      <w:lvlText w:val="%4."/>
      <w:lvlJc w:val="left"/>
      <w:pPr>
        <w:ind w:left="2866" w:hanging="360"/>
      </w:pPr>
    </w:lvl>
    <w:lvl w:ilvl="4" w:tplc="04090019" w:tentative="1">
      <w:start w:val="1"/>
      <w:numFmt w:val="lowerLetter"/>
      <w:lvlText w:val="%5."/>
      <w:lvlJc w:val="left"/>
      <w:pPr>
        <w:ind w:left="3586" w:hanging="360"/>
      </w:pPr>
    </w:lvl>
    <w:lvl w:ilvl="5" w:tplc="0409001B" w:tentative="1">
      <w:start w:val="1"/>
      <w:numFmt w:val="lowerRoman"/>
      <w:lvlText w:val="%6."/>
      <w:lvlJc w:val="right"/>
      <w:pPr>
        <w:ind w:left="4306" w:hanging="180"/>
      </w:pPr>
    </w:lvl>
    <w:lvl w:ilvl="6" w:tplc="0409000F" w:tentative="1">
      <w:start w:val="1"/>
      <w:numFmt w:val="decimal"/>
      <w:lvlText w:val="%7."/>
      <w:lvlJc w:val="left"/>
      <w:pPr>
        <w:ind w:left="5026" w:hanging="360"/>
      </w:pPr>
    </w:lvl>
    <w:lvl w:ilvl="7" w:tplc="04090019" w:tentative="1">
      <w:start w:val="1"/>
      <w:numFmt w:val="lowerLetter"/>
      <w:lvlText w:val="%8."/>
      <w:lvlJc w:val="left"/>
      <w:pPr>
        <w:ind w:left="5746" w:hanging="360"/>
      </w:pPr>
    </w:lvl>
    <w:lvl w:ilvl="8" w:tplc="040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17" w15:restartNumberingAfterBreak="0">
    <w:nsid w:val="76BA0211"/>
    <w:multiLevelType w:val="multilevel"/>
    <w:tmpl w:val="CED0BF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7F95EB6"/>
    <w:multiLevelType w:val="hybridMultilevel"/>
    <w:tmpl w:val="D2303CF2"/>
    <w:lvl w:ilvl="0" w:tplc="F7A07DE2">
      <w:start w:val="1"/>
      <w:numFmt w:val="decimal"/>
      <w:lvlText w:val="%1."/>
      <w:lvlJc w:val="left"/>
      <w:pPr>
        <w:ind w:left="405" w:hanging="360"/>
      </w:p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>
      <w:start w:val="1"/>
      <w:numFmt w:val="lowerRoman"/>
      <w:lvlText w:val="%3."/>
      <w:lvlJc w:val="right"/>
      <w:pPr>
        <w:ind w:left="1845" w:hanging="180"/>
      </w:pPr>
    </w:lvl>
    <w:lvl w:ilvl="3" w:tplc="0409000F">
      <w:start w:val="1"/>
      <w:numFmt w:val="decimal"/>
      <w:lvlText w:val="%4."/>
      <w:lvlJc w:val="left"/>
      <w:pPr>
        <w:ind w:left="2565" w:hanging="360"/>
      </w:pPr>
    </w:lvl>
    <w:lvl w:ilvl="4" w:tplc="04090019">
      <w:start w:val="1"/>
      <w:numFmt w:val="lowerLetter"/>
      <w:lvlText w:val="%5."/>
      <w:lvlJc w:val="left"/>
      <w:pPr>
        <w:ind w:left="3285" w:hanging="360"/>
      </w:pPr>
    </w:lvl>
    <w:lvl w:ilvl="5" w:tplc="0409001B">
      <w:start w:val="1"/>
      <w:numFmt w:val="lowerRoman"/>
      <w:lvlText w:val="%6."/>
      <w:lvlJc w:val="right"/>
      <w:pPr>
        <w:ind w:left="4005" w:hanging="180"/>
      </w:pPr>
    </w:lvl>
    <w:lvl w:ilvl="6" w:tplc="0409000F">
      <w:start w:val="1"/>
      <w:numFmt w:val="decimal"/>
      <w:lvlText w:val="%7."/>
      <w:lvlJc w:val="left"/>
      <w:pPr>
        <w:ind w:left="4725" w:hanging="360"/>
      </w:pPr>
    </w:lvl>
    <w:lvl w:ilvl="7" w:tplc="04090019">
      <w:start w:val="1"/>
      <w:numFmt w:val="lowerLetter"/>
      <w:lvlText w:val="%8."/>
      <w:lvlJc w:val="left"/>
      <w:pPr>
        <w:ind w:left="5445" w:hanging="360"/>
      </w:pPr>
    </w:lvl>
    <w:lvl w:ilvl="8" w:tplc="0409001B">
      <w:start w:val="1"/>
      <w:numFmt w:val="lowerRoman"/>
      <w:lvlText w:val="%9."/>
      <w:lvlJc w:val="right"/>
      <w:pPr>
        <w:ind w:left="6165" w:hanging="180"/>
      </w:pPr>
    </w:lvl>
  </w:abstractNum>
  <w:abstractNum w:abstractNumId="19" w15:restartNumberingAfterBreak="0">
    <w:nsid w:val="7E277508"/>
    <w:multiLevelType w:val="hybridMultilevel"/>
    <w:tmpl w:val="43AA62AC"/>
    <w:lvl w:ilvl="0" w:tplc="040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17"/>
  </w:num>
  <w:num w:numId="4">
    <w:abstractNumId w:val="11"/>
  </w:num>
  <w:num w:numId="5">
    <w:abstractNumId w:val="14"/>
  </w:num>
  <w:num w:numId="6">
    <w:abstractNumId w:val="2"/>
  </w:num>
  <w:num w:numId="7">
    <w:abstractNumId w:val="6"/>
  </w:num>
  <w:num w:numId="8">
    <w:abstractNumId w:val="8"/>
  </w:num>
  <w:num w:numId="9">
    <w:abstractNumId w:val="10"/>
  </w:num>
  <w:num w:numId="10">
    <w:abstractNumId w:val="16"/>
  </w:num>
  <w:num w:numId="11">
    <w:abstractNumId w:val="15"/>
  </w:num>
  <w:num w:numId="12">
    <w:abstractNumId w:val="3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0"/>
  </w:num>
  <w:num w:numId="19">
    <w:abstractNumId w:val="18"/>
  </w:num>
  <w:num w:numId="20">
    <w:abstractNumId w:val="5"/>
  </w:num>
  <w:num w:numId="21">
    <w:abstractNumId w:val="9"/>
  </w:num>
  <w:num w:numId="22">
    <w:abstractNumId w:val="12"/>
  </w:num>
  <w:num w:numId="23">
    <w:abstractNumId w:val="19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96C"/>
    <w:rsid w:val="000070D3"/>
    <w:rsid w:val="0002606B"/>
    <w:rsid w:val="0008041A"/>
    <w:rsid w:val="0008411E"/>
    <w:rsid w:val="000B70D8"/>
    <w:rsid w:val="000E5BA2"/>
    <w:rsid w:val="000E7663"/>
    <w:rsid w:val="000F1C15"/>
    <w:rsid w:val="000F3866"/>
    <w:rsid w:val="00122684"/>
    <w:rsid w:val="001350C5"/>
    <w:rsid w:val="00143E64"/>
    <w:rsid w:val="001526F7"/>
    <w:rsid w:val="0017596C"/>
    <w:rsid w:val="001A2B64"/>
    <w:rsid w:val="001F7102"/>
    <w:rsid w:val="002026F7"/>
    <w:rsid w:val="00236807"/>
    <w:rsid w:val="002509D5"/>
    <w:rsid w:val="002D3532"/>
    <w:rsid w:val="002F5AA9"/>
    <w:rsid w:val="00302FD5"/>
    <w:rsid w:val="00326D23"/>
    <w:rsid w:val="00343382"/>
    <w:rsid w:val="003D36D9"/>
    <w:rsid w:val="003E58A0"/>
    <w:rsid w:val="00404344"/>
    <w:rsid w:val="00416A38"/>
    <w:rsid w:val="004503FF"/>
    <w:rsid w:val="00493D82"/>
    <w:rsid w:val="004E2DC9"/>
    <w:rsid w:val="004F7E62"/>
    <w:rsid w:val="00500936"/>
    <w:rsid w:val="005039AB"/>
    <w:rsid w:val="00523816"/>
    <w:rsid w:val="005502D3"/>
    <w:rsid w:val="005703F8"/>
    <w:rsid w:val="005871F2"/>
    <w:rsid w:val="005910D2"/>
    <w:rsid w:val="005F2623"/>
    <w:rsid w:val="00637AF6"/>
    <w:rsid w:val="00652D6C"/>
    <w:rsid w:val="00667FF2"/>
    <w:rsid w:val="00680AE6"/>
    <w:rsid w:val="006B3727"/>
    <w:rsid w:val="006C3B53"/>
    <w:rsid w:val="006D3B20"/>
    <w:rsid w:val="006F1561"/>
    <w:rsid w:val="006F49B1"/>
    <w:rsid w:val="00727D40"/>
    <w:rsid w:val="007B4C51"/>
    <w:rsid w:val="00813F34"/>
    <w:rsid w:val="00814568"/>
    <w:rsid w:val="008307AB"/>
    <w:rsid w:val="008416D6"/>
    <w:rsid w:val="00843FDD"/>
    <w:rsid w:val="0085532E"/>
    <w:rsid w:val="008762E3"/>
    <w:rsid w:val="00894590"/>
    <w:rsid w:val="008A2AE1"/>
    <w:rsid w:val="008B4A90"/>
    <w:rsid w:val="008D736A"/>
    <w:rsid w:val="008F1A2B"/>
    <w:rsid w:val="0092783D"/>
    <w:rsid w:val="00943A8B"/>
    <w:rsid w:val="00971D22"/>
    <w:rsid w:val="0097378A"/>
    <w:rsid w:val="00977571"/>
    <w:rsid w:val="009C2EB8"/>
    <w:rsid w:val="009E603B"/>
    <w:rsid w:val="009F7539"/>
    <w:rsid w:val="00A24C8C"/>
    <w:rsid w:val="00A71CFB"/>
    <w:rsid w:val="00AA22CF"/>
    <w:rsid w:val="00AC2B46"/>
    <w:rsid w:val="00AF55EF"/>
    <w:rsid w:val="00B137A1"/>
    <w:rsid w:val="00B26EE8"/>
    <w:rsid w:val="00B31570"/>
    <w:rsid w:val="00BA2375"/>
    <w:rsid w:val="00BA64A8"/>
    <w:rsid w:val="00BB1762"/>
    <w:rsid w:val="00BC2394"/>
    <w:rsid w:val="00C062CB"/>
    <w:rsid w:val="00C063B7"/>
    <w:rsid w:val="00C25520"/>
    <w:rsid w:val="00C46B38"/>
    <w:rsid w:val="00C85673"/>
    <w:rsid w:val="00C91DA0"/>
    <w:rsid w:val="00CC5053"/>
    <w:rsid w:val="00CE0922"/>
    <w:rsid w:val="00D02CBC"/>
    <w:rsid w:val="00D4533E"/>
    <w:rsid w:val="00D65657"/>
    <w:rsid w:val="00D71CC1"/>
    <w:rsid w:val="00D74EEF"/>
    <w:rsid w:val="00E30419"/>
    <w:rsid w:val="00E35BB9"/>
    <w:rsid w:val="00E574B4"/>
    <w:rsid w:val="00E711A9"/>
    <w:rsid w:val="00EB42D4"/>
    <w:rsid w:val="00EC7B4C"/>
    <w:rsid w:val="00EE76D8"/>
    <w:rsid w:val="00F114FB"/>
    <w:rsid w:val="00F16515"/>
    <w:rsid w:val="00F27187"/>
    <w:rsid w:val="00F41465"/>
    <w:rsid w:val="00F423AD"/>
    <w:rsid w:val="00F42B82"/>
    <w:rsid w:val="00F45213"/>
    <w:rsid w:val="00F459D1"/>
    <w:rsid w:val="00FB5D18"/>
    <w:rsid w:val="00FD4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40532"/>
  <w15:docId w15:val="{E0570DAB-74B5-48EC-923D-38F8B377F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1759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59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596C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96C"/>
    <w:rPr>
      <w:rFonts w:ascii="Segoe UI" w:hAnsi="Segoe UI" w:cs="Segoe UI"/>
      <w:sz w:val="18"/>
      <w:szCs w:val="18"/>
    </w:rPr>
  </w:style>
  <w:style w:type="paragraph" w:customStyle="1" w:styleId="xmsolistparagraph">
    <w:name w:val="x_msolistparagraph"/>
    <w:basedOn w:val="Normal"/>
    <w:rsid w:val="00175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175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E58A0"/>
    <w:pPr>
      <w:ind w:left="720"/>
      <w:contextualSpacing/>
    </w:pPr>
  </w:style>
  <w:style w:type="character" w:styleId="Hyperlink">
    <w:name w:val="Hyperlink"/>
    <w:uiPriority w:val="99"/>
    <w:unhideWhenUsed/>
    <w:rsid w:val="005502D3"/>
    <w:rPr>
      <w:color w:val="0000FF"/>
      <w:u w:val="single"/>
    </w:rPr>
  </w:style>
  <w:style w:type="paragraph" w:customStyle="1" w:styleId="xgmail-msolistparagraph">
    <w:name w:val="x_gmail-msolistparagraph"/>
    <w:basedOn w:val="Normal"/>
    <w:rsid w:val="00550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37AF6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1">
    <w:name w:val="Абзац списка1"/>
    <w:basedOn w:val="Normal"/>
    <w:uiPriority w:val="34"/>
    <w:rsid w:val="00C46B38"/>
    <w:pPr>
      <w:overflowPunct w:val="0"/>
      <w:spacing w:after="0" w:line="360" w:lineRule="auto"/>
      <w:ind w:left="720"/>
      <w:contextualSpacing/>
    </w:pPr>
    <w:rPr>
      <w:rFonts w:ascii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8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0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8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Kira Satarova</dc:creator>
  <cp:keywords/>
  <dc:description/>
  <cp:lastModifiedBy>Aygul Atabayeva</cp:lastModifiedBy>
  <cp:revision>2</cp:revision>
  <dcterms:created xsi:type="dcterms:W3CDTF">2019-09-09T05:33:00Z</dcterms:created>
  <dcterms:modified xsi:type="dcterms:W3CDTF">2019-09-09T05:33:00Z</dcterms:modified>
</cp:coreProperties>
</file>