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A9D24" w14:textId="77777777" w:rsidR="00DB77DD" w:rsidRPr="00802ABE" w:rsidRDefault="00DB77DD" w:rsidP="00DB77DD">
      <w:pPr>
        <w:tabs>
          <w:tab w:val="left" w:pos="1410"/>
        </w:tabs>
        <w:ind w:left="1410"/>
        <w:jc w:val="center"/>
      </w:pPr>
      <w:r w:rsidRPr="00802ABE">
        <w:rPr>
          <w:b/>
          <w:sz w:val="28"/>
          <w:szCs w:val="28"/>
        </w:rPr>
        <w:t>INDIVIDUAL CONSULTANT PROCUREMENT NOTICE</w:t>
      </w:r>
      <w:r w:rsidRPr="00802ABE">
        <w:t xml:space="preserve">  </w:t>
      </w:r>
      <w:r w:rsidR="009E2B22" w:rsidRPr="00802ABE">
        <w:t xml:space="preserve">      </w:t>
      </w:r>
      <w:r w:rsidRPr="00802ABE">
        <w:t xml:space="preserve">              </w:t>
      </w:r>
      <w:r w:rsidR="009E2B22" w:rsidRPr="00802ABE">
        <w:t xml:space="preserve"> </w:t>
      </w:r>
      <w:r w:rsidRPr="00802ABE">
        <w:rPr>
          <w:noProof/>
          <w:lang w:val="en-ZA" w:eastAsia="en-ZA"/>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rsidRPr="00802ABE">
        <w:t xml:space="preserve">                                      </w:t>
      </w:r>
      <w:r w:rsidRPr="00802ABE">
        <w:t xml:space="preserve">                                                                                                                                                  </w:t>
      </w:r>
    </w:p>
    <w:p w14:paraId="65AA9D25" w14:textId="77777777" w:rsidR="009E2B22" w:rsidRPr="00802ABE" w:rsidRDefault="009E2B22" w:rsidP="00DB77DD">
      <w:pPr>
        <w:tabs>
          <w:tab w:val="left" w:pos="1410"/>
        </w:tabs>
      </w:pPr>
      <w:r w:rsidRPr="00802ABE">
        <w:t xml:space="preserve">                           </w:t>
      </w:r>
    </w:p>
    <w:p w14:paraId="57D04A57" w14:textId="269870F2" w:rsidR="00893526" w:rsidRPr="00802ABE" w:rsidRDefault="009E2B22" w:rsidP="009E2B22">
      <w:pPr>
        <w:tabs>
          <w:tab w:val="left" w:pos="1410"/>
        </w:tabs>
      </w:pPr>
      <w:r w:rsidRPr="00802ABE">
        <w:t xml:space="preserve">                                                                                                                                   </w:t>
      </w:r>
      <w:r w:rsidR="001D471A" w:rsidRPr="00802ABE">
        <w:t xml:space="preserve">       </w:t>
      </w:r>
      <w:r w:rsidRPr="00802ABE">
        <w:t>Date</w:t>
      </w:r>
      <w:r w:rsidR="00893526" w:rsidRPr="00802ABE">
        <w:t xml:space="preserve"> </w:t>
      </w:r>
      <w:r w:rsidR="00840982">
        <w:t>20</w:t>
      </w:r>
      <w:r w:rsidR="00840982" w:rsidRPr="00840982">
        <w:rPr>
          <w:vertAlign w:val="superscript"/>
        </w:rPr>
        <w:t>th</w:t>
      </w:r>
      <w:r w:rsidR="00840982">
        <w:t xml:space="preserve"> September 2019</w:t>
      </w:r>
      <w:r w:rsidRPr="00802ABE">
        <w:t xml:space="preserve">      </w:t>
      </w:r>
    </w:p>
    <w:p w14:paraId="39A5C09F" w14:textId="77777777" w:rsidR="00893526" w:rsidRPr="00802ABE" w:rsidRDefault="00893526" w:rsidP="009E2B22">
      <w:pPr>
        <w:tabs>
          <w:tab w:val="left" w:pos="1410"/>
        </w:tabs>
      </w:pPr>
    </w:p>
    <w:p w14:paraId="65AA9D26" w14:textId="6CC0C07F" w:rsidR="009E2B22" w:rsidRPr="00802ABE" w:rsidRDefault="009E2B22" w:rsidP="009E2B22">
      <w:pPr>
        <w:tabs>
          <w:tab w:val="left" w:pos="1410"/>
        </w:tabs>
      </w:pPr>
      <w:r w:rsidRPr="00802ABE">
        <w:t xml:space="preserve">                                   </w:t>
      </w:r>
    </w:p>
    <w:p w14:paraId="65AA9D27" w14:textId="455E9A87" w:rsidR="009E2B22" w:rsidRPr="00802ABE" w:rsidRDefault="00821EF0" w:rsidP="009E2B22">
      <w:pPr>
        <w:tabs>
          <w:tab w:val="left" w:pos="1410"/>
        </w:tabs>
        <w:rPr>
          <w:b/>
        </w:rPr>
      </w:pPr>
      <w:r w:rsidRPr="00802ABE">
        <w:rPr>
          <w:b/>
          <w:noProof/>
          <w:lang w:val="en-ZA" w:eastAsia="en-ZA"/>
        </w:rPr>
        <mc:AlternateContent>
          <mc:Choice Requires="wps">
            <w:drawing>
              <wp:anchor distT="0" distB="0" distL="114300" distR="114300" simplePos="0" relativeHeight="251658240" behindDoc="0" locked="0" layoutInCell="1" allowOverlap="1" wp14:anchorId="65AA9DA0" wp14:editId="443FFF38">
                <wp:simplePos x="0" y="0"/>
                <wp:positionH relativeFrom="column">
                  <wp:posOffset>-7620</wp:posOffset>
                </wp:positionH>
                <wp:positionV relativeFrom="paragraph">
                  <wp:posOffset>88899</wp:posOffset>
                </wp:positionV>
                <wp:extent cx="6233160" cy="45719"/>
                <wp:effectExtent l="0" t="19050" r="53340" b="501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160"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09E6B3" id="_x0000_t32" coordsize="21600,21600" o:spt="32" o:oned="t" path="m,l21600,21600e" filled="f">
                <v:path arrowok="t" fillok="f" o:connecttype="none"/>
                <o:lock v:ext="edit" shapetype="t"/>
              </v:shapetype>
              <v:shape id="AutoShape 3" o:spid="_x0000_s1026" type="#_x0000_t32" style="position:absolute;margin-left:-.6pt;margin-top:7pt;width:49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" strokecolor="blue" strokeweight="4.5pt"/>
            </w:pict>
          </mc:Fallback>
        </mc:AlternateContent>
      </w:r>
    </w:p>
    <w:p w14:paraId="356922A4" w14:textId="1612DE7B" w:rsidR="00893526" w:rsidRPr="00802ABE" w:rsidRDefault="00893526" w:rsidP="00893526">
      <w:pPr>
        <w:pStyle w:val="NoSpacing"/>
        <w:rPr>
          <w:rFonts w:asciiTheme="minorHAnsi" w:hAnsiTheme="minorHAnsi"/>
          <w:b/>
        </w:rPr>
      </w:pPr>
      <w:r w:rsidRPr="00802ABE">
        <w:rPr>
          <w:rFonts w:asciiTheme="minorHAnsi" w:hAnsiTheme="minorHAnsi"/>
          <w:b/>
        </w:rPr>
        <w:t xml:space="preserve">Number of </w:t>
      </w:r>
      <w:r w:rsidR="00AD32FF">
        <w:rPr>
          <w:rFonts w:asciiTheme="minorHAnsi" w:hAnsiTheme="minorHAnsi"/>
          <w:b/>
        </w:rPr>
        <w:t>consultancies</w:t>
      </w:r>
      <w:r w:rsidRPr="00802ABE">
        <w:rPr>
          <w:rFonts w:asciiTheme="minorHAnsi" w:hAnsiTheme="minorHAnsi"/>
          <w:b/>
        </w:rPr>
        <w:tab/>
      </w:r>
      <w:r w:rsidRPr="00802ABE">
        <w:rPr>
          <w:rFonts w:asciiTheme="minorHAnsi" w:hAnsiTheme="minorHAnsi"/>
          <w:b/>
        </w:rPr>
        <w:tab/>
      </w:r>
      <w:r w:rsidRPr="00802ABE">
        <w:rPr>
          <w:rFonts w:asciiTheme="minorHAnsi" w:hAnsiTheme="minorHAnsi"/>
          <w:b/>
        </w:rPr>
        <w:tab/>
      </w:r>
      <w:r w:rsidRPr="00802ABE">
        <w:rPr>
          <w:rFonts w:asciiTheme="minorHAnsi" w:hAnsiTheme="minorHAnsi"/>
          <w:b/>
        </w:rPr>
        <w:tab/>
        <w:t>: 1</w:t>
      </w:r>
    </w:p>
    <w:p w14:paraId="1D62C818" w14:textId="4131C476" w:rsidR="00893526" w:rsidRPr="00802ABE" w:rsidRDefault="00893526" w:rsidP="00893526">
      <w:pPr>
        <w:pStyle w:val="NoSpacing"/>
        <w:ind w:left="5040" w:hanging="5040"/>
        <w:rPr>
          <w:rFonts w:asciiTheme="minorHAnsi" w:hAnsiTheme="minorHAnsi"/>
          <w:b/>
        </w:rPr>
      </w:pPr>
      <w:r w:rsidRPr="00802ABE">
        <w:rPr>
          <w:rFonts w:asciiTheme="minorHAnsi" w:hAnsiTheme="minorHAnsi"/>
          <w:b/>
        </w:rPr>
        <w:t>Contract Type</w:t>
      </w:r>
      <w:r w:rsidRPr="00802ABE">
        <w:rPr>
          <w:rFonts w:asciiTheme="minorHAnsi" w:hAnsiTheme="minorHAnsi"/>
          <w:b/>
        </w:rPr>
        <w:tab/>
        <w:t>: Individual Contract/R</w:t>
      </w:r>
      <w:r w:rsidR="00802ABE">
        <w:rPr>
          <w:rFonts w:asciiTheme="minorHAnsi" w:hAnsiTheme="minorHAnsi"/>
          <w:b/>
        </w:rPr>
        <w:t xml:space="preserve">eimbursement </w:t>
      </w:r>
      <w:proofErr w:type="gramStart"/>
      <w:r w:rsidRPr="00802ABE">
        <w:rPr>
          <w:rFonts w:asciiTheme="minorHAnsi" w:hAnsiTheme="minorHAnsi"/>
          <w:b/>
        </w:rPr>
        <w:t>L</w:t>
      </w:r>
      <w:r w:rsidR="00802ABE">
        <w:rPr>
          <w:rFonts w:asciiTheme="minorHAnsi" w:hAnsiTheme="minorHAnsi"/>
          <w:b/>
        </w:rPr>
        <w:t xml:space="preserve">oan </w:t>
      </w:r>
      <w:r w:rsidR="00840982">
        <w:rPr>
          <w:rFonts w:asciiTheme="minorHAnsi" w:hAnsiTheme="minorHAnsi"/>
          <w:b/>
        </w:rPr>
        <w:t xml:space="preserve"> </w:t>
      </w:r>
      <w:r w:rsidRPr="00802ABE">
        <w:rPr>
          <w:rFonts w:asciiTheme="minorHAnsi" w:hAnsiTheme="minorHAnsi"/>
          <w:b/>
        </w:rPr>
        <w:t>A</w:t>
      </w:r>
      <w:r w:rsidR="00802ABE">
        <w:rPr>
          <w:rFonts w:asciiTheme="minorHAnsi" w:hAnsiTheme="minorHAnsi"/>
          <w:b/>
        </w:rPr>
        <w:t>greement</w:t>
      </w:r>
      <w:proofErr w:type="gramEnd"/>
      <w:r w:rsidRPr="00802ABE">
        <w:rPr>
          <w:rFonts w:asciiTheme="minorHAnsi" w:hAnsiTheme="minorHAnsi"/>
          <w:b/>
        </w:rPr>
        <w:t xml:space="preserve"> </w:t>
      </w:r>
    </w:p>
    <w:p w14:paraId="71A30460" w14:textId="77777777" w:rsidR="00893526" w:rsidRPr="00802ABE" w:rsidRDefault="00893526" w:rsidP="00893526">
      <w:pPr>
        <w:spacing w:after="0" w:line="360" w:lineRule="auto"/>
        <w:ind w:left="5040" w:hanging="5040"/>
        <w:rPr>
          <w:rFonts w:eastAsia="Calibri" w:cs="Times New Roman"/>
          <w:b/>
        </w:rPr>
      </w:pPr>
      <w:r w:rsidRPr="00802ABE">
        <w:rPr>
          <w:b/>
        </w:rPr>
        <w:t>Country</w:t>
      </w:r>
      <w:r w:rsidRPr="00802ABE">
        <w:rPr>
          <w:b/>
        </w:rPr>
        <w:tab/>
        <w:t xml:space="preserve">: South </w:t>
      </w:r>
      <w:proofErr w:type="spellStart"/>
      <w:r w:rsidRPr="00802ABE">
        <w:rPr>
          <w:b/>
        </w:rPr>
        <w:t>Afrcia</w:t>
      </w:r>
      <w:proofErr w:type="spellEnd"/>
      <w:r w:rsidRPr="00802ABE">
        <w:rPr>
          <w:b/>
        </w:rPr>
        <w:t xml:space="preserve"> </w:t>
      </w:r>
    </w:p>
    <w:p w14:paraId="15EBD7E8" w14:textId="50B79B79" w:rsidR="00893526" w:rsidRPr="00802ABE" w:rsidRDefault="00893526" w:rsidP="00840982">
      <w:pPr>
        <w:pStyle w:val="NoSpacing"/>
        <w:ind w:left="4320" w:hanging="4320"/>
        <w:rPr>
          <w:b/>
        </w:rPr>
      </w:pPr>
      <w:r w:rsidRPr="00802ABE">
        <w:rPr>
          <w:rFonts w:cs="Calibri"/>
          <w:b/>
        </w:rPr>
        <w:t>Description of the assignment</w:t>
      </w:r>
      <w:r w:rsidRPr="00802ABE">
        <w:rPr>
          <w:b/>
        </w:rPr>
        <w:tab/>
      </w:r>
      <w:r w:rsidR="00AD32FF">
        <w:rPr>
          <w:b/>
        </w:rPr>
        <w:tab/>
      </w:r>
      <w:r w:rsidRPr="00802ABE">
        <w:rPr>
          <w:b/>
        </w:rPr>
        <w:t xml:space="preserve">: </w:t>
      </w:r>
      <w:r w:rsidR="00840982" w:rsidRPr="00840982">
        <w:rPr>
          <w:rFonts w:ascii="Gill Sans MT" w:hAnsi="Gill Sans MT" w:cs="Arial"/>
          <w:b/>
          <w:sz w:val="18"/>
          <w:szCs w:val="18"/>
          <w:lang w:val="en-GB"/>
        </w:rPr>
        <w:t xml:space="preserve">Research </w:t>
      </w:r>
      <w:proofErr w:type="gramStart"/>
      <w:r w:rsidR="00840982" w:rsidRPr="00840982">
        <w:rPr>
          <w:rFonts w:ascii="Gill Sans MT" w:hAnsi="Gill Sans MT" w:cs="Arial"/>
          <w:b/>
          <w:sz w:val="18"/>
          <w:szCs w:val="18"/>
          <w:lang w:val="en-GB"/>
        </w:rPr>
        <w:t>On</w:t>
      </w:r>
      <w:proofErr w:type="gramEnd"/>
      <w:r w:rsidR="00840982" w:rsidRPr="00840982">
        <w:rPr>
          <w:rFonts w:ascii="Gill Sans MT" w:hAnsi="Gill Sans MT" w:cs="Arial"/>
          <w:b/>
          <w:sz w:val="18"/>
          <w:szCs w:val="18"/>
          <w:lang w:val="en-GB"/>
        </w:rPr>
        <w:t xml:space="preserve"> Gender Representation, The Challenges Women Experience And Opportunities Available In Public Finance Management Roles In Selected Provinces</w:t>
      </w:r>
    </w:p>
    <w:p w14:paraId="13C68AAB" w14:textId="36D4C4A9" w:rsidR="00893526" w:rsidRPr="00802ABE" w:rsidRDefault="00893526" w:rsidP="00893526">
      <w:pPr>
        <w:spacing w:after="0" w:line="360" w:lineRule="auto"/>
        <w:ind w:left="5040" w:hanging="5040"/>
      </w:pPr>
      <w:r w:rsidRPr="00802ABE">
        <w:rPr>
          <w:b/>
        </w:rPr>
        <w:t>Estimated Period of assignment/services (if applicable)</w:t>
      </w:r>
      <w:r w:rsidRPr="00802ABE">
        <w:rPr>
          <w:b/>
        </w:rPr>
        <w:tab/>
        <w:t>:</w:t>
      </w:r>
      <w:r w:rsidRPr="00802ABE">
        <w:rPr>
          <w:color w:val="FF0000"/>
        </w:rPr>
        <w:t xml:space="preserve"> </w:t>
      </w:r>
      <w:r w:rsidRPr="00802ABE">
        <w:rPr>
          <w:b/>
        </w:rPr>
        <w:t>6</w:t>
      </w:r>
      <w:r w:rsidR="00AD32FF">
        <w:rPr>
          <w:b/>
        </w:rPr>
        <w:t>0 days within a period of</w:t>
      </w:r>
      <w:r w:rsidRPr="00802ABE">
        <w:rPr>
          <w:b/>
        </w:rPr>
        <w:t xml:space="preserve"> months </w:t>
      </w:r>
      <w:r w:rsidRPr="00802ABE">
        <w:t xml:space="preserve"> </w:t>
      </w:r>
    </w:p>
    <w:p w14:paraId="42C27C1E" w14:textId="77777777" w:rsidR="00893526" w:rsidRPr="00802ABE" w:rsidRDefault="00893526" w:rsidP="00802ABE">
      <w:pPr>
        <w:tabs>
          <w:tab w:val="left" w:pos="1410"/>
        </w:tabs>
        <w:rPr>
          <w:b/>
        </w:rPr>
      </w:pPr>
    </w:p>
    <w:p w14:paraId="3A205501" w14:textId="3CB38459" w:rsidR="00893526" w:rsidRPr="00802ABE" w:rsidRDefault="00893526" w:rsidP="00893526">
      <w:pPr>
        <w:tabs>
          <w:tab w:val="left" w:pos="1410"/>
        </w:tabs>
        <w:ind w:left="5040" w:hanging="5040"/>
        <w:rPr>
          <w:b/>
        </w:rPr>
      </w:pPr>
      <w:r w:rsidRPr="00802ABE">
        <w:rPr>
          <w:b/>
        </w:rPr>
        <w:t xml:space="preserve">Estimated Contract Commencement Date             </w:t>
      </w:r>
      <w:r w:rsidRPr="00802ABE">
        <w:rPr>
          <w:b/>
        </w:rPr>
        <w:tab/>
        <w:t xml:space="preserve">: </w:t>
      </w:r>
      <w:r w:rsidR="00840982">
        <w:rPr>
          <w:b/>
        </w:rPr>
        <w:t>15</w:t>
      </w:r>
      <w:r w:rsidR="00840982" w:rsidRPr="00840982">
        <w:rPr>
          <w:b/>
          <w:vertAlign w:val="superscript"/>
        </w:rPr>
        <w:t>th</w:t>
      </w:r>
      <w:r w:rsidR="00840982">
        <w:rPr>
          <w:b/>
        </w:rPr>
        <w:t xml:space="preserve"> October 2019</w:t>
      </w:r>
    </w:p>
    <w:p w14:paraId="0569D37F" w14:textId="77777777" w:rsidR="00893526" w:rsidRPr="00802ABE" w:rsidRDefault="00893526" w:rsidP="00893526">
      <w:pPr>
        <w:tabs>
          <w:tab w:val="left" w:pos="1410"/>
        </w:tabs>
      </w:pPr>
    </w:p>
    <w:p w14:paraId="47E3513B" w14:textId="55F2C8B5" w:rsidR="00893526" w:rsidRPr="00802ABE" w:rsidRDefault="00893526" w:rsidP="00893526">
      <w:pPr>
        <w:tabs>
          <w:tab w:val="left" w:pos="1410"/>
        </w:tabs>
      </w:pPr>
      <w:r w:rsidRPr="00802ABE">
        <w:t xml:space="preserve">Proposal should be submitted by email to </w:t>
      </w:r>
      <w:hyperlink r:id="rId14" w:history="1">
        <w:r w:rsidR="00840982" w:rsidRPr="00147F6B">
          <w:rPr>
            <w:rStyle w:val="Hyperlink"/>
          </w:rPr>
          <w:t>bids.pretoria@undp.org</w:t>
        </w:r>
      </w:hyperlink>
      <w:r w:rsidRPr="00802ABE">
        <w:t xml:space="preserve">  no later than </w:t>
      </w:r>
      <w:r w:rsidR="00840982">
        <w:t>30</w:t>
      </w:r>
      <w:r w:rsidR="00840982" w:rsidRPr="00840982">
        <w:rPr>
          <w:vertAlign w:val="superscript"/>
        </w:rPr>
        <w:t>th</w:t>
      </w:r>
      <w:r w:rsidR="00840982">
        <w:t xml:space="preserve"> September </w:t>
      </w:r>
      <w:r w:rsidRPr="00802ABE">
        <w:t>2019 11:59 Midnight, South Africa time zone (GMT +02:00).</w:t>
      </w:r>
    </w:p>
    <w:p w14:paraId="76B010B5" w14:textId="77777777" w:rsidR="00893526" w:rsidRPr="00802ABE" w:rsidRDefault="00893526" w:rsidP="00893526">
      <w:pPr>
        <w:tabs>
          <w:tab w:val="left" w:pos="1410"/>
        </w:tabs>
      </w:pPr>
      <w:r w:rsidRPr="00802ABE">
        <w:t xml:space="preserve">Any request for clarification must be sent by standard electronic communication to </w:t>
      </w:r>
      <w:hyperlink r:id="rId15" w:history="1">
        <w:r w:rsidRPr="00802ABE">
          <w:rPr>
            <w:rStyle w:val="Hyperlink"/>
          </w:rPr>
          <w:t>procurement.enquiries.za@undp.org</w:t>
        </w:r>
      </w:hyperlink>
      <w:r w:rsidRPr="00802ABE">
        <w:t>. UNDP will respond by standard electronic mail and will send responses, including an explanation of the query without identifying the source of inquiry, to all consultants.</w:t>
      </w:r>
    </w:p>
    <w:p w14:paraId="65AA9D2E" w14:textId="693F4CDA" w:rsidR="009E2B22" w:rsidRPr="00802ABE" w:rsidRDefault="007D726E" w:rsidP="009E2B22">
      <w:pPr>
        <w:tabs>
          <w:tab w:val="left" w:pos="1410"/>
        </w:tabs>
      </w:pPr>
      <w:r w:rsidRPr="00802ABE">
        <w:rPr>
          <w:noProof/>
          <w:lang w:val="en-ZA" w:eastAsia="en-ZA"/>
        </w:rPr>
        <mc:AlternateContent>
          <mc:Choice Requires="wps">
            <w:drawing>
              <wp:anchor distT="0" distB="0" distL="114300" distR="114300" simplePos="0" relativeHeight="251659264" behindDoc="0" locked="0" layoutInCell="1" allowOverlap="1" wp14:anchorId="65AA9DA1" wp14:editId="444B0EE9">
                <wp:simplePos x="0" y="0"/>
                <wp:positionH relativeFrom="column">
                  <wp:posOffset>-7620</wp:posOffset>
                </wp:positionH>
                <wp:positionV relativeFrom="paragraph">
                  <wp:posOffset>107949</wp:posOffset>
                </wp:positionV>
                <wp:extent cx="6256020" cy="45719"/>
                <wp:effectExtent l="0" t="19050" r="49530" b="501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020"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8F94C" id="AutoShape 4" o:spid="_x0000_s1026" type="#_x0000_t32" style="position:absolute;margin-left:-.6pt;margin-top:8.5pt;width:49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wIwIAAEA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" strokecolor="blue" strokeweight="4.5pt"/>
            </w:pict>
          </mc:Fallback>
        </mc:AlternateContent>
      </w:r>
    </w:p>
    <w:p w14:paraId="17DFCE3B" w14:textId="6D535CBB" w:rsidR="009559BA" w:rsidRPr="00802ABE" w:rsidRDefault="009559BA" w:rsidP="009E2B22">
      <w:pPr>
        <w:tabs>
          <w:tab w:val="left" w:pos="1410"/>
        </w:tabs>
        <w:rPr>
          <w:b/>
        </w:rPr>
      </w:pPr>
    </w:p>
    <w:p w14:paraId="32195271" w14:textId="107C9118" w:rsidR="00003110" w:rsidRPr="00802ABE" w:rsidRDefault="00003110" w:rsidP="009E2B22">
      <w:pPr>
        <w:tabs>
          <w:tab w:val="left" w:pos="1410"/>
        </w:tabs>
        <w:rPr>
          <w:b/>
        </w:rPr>
      </w:pPr>
    </w:p>
    <w:p w14:paraId="15D7099B" w14:textId="70AFAE6B" w:rsidR="00003110" w:rsidRPr="00802ABE" w:rsidRDefault="00003110" w:rsidP="009E2B22">
      <w:pPr>
        <w:tabs>
          <w:tab w:val="left" w:pos="1410"/>
        </w:tabs>
        <w:rPr>
          <w:b/>
        </w:rPr>
      </w:pPr>
    </w:p>
    <w:p w14:paraId="1EC33137" w14:textId="4143C5A6" w:rsidR="00893526" w:rsidRPr="00802ABE" w:rsidRDefault="00893526" w:rsidP="009E2B22">
      <w:pPr>
        <w:tabs>
          <w:tab w:val="left" w:pos="1410"/>
        </w:tabs>
        <w:rPr>
          <w:b/>
        </w:rPr>
      </w:pPr>
    </w:p>
    <w:p w14:paraId="600253C2" w14:textId="54542D3D" w:rsidR="00893526" w:rsidRPr="00802ABE" w:rsidRDefault="00893526" w:rsidP="009E2B22">
      <w:pPr>
        <w:tabs>
          <w:tab w:val="left" w:pos="1410"/>
        </w:tabs>
        <w:rPr>
          <w:b/>
        </w:rPr>
      </w:pPr>
    </w:p>
    <w:p w14:paraId="65AA9D2F" w14:textId="38971A7C" w:rsidR="009E2B22" w:rsidRPr="00802ABE" w:rsidRDefault="009E2B22" w:rsidP="009E2B22">
      <w:pPr>
        <w:tabs>
          <w:tab w:val="left" w:pos="1410"/>
        </w:tabs>
        <w:rPr>
          <w:b/>
        </w:rPr>
      </w:pPr>
      <w:r w:rsidRPr="00802ABE">
        <w:rPr>
          <w:b/>
        </w:rPr>
        <w:t>1. BACKGROUND</w:t>
      </w:r>
    </w:p>
    <w:tbl>
      <w:tblPr>
        <w:tblStyle w:val="TableGrid"/>
        <w:tblW w:w="0" w:type="auto"/>
        <w:tblLook w:val="04A0" w:firstRow="1" w:lastRow="0" w:firstColumn="1" w:lastColumn="0" w:noHBand="0" w:noVBand="1"/>
      </w:tblPr>
      <w:tblGrid>
        <w:gridCol w:w="9350"/>
      </w:tblGrid>
      <w:tr w:rsidR="0065710B" w:rsidRPr="00802ABE" w14:paraId="65AA9D36" w14:textId="77777777" w:rsidTr="005A47C7">
        <w:tc>
          <w:tcPr>
            <w:tcW w:w="9350" w:type="dxa"/>
          </w:tcPr>
          <w:tbl>
            <w:tblPr>
              <w:tblW w:w="9134" w:type="dxa"/>
              <w:tblCellSpacing w:w="15" w:type="dxa"/>
              <w:tblCellMar>
                <w:top w:w="15" w:type="dxa"/>
                <w:left w:w="15" w:type="dxa"/>
                <w:bottom w:w="15" w:type="dxa"/>
                <w:right w:w="15" w:type="dxa"/>
              </w:tblCellMar>
              <w:tblLook w:val="04A0" w:firstRow="1" w:lastRow="0" w:firstColumn="1" w:lastColumn="0" w:noHBand="0" w:noVBand="1"/>
            </w:tblPr>
            <w:tblGrid>
              <w:gridCol w:w="9134"/>
            </w:tblGrid>
            <w:tr w:rsidR="00003110" w:rsidRPr="00840982" w14:paraId="27E20D8B" w14:textId="77777777" w:rsidTr="00840982">
              <w:trPr>
                <w:tblCellSpacing w:w="15" w:type="dxa"/>
              </w:trPr>
              <w:tc>
                <w:tcPr>
                  <w:tcW w:w="0" w:type="auto"/>
                  <w:hideMark/>
                </w:tcPr>
                <w:p w14:paraId="241C56DE" w14:textId="6E3D4256" w:rsidR="00840982" w:rsidRPr="00840982" w:rsidRDefault="00840982" w:rsidP="00840982">
                  <w:pPr>
                    <w:spacing w:after="0"/>
                    <w:jc w:val="both"/>
                    <w:rPr>
                      <w:rFonts w:ascii="Calibri" w:eastAsia="Times New Roman" w:hAnsi="Calibri" w:cs="Arial"/>
                      <w:sz w:val="20"/>
                      <w:szCs w:val="20"/>
                    </w:rPr>
                  </w:pPr>
                  <w:r w:rsidRPr="00840982">
                    <w:rPr>
                      <w:rFonts w:ascii="Calibri" w:eastAsia="Times New Roman" w:hAnsi="Calibri" w:cs="Arial"/>
                      <w:sz w:val="20"/>
                      <w:szCs w:val="20"/>
                    </w:rPr>
                    <w:t xml:space="preserve">The 2016 United Nations Development </w:t>
                  </w:r>
                  <w:proofErr w:type="spellStart"/>
                  <w:r w:rsidRPr="00840982">
                    <w:rPr>
                      <w:rFonts w:ascii="Calibri" w:eastAsia="Times New Roman" w:hAnsi="Calibri" w:cs="Arial"/>
                      <w:sz w:val="20"/>
                      <w:szCs w:val="20"/>
                    </w:rPr>
                    <w:t>Programme</w:t>
                  </w:r>
                  <w:proofErr w:type="spellEnd"/>
                  <w:r w:rsidRPr="00840982">
                    <w:rPr>
                      <w:rFonts w:ascii="Calibri" w:eastAsia="Times New Roman" w:hAnsi="Calibri" w:cs="Arial"/>
                      <w:sz w:val="20"/>
                      <w:szCs w:val="20"/>
                    </w:rPr>
                    <w:t xml:space="preserve"> (UNDP) Africa Human Development report evaluates the efforts African countries have made to accelerate women’s empowerment through all spheres of society.  According to the report, the rationale for increased representation of women in the public sector is that when the composition of the public sector reflects the composition of the society it serves, the government will be more responsive and effective.  Women’s equal participation in public administration and decision making is a necessary condition for women’s interests to be taken fully into account and properly addressed. It is argued that equality in the public service ensures inclusive development and democratic governance and assists in restoring trust and confidence in public institutions in addition to enhancing sustainability and responsiveness of public policies.  The report states that women’s equal participation in the public service can have a significant impact on women’s economic empowerment.  The UNDP’s 2011 Human Development Report on Sustainability and Equity analysis shows how power imbalances and gender inequalities at the national level are linked to unequal access to clean water and better sanitation, impacts on land degradation and other environmental concerns</w:t>
                  </w:r>
                  <w:r w:rsidRPr="00840982">
                    <w:rPr>
                      <w:rFonts w:ascii="Calibri" w:eastAsia="Times New Roman" w:hAnsi="Calibri" w:cs="Arial"/>
                      <w:sz w:val="20"/>
                      <w:szCs w:val="20"/>
                    </w:rPr>
                    <w:t>.</w:t>
                  </w:r>
                </w:p>
                <w:p w14:paraId="5CE0B1EA" w14:textId="3B96D2A8" w:rsidR="00840982" w:rsidRPr="00840982" w:rsidRDefault="00840982" w:rsidP="00840982">
                  <w:pPr>
                    <w:spacing w:after="0"/>
                    <w:jc w:val="both"/>
                    <w:rPr>
                      <w:rFonts w:ascii="Calibri" w:eastAsia="Times New Roman" w:hAnsi="Calibri" w:cs="Arial"/>
                      <w:sz w:val="20"/>
                      <w:szCs w:val="20"/>
                    </w:rPr>
                  </w:pPr>
                  <w:r w:rsidRPr="00840982">
                    <w:rPr>
                      <w:rFonts w:ascii="Calibri" w:eastAsia="Times New Roman" w:hAnsi="Calibri" w:cs="Arial"/>
                      <w:sz w:val="20"/>
                      <w:szCs w:val="20"/>
                    </w:rPr>
                    <w:t xml:space="preserve">Empowering women in the key public finance roles will improve governance, stimulate the rejuvenation of the country’s sustainable economic development and social progress and contribute to the achievement of the National Development Plan priorities and Sustainable Development Goals and targets. Equally, both men and women in public finance roles can be empowered to be champions of GRPBMEA.  </w:t>
                  </w:r>
                </w:p>
                <w:p w14:paraId="2E8CACEB" w14:textId="77777777" w:rsidR="00840982" w:rsidRPr="00840982" w:rsidRDefault="00840982" w:rsidP="00840982">
                  <w:pPr>
                    <w:spacing w:before="120" w:after="0"/>
                    <w:jc w:val="both"/>
                    <w:rPr>
                      <w:rFonts w:ascii="Calibri" w:eastAsia="Times New Roman" w:hAnsi="Calibri" w:cs="Arial"/>
                      <w:b/>
                      <w:sz w:val="20"/>
                      <w:szCs w:val="20"/>
                    </w:rPr>
                  </w:pPr>
                  <w:r w:rsidRPr="00840982">
                    <w:rPr>
                      <w:rFonts w:ascii="Calibri" w:eastAsia="Times New Roman" w:hAnsi="Calibri" w:cs="Arial"/>
                      <w:sz w:val="20"/>
                      <w:szCs w:val="20"/>
                    </w:rPr>
                    <w:t xml:space="preserve"> </w:t>
                  </w:r>
                  <w:r w:rsidRPr="00840982">
                    <w:rPr>
                      <w:rFonts w:ascii="Calibri" w:eastAsia="Times New Roman" w:hAnsi="Calibri" w:cs="Arial"/>
                      <w:b/>
                      <w:sz w:val="20"/>
                      <w:szCs w:val="20"/>
                    </w:rPr>
                    <w:t>PROJECT PURPOSE</w:t>
                  </w:r>
                </w:p>
                <w:p w14:paraId="47C33C03" w14:textId="27A636AF" w:rsidR="00003110" w:rsidRPr="00840982" w:rsidRDefault="00840982" w:rsidP="00840982">
                  <w:pPr>
                    <w:spacing w:before="120" w:after="0"/>
                    <w:jc w:val="both"/>
                    <w:rPr>
                      <w:rFonts w:ascii="Calibri" w:eastAsia="Times New Roman" w:hAnsi="Calibri" w:cs="Arial"/>
                      <w:sz w:val="20"/>
                      <w:szCs w:val="20"/>
                    </w:rPr>
                  </w:pPr>
                  <w:r w:rsidRPr="00840982">
                    <w:rPr>
                      <w:rFonts w:ascii="Calibri" w:eastAsia="Times New Roman" w:hAnsi="Calibri" w:cs="Arial"/>
                      <w:sz w:val="20"/>
                      <w:szCs w:val="20"/>
                    </w:rPr>
                    <w:t xml:space="preserve">To appoint an individual national consultant to conduct research on gender representation, the challenges women experience and available opportunities in public finance management roles in selected provinces and explore entry points for gender responsive budgeting </w:t>
                  </w:r>
                </w:p>
              </w:tc>
            </w:tr>
          </w:tbl>
          <w:p w14:paraId="65AA9D35" w14:textId="02295D09" w:rsidR="007C7A42" w:rsidRPr="00802ABE" w:rsidRDefault="007C7A42" w:rsidP="00003110">
            <w:pPr>
              <w:spacing w:line="360" w:lineRule="auto"/>
              <w:rPr>
                <w:sz w:val="20"/>
                <w:szCs w:val="20"/>
                <w:lang w:val="en-ZA"/>
              </w:rPr>
            </w:pPr>
          </w:p>
        </w:tc>
      </w:tr>
      <w:tr w:rsidR="007C7A42" w:rsidRPr="00802ABE" w14:paraId="54449B94" w14:textId="77777777" w:rsidTr="00884CF6">
        <w:tc>
          <w:tcPr>
            <w:tcW w:w="9350" w:type="dxa"/>
            <w:tcBorders>
              <w:left w:val="single" w:sz="4" w:space="0" w:color="FFFFFF" w:themeColor="background1"/>
              <w:right w:val="single" w:sz="4" w:space="0" w:color="FFFFFF" w:themeColor="background1"/>
            </w:tcBorders>
          </w:tcPr>
          <w:p w14:paraId="6EDAD64B" w14:textId="056592B9" w:rsidR="00884CF6" w:rsidRPr="00802ABE" w:rsidRDefault="00884CF6" w:rsidP="007C7A42">
            <w:pPr>
              <w:widowControl w:val="0"/>
              <w:autoSpaceDE w:val="0"/>
              <w:autoSpaceDN w:val="0"/>
              <w:adjustRightInd w:val="0"/>
              <w:spacing w:line="360" w:lineRule="auto"/>
              <w:jc w:val="both"/>
              <w:textAlignment w:val="center"/>
              <w:rPr>
                <w:color w:val="000000"/>
                <w:sz w:val="20"/>
                <w:szCs w:val="20"/>
              </w:rPr>
            </w:pPr>
          </w:p>
          <w:p w14:paraId="254146C4" w14:textId="1425B38B" w:rsidR="00884CF6" w:rsidRPr="00802ABE" w:rsidRDefault="00884CF6" w:rsidP="00003110">
            <w:pPr>
              <w:keepNext/>
              <w:jc w:val="both"/>
              <w:outlineLvl w:val="1"/>
              <w:rPr>
                <w:b/>
                <w:sz w:val="20"/>
                <w:szCs w:val="20"/>
              </w:rPr>
            </w:pPr>
            <w:r w:rsidRPr="00802ABE">
              <w:rPr>
                <w:b/>
                <w:sz w:val="20"/>
                <w:szCs w:val="20"/>
              </w:rPr>
              <w:t xml:space="preserve">2. SCOPE OF WORK, RESPONSIBILITIES AND DESCRIPTION OF THE PROPOSED ANALYTICAL WORK </w:t>
            </w:r>
          </w:p>
        </w:tc>
      </w:tr>
      <w:tr w:rsidR="0065710B" w:rsidRPr="00802ABE" w14:paraId="65AA9D3D" w14:textId="77777777" w:rsidTr="005A47C7">
        <w:tc>
          <w:tcPr>
            <w:tcW w:w="9350" w:type="dxa"/>
          </w:tcPr>
          <w:p w14:paraId="4877EDD5" w14:textId="77777777" w:rsidR="00840982" w:rsidRPr="00840982" w:rsidRDefault="00840982" w:rsidP="00840982">
            <w:pPr>
              <w:jc w:val="both"/>
              <w:rPr>
                <w:rFonts w:ascii="Calibri" w:hAnsi="Calibri" w:cs="Arial"/>
                <w:b/>
                <w:sz w:val="20"/>
                <w:szCs w:val="20"/>
              </w:rPr>
            </w:pPr>
            <w:r w:rsidRPr="00840982">
              <w:rPr>
                <w:rFonts w:ascii="Calibri" w:hAnsi="Calibri" w:cs="Arial"/>
                <w:b/>
                <w:sz w:val="20"/>
                <w:szCs w:val="20"/>
              </w:rPr>
              <w:t>The consultant is expected to conduct research on:</w:t>
            </w:r>
          </w:p>
          <w:p w14:paraId="3BEBE663" w14:textId="77777777" w:rsidR="00840982" w:rsidRPr="00840982" w:rsidRDefault="00840982" w:rsidP="00840982">
            <w:pPr>
              <w:spacing w:line="276" w:lineRule="auto"/>
              <w:jc w:val="both"/>
              <w:rPr>
                <w:rFonts w:ascii="Calibri" w:eastAsia="Calibri" w:hAnsi="Calibri" w:cs="Arial"/>
                <w:sz w:val="20"/>
                <w:szCs w:val="20"/>
                <w:lang w:val="en-GB"/>
              </w:rPr>
            </w:pPr>
          </w:p>
          <w:p w14:paraId="5CD874EC" w14:textId="222F76BD" w:rsidR="00840982" w:rsidRPr="00840982" w:rsidRDefault="00840982" w:rsidP="00840982">
            <w:pPr>
              <w:pStyle w:val="ListParagraph"/>
              <w:numPr>
                <w:ilvl w:val="0"/>
                <w:numId w:val="41"/>
              </w:numPr>
              <w:jc w:val="both"/>
              <w:rPr>
                <w:rFonts w:ascii="Calibri" w:hAnsi="Calibri" w:cs="Arial"/>
                <w:b/>
                <w:sz w:val="20"/>
                <w:szCs w:val="20"/>
              </w:rPr>
            </w:pPr>
            <w:r w:rsidRPr="00840982">
              <w:rPr>
                <w:rFonts w:ascii="Calibri" w:eastAsia="Calibri" w:hAnsi="Calibri" w:cs="Arial"/>
                <w:sz w:val="20"/>
                <w:szCs w:val="20"/>
                <w:lang w:val="en-GB"/>
              </w:rPr>
              <w:t>Gender representation in Public Financial Management and Budget and Treasury Offices</w:t>
            </w:r>
            <w:r w:rsidRPr="00840982">
              <w:rPr>
                <w:rFonts w:ascii="Calibri" w:eastAsia="Calibri" w:hAnsi="Calibri" w:cs="Arial"/>
                <w:sz w:val="20"/>
                <w:szCs w:val="20"/>
                <w:lang w:val="en-GB"/>
              </w:rPr>
              <w:t xml:space="preserve"> </w:t>
            </w:r>
            <w:r w:rsidRPr="00840982">
              <w:rPr>
                <w:rFonts w:ascii="Calibri" w:eastAsia="Calibri" w:hAnsi="Calibri" w:cs="Arial"/>
                <w:sz w:val="20"/>
                <w:szCs w:val="20"/>
                <w:lang w:val="en-GB"/>
              </w:rPr>
              <w:t>structures in selected national and provincial government departments and municipalities for   which the list of selected national and provincial government departments and municipalities will be made available to the service provider after consultations.</w:t>
            </w:r>
          </w:p>
          <w:p w14:paraId="770A78CB" w14:textId="02C1D172" w:rsidR="00840982" w:rsidRPr="00840982" w:rsidRDefault="00840982" w:rsidP="00840982">
            <w:pPr>
              <w:pStyle w:val="ListParagraph"/>
              <w:numPr>
                <w:ilvl w:val="0"/>
                <w:numId w:val="41"/>
              </w:numPr>
              <w:tabs>
                <w:tab w:val="left" w:pos="993"/>
              </w:tabs>
              <w:jc w:val="both"/>
              <w:rPr>
                <w:rFonts w:ascii="Calibri" w:eastAsia="Calibri" w:hAnsi="Calibri" w:cs="Arial"/>
                <w:sz w:val="20"/>
                <w:szCs w:val="20"/>
                <w:lang w:val="en-GB"/>
              </w:rPr>
            </w:pPr>
            <w:r w:rsidRPr="00840982">
              <w:rPr>
                <w:rFonts w:ascii="Calibri" w:eastAsia="Calibri" w:hAnsi="Calibri" w:cs="Arial"/>
                <w:sz w:val="20"/>
                <w:szCs w:val="20"/>
                <w:lang w:val="en-GB"/>
              </w:rPr>
              <w:t>The financial management, project management, programme management, outputs, outcomes,</w:t>
            </w:r>
          </w:p>
          <w:p w14:paraId="67C8F5A3" w14:textId="54CFE867" w:rsidR="00840982" w:rsidRPr="00840982" w:rsidRDefault="00840982" w:rsidP="00840982">
            <w:pPr>
              <w:tabs>
                <w:tab w:val="left" w:pos="993"/>
              </w:tabs>
              <w:jc w:val="both"/>
              <w:rPr>
                <w:rFonts w:ascii="Calibri" w:eastAsia="Calibri" w:hAnsi="Calibri" w:cs="Arial"/>
                <w:sz w:val="20"/>
                <w:szCs w:val="20"/>
                <w:lang w:val="en-GB"/>
              </w:rPr>
            </w:pPr>
            <w:r>
              <w:rPr>
                <w:rFonts w:ascii="Calibri" w:eastAsia="Calibri" w:hAnsi="Calibri" w:cs="Arial"/>
                <w:sz w:val="20"/>
                <w:szCs w:val="20"/>
                <w:lang w:val="en-GB"/>
              </w:rPr>
              <w:t xml:space="preserve">                 </w:t>
            </w:r>
            <w:r w:rsidRPr="00840982">
              <w:rPr>
                <w:rFonts w:ascii="Calibri" w:eastAsia="Calibri" w:hAnsi="Calibri" w:cs="Arial"/>
                <w:sz w:val="20"/>
                <w:szCs w:val="20"/>
                <w:lang w:val="en-GB"/>
              </w:rPr>
              <w:t xml:space="preserve">impacts and credibility of projects headed by women; challenges faced by women in </w:t>
            </w:r>
            <w:proofErr w:type="gramStart"/>
            <w:r w:rsidRPr="00840982">
              <w:rPr>
                <w:rFonts w:ascii="Calibri" w:eastAsia="Calibri" w:hAnsi="Calibri" w:cs="Arial"/>
                <w:sz w:val="20"/>
                <w:szCs w:val="20"/>
                <w:lang w:val="en-GB"/>
              </w:rPr>
              <w:t>public  finance</w:t>
            </w:r>
            <w:proofErr w:type="gramEnd"/>
            <w:r w:rsidRPr="00840982">
              <w:rPr>
                <w:rFonts w:ascii="Calibri" w:eastAsia="Calibri" w:hAnsi="Calibri" w:cs="Arial"/>
                <w:sz w:val="20"/>
                <w:szCs w:val="20"/>
                <w:lang w:val="en-GB"/>
              </w:rPr>
              <w:t xml:space="preserve"> at </w:t>
            </w:r>
            <w:r>
              <w:rPr>
                <w:rFonts w:ascii="Calibri" w:eastAsia="Calibri" w:hAnsi="Calibri" w:cs="Arial"/>
                <w:sz w:val="20"/>
                <w:szCs w:val="20"/>
                <w:lang w:val="en-GB"/>
              </w:rPr>
              <w:t xml:space="preserve">      </w:t>
            </w:r>
            <w:r w:rsidRPr="00840982">
              <w:rPr>
                <w:rFonts w:ascii="Calibri" w:eastAsia="Calibri" w:hAnsi="Calibri" w:cs="Arial"/>
                <w:sz w:val="20"/>
                <w:szCs w:val="20"/>
                <w:lang w:val="en-GB"/>
              </w:rPr>
              <w:t>the selected government departments and municipalities</w:t>
            </w:r>
          </w:p>
          <w:p w14:paraId="23844BA7" w14:textId="78B183D8" w:rsidR="00840982" w:rsidRPr="00840982" w:rsidRDefault="00840982" w:rsidP="00840982">
            <w:pPr>
              <w:pStyle w:val="ListParagraph"/>
              <w:numPr>
                <w:ilvl w:val="0"/>
                <w:numId w:val="41"/>
              </w:numPr>
              <w:tabs>
                <w:tab w:val="left" w:pos="993"/>
              </w:tabs>
              <w:jc w:val="both"/>
              <w:rPr>
                <w:rFonts w:ascii="Calibri" w:eastAsia="Calibri" w:hAnsi="Calibri" w:cs="Arial"/>
                <w:sz w:val="20"/>
                <w:szCs w:val="20"/>
                <w:lang w:val="en-GB"/>
              </w:rPr>
            </w:pPr>
            <w:r w:rsidRPr="00840982">
              <w:rPr>
                <w:rFonts w:ascii="Calibri" w:eastAsia="Calibri" w:hAnsi="Calibri" w:cs="Arial"/>
                <w:sz w:val="20"/>
                <w:szCs w:val="20"/>
                <w:lang w:val="en-GB"/>
              </w:rPr>
              <w:t>Opportunities available for the advancement of women in public finance management roles within government departments and municipalities;</w:t>
            </w:r>
          </w:p>
          <w:p w14:paraId="1789509F" w14:textId="07D6CB97" w:rsidR="00840982" w:rsidRPr="00840982" w:rsidRDefault="00840982" w:rsidP="00840982">
            <w:pPr>
              <w:pStyle w:val="ListParagraph"/>
              <w:numPr>
                <w:ilvl w:val="0"/>
                <w:numId w:val="41"/>
              </w:numPr>
              <w:tabs>
                <w:tab w:val="left" w:pos="993"/>
              </w:tabs>
              <w:jc w:val="both"/>
              <w:rPr>
                <w:rFonts w:ascii="Calibri" w:eastAsia="Calibri" w:hAnsi="Calibri" w:cs="Arial"/>
                <w:sz w:val="20"/>
                <w:szCs w:val="20"/>
                <w:lang w:val="en-GB"/>
              </w:rPr>
            </w:pPr>
            <w:proofErr w:type="gramStart"/>
            <w:r w:rsidRPr="00840982">
              <w:rPr>
                <w:rFonts w:ascii="Calibri" w:eastAsia="Calibri" w:hAnsi="Calibri" w:cs="Arial"/>
                <w:sz w:val="20"/>
                <w:szCs w:val="20"/>
                <w:lang w:val="en-GB"/>
              </w:rPr>
              <w:t>Assess  the</w:t>
            </w:r>
            <w:proofErr w:type="gramEnd"/>
            <w:r w:rsidRPr="00840982">
              <w:rPr>
                <w:rFonts w:ascii="Calibri" w:eastAsia="Calibri" w:hAnsi="Calibri" w:cs="Arial"/>
                <w:sz w:val="20"/>
                <w:szCs w:val="20"/>
                <w:lang w:val="en-GB"/>
              </w:rPr>
              <w:t xml:space="preserve"> status of current awareness and knowledge on GRPBMEA, if it  is being applied </w:t>
            </w:r>
            <w:r w:rsidRPr="00840982">
              <w:rPr>
                <w:rFonts w:ascii="Calibri" w:eastAsia="Calibri" w:hAnsi="Calibri" w:cs="Arial"/>
                <w:sz w:val="20"/>
                <w:szCs w:val="20"/>
                <w:lang w:val="en-GB"/>
              </w:rPr>
              <w:t xml:space="preserve"> </w:t>
            </w:r>
            <w:r w:rsidRPr="00840982">
              <w:rPr>
                <w:rFonts w:ascii="Calibri" w:eastAsia="Calibri" w:hAnsi="Calibri" w:cs="Arial"/>
                <w:sz w:val="20"/>
                <w:szCs w:val="20"/>
                <w:lang w:val="en-GB"/>
              </w:rPr>
              <w:t>and what needs to be done to strengthen its implementation.</w:t>
            </w:r>
          </w:p>
          <w:p w14:paraId="65AA9D3C" w14:textId="189B871A" w:rsidR="00AD32FF" w:rsidRPr="00840982" w:rsidRDefault="00840982" w:rsidP="00840982">
            <w:pPr>
              <w:pStyle w:val="ListParagraph"/>
              <w:numPr>
                <w:ilvl w:val="0"/>
                <w:numId w:val="41"/>
              </w:numPr>
              <w:jc w:val="both"/>
              <w:rPr>
                <w:rFonts w:ascii="Arial" w:hAnsi="Arial" w:cs="Arial"/>
                <w:bCs/>
                <w:sz w:val="18"/>
                <w:szCs w:val="20"/>
              </w:rPr>
            </w:pPr>
            <w:r w:rsidRPr="00840982">
              <w:rPr>
                <w:rFonts w:ascii="Calibri" w:eastAsia="Calibri" w:hAnsi="Calibri" w:cs="Arial"/>
                <w:sz w:val="20"/>
                <w:szCs w:val="20"/>
                <w:lang w:val="en-GB"/>
              </w:rPr>
              <w:t>Based on the findings, provide relevant recommendations for the advancement of women in public finance and entry points for GRPBMEA.</w:t>
            </w:r>
          </w:p>
        </w:tc>
      </w:tr>
    </w:tbl>
    <w:p w14:paraId="68293228" w14:textId="47139B72" w:rsidR="00893526" w:rsidRDefault="00893526" w:rsidP="00A24134">
      <w:pPr>
        <w:rPr>
          <w:b/>
        </w:rPr>
      </w:pPr>
    </w:p>
    <w:p w14:paraId="563F510F" w14:textId="561594D3" w:rsidR="00840982" w:rsidRDefault="00840982" w:rsidP="00A24134">
      <w:pPr>
        <w:rPr>
          <w:b/>
        </w:rPr>
      </w:pPr>
    </w:p>
    <w:p w14:paraId="7C557261" w14:textId="77777777" w:rsidR="00840982" w:rsidRPr="00802ABE" w:rsidRDefault="00840982" w:rsidP="00A24134">
      <w:pPr>
        <w:rPr>
          <w:b/>
        </w:rPr>
      </w:pPr>
    </w:p>
    <w:p w14:paraId="65AA9D40" w14:textId="77777777" w:rsidR="002223E0" w:rsidRPr="00802ABE" w:rsidRDefault="002223E0" w:rsidP="00A24134">
      <w:pPr>
        <w:rPr>
          <w:b/>
        </w:rPr>
      </w:pPr>
      <w:r w:rsidRPr="00802ABE">
        <w:rPr>
          <w:b/>
        </w:rPr>
        <w:t xml:space="preserve">3. </w:t>
      </w:r>
      <w:r w:rsidR="00C22E07" w:rsidRPr="00802ABE">
        <w:rPr>
          <w:b/>
        </w:rPr>
        <w:t xml:space="preserve">REQUIREMENTS FOR EXPERIENCE AND </w:t>
      </w:r>
      <w:r w:rsidRPr="00802ABE">
        <w:rPr>
          <w:b/>
        </w:rPr>
        <w:t>QUALIFICATIONS</w:t>
      </w:r>
    </w:p>
    <w:tbl>
      <w:tblPr>
        <w:tblStyle w:val="TableGrid"/>
        <w:tblW w:w="0" w:type="auto"/>
        <w:tblLook w:val="04A0" w:firstRow="1" w:lastRow="0" w:firstColumn="1" w:lastColumn="0" w:noHBand="0" w:noVBand="1"/>
      </w:tblPr>
      <w:tblGrid>
        <w:gridCol w:w="9350"/>
      </w:tblGrid>
      <w:tr w:rsidR="00443E94" w:rsidRPr="00802ABE" w14:paraId="65AA9D51" w14:textId="77777777" w:rsidTr="00443E94">
        <w:tc>
          <w:tcPr>
            <w:tcW w:w="9576" w:type="dxa"/>
          </w:tcPr>
          <w:p w14:paraId="4D887593" w14:textId="77777777" w:rsidR="00840982" w:rsidRPr="00840982" w:rsidRDefault="00840982" w:rsidP="00840982">
            <w:pPr>
              <w:widowControl w:val="0"/>
              <w:numPr>
                <w:ilvl w:val="1"/>
                <w:numId w:val="40"/>
              </w:numPr>
              <w:autoSpaceDE w:val="0"/>
              <w:autoSpaceDN w:val="0"/>
              <w:adjustRightInd w:val="0"/>
              <w:spacing w:after="240"/>
              <w:contextualSpacing/>
              <w:jc w:val="both"/>
              <w:rPr>
                <w:rFonts w:ascii="Gill Sans MT" w:eastAsia="Times New Roman" w:hAnsi="Gill Sans MT" w:cs="Arial"/>
                <w:b/>
                <w:color w:val="000000" w:themeColor="text1"/>
              </w:rPr>
            </w:pPr>
            <w:r w:rsidRPr="00840982">
              <w:rPr>
                <w:rFonts w:ascii="Gill Sans MT" w:eastAsia="Times New Roman" w:hAnsi="Gill Sans MT" w:cs="Arial"/>
                <w:b/>
                <w:color w:val="000000" w:themeColor="text1"/>
              </w:rPr>
              <w:t>Education</w:t>
            </w:r>
          </w:p>
          <w:p w14:paraId="071366BE" w14:textId="77777777" w:rsidR="00840982" w:rsidRPr="00840982" w:rsidRDefault="00840982" w:rsidP="00840982">
            <w:pPr>
              <w:widowControl w:val="0"/>
              <w:numPr>
                <w:ilvl w:val="0"/>
                <w:numId w:val="42"/>
              </w:numPr>
              <w:autoSpaceDE w:val="0"/>
              <w:autoSpaceDN w:val="0"/>
              <w:adjustRightInd w:val="0"/>
              <w:spacing w:after="240"/>
              <w:contextualSpacing/>
              <w:jc w:val="both"/>
              <w:rPr>
                <w:rFonts w:ascii="Gill Sans MT" w:eastAsia="Times New Roman" w:hAnsi="Gill Sans MT" w:cs="Arial"/>
                <w:color w:val="000000" w:themeColor="text1"/>
              </w:rPr>
            </w:pPr>
            <w:r w:rsidRPr="00840982">
              <w:rPr>
                <w:rFonts w:ascii="Gill Sans MT" w:eastAsia="Calibri" w:hAnsi="Gill Sans MT" w:cs="Arial"/>
              </w:rPr>
              <w:t>Post graduate university qualification in finance or economics or gender and development.  Additional qualification in gender analysis, development studies and statistics will be an advantage</w:t>
            </w:r>
          </w:p>
          <w:p w14:paraId="0E592E70" w14:textId="77777777" w:rsidR="00840982" w:rsidRPr="00840982" w:rsidRDefault="00840982" w:rsidP="00840982">
            <w:pPr>
              <w:widowControl w:val="0"/>
              <w:numPr>
                <w:ilvl w:val="1"/>
                <w:numId w:val="40"/>
              </w:numPr>
              <w:autoSpaceDE w:val="0"/>
              <w:autoSpaceDN w:val="0"/>
              <w:adjustRightInd w:val="0"/>
              <w:spacing w:after="240"/>
              <w:contextualSpacing/>
              <w:jc w:val="both"/>
              <w:rPr>
                <w:rFonts w:ascii="Gill Sans MT" w:eastAsia="Times New Roman" w:hAnsi="Gill Sans MT" w:cs="Arial"/>
                <w:b/>
                <w:bCs/>
                <w:color w:val="000000" w:themeColor="text1"/>
              </w:rPr>
            </w:pPr>
            <w:r w:rsidRPr="00840982">
              <w:rPr>
                <w:rFonts w:ascii="Gill Sans MT" w:eastAsia="Times New Roman" w:hAnsi="Gill Sans MT" w:cs="Arial"/>
                <w:b/>
                <w:bCs/>
                <w:color w:val="000000" w:themeColor="text1"/>
              </w:rPr>
              <w:t>Experience</w:t>
            </w:r>
          </w:p>
          <w:p w14:paraId="0E5746FF" w14:textId="77777777" w:rsidR="00840982" w:rsidRPr="00840982" w:rsidRDefault="00840982" w:rsidP="00840982">
            <w:pPr>
              <w:numPr>
                <w:ilvl w:val="0"/>
                <w:numId w:val="42"/>
              </w:numPr>
              <w:contextualSpacing/>
              <w:jc w:val="both"/>
              <w:rPr>
                <w:rFonts w:ascii="Gill Sans MT" w:eastAsia="Calibri" w:hAnsi="Gill Sans MT" w:cs="Arial"/>
              </w:rPr>
            </w:pPr>
            <w:r w:rsidRPr="00840982">
              <w:rPr>
                <w:rFonts w:ascii="Gill Sans MT" w:eastAsia="Calibri" w:hAnsi="Gill Sans MT" w:cs="Arial"/>
              </w:rPr>
              <w:t>Minimum five (5) years’ experience in quantitative and qualitative research, data analysis and report writing;</w:t>
            </w:r>
          </w:p>
          <w:p w14:paraId="454B62FA" w14:textId="77777777" w:rsidR="00840982" w:rsidRPr="00840982" w:rsidRDefault="00840982" w:rsidP="00840982">
            <w:pPr>
              <w:numPr>
                <w:ilvl w:val="0"/>
                <w:numId w:val="42"/>
              </w:numPr>
              <w:contextualSpacing/>
              <w:jc w:val="both"/>
              <w:rPr>
                <w:rFonts w:ascii="Gill Sans MT" w:eastAsia="Calibri" w:hAnsi="Gill Sans MT" w:cs="Arial"/>
              </w:rPr>
            </w:pPr>
            <w:r w:rsidRPr="00840982">
              <w:rPr>
                <w:rFonts w:ascii="Gill Sans MT" w:eastAsia="Times New Roman" w:hAnsi="Gill Sans MT" w:cs="Arial"/>
              </w:rPr>
              <w:t>Knowledge and experience of South African public finance management and operations.</w:t>
            </w:r>
          </w:p>
          <w:p w14:paraId="7820EF74" w14:textId="77777777" w:rsidR="00840982" w:rsidRPr="00840982" w:rsidRDefault="00840982" w:rsidP="00840982">
            <w:pPr>
              <w:numPr>
                <w:ilvl w:val="0"/>
                <w:numId w:val="42"/>
              </w:numPr>
              <w:contextualSpacing/>
              <w:jc w:val="both"/>
              <w:rPr>
                <w:rFonts w:ascii="Gill Sans MT" w:eastAsia="Calibri" w:hAnsi="Gill Sans MT" w:cs="Arial"/>
              </w:rPr>
            </w:pPr>
            <w:r w:rsidRPr="00840982">
              <w:rPr>
                <w:rFonts w:ascii="Gill Sans MT" w:eastAsia="Calibri" w:hAnsi="Gill Sans MT" w:cs="Arial"/>
              </w:rPr>
              <w:t>Proven knowledge and experience in providing advisory and/or consultancy services;</w:t>
            </w:r>
          </w:p>
          <w:p w14:paraId="228F1ECB" w14:textId="77777777" w:rsidR="00840982" w:rsidRPr="00840982" w:rsidRDefault="00840982" w:rsidP="00840982">
            <w:pPr>
              <w:numPr>
                <w:ilvl w:val="0"/>
                <w:numId w:val="42"/>
              </w:numPr>
              <w:contextualSpacing/>
              <w:jc w:val="both"/>
              <w:rPr>
                <w:rFonts w:ascii="Gill Sans MT" w:eastAsia="Calibri" w:hAnsi="Gill Sans MT" w:cs="Arial"/>
              </w:rPr>
            </w:pPr>
            <w:r w:rsidRPr="00840982">
              <w:rPr>
                <w:rFonts w:ascii="Gill Sans MT" w:eastAsia="Calibri" w:hAnsi="Gill Sans MT" w:cs="Arial"/>
              </w:rPr>
              <w:t>Proven knowledge and experience in conducting gender analysis and reporting on gender issues. Recommendations from previous clients for services rendered will be required; Evidence of similar work – listed with links where possible</w:t>
            </w:r>
            <w:r w:rsidRPr="00840982">
              <w:rPr>
                <w:rFonts w:ascii="Gill Sans MT" w:eastAsia="Times New Roman" w:hAnsi="Gill Sans MT" w:cs="Arial"/>
                <w:bCs/>
                <w:color w:val="000000" w:themeColor="text1"/>
              </w:rPr>
              <w:tab/>
            </w:r>
          </w:p>
          <w:p w14:paraId="679D09B7" w14:textId="77777777" w:rsidR="00840982" w:rsidRPr="00840982" w:rsidRDefault="00840982" w:rsidP="00840982">
            <w:pPr>
              <w:numPr>
                <w:ilvl w:val="1"/>
                <w:numId w:val="40"/>
              </w:numPr>
              <w:contextualSpacing/>
              <w:jc w:val="both"/>
              <w:rPr>
                <w:rFonts w:ascii="Gill Sans MT" w:eastAsia="Times New Roman" w:hAnsi="Gill Sans MT" w:cs="Arial"/>
                <w:b/>
                <w:bCs/>
                <w:color w:val="000000" w:themeColor="text1"/>
              </w:rPr>
            </w:pPr>
            <w:r w:rsidRPr="00840982">
              <w:rPr>
                <w:rFonts w:ascii="Gill Sans MT" w:eastAsia="Times New Roman" w:hAnsi="Gill Sans MT" w:cs="Arial"/>
                <w:b/>
                <w:bCs/>
                <w:color w:val="000000" w:themeColor="text1"/>
              </w:rPr>
              <w:t>Language</w:t>
            </w:r>
          </w:p>
          <w:p w14:paraId="0E8AA59F" w14:textId="77777777" w:rsidR="00840982" w:rsidRPr="00840982" w:rsidRDefault="00840982" w:rsidP="00840982">
            <w:pPr>
              <w:numPr>
                <w:ilvl w:val="0"/>
                <w:numId w:val="43"/>
              </w:numPr>
              <w:contextualSpacing/>
              <w:jc w:val="both"/>
              <w:rPr>
                <w:rFonts w:ascii="Gill Sans MT" w:eastAsia="Times New Roman" w:hAnsi="Gill Sans MT" w:cs="Arial"/>
                <w:bCs/>
                <w:color w:val="000000" w:themeColor="text1"/>
              </w:rPr>
            </w:pPr>
            <w:r w:rsidRPr="00840982">
              <w:rPr>
                <w:rFonts w:ascii="Gill Sans MT" w:eastAsia="Calibri" w:hAnsi="Gill Sans MT" w:cs="Arial"/>
              </w:rPr>
              <w:t>Excellent knowledge of English, including writing and oral skills</w:t>
            </w:r>
          </w:p>
          <w:p w14:paraId="65AA9D50" w14:textId="57AFEC2E" w:rsidR="00443E94" w:rsidRPr="00802ABE" w:rsidRDefault="00443E94" w:rsidP="00003110">
            <w:pPr>
              <w:pStyle w:val="ListParagraph"/>
              <w:spacing w:line="360" w:lineRule="auto"/>
              <w:jc w:val="both"/>
              <w:rPr>
                <w:sz w:val="20"/>
                <w:szCs w:val="20"/>
                <w:lang w:val="en-ZA"/>
              </w:rPr>
            </w:pPr>
          </w:p>
        </w:tc>
      </w:tr>
    </w:tbl>
    <w:p w14:paraId="6FB16EED" w14:textId="77777777" w:rsidR="00802ABE" w:rsidRDefault="00802ABE" w:rsidP="00A24134">
      <w:pPr>
        <w:rPr>
          <w:b/>
        </w:rPr>
      </w:pPr>
    </w:p>
    <w:p w14:paraId="65AA9D53" w14:textId="5116B884" w:rsidR="002223E0" w:rsidRPr="00802ABE" w:rsidRDefault="006C491D" w:rsidP="00A24134">
      <w:pPr>
        <w:rPr>
          <w:b/>
        </w:rPr>
      </w:pPr>
      <w:r w:rsidRPr="00802ABE">
        <w:rPr>
          <w:b/>
        </w:rPr>
        <w:t xml:space="preserve">4. DOCUMENTS TO BE </w:t>
      </w:r>
      <w:r w:rsidR="004D3F24" w:rsidRPr="00802ABE">
        <w:rPr>
          <w:b/>
        </w:rPr>
        <w:t xml:space="preserve">INCLUDED </w:t>
      </w:r>
      <w:r w:rsidRPr="00802ABE">
        <w:rPr>
          <w:b/>
        </w:rPr>
        <w:t>WHEN SUBMITTING THE PROPOSALS.</w:t>
      </w:r>
    </w:p>
    <w:tbl>
      <w:tblPr>
        <w:tblStyle w:val="TableGrid"/>
        <w:tblW w:w="0" w:type="auto"/>
        <w:tblLook w:val="04A0" w:firstRow="1" w:lastRow="0" w:firstColumn="1" w:lastColumn="0" w:noHBand="0" w:noVBand="1"/>
      </w:tblPr>
      <w:tblGrid>
        <w:gridCol w:w="9350"/>
      </w:tblGrid>
      <w:tr w:rsidR="00443E94" w:rsidRPr="00802ABE" w14:paraId="65AA9D5B" w14:textId="77777777" w:rsidTr="00443E94">
        <w:tc>
          <w:tcPr>
            <w:tcW w:w="9576" w:type="dxa"/>
          </w:tcPr>
          <w:p w14:paraId="35A0E9E1" w14:textId="77777777" w:rsidR="00845233" w:rsidRPr="00802ABE" w:rsidRDefault="00845233" w:rsidP="00845233">
            <w:pPr>
              <w:jc w:val="both"/>
            </w:pPr>
            <w:r w:rsidRPr="00802ABE">
              <w:t xml:space="preserve">Applicants are required to submit the following: </w:t>
            </w:r>
          </w:p>
          <w:p w14:paraId="79392437" w14:textId="77777777" w:rsidR="00845233" w:rsidRPr="00802ABE" w:rsidRDefault="00845233" w:rsidP="00845233">
            <w:pPr>
              <w:jc w:val="both"/>
            </w:pPr>
          </w:p>
          <w:p w14:paraId="4D0AF00C" w14:textId="77777777" w:rsidR="000560CB" w:rsidRPr="00802ABE" w:rsidRDefault="000560CB" w:rsidP="000560CB">
            <w:pPr>
              <w:numPr>
                <w:ilvl w:val="0"/>
                <w:numId w:val="20"/>
              </w:numPr>
              <w:contextualSpacing/>
              <w:jc w:val="both"/>
            </w:pPr>
            <w:r w:rsidRPr="00802ABE">
              <w:t>A Technical Proposal: (</w:t>
            </w:r>
            <w:proofErr w:type="spellStart"/>
            <w:r w:rsidRPr="00802ABE">
              <w:t>i</w:t>
            </w:r>
            <w:proofErr w:type="spellEnd"/>
            <w:r w:rsidRPr="00802ABE">
              <w:t>) Letter of Interest, stating why you consider your service suitable for the assignment; and (ii) a brief methodology on the approach and implementation of the assignment, including broad time-frame (phases), and well-defined deliverables in relation to the scope of work, the costs per deliverable(s);</w:t>
            </w:r>
          </w:p>
          <w:p w14:paraId="37A7DEE4" w14:textId="5B6B5825" w:rsidR="000560CB" w:rsidRPr="00802ABE" w:rsidRDefault="000560CB" w:rsidP="000560CB">
            <w:pPr>
              <w:numPr>
                <w:ilvl w:val="0"/>
                <w:numId w:val="20"/>
              </w:numPr>
              <w:contextualSpacing/>
              <w:jc w:val="both"/>
            </w:pPr>
            <w:r w:rsidRPr="00802ABE">
              <w:t xml:space="preserve">Evidence and examples of similar </w:t>
            </w:r>
            <w:r w:rsidR="00956F35" w:rsidRPr="00802ABE">
              <w:t>work done</w:t>
            </w:r>
            <w:r w:rsidRPr="00802ABE">
              <w:t>;</w:t>
            </w:r>
          </w:p>
          <w:p w14:paraId="3E1EA533" w14:textId="77777777" w:rsidR="000560CB" w:rsidRPr="00802ABE" w:rsidRDefault="000560CB" w:rsidP="000560CB">
            <w:pPr>
              <w:numPr>
                <w:ilvl w:val="0"/>
                <w:numId w:val="20"/>
              </w:numPr>
              <w:contextualSpacing/>
              <w:jc w:val="both"/>
            </w:pPr>
            <w:r w:rsidRPr="00802ABE">
              <w:t xml:space="preserve">Personal CVs highlighting qualifications and experience in similar projects; </w:t>
            </w:r>
          </w:p>
          <w:p w14:paraId="38B45D3C" w14:textId="77777777" w:rsidR="000560CB" w:rsidRPr="00802ABE" w:rsidRDefault="000560CB" w:rsidP="000560CB">
            <w:pPr>
              <w:numPr>
                <w:ilvl w:val="0"/>
                <w:numId w:val="20"/>
              </w:numPr>
              <w:contextualSpacing/>
              <w:jc w:val="both"/>
            </w:pPr>
            <w:r w:rsidRPr="00802ABE">
              <w:t xml:space="preserve">Work references - contact details (e-mail addresses) of referees (organization for whom you’ve produced similar assignments); </w:t>
            </w:r>
          </w:p>
          <w:p w14:paraId="65AA9D5A" w14:textId="55ABF20A" w:rsidR="0065710B" w:rsidRPr="00802ABE" w:rsidRDefault="000560CB" w:rsidP="000560CB">
            <w:pPr>
              <w:numPr>
                <w:ilvl w:val="0"/>
                <w:numId w:val="20"/>
              </w:numPr>
              <w:contextualSpacing/>
              <w:jc w:val="both"/>
              <w:rPr>
                <w:rFonts w:eastAsia="Calibri"/>
              </w:rPr>
            </w:pPr>
            <w:r w:rsidRPr="00802ABE">
              <w:t>All-inclusive financial proposal indicating consultancy fee (South African Rand) and a breakdown of expenses (unit price together with any other expenses) related to the assignment. The proposal must incorporate all travel costs for the service provider to achieve the required deliverables.</w:t>
            </w:r>
          </w:p>
        </w:tc>
      </w:tr>
    </w:tbl>
    <w:p w14:paraId="65AA9D5C" w14:textId="04F9652D" w:rsidR="003836C0" w:rsidRDefault="003836C0" w:rsidP="0033411B">
      <w:pPr>
        <w:autoSpaceDE w:val="0"/>
        <w:autoSpaceDN w:val="0"/>
        <w:adjustRightInd w:val="0"/>
        <w:spacing w:after="0" w:line="240" w:lineRule="auto"/>
        <w:rPr>
          <w:rFonts w:cs="Calibri"/>
          <w:b/>
        </w:rPr>
      </w:pPr>
    </w:p>
    <w:p w14:paraId="65AA9D5D" w14:textId="77777777" w:rsidR="0065710B" w:rsidRPr="00802ABE" w:rsidRDefault="0065710B" w:rsidP="0033411B">
      <w:pPr>
        <w:autoSpaceDE w:val="0"/>
        <w:autoSpaceDN w:val="0"/>
        <w:adjustRightInd w:val="0"/>
        <w:spacing w:after="0" w:line="240" w:lineRule="auto"/>
        <w:rPr>
          <w:rFonts w:cs="Calibri"/>
          <w:b/>
        </w:rPr>
      </w:pPr>
    </w:p>
    <w:p w14:paraId="65AA9D5E" w14:textId="77777777" w:rsidR="0033411B" w:rsidRPr="00802ABE" w:rsidRDefault="00FE7C9D" w:rsidP="00A6756E">
      <w:pPr>
        <w:autoSpaceDE w:val="0"/>
        <w:autoSpaceDN w:val="0"/>
        <w:adjustRightInd w:val="0"/>
        <w:spacing w:after="0" w:line="240" w:lineRule="auto"/>
        <w:rPr>
          <w:rFonts w:cs="Calibri"/>
          <w:b/>
        </w:rPr>
      </w:pPr>
      <w:r w:rsidRPr="00802ABE">
        <w:rPr>
          <w:rFonts w:cs="Calibri"/>
          <w:b/>
        </w:rPr>
        <w:t xml:space="preserve">5. </w:t>
      </w:r>
      <w:r w:rsidR="0001012F" w:rsidRPr="00802ABE">
        <w:rPr>
          <w:rFonts w:cs="Calibri"/>
          <w:b/>
        </w:rPr>
        <w:t>FINANCIAL PROPOSAL</w:t>
      </w:r>
    </w:p>
    <w:tbl>
      <w:tblPr>
        <w:tblStyle w:val="TableGrid"/>
        <w:tblW w:w="0" w:type="auto"/>
        <w:tblLook w:val="04A0" w:firstRow="1" w:lastRow="0" w:firstColumn="1" w:lastColumn="0" w:noHBand="0" w:noVBand="1"/>
      </w:tblPr>
      <w:tblGrid>
        <w:gridCol w:w="9350"/>
      </w:tblGrid>
      <w:tr w:rsidR="00443E94" w:rsidRPr="00802ABE" w14:paraId="65AA9D69" w14:textId="77777777" w:rsidTr="00443E94">
        <w:tc>
          <w:tcPr>
            <w:tcW w:w="9576" w:type="dxa"/>
          </w:tcPr>
          <w:p w14:paraId="65AA9D60" w14:textId="77777777" w:rsidR="0065710B" w:rsidRPr="00802ABE" w:rsidRDefault="0065710B" w:rsidP="0065710B">
            <w:pPr>
              <w:pStyle w:val="ListParagraph"/>
              <w:numPr>
                <w:ilvl w:val="0"/>
                <w:numId w:val="5"/>
              </w:numPr>
              <w:autoSpaceDE w:val="0"/>
              <w:autoSpaceDN w:val="0"/>
              <w:adjustRightInd w:val="0"/>
              <w:rPr>
                <w:rFonts w:cs="Arial"/>
                <w:b/>
                <w:sz w:val="20"/>
                <w:szCs w:val="20"/>
              </w:rPr>
            </w:pPr>
            <w:r w:rsidRPr="00802ABE">
              <w:rPr>
                <w:rFonts w:cs="Arial"/>
                <w:b/>
                <w:sz w:val="20"/>
                <w:szCs w:val="20"/>
              </w:rPr>
              <w:t>Lump sum contracts</w:t>
            </w:r>
          </w:p>
          <w:p w14:paraId="26783868" w14:textId="0EDD1C64" w:rsidR="00802ABE" w:rsidRPr="00802ABE" w:rsidRDefault="0065710B" w:rsidP="0065710B">
            <w:pPr>
              <w:spacing w:line="288" w:lineRule="auto"/>
              <w:jc w:val="both"/>
            </w:pPr>
            <w:r w:rsidRPr="00802ABE">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r w:rsidR="00DB0EB6" w:rsidRPr="00802ABE">
              <w:t>.</w:t>
            </w:r>
          </w:p>
          <w:p w14:paraId="65AA9D66" w14:textId="7F1CF58B" w:rsidR="0065710B" w:rsidRPr="00802ABE" w:rsidRDefault="0065710B" w:rsidP="0065710B">
            <w:pPr>
              <w:spacing w:line="288" w:lineRule="auto"/>
              <w:jc w:val="both"/>
              <w:rPr>
                <w:b/>
                <w:u w:val="single"/>
              </w:rPr>
            </w:pPr>
            <w:r w:rsidRPr="00802ABE">
              <w:rPr>
                <w:b/>
                <w:u w:val="single"/>
              </w:rPr>
              <w:t>Travel;</w:t>
            </w:r>
          </w:p>
          <w:p w14:paraId="65AA9D67" w14:textId="77777777" w:rsidR="0065710B" w:rsidRPr="00802ABE" w:rsidRDefault="0065710B" w:rsidP="0065710B">
            <w:pPr>
              <w:spacing w:line="288" w:lineRule="auto"/>
              <w:jc w:val="both"/>
            </w:pPr>
            <w:r w:rsidRPr="00802ABE">
              <w:rPr>
                <w:u w:val="single"/>
              </w:rPr>
              <w:t>All envisaged travel costs must be included in the financial proposal</w:t>
            </w:r>
            <w:r w:rsidRPr="00802ABE">
              <w:t>. This includes all travel to join duty station/repatriation travel.  In general, UNDP should not accept travel costs exceeding those of an economy class ticket. Should the IC wish to travel on a higher class he/she should do so using their own resources.</w:t>
            </w:r>
          </w:p>
          <w:p w14:paraId="65AA9D68" w14:textId="77777777" w:rsidR="0065710B" w:rsidRPr="00802ABE" w:rsidRDefault="0065710B" w:rsidP="0065710B">
            <w:pPr>
              <w:spacing w:line="288" w:lineRule="auto"/>
              <w:jc w:val="both"/>
            </w:pPr>
            <w:r w:rsidRPr="00802ABE">
              <w:t>In the case of unforeseeable travel, payment of travel costs including tickets, lodging and terminal expenses should be agreed upon, between the respective business unit and Individual Consultant, prior to travel and will be reimbursed</w:t>
            </w:r>
          </w:p>
        </w:tc>
      </w:tr>
    </w:tbl>
    <w:p w14:paraId="65C6C8F2" w14:textId="77777777" w:rsidR="00802ABE" w:rsidRPr="00802ABE" w:rsidRDefault="00802ABE" w:rsidP="00A24134">
      <w:pPr>
        <w:rPr>
          <w:b/>
        </w:rPr>
      </w:pPr>
    </w:p>
    <w:p w14:paraId="65AA9D6B" w14:textId="6D18A6E0" w:rsidR="00E94857" w:rsidRPr="00802ABE" w:rsidRDefault="00FE7C9D" w:rsidP="00A24134">
      <w:pPr>
        <w:rPr>
          <w:b/>
        </w:rPr>
      </w:pPr>
      <w:r w:rsidRPr="00802ABE">
        <w:rPr>
          <w:b/>
        </w:rPr>
        <w:t>6</w:t>
      </w:r>
      <w:r w:rsidR="00E94857" w:rsidRPr="00802ABE">
        <w:rPr>
          <w:b/>
        </w:rPr>
        <w:t>. EVALUATION</w:t>
      </w:r>
    </w:p>
    <w:tbl>
      <w:tblPr>
        <w:tblStyle w:val="TableGrid"/>
        <w:tblW w:w="0" w:type="auto"/>
        <w:tblLook w:val="04A0" w:firstRow="1" w:lastRow="0" w:firstColumn="1" w:lastColumn="0" w:noHBand="0" w:noVBand="1"/>
      </w:tblPr>
      <w:tblGrid>
        <w:gridCol w:w="9350"/>
      </w:tblGrid>
      <w:tr w:rsidR="00443E94" w:rsidRPr="00802ABE" w14:paraId="65AA9D99" w14:textId="77777777" w:rsidTr="00443E94">
        <w:tc>
          <w:tcPr>
            <w:tcW w:w="9576" w:type="dxa"/>
          </w:tcPr>
          <w:p w14:paraId="2F953DAA" w14:textId="67C3D4FB" w:rsidR="007C3DB1" w:rsidRPr="00802ABE" w:rsidRDefault="008238EF" w:rsidP="007C3DB1">
            <w:pPr>
              <w:rPr>
                <w:u w:val="single"/>
              </w:rPr>
            </w:pPr>
            <w:proofErr w:type="spellStart"/>
            <w:r w:rsidRPr="00802ABE">
              <w:rPr>
                <w:rFonts w:eastAsia="Times New Roman" w:cs="Times New Roman"/>
                <w:snapToGrid w:val="0"/>
                <w:sz w:val="20"/>
                <w:szCs w:val="20"/>
                <w:u w:val="single"/>
              </w:rPr>
              <w:t>i</w:t>
            </w:r>
            <w:bookmarkStart w:id="0" w:name="_Hlk19881460"/>
            <w:proofErr w:type="spellEnd"/>
            <w:r w:rsidRPr="00802ABE">
              <w:rPr>
                <w:rFonts w:eastAsia="Times New Roman" w:cs="Times New Roman"/>
                <w:snapToGrid w:val="0"/>
                <w:sz w:val="20"/>
                <w:szCs w:val="20"/>
                <w:u w:val="single"/>
              </w:rPr>
              <w:t>.</w:t>
            </w:r>
            <w:r w:rsidR="00AD32FF">
              <w:rPr>
                <w:rFonts w:eastAsia="Times New Roman" w:cs="Times New Roman"/>
                <w:snapToGrid w:val="0"/>
                <w:sz w:val="20"/>
                <w:szCs w:val="20"/>
                <w:u w:val="single"/>
              </w:rPr>
              <w:t xml:space="preserve"> Award </w:t>
            </w:r>
            <w:r w:rsidR="00840982">
              <w:rPr>
                <w:rFonts w:eastAsia="Times New Roman" w:cs="Times New Roman"/>
                <w:snapToGrid w:val="0"/>
                <w:sz w:val="20"/>
                <w:szCs w:val="20"/>
                <w:u w:val="single"/>
              </w:rPr>
              <w:t>–</w:t>
            </w:r>
            <w:r w:rsidR="00AD32FF">
              <w:rPr>
                <w:rFonts w:eastAsia="Times New Roman" w:cs="Times New Roman"/>
                <w:snapToGrid w:val="0"/>
                <w:sz w:val="20"/>
                <w:szCs w:val="20"/>
                <w:u w:val="single"/>
              </w:rPr>
              <w:t xml:space="preserve"> </w:t>
            </w:r>
            <w:r w:rsidR="00840982">
              <w:rPr>
                <w:rFonts w:eastAsia="Times New Roman" w:cs="Times New Roman"/>
                <w:snapToGrid w:val="0"/>
                <w:sz w:val="20"/>
                <w:szCs w:val="20"/>
                <w:u w:val="single"/>
              </w:rPr>
              <w:t xml:space="preserve">Lowest </w:t>
            </w:r>
            <w:proofErr w:type="gramStart"/>
            <w:r w:rsidR="00840982">
              <w:rPr>
                <w:rFonts w:eastAsia="Times New Roman" w:cs="Times New Roman"/>
                <w:snapToGrid w:val="0"/>
                <w:sz w:val="20"/>
                <w:szCs w:val="20"/>
                <w:u w:val="single"/>
              </w:rPr>
              <w:t>priced</w:t>
            </w:r>
            <w:r w:rsidR="00AD32FF">
              <w:rPr>
                <w:rFonts w:eastAsia="Times New Roman" w:cs="Times New Roman"/>
                <w:snapToGrid w:val="0"/>
                <w:sz w:val="20"/>
                <w:szCs w:val="20"/>
                <w:u w:val="single"/>
              </w:rPr>
              <w:t xml:space="preserve"> </w:t>
            </w:r>
            <w:r w:rsidR="007C3DB1" w:rsidRPr="00802ABE">
              <w:rPr>
                <w:u w:val="single"/>
              </w:rPr>
              <w:t xml:space="preserve"> technically</w:t>
            </w:r>
            <w:proofErr w:type="gramEnd"/>
            <w:r w:rsidR="007C3DB1" w:rsidRPr="00802ABE">
              <w:rPr>
                <w:u w:val="single"/>
              </w:rPr>
              <w:t xml:space="preserve"> </w:t>
            </w:r>
            <w:r w:rsidR="00840982">
              <w:rPr>
                <w:u w:val="single"/>
              </w:rPr>
              <w:t>qualified offer</w:t>
            </w:r>
          </w:p>
          <w:p w14:paraId="0B6B72B6" w14:textId="63C9816C" w:rsidR="007C3DB1" w:rsidRPr="00802ABE" w:rsidRDefault="007C3DB1" w:rsidP="007C3DB1">
            <w:r w:rsidRPr="00802ABE">
              <w:t>The award of a contract should be made to the individual consultant whose offer has been evaluated and determined as both:</w:t>
            </w:r>
          </w:p>
          <w:p w14:paraId="341C5C53" w14:textId="6800E6F6" w:rsidR="007C3DB1" w:rsidRPr="00802ABE" w:rsidRDefault="007C3DB1" w:rsidP="007C3DB1">
            <w:r w:rsidRPr="00802ABE">
              <w:t>a) responsive/compliant/acceptable,</w:t>
            </w:r>
          </w:p>
          <w:p w14:paraId="774F7A94" w14:textId="77777777" w:rsidR="00AD32FF" w:rsidRDefault="00AD32FF" w:rsidP="00AD32FF">
            <w:proofErr w:type="gramStart"/>
            <w:r>
              <w:t>(</w:t>
            </w:r>
            <w:r w:rsidRPr="00802ABE">
              <w:t xml:space="preserve"> </w:t>
            </w:r>
            <w:r w:rsidR="007C3DB1" w:rsidRPr="00802ABE">
              <w:t>“</w:t>
            </w:r>
            <w:proofErr w:type="gramEnd"/>
            <w:r w:rsidR="007C3DB1" w:rsidRPr="00802ABE">
              <w:t>responsive/compliant/acceptable” can be defined as fully meeting the TOR provided.</w:t>
            </w:r>
            <w:r>
              <w:t>)</w:t>
            </w:r>
          </w:p>
          <w:bookmarkEnd w:id="0"/>
          <w:p w14:paraId="108A79FC" w14:textId="77777777" w:rsidR="00AD32FF" w:rsidRDefault="00AD32FF" w:rsidP="00AD32FF">
            <w:pPr>
              <w:rPr>
                <w:rFonts w:ascii="Arial" w:hAnsi="Arial" w:cs="Arial"/>
                <w:sz w:val="18"/>
                <w:szCs w:val="20"/>
                <w:lang w:val="en-AU"/>
              </w:rPr>
            </w:pPr>
          </w:p>
          <w:tbl>
            <w:tblPr>
              <w:tblW w:w="934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9"/>
              <w:gridCol w:w="991"/>
              <w:gridCol w:w="1579"/>
            </w:tblGrid>
            <w:tr w:rsidR="00840982" w:rsidRPr="008A5DFC" w14:paraId="19C655F7" w14:textId="77777777" w:rsidTr="0095017D">
              <w:trPr>
                <w:trHeight w:val="274"/>
              </w:trPr>
              <w:tc>
                <w:tcPr>
                  <w:tcW w:w="6779" w:type="dxa"/>
                  <w:shd w:val="clear" w:color="auto" w:fill="D9D9D9"/>
                </w:tcPr>
                <w:p w14:paraId="4E5A21FB" w14:textId="77777777" w:rsidR="00840982" w:rsidRPr="008A5DFC" w:rsidRDefault="00840982" w:rsidP="00840982">
                  <w:pPr>
                    <w:jc w:val="both"/>
                    <w:rPr>
                      <w:rFonts w:ascii="Gill Sans MT" w:hAnsi="Gill Sans MT" w:cs="Arial"/>
                      <w:b/>
                    </w:rPr>
                  </w:pPr>
                  <w:r w:rsidRPr="008A5DFC">
                    <w:rPr>
                      <w:rFonts w:ascii="Gill Sans MT" w:hAnsi="Gill Sans MT" w:cs="Arial"/>
                      <w:b/>
                    </w:rPr>
                    <w:t>Criteria</w:t>
                  </w:r>
                </w:p>
              </w:tc>
              <w:tc>
                <w:tcPr>
                  <w:tcW w:w="991" w:type="dxa"/>
                  <w:shd w:val="clear" w:color="auto" w:fill="D9D9D9"/>
                </w:tcPr>
                <w:p w14:paraId="72D67C0A" w14:textId="77777777" w:rsidR="00840982" w:rsidRPr="008A5DFC" w:rsidRDefault="00840982" w:rsidP="00840982">
                  <w:pPr>
                    <w:jc w:val="both"/>
                    <w:rPr>
                      <w:rFonts w:ascii="Gill Sans MT" w:hAnsi="Gill Sans MT" w:cs="Arial"/>
                      <w:b/>
                    </w:rPr>
                  </w:pPr>
                  <w:r w:rsidRPr="008A5DFC">
                    <w:rPr>
                      <w:rFonts w:ascii="Gill Sans MT" w:hAnsi="Gill Sans MT" w:cs="Arial"/>
                      <w:b/>
                    </w:rPr>
                    <w:t>Weight</w:t>
                  </w:r>
                </w:p>
              </w:tc>
              <w:tc>
                <w:tcPr>
                  <w:tcW w:w="1579" w:type="dxa"/>
                  <w:shd w:val="clear" w:color="auto" w:fill="D9D9D9"/>
                </w:tcPr>
                <w:p w14:paraId="29616E04" w14:textId="77777777" w:rsidR="00840982" w:rsidRPr="008A5DFC" w:rsidRDefault="00840982" w:rsidP="00840982">
                  <w:pPr>
                    <w:jc w:val="both"/>
                    <w:rPr>
                      <w:rFonts w:ascii="Gill Sans MT" w:hAnsi="Gill Sans MT" w:cs="Arial"/>
                      <w:b/>
                    </w:rPr>
                  </w:pPr>
                  <w:r w:rsidRPr="008A5DFC">
                    <w:rPr>
                      <w:rFonts w:ascii="Gill Sans MT" w:hAnsi="Gill Sans MT" w:cs="Arial"/>
                      <w:b/>
                    </w:rPr>
                    <w:t>Max. Point</w:t>
                  </w:r>
                </w:p>
              </w:tc>
            </w:tr>
            <w:tr w:rsidR="00840982" w:rsidRPr="008A5DFC" w14:paraId="287464E1" w14:textId="77777777" w:rsidTr="0095017D">
              <w:trPr>
                <w:trHeight w:val="565"/>
              </w:trPr>
              <w:tc>
                <w:tcPr>
                  <w:tcW w:w="6779" w:type="dxa"/>
                </w:tcPr>
                <w:p w14:paraId="68DC9548" w14:textId="77777777" w:rsidR="00840982" w:rsidRPr="008A5DFC" w:rsidRDefault="00840982" w:rsidP="00840982">
                  <w:pPr>
                    <w:jc w:val="both"/>
                    <w:rPr>
                      <w:rFonts w:ascii="Gill Sans MT" w:hAnsi="Gill Sans MT" w:cs="Arial"/>
                      <w:b/>
                    </w:rPr>
                  </w:pPr>
                  <w:r w:rsidRPr="008A5DFC">
                    <w:rPr>
                      <w:rFonts w:ascii="Gill Sans MT" w:hAnsi="Gill Sans MT" w:cs="Arial"/>
                      <w:b/>
                    </w:rPr>
                    <w:t xml:space="preserve">Technical Competence (based on CV) for 3 consultants </w:t>
                  </w:r>
                </w:p>
              </w:tc>
              <w:tc>
                <w:tcPr>
                  <w:tcW w:w="991" w:type="dxa"/>
                  <w:tcBorders>
                    <w:bottom w:val="single" w:sz="4" w:space="0" w:color="000000"/>
                  </w:tcBorders>
                </w:tcPr>
                <w:p w14:paraId="7157DFF7" w14:textId="77777777" w:rsidR="00840982" w:rsidRPr="008A5DFC" w:rsidRDefault="00840982" w:rsidP="00840982">
                  <w:pPr>
                    <w:jc w:val="both"/>
                    <w:rPr>
                      <w:rFonts w:ascii="Gill Sans MT" w:hAnsi="Gill Sans MT" w:cs="Arial"/>
                      <w:b/>
                    </w:rPr>
                  </w:pPr>
                  <w:r w:rsidRPr="008A5DFC">
                    <w:rPr>
                      <w:rFonts w:ascii="Gill Sans MT" w:hAnsi="Gill Sans MT" w:cs="Arial"/>
                      <w:b/>
                    </w:rPr>
                    <w:t>70%</w:t>
                  </w:r>
                </w:p>
              </w:tc>
              <w:tc>
                <w:tcPr>
                  <w:tcW w:w="1579" w:type="dxa"/>
                </w:tcPr>
                <w:p w14:paraId="53380DC0" w14:textId="77777777" w:rsidR="00840982" w:rsidRPr="008A5DFC" w:rsidRDefault="00840982" w:rsidP="00840982">
                  <w:pPr>
                    <w:jc w:val="both"/>
                    <w:rPr>
                      <w:rFonts w:ascii="Gill Sans MT" w:hAnsi="Gill Sans MT" w:cs="Arial"/>
                    </w:rPr>
                  </w:pPr>
                  <w:r w:rsidRPr="008A5DFC">
                    <w:rPr>
                      <w:rFonts w:ascii="Gill Sans MT" w:hAnsi="Gill Sans MT" w:cs="Arial"/>
                    </w:rPr>
                    <w:t>100</w:t>
                  </w:r>
                </w:p>
              </w:tc>
            </w:tr>
            <w:tr w:rsidR="00840982" w:rsidRPr="008A5DFC" w14:paraId="3145B975" w14:textId="77777777" w:rsidTr="0095017D">
              <w:trPr>
                <w:trHeight w:val="274"/>
              </w:trPr>
              <w:tc>
                <w:tcPr>
                  <w:tcW w:w="6779" w:type="dxa"/>
                </w:tcPr>
                <w:p w14:paraId="144ED552" w14:textId="77777777" w:rsidR="00840982" w:rsidRPr="008A5DFC" w:rsidRDefault="00840982" w:rsidP="00840982">
                  <w:pPr>
                    <w:jc w:val="both"/>
                    <w:rPr>
                      <w:rFonts w:ascii="Gill Sans MT" w:hAnsi="Gill Sans MT" w:cs="Arial"/>
                      <w:b/>
                    </w:rPr>
                  </w:pPr>
                  <w:r w:rsidRPr="008A5DFC">
                    <w:rPr>
                      <w:rFonts w:ascii="Gill Sans MT" w:hAnsi="Gill Sans MT" w:cs="Arial"/>
                      <w:b/>
                    </w:rPr>
                    <w:t xml:space="preserve">Qualification: </w:t>
                  </w:r>
                </w:p>
                <w:p w14:paraId="2F5A6C81" w14:textId="77777777" w:rsidR="00840982" w:rsidRPr="008A5DFC" w:rsidRDefault="00840982" w:rsidP="00840982">
                  <w:pPr>
                    <w:jc w:val="both"/>
                    <w:rPr>
                      <w:rFonts w:ascii="Gill Sans MT" w:hAnsi="Gill Sans MT" w:cs="Arial"/>
                    </w:rPr>
                  </w:pPr>
                  <w:r w:rsidRPr="008A5DFC">
                    <w:rPr>
                      <w:rFonts w:ascii="Gill Sans MT" w:hAnsi="Gill Sans MT" w:cs="Arial"/>
                    </w:rPr>
                    <w:t>A recognized Post graduate university qualification in financial management,</w:t>
                  </w:r>
                  <w:r>
                    <w:rPr>
                      <w:rFonts w:ascii="Gill Sans MT" w:hAnsi="Gill Sans MT" w:cs="Arial"/>
                    </w:rPr>
                    <w:t xml:space="preserve"> </w:t>
                  </w:r>
                  <w:r w:rsidRPr="008A5DFC">
                    <w:rPr>
                      <w:rFonts w:ascii="Gill Sans MT" w:hAnsi="Gill Sans MT" w:cs="Arial"/>
                    </w:rPr>
                    <w:t>economics or gender and dev</w:t>
                  </w:r>
                  <w:r>
                    <w:rPr>
                      <w:rFonts w:ascii="Gill Sans MT" w:hAnsi="Gill Sans MT" w:cs="Arial"/>
                    </w:rPr>
                    <w:t>e</w:t>
                  </w:r>
                  <w:r w:rsidRPr="008A5DFC">
                    <w:rPr>
                      <w:rFonts w:ascii="Gill Sans MT" w:hAnsi="Gill Sans MT" w:cs="Arial"/>
                    </w:rPr>
                    <w:t>lopment.  Additional qualification in gender analysis, development studies and</w:t>
                  </w:r>
                  <w:r>
                    <w:rPr>
                      <w:rFonts w:ascii="Gill Sans MT" w:hAnsi="Gill Sans MT" w:cs="Arial"/>
                    </w:rPr>
                    <w:t xml:space="preserve"> </w:t>
                  </w:r>
                  <w:r w:rsidRPr="008A5DFC">
                    <w:rPr>
                      <w:rFonts w:ascii="Gill Sans MT" w:hAnsi="Gill Sans MT" w:cs="Arial"/>
                    </w:rPr>
                    <w:t xml:space="preserve">statistics. </w:t>
                  </w:r>
                </w:p>
              </w:tc>
              <w:tc>
                <w:tcPr>
                  <w:tcW w:w="991" w:type="dxa"/>
                  <w:shd w:val="clear" w:color="auto" w:fill="D9D9D9"/>
                </w:tcPr>
                <w:p w14:paraId="3B014FCE" w14:textId="77777777" w:rsidR="00840982" w:rsidRPr="008A5DFC" w:rsidRDefault="00840982" w:rsidP="00840982">
                  <w:pPr>
                    <w:jc w:val="both"/>
                    <w:rPr>
                      <w:rFonts w:ascii="Gill Sans MT" w:hAnsi="Gill Sans MT" w:cs="Arial"/>
                      <w:b/>
                    </w:rPr>
                  </w:pPr>
                </w:p>
              </w:tc>
              <w:tc>
                <w:tcPr>
                  <w:tcW w:w="1579" w:type="dxa"/>
                </w:tcPr>
                <w:p w14:paraId="3C5F5B7E" w14:textId="77777777" w:rsidR="00840982" w:rsidRPr="008A5DFC" w:rsidRDefault="00840982" w:rsidP="00840982">
                  <w:pPr>
                    <w:jc w:val="both"/>
                    <w:rPr>
                      <w:rFonts w:ascii="Gill Sans MT" w:hAnsi="Gill Sans MT" w:cs="Arial"/>
                    </w:rPr>
                  </w:pPr>
                  <w:r w:rsidRPr="008A5DFC">
                    <w:rPr>
                      <w:rFonts w:ascii="Gill Sans MT" w:hAnsi="Gill Sans MT" w:cs="Arial"/>
                    </w:rPr>
                    <w:t>20</w:t>
                  </w:r>
                </w:p>
              </w:tc>
            </w:tr>
            <w:tr w:rsidR="00840982" w:rsidRPr="008A5DFC" w14:paraId="5B133C5F" w14:textId="77777777" w:rsidTr="0095017D">
              <w:trPr>
                <w:trHeight w:val="274"/>
              </w:trPr>
              <w:tc>
                <w:tcPr>
                  <w:tcW w:w="6779" w:type="dxa"/>
                </w:tcPr>
                <w:p w14:paraId="5AE87852" w14:textId="77777777" w:rsidR="00840982" w:rsidRPr="008A5DFC" w:rsidRDefault="00840982" w:rsidP="00840982">
                  <w:pPr>
                    <w:jc w:val="both"/>
                    <w:rPr>
                      <w:rFonts w:ascii="Gill Sans MT" w:hAnsi="Gill Sans MT" w:cs="Arial"/>
                    </w:rPr>
                  </w:pPr>
                  <w:r w:rsidRPr="008A5DFC">
                    <w:rPr>
                      <w:rFonts w:ascii="Gill Sans MT" w:hAnsi="Gill Sans MT" w:cs="Arial"/>
                      <w:lang w:val="en-GB"/>
                    </w:rPr>
                    <w:t xml:space="preserve">Demonstrate an understanding of the scope of work per the TOR as reflected in the project approach, methodology and outputs to be delivered.  </w:t>
                  </w:r>
                  <w:r w:rsidRPr="008A5DFC">
                    <w:rPr>
                      <w:rFonts w:ascii="Gill Sans MT" w:hAnsi="Gill Sans MT" w:cs="Arial"/>
                    </w:rPr>
                    <w:t xml:space="preserve">Evidence of similar work listed with links where possible. </w:t>
                  </w:r>
                </w:p>
              </w:tc>
              <w:tc>
                <w:tcPr>
                  <w:tcW w:w="991" w:type="dxa"/>
                  <w:shd w:val="clear" w:color="auto" w:fill="D9D9D9"/>
                </w:tcPr>
                <w:p w14:paraId="235CD22F" w14:textId="77777777" w:rsidR="00840982" w:rsidRPr="008A5DFC" w:rsidRDefault="00840982" w:rsidP="00840982">
                  <w:pPr>
                    <w:jc w:val="both"/>
                    <w:rPr>
                      <w:rFonts w:ascii="Gill Sans MT" w:hAnsi="Gill Sans MT" w:cs="Arial"/>
                      <w:b/>
                    </w:rPr>
                  </w:pPr>
                </w:p>
              </w:tc>
              <w:tc>
                <w:tcPr>
                  <w:tcW w:w="1579" w:type="dxa"/>
                </w:tcPr>
                <w:p w14:paraId="3AF81A3C" w14:textId="77777777" w:rsidR="00840982" w:rsidRPr="008A5DFC" w:rsidRDefault="00840982" w:rsidP="00840982">
                  <w:pPr>
                    <w:jc w:val="both"/>
                    <w:rPr>
                      <w:rFonts w:ascii="Gill Sans MT" w:hAnsi="Gill Sans MT" w:cs="Arial"/>
                    </w:rPr>
                  </w:pPr>
                  <w:r w:rsidRPr="008A5DFC">
                    <w:rPr>
                      <w:rFonts w:ascii="Gill Sans MT" w:hAnsi="Gill Sans MT" w:cs="Arial"/>
                    </w:rPr>
                    <w:t>30</w:t>
                  </w:r>
                </w:p>
              </w:tc>
            </w:tr>
            <w:tr w:rsidR="00840982" w:rsidRPr="008A5DFC" w14:paraId="765F1988" w14:textId="77777777" w:rsidTr="0095017D">
              <w:trPr>
                <w:trHeight w:val="274"/>
              </w:trPr>
              <w:tc>
                <w:tcPr>
                  <w:tcW w:w="6779" w:type="dxa"/>
                </w:tcPr>
                <w:p w14:paraId="0BFFFAC8" w14:textId="77777777" w:rsidR="00840982" w:rsidRPr="008A5DFC" w:rsidRDefault="00840982" w:rsidP="00840982">
                  <w:pPr>
                    <w:jc w:val="both"/>
                    <w:rPr>
                      <w:rFonts w:ascii="Gill Sans MT" w:hAnsi="Gill Sans MT" w:cs="Arial"/>
                    </w:rPr>
                  </w:pPr>
                  <w:r w:rsidRPr="008A5DFC">
                    <w:rPr>
                      <w:rFonts w:ascii="Gill Sans MT" w:hAnsi="Gill Sans MT" w:cs="Arial"/>
                    </w:rPr>
                    <w:t>Knowledge and experience of South African public finance management and operations.</w:t>
                  </w:r>
                </w:p>
              </w:tc>
              <w:tc>
                <w:tcPr>
                  <w:tcW w:w="991" w:type="dxa"/>
                  <w:shd w:val="clear" w:color="auto" w:fill="D9D9D9"/>
                </w:tcPr>
                <w:p w14:paraId="76447E34" w14:textId="77777777" w:rsidR="00840982" w:rsidRPr="008A5DFC" w:rsidRDefault="00840982" w:rsidP="00840982">
                  <w:pPr>
                    <w:jc w:val="both"/>
                    <w:rPr>
                      <w:rFonts w:ascii="Gill Sans MT" w:hAnsi="Gill Sans MT" w:cs="Arial"/>
                      <w:b/>
                    </w:rPr>
                  </w:pPr>
                </w:p>
              </w:tc>
              <w:tc>
                <w:tcPr>
                  <w:tcW w:w="1579" w:type="dxa"/>
                </w:tcPr>
                <w:p w14:paraId="3CAA8FE5" w14:textId="77777777" w:rsidR="00840982" w:rsidRPr="008A5DFC" w:rsidRDefault="00840982" w:rsidP="00840982">
                  <w:pPr>
                    <w:jc w:val="both"/>
                    <w:rPr>
                      <w:rFonts w:ascii="Gill Sans MT" w:hAnsi="Gill Sans MT" w:cs="Arial"/>
                    </w:rPr>
                  </w:pPr>
                  <w:r w:rsidRPr="008A5DFC">
                    <w:rPr>
                      <w:rFonts w:ascii="Gill Sans MT" w:hAnsi="Gill Sans MT" w:cs="Arial"/>
                    </w:rPr>
                    <w:t>20</w:t>
                  </w:r>
                </w:p>
              </w:tc>
            </w:tr>
          </w:tbl>
          <w:p w14:paraId="65AA9D98" w14:textId="77777777" w:rsidR="00443E94" w:rsidRPr="00802ABE" w:rsidRDefault="00443E94" w:rsidP="00A24134">
            <w:pPr>
              <w:rPr>
                <w:b/>
              </w:rPr>
            </w:pPr>
            <w:bookmarkStart w:id="1" w:name="_GoBack"/>
            <w:bookmarkEnd w:id="1"/>
          </w:p>
        </w:tc>
      </w:tr>
    </w:tbl>
    <w:p w14:paraId="65AA9D9B" w14:textId="2A46E459" w:rsidR="00EA50D0" w:rsidRPr="00802ABE" w:rsidRDefault="00956F35" w:rsidP="00A24134">
      <w:pPr>
        <w:rPr>
          <w:b/>
          <w:sz w:val="24"/>
          <w:szCs w:val="24"/>
          <w:u w:val="single"/>
        </w:rPr>
      </w:pPr>
      <w:r w:rsidRPr="00802ABE">
        <w:rPr>
          <w:b/>
          <w:sz w:val="24"/>
          <w:szCs w:val="24"/>
          <w:u w:val="single"/>
        </w:rPr>
        <w:t>ATTACHEMENTS TO THIS NOTICE:</w:t>
      </w:r>
    </w:p>
    <w:p w14:paraId="65AA9D9C" w14:textId="5E8C1CD0" w:rsidR="00103276" w:rsidRPr="00802ABE" w:rsidRDefault="00103276" w:rsidP="00956F35">
      <w:pPr>
        <w:pStyle w:val="ListParagraph"/>
        <w:numPr>
          <w:ilvl w:val="0"/>
          <w:numId w:val="28"/>
        </w:numPr>
        <w:rPr>
          <w:b/>
          <w:sz w:val="24"/>
          <w:szCs w:val="24"/>
          <w:u w:val="single"/>
        </w:rPr>
      </w:pPr>
      <w:r w:rsidRPr="00802ABE">
        <w:rPr>
          <w:b/>
        </w:rPr>
        <w:t xml:space="preserve"> TERMS OF REFERENCES (TOR</w:t>
      </w:r>
      <w:r w:rsidR="00ED649B" w:rsidRPr="00802ABE">
        <w:rPr>
          <w:b/>
        </w:rPr>
        <w:t>)</w:t>
      </w:r>
      <w:r w:rsidR="007650C2" w:rsidRPr="00802ABE">
        <w:rPr>
          <w:b/>
        </w:rPr>
        <w:t xml:space="preserve"> </w:t>
      </w:r>
    </w:p>
    <w:p w14:paraId="65AA9D9D" w14:textId="7A4D2107" w:rsidR="00103276" w:rsidRPr="00802ABE" w:rsidRDefault="00103276" w:rsidP="00956F35">
      <w:pPr>
        <w:pStyle w:val="ListParagraph"/>
        <w:numPr>
          <w:ilvl w:val="0"/>
          <w:numId w:val="28"/>
        </w:numPr>
        <w:rPr>
          <w:b/>
        </w:rPr>
      </w:pPr>
      <w:r w:rsidRPr="00802ABE">
        <w:rPr>
          <w:b/>
        </w:rPr>
        <w:t xml:space="preserve"> INDIVIDUAL CONSULTANT GENERAL TERMS AND CONDITIONS </w:t>
      </w:r>
    </w:p>
    <w:p w14:paraId="1882601F" w14:textId="1C6F8735" w:rsidR="00956F35" w:rsidRPr="00802ABE" w:rsidRDefault="00956F35" w:rsidP="00956F35">
      <w:pPr>
        <w:pStyle w:val="ListParagraph"/>
        <w:numPr>
          <w:ilvl w:val="0"/>
          <w:numId w:val="28"/>
        </w:numPr>
        <w:rPr>
          <w:b/>
        </w:rPr>
      </w:pPr>
      <w:r w:rsidRPr="00802ABE">
        <w:rPr>
          <w:b/>
        </w:rPr>
        <w:t>CONFIRMATION OF INTEREST AND SUBMISSION OF FINANCIAL PROPOSAL</w:t>
      </w:r>
    </w:p>
    <w:sectPr w:rsidR="00956F35" w:rsidRPr="00802ABE"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87F5B" w14:textId="77777777" w:rsidR="00CE2896" w:rsidRDefault="00CE2896" w:rsidP="00A24134">
      <w:pPr>
        <w:spacing w:after="0" w:line="240" w:lineRule="auto"/>
      </w:pPr>
      <w:r>
        <w:separator/>
      </w:r>
    </w:p>
  </w:endnote>
  <w:endnote w:type="continuationSeparator" w:id="0">
    <w:p w14:paraId="3CD81175" w14:textId="77777777" w:rsidR="00CE2896" w:rsidRDefault="00CE2896"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10252" w14:textId="77777777" w:rsidR="00CE2896" w:rsidRDefault="00CE2896" w:rsidP="00A24134">
      <w:pPr>
        <w:spacing w:after="0" w:line="240" w:lineRule="auto"/>
      </w:pPr>
      <w:r>
        <w:separator/>
      </w:r>
    </w:p>
  </w:footnote>
  <w:footnote w:type="continuationSeparator" w:id="0">
    <w:p w14:paraId="453B0954" w14:textId="77777777" w:rsidR="00CE2896" w:rsidRDefault="00CE2896"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4.8pt;height:4.8pt" o:bullet="t">
        <v:imagedata r:id="rId1" o:title="bullet"/>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017251C"/>
    <w:multiLevelType w:val="hybridMultilevel"/>
    <w:tmpl w:val="C91E3A6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0D65193"/>
    <w:multiLevelType w:val="hybridMultilevel"/>
    <w:tmpl w:val="7F2A0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3658A"/>
    <w:multiLevelType w:val="hybridMultilevel"/>
    <w:tmpl w:val="D9F2A88E"/>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11EA7DCA"/>
    <w:multiLevelType w:val="hybridMultilevel"/>
    <w:tmpl w:val="FEC684B0"/>
    <w:lvl w:ilvl="0" w:tplc="774892CC">
      <w:start w:val="1"/>
      <w:numFmt w:val="bullet"/>
      <w:lvlText w:val=""/>
      <w:lvlJc w:val="left"/>
      <w:pPr>
        <w:ind w:left="720" w:hanging="360"/>
      </w:pPr>
      <w:rPr>
        <w:rFonts w:ascii="Symbol" w:eastAsia="Calibri" w:hAnsi="Symbol" w:cs="Arial"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70D9D"/>
    <w:multiLevelType w:val="multilevel"/>
    <w:tmpl w:val="6216511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ascii="Gill Sans MT" w:hAnsi="Gill Sans MT" w:cs="Arial"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D8C4281"/>
    <w:multiLevelType w:val="hybridMultilevel"/>
    <w:tmpl w:val="380EDDF2"/>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9" w15:restartNumberingAfterBreak="0">
    <w:nsid w:val="22B359D8"/>
    <w:multiLevelType w:val="multilevel"/>
    <w:tmpl w:val="E35E49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PicBulletId w:val="3"/>
      <w:lvlJc w:val="left"/>
      <w:pPr>
        <w:tabs>
          <w:tab w:val="num" w:pos="1080"/>
        </w:tabs>
        <w:ind w:left="1080" w:hanging="360"/>
      </w:pPr>
      <w:rPr>
        <w:rFonts w:ascii="Courier New" w:hAnsi="Courier New" w:hint="default"/>
        <w:sz w:val="20"/>
      </w:rPr>
    </w:lvl>
    <w:lvl w:ilvl="2" w:tentative="1">
      <w:start w:val="1"/>
      <w:numFmt w:val="bullet"/>
      <w:lvlText w:val=""/>
      <w:lvlPicBulletId w:val="4"/>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3470E05"/>
    <w:multiLevelType w:val="hybridMultilevel"/>
    <w:tmpl w:val="8FAC33F0"/>
    <w:lvl w:ilvl="0" w:tplc="1C09000F">
      <w:start w:val="6"/>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26D444F1"/>
    <w:multiLevelType w:val="multilevel"/>
    <w:tmpl w:val="418E5AE2"/>
    <w:lvl w:ilvl="0">
      <w:start w:val="3"/>
      <w:numFmt w:val="decimal"/>
      <w:lvlText w:val="%1"/>
      <w:lvlJc w:val="left"/>
      <w:pPr>
        <w:ind w:left="360" w:hanging="360"/>
      </w:pPr>
      <w:rPr>
        <w:rFonts w:hint="default"/>
        <w:color w:val="000000"/>
        <w:u w:val="none"/>
      </w:rPr>
    </w:lvl>
    <w:lvl w:ilvl="1">
      <w:start w:val="2"/>
      <w:numFmt w:val="decimal"/>
      <w:lvlText w:val="%1.%2"/>
      <w:lvlJc w:val="left"/>
      <w:pPr>
        <w:ind w:left="720" w:hanging="360"/>
      </w:pPr>
      <w:rPr>
        <w:rFonts w:hint="default"/>
        <w:color w:val="000000"/>
        <w:u w:val="none"/>
      </w:rPr>
    </w:lvl>
    <w:lvl w:ilvl="2">
      <w:start w:val="1"/>
      <w:numFmt w:val="decimal"/>
      <w:lvlText w:val="%1.%2.%3"/>
      <w:lvlJc w:val="left"/>
      <w:pPr>
        <w:ind w:left="1440" w:hanging="720"/>
      </w:pPr>
      <w:rPr>
        <w:rFonts w:hint="default"/>
        <w:color w:val="000000"/>
        <w:u w:val="none"/>
      </w:rPr>
    </w:lvl>
    <w:lvl w:ilvl="3">
      <w:start w:val="1"/>
      <w:numFmt w:val="decimal"/>
      <w:lvlText w:val="%1.%2.%3.%4"/>
      <w:lvlJc w:val="left"/>
      <w:pPr>
        <w:ind w:left="1800" w:hanging="720"/>
      </w:pPr>
      <w:rPr>
        <w:rFonts w:hint="default"/>
        <w:color w:val="000000"/>
        <w:u w:val="none"/>
      </w:rPr>
    </w:lvl>
    <w:lvl w:ilvl="4">
      <w:start w:val="1"/>
      <w:numFmt w:val="decimal"/>
      <w:lvlText w:val="%1.%2.%3.%4.%5"/>
      <w:lvlJc w:val="left"/>
      <w:pPr>
        <w:ind w:left="2160" w:hanging="720"/>
      </w:pPr>
      <w:rPr>
        <w:rFonts w:hint="default"/>
        <w:color w:val="000000"/>
        <w:u w:val="none"/>
      </w:rPr>
    </w:lvl>
    <w:lvl w:ilvl="5">
      <w:start w:val="1"/>
      <w:numFmt w:val="decimal"/>
      <w:lvlText w:val="%1.%2.%3.%4.%5.%6"/>
      <w:lvlJc w:val="left"/>
      <w:pPr>
        <w:ind w:left="2880" w:hanging="1080"/>
      </w:pPr>
      <w:rPr>
        <w:rFonts w:hint="default"/>
        <w:color w:val="000000"/>
        <w:u w:val="none"/>
      </w:rPr>
    </w:lvl>
    <w:lvl w:ilvl="6">
      <w:start w:val="1"/>
      <w:numFmt w:val="decimal"/>
      <w:lvlText w:val="%1.%2.%3.%4.%5.%6.%7"/>
      <w:lvlJc w:val="left"/>
      <w:pPr>
        <w:ind w:left="3240" w:hanging="1080"/>
      </w:pPr>
      <w:rPr>
        <w:rFonts w:hint="default"/>
        <w:color w:val="000000"/>
        <w:u w:val="none"/>
      </w:rPr>
    </w:lvl>
    <w:lvl w:ilvl="7">
      <w:start w:val="1"/>
      <w:numFmt w:val="decimal"/>
      <w:lvlText w:val="%1.%2.%3.%4.%5.%6.%7.%8"/>
      <w:lvlJc w:val="left"/>
      <w:pPr>
        <w:ind w:left="3960" w:hanging="1440"/>
      </w:pPr>
      <w:rPr>
        <w:rFonts w:hint="default"/>
        <w:color w:val="000000"/>
        <w:u w:val="none"/>
      </w:rPr>
    </w:lvl>
    <w:lvl w:ilvl="8">
      <w:start w:val="1"/>
      <w:numFmt w:val="decimal"/>
      <w:lvlText w:val="%1.%2.%3.%4.%5.%6.%7.%8.%9"/>
      <w:lvlJc w:val="left"/>
      <w:pPr>
        <w:ind w:left="4320" w:hanging="1440"/>
      </w:pPr>
      <w:rPr>
        <w:rFonts w:hint="default"/>
        <w:color w:val="000000"/>
        <w:u w:val="none"/>
      </w:rPr>
    </w:lvl>
  </w:abstractNum>
  <w:abstractNum w:abstractNumId="12" w15:restartNumberingAfterBreak="0">
    <w:nsid w:val="2E496CD4"/>
    <w:multiLevelType w:val="hybridMultilevel"/>
    <w:tmpl w:val="97F0448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1333940"/>
    <w:multiLevelType w:val="hybridMultilevel"/>
    <w:tmpl w:val="2806CD9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1350CC0"/>
    <w:multiLevelType w:val="hybridMultilevel"/>
    <w:tmpl w:val="B46E83D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59C5BAB"/>
    <w:multiLevelType w:val="multilevel"/>
    <w:tmpl w:val="174E51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B32CEC"/>
    <w:multiLevelType w:val="hybridMultilevel"/>
    <w:tmpl w:val="37809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1E588C"/>
    <w:multiLevelType w:val="hybridMultilevel"/>
    <w:tmpl w:val="38EAF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E719C"/>
    <w:multiLevelType w:val="multilevel"/>
    <w:tmpl w:val="7CD4377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508754F"/>
    <w:multiLevelType w:val="hybridMultilevel"/>
    <w:tmpl w:val="4920B4DE"/>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51C25696"/>
    <w:multiLevelType w:val="multilevel"/>
    <w:tmpl w:val="B85ADAA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63E6D"/>
    <w:multiLevelType w:val="hybridMultilevel"/>
    <w:tmpl w:val="28D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B55086"/>
    <w:multiLevelType w:val="hybridMultilevel"/>
    <w:tmpl w:val="04B83F14"/>
    <w:lvl w:ilvl="0" w:tplc="1C090017">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5" w15:restartNumberingAfterBreak="0">
    <w:nsid w:val="59793796"/>
    <w:multiLevelType w:val="hybridMultilevel"/>
    <w:tmpl w:val="85B275BE"/>
    <w:lvl w:ilvl="0" w:tplc="568A4628">
      <w:start w:val="1"/>
      <w:numFmt w:val="lowerRoman"/>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D53CB"/>
    <w:multiLevelType w:val="hybridMultilevel"/>
    <w:tmpl w:val="8E3E4DFC"/>
    <w:lvl w:ilvl="0" w:tplc="FAFAEF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2F762DB"/>
    <w:multiLevelType w:val="hybridMultilevel"/>
    <w:tmpl w:val="41D61BA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941390B"/>
    <w:multiLevelType w:val="hybridMultilevel"/>
    <w:tmpl w:val="4A061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DC6E3B"/>
    <w:multiLevelType w:val="hybridMultilevel"/>
    <w:tmpl w:val="56381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AE585A"/>
    <w:multiLevelType w:val="multilevel"/>
    <w:tmpl w:val="7A5CAD5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4D1CD9"/>
    <w:multiLevelType w:val="multilevel"/>
    <w:tmpl w:val="CA444D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F392F36"/>
    <w:multiLevelType w:val="hybridMultilevel"/>
    <w:tmpl w:val="C3B6BA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06F2933"/>
    <w:multiLevelType w:val="hybridMultilevel"/>
    <w:tmpl w:val="7624A7D6"/>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FE6BD6"/>
    <w:multiLevelType w:val="hybridMultilevel"/>
    <w:tmpl w:val="F1665B6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42F0DCD"/>
    <w:multiLevelType w:val="hybridMultilevel"/>
    <w:tmpl w:val="6900AD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C84B08"/>
    <w:multiLevelType w:val="hybridMultilevel"/>
    <w:tmpl w:val="5AA25FA6"/>
    <w:lvl w:ilvl="0" w:tplc="1C090005">
      <w:start w:val="1"/>
      <w:numFmt w:val="bullet"/>
      <w:lvlText w:val=""/>
      <w:lvlJc w:val="left"/>
      <w:pPr>
        <w:ind w:left="720" w:hanging="360"/>
      </w:pPr>
      <w:rPr>
        <w:rFonts w:ascii="Wingdings" w:hAnsi="Wingdings" w:hint="default"/>
      </w:rPr>
    </w:lvl>
    <w:lvl w:ilvl="1" w:tplc="04090003">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40" w15:restartNumberingAfterBreak="0">
    <w:nsid w:val="77E268FD"/>
    <w:multiLevelType w:val="hybridMultilevel"/>
    <w:tmpl w:val="01E285AC"/>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41" w15:restartNumberingAfterBreak="0">
    <w:nsid w:val="77F41FB5"/>
    <w:multiLevelType w:val="hybridMultilevel"/>
    <w:tmpl w:val="4BE8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762183"/>
    <w:multiLevelType w:val="hybridMultilevel"/>
    <w:tmpl w:val="F4F2AFF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num>
  <w:num w:numId="3">
    <w:abstractNumId w:val="32"/>
  </w:num>
  <w:num w:numId="4">
    <w:abstractNumId w:val="3"/>
  </w:num>
  <w:num w:numId="5">
    <w:abstractNumId w:val="22"/>
  </w:num>
  <w:num w:numId="6">
    <w:abstractNumId w:val="26"/>
  </w:num>
  <w:num w:numId="7">
    <w:abstractNumId w:val="36"/>
  </w:num>
  <w:num w:numId="8">
    <w:abstractNumId w:val="16"/>
  </w:num>
  <w:num w:numId="9">
    <w:abstractNumId w:val="30"/>
  </w:num>
  <w:num w:numId="10">
    <w:abstractNumId w:val="21"/>
  </w:num>
  <w:num w:numId="11">
    <w:abstractNumId w:val="38"/>
  </w:num>
  <w:num w:numId="12">
    <w:abstractNumId w:val="42"/>
  </w:num>
  <w:num w:numId="13">
    <w:abstractNumId w:val="18"/>
  </w:num>
  <w:num w:numId="14">
    <w:abstractNumId w:val="41"/>
  </w:num>
  <w:num w:numId="15">
    <w:abstractNumId w:val="27"/>
  </w:num>
  <w:num w:numId="16">
    <w:abstractNumId w:val="25"/>
  </w:num>
  <w:num w:numId="17">
    <w:abstractNumId w:val="2"/>
  </w:num>
  <w:num w:numId="18">
    <w:abstractNumId w:val="14"/>
  </w:num>
  <w:num w:numId="19">
    <w:abstractNumId w:val="0"/>
  </w:num>
  <w:num w:numId="20">
    <w:abstractNumId w:val="12"/>
  </w:num>
  <w:num w:numId="21">
    <w:abstractNumId w:val="9"/>
  </w:num>
  <w:num w:numId="22">
    <w:abstractNumId w:val="13"/>
  </w:num>
  <w:num w:numId="23">
    <w:abstractNumId w:val="39"/>
  </w:num>
  <w:num w:numId="24">
    <w:abstractNumId w:val="37"/>
  </w:num>
  <w:num w:numId="25">
    <w:abstractNumId w:val="28"/>
  </w:num>
  <w:num w:numId="26">
    <w:abstractNumId w:val="34"/>
  </w:num>
  <w:num w:numId="27">
    <w:abstractNumId w:val="31"/>
  </w:num>
  <w:num w:numId="28">
    <w:abstractNumId w:val="17"/>
  </w:num>
  <w:num w:numId="29">
    <w:abstractNumId w:val="15"/>
  </w:num>
  <w:num w:numId="30">
    <w:abstractNumId w:val="19"/>
  </w:num>
  <w:num w:numId="31">
    <w:abstractNumId w:val="33"/>
  </w:num>
  <w:num w:numId="32">
    <w:abstractNumId w:val="11"/>
  </w:num>
  <w:num w:numId="33">
    <w:abstractNumId w:val="23"/>
  </w:num>
  <w:num w:numId="34">
    <w:abstractNumId w:val="8"/>
  </w:num>
  <w:num w:numId="35">
    <w:abstractNumId w:val="29"/>
  </w:num>
  <w:num w:numId="36">
    <w:abstractNumId w:val="40"/>
  </w:num>
  <w:num w:numId="37">
    <w:abstractNumId w:val="24"/>
  </w:num>
  <w:num w:numId="38">
    <w:abstractNumId w:val="10"/>
  </w:num>
  <w:num w:numId="39">
    <w:abstractNumId w:val="35"/>
  </w:num>
  <w:num w:numId="40">
    <w:abstractNumId w:val="7"/>
  </w:num>
  <w:num w:numId="41">
    <w:abstractNumId w:val="5"/>
  </w:num>
  <w:num w:numId="42">
    <w:abstractNumId w:val="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3110"/>
    <w:rsid w:val="0001012F"/>
    <w:rsid w:val="00045641"/>
    <w:rsid w:val="000560CB"/>
    <w:rsid w:val="00057DA8"/>
    <w:rsid w:val="00086485"/>
    <w:rsid w:val="000964DE"/>
    <w:rsid w:val="000B08C4"/>
    <w:rsid w:val="000E2C6B"/>
    <w:rsid w:val="000E45E5"/>
    <w:rsid w:val="00103276"/>
    <w:rsid w:val="00134A66"/>
    <w:rsid w:val="001473B3"/>
    <w:rsid w:val="00180DF8"/>
    <w:rsid w:val="001A0DCE"/>
    <w:rsid w:val="001D471A"/>
    <w:rsid w:val="001E30BA"/>
    <w:rsid w:val="002223E0"/>
    <w:rsid w:val="00277DCC"/>
    <w:rsid w:val="00297012"/>
    <w:rsid w:val="002A1486"/>
    <w:rsid w:val="002B197A"/>
    <w:rsid w:val="002E2D6C"/>
    <w:rsid w:val="002F799A"/>
    <w:rsid w:val="0033411B"/>
    <w:rsid w:val="003702D4"/>
    <w:rsid w:val="003754C3"/>
    <w:rsid w:val="003812A9"/>
    <w:rsid w:val="003836C0"/>
    <w:rsid w:val="003A22D4"/>
    <w:rsid w:val="003B0C3C"/>
    <w:rsid w:val="003F0258"/>
    <w:rsid w:val="00432027"/>
    <w:rsid w:val="00440ECE"/>
    <w:rsid w:val="0044181C"/>
    <w:rsid w:val="00443E94"/>
    <w:rsid w:val="004758AA"/>
    <w:rsid w:val="00484719"/>
    <w:rsid w:val="004A2B79"/>
    <w:rsid w:val="004D3F24"/>
    <w:rsid w:val="005246E5"/>
    <w:rsid w:val="00566D02"/>
    <w:rsid w:val="005A47C7"/>
    <w:rsid w:val="005B038A"/>
    <w:rsid w:val="005F1B65"/>
    <w:rsid w:val="005F1EA5"/>
    <w:rsid w:val="0063524A"/>
    <w:rsid w:val="0065710B"/>
    <w:rsid w:val="00663B85"/>
    <w:rsid w:val="00676AD5"/>
    <w:rsid w:val="0068498F"/>
    <w:rsid w:val="006C0C18"/>
    <w:rsid w:val="006C491D"/>
    <w:rsid w:val="006E1090"/>
    <w:rsid w:val="0071475E"/>
    <w:rsid w:val="007354EA"/>
    <w:rsid w:val="00736897"/>
    <w:rsid w:val="0076335A"/>
    <w:rsid w:val="007650C2"/>
    <w:rsid w:val="00770B81"/>
    <w:rsid w:val="007C3DB1"/>
    <w:rsid w:val="007C4235"/>
    <w:rsid w:val="007C7A42"/>
    <w:rsid w:val="007D382E"/>
    <w:rsid w:val="007D726E"/>
    <w:rsid w:val="007E4F76"/>
    <w:rsid w:val="00802ABE"/>
    <w:rsid w:val="00810FC3"/>
    <w:rsid w:val="00816B78"/>
    <w:rsid w:val="00821EF0"/>
    <w:rsid w:val="008238EF"/>
    <w:rsid w:val="00834D1A"/>
    <w:rsid w:val="0083711D"/>
    <w:rsid w:val="00837F09"/>
    <w:rsid w:val="00840982"/>
    <w:rsid w:val="00845233"/>
    <w:rsid w:val="00882780"/>
    <w:rsid w:val="00883E89"/>
    <w:rsid w:val="00884CF6"/>
    <w:rsid w:val="00893526"/>
    <w:rsid w:val="008A0260"/>
    <w:rsid w:val="008A4E69"/>
    <w:rsid w:val="008A6097"/>
    <w:rsid w:val="008A6F73"/>
    <w:rsid w:val="008B33D2"/>
    <w:rsid w:val="008E21EC"/>
    <w:rsid w:val="00944F40"/>
    <w:rsid w:val="0094779C"/>
    <w:rsid w:val="0095017D"/>
    <w:rsid w:val="009559BA"/>
    <w:rsid w:val="00956F35"/>
    <w:rsid w:val="009723CE"/>
    <w:rsid w:val="009912B9"/>
    <w:rsid w:val="00993E07"/>
    <w:rsid w:val="009D00A5"/>
    <w:rsid w:val="009E2B22"/>
    <w:rsid w:val="00A030A0"/>
    <w:rsid w:val="00A24134"/>
    <w:rsid w:val="00A37107"/>
    <w:rsid w:val="00A51E21"/>
    <w:rsid w:val="00A6756E"/>
    <w:rsid w:val="00A83454"/>
    <w:rsid w:val="00A84AEE"/>
    <w:rsid w:val="00AA4872"/>
    <w:rsid w:val="00AA76B6"/>
    <w:rsid w:val="00AC6F4C"/>
    <w:rsid w:val="00AD32FF"/>
    <w:rsid w:val="00AF3C0C"/>
    <w:rsid w:val="00AF6929"/>
    <w:rsid w:val="00B2445F"/>
    <w:rsid w:val="00B438A3"/>
    <w:rsid w:val="00B60FD8"/>
    <w:rsid w:val="00B879BD"/>
    <w:rsid w:val="00BF60A5"/>
    <w:rsid w:val="00C00A95"/>
    <w:rsid w:val="00C14BED"/>
    <w:rsid w:val="00C22E07"/>
    <w:rsid w:val="00C62F49"/>
    <w:rsid w:val="00C64099"/>
    <w:rsid w:val="00CE2896"/>
    <w:rsid w:val="00CE2D1B"/>
    <w:rsid w:val="00CE5105"/>
    <w:rsid w:val="00CF522C"/>
    <w:rsid w:val="00D17475"/>
    <w:rsid w:val="00D2659A"/>
    <w:rsid w:val="00D92FCE"/>
    <w:rsid w:val="00DA646F"/>
    <w:rsid w:val="00DB0EB6"/>
    <w:rsid w:val="00DB77DD"/>
    <w:rsid w:val="00DB7F57"/>
    <w:rsid w:val="00DD3BA3"/>
    <w:rsid w:val="00DD6033"/>
    <w:rsid w:val="00DE1432"/>
    <w:rsid w:val="00E430E5"/>
    <w:rsid w:val="00E56341"/>
    <w:rsid w:val="00E8310E"/>
    <w:rsid w:val="00E90323"/>
    <w:rsid w:val="00E94857"/>
    <w:rsid w:val="00EA50D0"/>
    <w:rsid w:val="00EA697D"/>
    <w:rsid w:val="00EB7526"/>
    <w:rsid w:val="00ED649B"/>
    <w:rsid w:val="00F40EEB"/>
    <w:rsid w:val="00F662A3"/>
    <w:rsid w:val="00F73830"/>
    <w:rsid w:val="00F7753E"/>
    <w:rsid w:val="00F9130D"/>
    <w:rsid w:val="00F918E6"/>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style>
  <w:style w:type="paragraph" w:styleId="Heading2">
    <w:name w:val="heading 2"/>
    <w:basedOn w:val="Normal"/>
    <w:next w:val="Normal"/>
    <w:link w:val="Heading2Char"/>
    <w:uiPriority w:val="9"/>
    <w:qFormat/>
    <w:rsid w:val="000560CB"/>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Numbered List Paragraph,AJ- List1,Riana Table Bullets 1,Bullets,Heading,List Paragraph1,List Paragraph (numbered (a)),WB Para,Párrafo de lista1,References,ReferencesCxSpLast,List Paragraph nowy,Liste 1,Numbered Paragraph,123 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Mention">
    <w:name w:val="Mention"/>
    <w:basedOn w:val="DefaultParagraphFont"/>
    <w:uiPriority w:val="99"/>
    <w:semiHidden/>
    <w:unhideWhenUsed/>
    <w:rsid w:val="001D471A"/>
    <w:rPr>
      <w:color w:val="2B579A"/>
      <w:shd w:val="clear" w:color="auto" w:fill="E6E6E6"/>
    </w:rPr>
  </w:style>
  <w:style w:type="paragraph" w:styleId="BodyText">
    <w:name w:val="Body Text"/>
    <w:basedOn w:val="Normal"/>
    <w:link w:val="BodyTextChar"/>
    <w:semiHidden/>
    <w:rsid w:val="008238EF"/>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8238EF"/>
    <w:rPr>
      <w:rFonts w:ascii="Times New Roman" w:eastAsia="Times New Roman" w:hAnsi="Times New Roman" w:cs="Times New Roman"/>
      <w:snapToGrid w:val="0"/>
      <w:sz w:val="24"/>
      <w:szCs w:val="20"/>
    </w:rPr>
  </w:style>
  <w:style w:type="paragraph" w:styleId="NoSpacing">
    <w:name w:val="No Spacing"/>
    <w:uiPriority w:val="1"/>
    <w:qFormat/>
    <w:rsid w:val="00A37107"/>
    <w:pPr>
      <w:spacing w:after="0" w:line="240" w:lineRule="auto"/>
    </w:pPr>
    <w:rPr>
      <w:rFonts w:ascii="Calibri" w:eastAsia="Calibri" w:hAnsi="Calibri" w:cs="Times New Roman"/>
    </w:rPr>
  </w:style>
  <w:style w:type="character" w:customStyle="1" w:styleId="ListParagraphChar">
    <w:name w:val="List Paragraph Char"/>
    <w:aliases w:val="Numbered List Paragraph Char,AJ- List1 Char,Riana Table Bullets 1 Char,Bullets Char,Heading Char,List Paragraph1 Char,List Paragraph (numbered (a)) Char,WB Para Char,Párrafo de lista1 Char,References Char,ReferencesCxSpLast Char"/>
    <w:link w:val="ListParagraph"/>
    <w:uiPriority w:val="34"/>
    <w:qFormat/>
    <w:locked/>
    <w:rsid w:val="00A37107"/>
  </w:style>
  <w:style w:type="character" w:styleId="UnresolvedMention">
    <w:name w:val="Unresolved Mention"/>
    <w:basedOn w:val="DefaultParagraphFont"/>
    <w:uiPriority w:val="99"/>
    <w:semiHidden/>
    <w:unhideWhenUsed/>
    <w:rsid w:val="00BF60A5"/>
    <w:rPr>
      <w:color w:val="808080"/>
      <w:shd w:val="clear" w:color="auto" w:fill="E6E6E6"/>
    </w:rPr>
  </w:style>
  <w:style w:type="character" w:customStyle="1" w:styleId="Heading2Char">
    <w:name w:val="Heading 2 Char"/>
    <w:basedOn w:val="DefaultParagraphFont"/>
    <w:link w:val="Heading2"/>
    <w:uiPriority w:val="9"/>
    <w:rsid w:val="000560CB"/>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956F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02ABE"/>
    <w:pPr>
      <w:spacing w:after="120"/>
      <w:ind w:left="283"/>
    </w:pPr>
  </w:style>
  <w:style w:type="character" w:customStyle="1" w:styleId="BodyTextIndentChar">
    <w:name w:val="Body Text Indent Char"/>
    <w:basedOn w:val="DefaultParagraphFont"/>
    <w:link w:val="BodyTextIndent"/>
    <w:uiPriority w:val="99"/>
    <w:semiHidden/>
    <w:rsid w:val="00802ABE"/>
  </w:style>
  <w:style w:type="paragraph" w:customStyle="1" w:styleId="Default">
    <w:name w:val="Default"/>
    <w:rsid w:val="00802ABE"/>
    <w:pPr>
      <w:autoSpaceDE w:val="0"/>
      <w:autoSpaceDN w:val="0"/>
      <w:adjustRightInd w:val="0"/>
      <w:spacing w:after="0" w:line="240" w:lineRule="auto"/>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ocurement.enquiries.za@undp.or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ids.pretoria@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 Procurement Notice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POPP-11-1756</_dlc_DocId>
    <_dlc_DocIdUrl xmlns="8264c5cc-ec60-4b56-8111-ce635d3d139a">
      <Url>https://popp.undp.org/_layouts/15/DocIdRedir.aspx?ID=POPP-11-1756</Url>
      <Description>POPP-11-1756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purl.org/dc/dcmitype/"/>
    <ds:schemaRef ds:uri="e560140e-7b2f-4392-90df-e7567e3021a3"/>
    <ds:schemaRef ds:uri="http://schemas.microsoft.com/sharepoint/v3"/>
    <ds:schemaRef ds:uri="http://schemas.microsoft.com/office/2006/documentManagement/types"/>
    <ds:schemaRef ds:uri="http://schemas.openxmlformats.org/package/2006/metadata/core-properties"/>
    <ds:schemaRef ds:uri="8264c5cc-ec60-4b56-8111-ce635d3d139a"/>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04F3F90D-D28F-488E-B5FC-5A4685154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F5F8C-7272-4E2C-92C5-1570934F7B22}">
  <ds:schemaRefs>
    <ds:schemaRef ds:uri="office.server.policy"/>
  </ds:schemaRefs>
</ds:datastoreItem>
</file>

<file path=customXml/itemProps5.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6.xml><?xml version="1.0" encoding="utf-8"?>
<ds:datastoreItem xmlns:ds="http://schemas.openxmlformats.org/officeDocument/2006/customXml" ds:itemID="{4BAC7FAC-7EE1-4AEB-B58E-FE1A1E7E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Lerato Maimela</cp:lastModifiedBy>
  <cp:revision>2</cp:revision>
  <cp:lastPrinted>2018-10-16T09:53:00Z</cp:lastPrinted>
  <dcterms:created xsi:type="dcterms:W3CDTF">2019-09-20T12:19:00Z</dcterms:created>
  <dcterms:modified xsi:type="dcterms:W3CDTF">2019-09-20T12:19:00Z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2c0258c7-3b12-4355-a61d-567dc7889bfc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ies>
</file>