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BEBE" w14:textId="77777777" w:rsidR="00866CB3" w:rsidRPr="00866CB3" w:rsidRDefault="00866CB3" w:rsidP="00866CB3">
      <w:pPr>
        <w:jc w:val="right"/>
        <w:rPr>
          <w:rFonts w:ascii="Calibri" w:hAnsi="Calibri" w:cs="Calibri"/>
          <w:b/>
          <w:lang w:val="es-ES_tradnl"/>
        </w:rPr>
      </w:pPr>
      <w:r w:rsidRPr="00866CB3">
        <w:rPr>
          <w:rFonts w:ascii="Calibri" w:hAnsi="Calibri" w:cs="Calibri"/>
          <w:b/>
          <w:lang w:val="es-ES_tradnl"/>
        </w:rPr>
        <w:t>Anexo 2</w:t>
      </w:r>
    </w:p>
    <w:p w14:paraId="48D97EED" w14:textId="77777777" w:rsidR="00866CB3" w:rsidRPr="00866CB3" w:rsidRDefault="00866CB3" w:rsidP="00866CB3">
      <w:pPr>
        <w:rPr>
          <w:rFonts w:ascii="Calibri" w:hAnsi="Calibri" w:cs="Calibri"/>
          <w:lang w:val="es-ES_tradnl"/>
        </w:rPr>
      </w:pPr>
    </w:p>
    <w:p w14:paraId="5AE72655" w14:textId="77777777" w:rsidR="00866CB3" w:rsidRPr="00866CB3" w:rsidRDefault="00866CB3" w:rsidP="00866CB3">
      <w:pPr>
        <w:jc w:val="center"/>
        <w:rPr>
          <w:rFonts w:ascii="Calibri" w:hAnsi="Calibri" w:cs="Calibri"/>
          <w:b/>
          <w:sz w:val="28"/>
          <w:szCs w:val="28"/>
          <w:lang w:val="es-ES_tradnl"/>
        </w:rPr>
      </w:pPr>
      <w:r w:rsidRPr="00866CB3">
        <w:rPr>
          <w:rFonts w:ascii="Calibri" w:hAnsi="Calibri" w:cs="Calibri"/>
          <w:b/>
          <w:sz w:val="28"/>
          <w:szCs w:val="28"/>
          <w:lang w:val="es-ES_tradnl"/>
        </w:rPr>
        <w:t xml:space="preserve">FORMULARIO DE PRESENTACIÓN DE COTIZACIONES </w:t>
      </w:r>
    </w:p>
    <w:p w14:paraId="70B67BB8" w14:textId="77777777" w:rsidR="00866CB3" w:rsidRPr="00866CB3" w:rsidRDefault="00866CB3" w:rsidP="00866CB3">
      <w:pPr>
        <w:jc w:val="center"/>
        <w:rPr>
          <w:rFonts w:ascii="Calibri" w:hAnsi="Calibri" w:cs="Calibri"/>
          <w:b/>
          <w:sz w:val="28"/>
          <w:szCs w:val="28"/>
          <w:lang w:val="es-ES_tradnl"/>
        </w:rPr>
      </w:pPr>
      <w:r w:rsidRPr="00866CB3">
        <w:rPr>
          <w:rFonts w:ascii="Calibri" w:hAnsi="Calibri" w:cs="Calibri"/>
          <w:b/>
          <w:sz w:val="28"/>
          <w:szCs w:val="28"/>
          <w:lang w:val="es-ES_tradnl"/>
        </w:rPr>
        <w:t>POR PARTE DE LOS PROVEEDORES</w:t>
      </w:r>
      <w:r w:rsidRPr="00866CB3">
        <w:rPr>
          <w:rFonts w:ascii="Calibri" w:hAnsi="Calibri" w:cs="Calibri"/>
          <w:b/>
          <w:vertAlign w:val="superscript"/>
          <w:lang w:val="es-ES_tradnl"/>
        </w:rPr>
        <w:footnoteReference w:id="1"/>
      </w:r>
    </w:p>
    <w:p w14:paraId="23B530D1" w14:textId="77777777" w:rsidR="00866CB3" w:rsidRPr="00866CB3" w:rsidRDefault="00866CB3" w:rsidP="00866CB3">
      <w:pPr>
        <w:jc w:val="center"/>
        <w:rPr>
          <w:rFonts w:ascii="Calibri" w:hAnsi="Calibri" w:cs="Calibri"/>
          <w:b/>
          <w:i/>
          <w:lang w:val="es-ES_tradnl"/>
        </w:rPr>
      </w:pPr>
      <w:r w:rsidRPr="00866CB3">
        <w:rPr>
          <w:rFonts w:ascii="Calibri" w:hAnsi="Calibri" w:cs="Calibri"/>
          <w:b/>
          <w:i/>
          <w:lang w:val="es-ES_tradnl"/>
        </w:rPr>
        <w:t xml:space="preserve">(La presentación de este formulario se realizará únicamente en papel de cartas </w:t>
      </w:r>
    </w:p>
    <w:p w14:paraId="791E75D9" w14:textId="77777777" w:rsidR="00866CB3" w:rsidRPr="00866CB3" w:rsidRDefault="00866CB3" w:rsidP="00866CB3">
      <w:pPr>
        <w:jc w:val="center"/>
        <w:rPr>
          <w:rFonts w:ascii="Calibri" w:hAnsi="Calibri" w:cs="Calibri"/>
          <w:b/>
          <w:i/>
          <w:lang w:val="es-ES_tradnl"/>
        </w:rPr>
      </w:pPr>
      <w:r w:rsidRPr="00866CB3">
        <w:rPr>
          <w:rFonts w:ascii="Calibri" w:hAnsi="Calibri" w:cs="Calibri"/>
          <w:b/>
          <w:i/>
          <w:lang w:val="es-ES_tradnl"/>
        </w:rPr>
        <w:t>con el membrete oficial del suministrador</w:t>
      </w:r>
      <w:r w:rsidRPr="00866CB3">
        <w:rPr>
          <w:rFonts w:ascii="Calibri" w:hAnsi="Calibri" w:cs="Calibri"/>
          <w:b/>
          <w:i/>
          <w:vertAlign w:val="superscript"/>
          <w:lang w:val="es-ES_tradnl"/>
        </w:rPr>
        <w:footnoteReference w:id="2"/>
      </w:r>
      <w:r w:rsidRPr="00866CB3">
        <w:rPr>
          <w:rFonts w:ascii="Calibri" w:hAnsi="Calibri" w:cs="Calibri"/>
          <w:b/>
          <w:i/>
          <w:lang w:val="es-ES_tradnl"/>
        </w:rPr>
        <w:t>)</w:t>
      </w:r>
    </w:p>
    <w:p w14:paraId="209C0151" w14:textId="77777777" w:rsidR="00866CB3" w:rsidRPr="00866CB3" w:rsidRDefault="00866CB3" w:rsidP="00866CB3">
      <w:pPr>
        <w:pBdr>
          <w:bottom w:val="single" w:sz="12" w:space="1" w:color="auto"/>
        </w:pBdr>
        <w:ind w:right="630"/>
        <w:jc w:val="both"/>
        <w:rPr>
          <w:rFonts w:ascii="Calibri" w:hAnsi="Calibri" w:cs="Calibri"/>
          <w:snapToGrid w:val="0"/>
          <w:lang w:val="es-ES_tradnl"/>
        </w:rPr>
      </w:pPr>
    </w:p>
    <w:p w14:paraId="1BEB4117" w14:textId="77777777" w:rsidR="00866CB3" w:rsidRPr="00866CB3" w:rsidRDefault="00866CB3" w:rsidP="00866CB3">
      <w:pPr>
        <w:spacing w:before="120"/>
        <w:ind w:right="630"/>
        <w:jc w:val="both"/>
        <w:rPr>
          <w:rFonts w:ascii="Calibri" w:hAnsi="Calibri" w:cs="Calibri"/>
          <w:snapToGrid w:val="0"/>
          <w:lang w:val="es-ES_tradnl"/>
        </w:rPr>
      </w:pPr>
    </w:p>
    <w:p w14:paraId="2B2CDFD4" w14:textId="77777777" w:rsidR="00866CB3" w:rsidRPr="00866CB3" w:rsidRDefault="00866CB3" w:rsidP="00866CB3">
      <w:pPr>
        <w:spacing w:before="120"/>
        <w:ind w:right="630"/>
        <w:jc w:val="both"/>
        <w:rPr>
          <w:rFonts w:ascii="Calibri" w:hAnsi="Calibri" w:cs="Calibri"/>
          <w:snapToGrid w:val="0"/>
          <w:lang w:val="es-ES_tradnl"/>
        </w:rPr>
      </w:pPr>
      <w:r w:rsidRPr="00866CB3">
        <w:rPr>
          <w:rFonts w:ascii="Calibri" w:hAnsi="Calibri" w:cs="Calibri"/>
          <w:snapToGrid w:val="0"/>
          <w:lang w:val="es-ES_tradnl"/>
        </w:rPr>
        <w:t xml:space="preserve">Los abajo firmantes </w:t>
      </w:r>
      <w:r w:rsidRPr="00866CB3">
        <w:rPr>
          <w:rFonts w:ascii="Calibri" w:hAnsi="Calibri"/>
          <w:lang w:val="es-ES_tradnl"/>
        </w:rPr>
        <w:t xml:space="preserve">aceptamos en su totalidad los Términos y Condiciones Generales del PNUD, y por la presente nos ofrecemos a suministrar los elementos que se enumeran a continuación, de conformidad con las especificaciones y requisitos del PNUD con arreglo a la </w:t>
      </w:r>
      <w:proofErr w:type="spellStart"/>
      <w:r w:rsidRPr="00866CB3">
        <w:rPr>
          <w:rFonts w:ascii="Calibri" w:hAnsi="Calibri"/>
          <w:lang w:val="es-ES_tradnl"/>
        </w:rPr>
        <w:t>SdC</w:t>
      </w:r>
      <w:proofErr w:type="spellEnd"/>
      <w:r w:rsidRPr="00866CB3">
        <w:rPr>
          <w:rFonts w:ascii="Calibri" w:hAnsi="Calibri"/>
          <w:lang w:val="es-ES_tradnl"/>
        </w:rPr>
        <w:t xml:space="preserve"> con el número de referencia</w:t>
      </w:r>
      <w:r w:rsidRPr="00866CB3">
        <w:rPr>
          <w:rFonts w:ascii="Calibri" w:hAnsi="Calibri" w:cs="Calibri"/>
          <w:snapToGrid w:val="0"/>
          <w:lang w:val="es-ES_tradnl"/>
        </w:rPr>
        <w:t xml:space="preserve">: </w:t>
      </w:r>
      <w:r w:rsidRPr="00866CB3">
        <w:rPr>
          <w:rFonts w:cstheme="minorHAnsi"/>
          <w:b/>
          <w:bCs/>
          <w:lang w:val="es-ES_tradnl"/>
        </w:rPr>
        <w:t xml:space="preserve">2029 PAN 2019 – </w:t>
      </w:r>
      <w:r w:rsidRPr="00866CB3">
        <w:rPr>
          <w:rFonts w:ascii="Calibri" w:hAnsi="Calibri" w:cs="Calibri"/>
          <w:b/>
          <w:bCs/>
          <w:lang w:val="es-ES_tradnl"/>
        </w:rPr>
        <w:t>“</w:t>
      </w:r>
      <w:r w:rsidRPr="00866CB3">
        <w:rPr>
          <w:rFonts w:ascii="Calibri" w:hAnsi="Calibri" w:cs="Calibri"/>
          <w:b/>
          <w:bCs/>
          <w:lang w:val="es-ES"/>
        </w:rPr>
        <w:t>Contratación de un servicio de Acceso a Bases de Datos Digitales de información Científica para las áreas de Ingeniería y Ciencias Sociales para fortalecer el desarrollo de la docencia a nivel superior y la investigación en Panamá”.</w:t>
      </w:r>
    </w:p>
    <w:p w14:paraId="7393A500" w14:textId="77777777" w:rsidR="00866CB3" w:rsidRPr="00866CB3" w:rsidRDefault="00866CB3" w:rsidP="00866CB3">
      <w:pPr>
        <w:ind w:left="990" w:right="630" w:hanging="990"/>
        <w:jc w:val="both"/>
        <w:rPr>
          <w:rFonts w:ascii="Calibri" w:hAnsi="Calibri" w:cs="Calibri"/>
          <w:b/>
          <w:snapToGrid w:val="0"/>
          <w:u w:val="single"/>
          <w:lang w:val="es-ES_tradnl"/>
        </w:rPr>
      </w:pPr>
      <w:r w:rsidRPr="00866CB3">
        <w:rPr>
          <w:rFonts w:ascii="Calibri" w:hAnsi="Calibri" w:cs="Calibri"/>
          <w:b/>
          <w:snapToGrid w:val="0"/>
          <w:u w:val="single"/>
          <w:lang w:val="es-ES_tradnl"/>
        </w:rPr>
        <w:t xml:space="preserve">CUADRO </w:t>
      </w:r>
      <w:proofErr w:type="spellStart"/>
      <w:r w:rsidRPr="00866CB3">
        <w:rPr>
          <w:rFonts w:ascii="Calibri" w:hAnsi="Calibri" w:cs="Calibri"/>
          <w:b/>
          <w:snapToGrid w:val="0"/>
          <w:u w:val="single"/>
          <w:lang w:val="es-ES_tradnl"/>
        </w:rPr>
        <w:t>Nº</w:t>
      </w:r>
      <w:proofErr w:type="spellEnd"/>
      <w:r w:rsidRPr="00866CB3">
        <w:rPr>
          <w:rFonts w:ascii="Calibri" w:hAnsi="Calibri" w:cs="Calibri"/>
          <w:b/>
          <w:snapToGrid w:val="0"/>
          <w:u w:val="single"/>
          <w:lang w:val="es-ES_tradnl"/>
        </w:rPr>
        <w:t xml:space="preserve"> 1: Oferta de suministro de servicios con Términos de Referencia</w:t>
      </w:r>
    </w:p>
    <w:p w14:paraId="022DDACE" w14:textId="77777777" w:rsidR="00866CB3" w:rsidRPr="00866CB3" w:rsidRDefault="00866CB3" w:rsidP="00866CB3">
      <w:pPr>
        <w:ind w:right="630"/>
        <w:jc w:val="both"/>
        <w:rPr>
          <w:rFonts w:ascii="Calibri" w:hAnsi="Calibri" w:cs="Calibri"/>
          <w:snapToGrid w:val="0"/>
          <w:u w:val="single"/>
          <w:lang w:val="es-ES_tradnl"/>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657"/>
        <w:gridCol w:w="1620"/>
        <w:gridCol w:w="1530"/>
      </w:tblGrid>
      <w:tr w:rsidR="00866CB3" w:rsidRPr="00866CB3" w14:paraId="0471023B" w14:textId="77777777" w:rsidTr="000845F7">
        <w:tc>
          <w:tcPr>
            <w:tcW w:w="1170" w:type="dxa"/>
          </w:tcPr>
          <w:p w14:paraId="342FB03B" w14:textId="77777777" w:rsidR="00866CB3" w:rsidRPr="00866CB3" w:rsidRDefault="00866CB3" w:rsidP="00866CB3">
            <w:pPr>
              <w:rPr>
                <w:rFonts w:ascii="Calibri" w:hAnsi="Calibri" w:cs="Calibri"/>
                <w:b/>
                <w:lang w:val="es-ES_tradnl"/>
              </w:rPr>
            </w:pPr>
          </w:p>
          <w:p w14:paraId="2488A566" w14:textId="77777777" w:rsidR="00866CB3" w:rsidRPr="00866CB3" w:rsidRDefault="00866CB3" w:rsidP="00866CB3">
            <w:pPr>
              <w:jc w:val="center"/>
              <w:rPr>
                <w:rFonts w:ascii="Calibri" w:hAnsi="Calibri" w:cs="Calibri"/>
                <w:b/>
                <w:lang w:val="es-ES_tradnl"/>
              </w:rPr>
            </w:pPr>
            <w:r w:rsidRPr="00866CB3">
              <w:rPr>
                <w:rFonts w:ascii="Calibri" w:hAnsi="Calibri" w:cs="Calibri"/>
                <w:b/>
                <w:lang w:val="es-ES_tradnl"/>
              </w:rPr>
              <w:t>Renglón</w:t>
            </w:r>
          </w:p>
        </w:tc>
        <w:tc>
          <w:tcPr>
            <w:tcW w:w="4657" w:type="dxa"/>
          </w:tcPr>
          <w:p w14:paraId="293DFBFE" w14:textId="77777777" w:rsidR="00866CB3" w:rsidRPr="00866CB3" w:rsidRDefault="00866CB3" w:rsidP="00866CB3">
            <w:pPr>
              <w:jc w:val="center"/>
              <w:rPr>
                <w:rFonts w:ascii="Calibri" w:hAnsi="Calibri" w:cs="Calibri"/>
                <w:b/>
                <w:lang w:val="es-ES_tradnl"/>
              </w:rPr>
            </w:pPr>
          </w:p>
          <w:p w14:paraId="49F9131E" w14:textId="77777777" w:rsidR="00866CB3" w:rsidRPr="00866CB3" w:rsidRDefault="00866CB3" w:rsidP="00866CB3">
            <w:pPr>
              <w:jc w:val="center"/>
              <w:rPr>
                <w:rFonts w:ascii="Calibri" w:hAnsi="Calibri" w:cs="Calibri"/>
                <w:i/>
                <w:lang w:val="es-ES_tradnl"/>
              </w:rPr>
            </w:pPr>
            <w:r w:rsidRPr="00866CB3">
              <w:rPr>
                <w:rFonts w:ascii="Calibri" w:hAnsi="Calibri" w:cs="Calibri"/>
                <w:b/>
                <w:lang w:val="es-ES_tradnl"/>
              </w:rPr>
              <w:t>Descripción</w:t>
            </w:r>
            <w:r w:rsidRPr="00866CB3">
              <w:rPr>
                <w:rFonts w:ascii="Calibri" w:hAnsi="Calibri" w:cs="Calibri"/>
                <w:i/>
                <w:lang w:val="es-ES_tradnl"/>
              </w:rPr>
              <w:t xml:space="preserve"> </w:t>
            </w:r>
          </w:p>
        </w:tc>
        <w:tc>
          <w:tcPr>
            <w:tcW w:w="1620" w:type="dxa"/>
          </w:tcPr>
          <w:p w14:paraId="735F498D" w14:textId="77777777" w:rsidR="00866CB3" w:rsidRPr="00866CB3" w:rsidRDefault="00866CB3" w:rsidP="00866CB3">
            <w:pPr>
              <w:jc w:val="center"/>
              <w:rPr>
                <w:rFonts w:ascii="Calibri" w:hAnsi="Calibri" w:cs="Calibri"/>
                <w:b/>
                <w:lang w:val="es-ES_tradnl"/>
              </w:rPr>
            </w:pPr>
          </w:p>
          <w:p w14:paraId="29959664" w14:textId="77777777" w:rsidR="00866CB3" w:rsidRPr="00866CB3" w:rsidRDefault="00866CB3" w:rsidP="00866CB3">
            <w:pPr>
              <w:jc w:val="center"/>
              <w:rPr>
                <w:rFonts w:ascii="Calibri" w:hAnsi="Calibri" w:cs="Calibri"/>
                <w:b/>
                <w:lang w:val="es-ES_tradnl"/>
              </w:rPr>
            </w:pPr>
            <w:r w:rsidRPr="00866CB3">
              <w:rPr>
                <w:rFonts w:ascii="Calibri" w:hAnsi="Calibri" w:cs="Calibri"/>
                <w:b/>
                <w:lang w:val="es-ES_tradnl"/>
              </w:rPr>
              <w:t>Precio unitario</w:t>
            </w:r>
          </w:p>
        </w:tc>
        <w:tc>
          <w:tcPr>
            <w:tcW w:w="1530" w:type="dxa"/>
          </w:tcPr>
          <w:p w14:paraId="6AB75105" w14:textId="77777777" w:rsidR="00866CB3" w:rsidRPr="00866CB3" w:rsidRDefault="00866CB3" w:rsidP="00866CB3">
            <w:pPr>
              <w:jc w:val="center"/>
              <w:rPr>
                <w:rFonts w:ascii="Calibri" w:hAnsi="Calibri" w:cs="Calibri"/>
                <w:b/>
                <w:lang w:val="es-ES_tradnl"/>
              </w:rPr>
            </w:pPr>
          </w:p>
          <w:p w14:paraId="15AC0CBA" w14:textId="77777777" w:rsidR="00866CB3" w:rsidRPr="00866CB3" w:rsidRDefault="00866CB3" w:rsidP="00866CB3">
            <w:pPr>
              <w:jc w:val="center"/>
              <w:rPr>
                <w:rFonts w:ascii="Calibri" w:hAnsi="Calibri" w:cs="Calibri"/>
                <w:b/>
                <w:lang w:val="es-ES_tradnl"/>
              </w:rPr>
            </w:pPr>
            <w:r w:rsidRPr="00866CB3">
              <w:rPr>
                <w:rFonts w:ascii="Calibri" w:hAnsi="Calibri" w:cs="Calibri"/>
                <w:b/>
                <w:lang w:val="es-ES_tradnl"/>
              </w:rPr>
              <w:t xml:space="preserve">Precio total </w:t>
            </w:r>
          </w:p>
        </w:tc>
      </w:tr>
      <w:tr w:rsidR="00866CB3" w:rsidRPr="00866CB3" w14:paraId="0C9970BF" w14:textId="77777777" w:rsidTr="000845F7">
        <w:tc>
          <w:tcPr>
            <w:tcW w:w="1170" w:type="dxa"/>
          </w:tcPr>
          <w:p w14:paraId="7E6F4FEC" w14:textId="77777777" w:rsidR="00866CB3" w:rsidRPr="00866CB3" w:rsidRDefault="00866CB3" w:rsidP="00866CB3">
            <w:pPr>
              <w:rPr>
                <w:rFonts w:ascii="Calibri" w:hAnsi="Calibri" w:cs="Calibri"/>
                <w:lang w:val="es-ES_tradnl"/>
              </w:rPr>
            </w:pPr>
            <w:r w:rsidRPr="00866CB3">
              <w:rPr>
                <w:rFonts w:ascii="Calibri" w:hAnsi="Calibri" w:cs="Calibri"/>
                <w:lang w:val="es-ES_tradnl"/>
              </w:rPr>
              <w:t>1</w:t>
            </w:r>
          </w:p>
        </w:tc>
        <w:tc>
          <w:tcPr>
            <w:tcW w:w="4657" w:type="dxa"/>
          </w:tcPr>
          <w:p w14:paraId="0F59FD4F" w14:textId="77777777" w:rsidR="00866CB3" w:rsidRPr="00866CB3" w:rsidRDefault="00866CB3" w:rsidP="00866CB3">
            <w:pPr>
              <w:keepNext/>
              <w:spacing w:before="120" w:after="120" w:line="240" w:lineRule="auto"/>
              <w:jc w:val="both"/>
              <w:outlineLvl w:val="2"/>
              <w:rPr>
                <w:rFonts w:eastAsia="Times New Roman" w:cstheme="minorHAnsi"/>
                <w:b/>
                <w:lang w:val="es-PA"/>
              </w:rPr>
            </w:pPr>
            <w:r w:rsidRPr="00866CB3">
              <w:rPr>
                <w:rFonts w:eastAsia="Times New Roman" w:cstheme="minorHAnsi"/>
                <w:b/>
                <w:lang w:val="es-PA"/>
              </w:rPr>
              <w:t>Acceso a la base de datos multidisciplinaria de revistas digitales científicas indizadas con factor de impacto mediante la validación de usuarios a través de:</w:t>
            </w:r>
          </w:p>
          <w:p w14:paraId="0A577AD2" w14:textId="77777777" w:rsidR="00866CB3" w:rsidRPr="00866CB3" w:rsidRDefault="00866CB3" w:rsidP="00866CB3">
            <w:pPr>
              <w:numPr>
                <w:ilvl w:val="0"/>
                <w:numId w:val="1"/>
              </w:numPr>
              <w:spacing w:after="0" w:line="240" w:lineRule="auto"/>
              <w:contextualSpacing/>
              <w:jc w:val="both"/>
              <w:rPr>
                <w:rFonts w:ascii="Times New Roman" w:eastAsia="Times New Roman" w:hAnsi="Times New Roman" w:cstheme="minorHAnsi"/>
                <w:bCs/>
                <w:sz w:val="20"/>
                <w:szCs w:val="20"/>
                <w:lang w:val="es-MX" w:eastAsia="es-ES"/>
              </w:rPr>
            </w:pPr>
            <w:r w:rsidRPr="00866CB3">
              <w:rPr>
                <w:rFonts w:ascii="Times New Roman" w:eastAsia="Times New Roman" w:hAnsi="Times New Roman" w:cstheme="minorHAnsi"/>
                <w:bCs/>
                <w:sz w:val="20"/>
                <w:szCs w:val="20"/>
                <w:lang w:val="es-MX" w:eastAsia="es-ES"/>
              </w:rPr>
              <w:t>Usuarios y contraseñas:</w:t>
            </w:r>
          </w:p>
          <w:p w14:paraId="590F89D4" w14:textId="77777777" w:rsidR="00866CB3" w:rsidRPr="00866CB3" w:rsidRDefault="00866CB3" w:rsidP="00866CB3">
            <w:pPr>
              <w:numPr>
                <w:ilvl w:val="1"/>
                <w:numId w:val="1"/>
              </w:numPr>
              <w:spacing w:after="0" w:line="240" w:lineRule="auto"/>
              <w:contextualSpacing/>
              <w:jc w:val="both"/>
              <w:rPr>
                <w:rFonts w:eastAsia="Times New Roman" w:cstheme="minorHAnsi"/>
                <w:bCs/>
                <w:sz w:val="20"/>
                <w:szCs w:val="20"/>
                <w:lang w:val="es-MX" w:eastAsia="es-ES"/>
              </w:rPr>
            </w:pPr>
            <w:r w:rsidRPr="00866CB3">
              <w:rPr>
                <w:rFonts w:eastAsia="Times New Roman" w:cstheme="minorHAnsi"/>
                <w:bCs/>
                <w:sz w:val="20"/>
                <w:szCs w:val="20"/>
                <w:lang w:val="es-MX" w:eastAsia="es-ES"/>
              </w:rPr>
              <w:t>A través de usuarios y contraseñas para las entidades beneficiadas de I+D.</w:t>
            </w:r>
          </w:p>
          <w:p w14:paraId="4427650E" w14:textId="77777777" w:rsidR="00866CB3" w:rsidRPr="00866CB3" w:rsidRDefault="00866CB3" w:rsidP="00866CB3">
            <w:pPr>
              <w:numPr>
                <w:ilvl w:val="0"/>
                <w:numId w:val="1"/>
              </w:numPr>
              <w:spacing w:after="0" w:line="240" w:lineRule="auto"/>
              <w:contextualSpacing/>
              <w:jc w:val="both"/>
              <w:rPr>
                <w:rFonts w:eastAsia="Times New Roman" w:cstheme="minorHAnsi"/>
                <w:bCs/>
                <w:sz w:val="20"/>
                <w:szCs w:val="20"/>
                <w:lang w:val="es-MX" w:eastAsia="es-ES"/>
              </w:rPr>
            </w:pPr>
            <w:r w:rsidRPr="00866CB3">
              <w:rPr>
                <w:rFonts w:eastAsia="Times New Roman" w:cstheme="minorHAnsi"/>
                <w:bCs/>
                <w:sz w:val="20"/>
                <w:szCs w:val="20"/>
                <w:lang w:val="es-MX" w:eastAsia="es-ES"/>
              </w:rPr>
              <w:t>Direcciones IP:</w:t>
            </w:r>
          </w:p>
          <w:p w14:paraId="365C982A" w14:textId="77777777" w:rsidR="00866CB3" w:rsidRPr="00866CB3" w:rsidRDefault="00866CB3" w:rsidP="00866CB3">
            <w:pPr>
              <w:numPr>
                <w:ilvl w:val="1"/>
                <w:numId w:val="1"/>
              </w:numPr>
              <w:spacing w:after="0" w:line="240" w:lineRule="auto"/>
              <w:contextualSpacing/>
              <w:jc w:val="both"/>
              <w:rPr>
                <w:rFonts w:eastAsia="Times New Roman" w:cstheme="minorHAnsi"/>
                <w:bCs/>
                <w:sz w:val="20"/>
                <w:szCs w:val="20"/>
                <w:lang w:val="es-MX" w:eastAsia="es-ES"/>
              </w:rPr>
            </w:pPr>
            <w:r w:rsidRPr="00866CB3">
              <w:rPr>
                <w:rFonts w:eastAsia="Times New Roman" w:cstheme="minorHAnsi"/>
                <w:bCs/>
                <w:sz w:val="20"/>
                <w:szCs w:val="20"/>
                <w:lang w:val="es-MX" w:eastAsia="es-ES"/>
              </w:rPr>
              <w:t>Mediante la validación de las direcciones IP de las entidades beneficiadas.</w:t>
            </w:r>
          </w:p>
          <w:p w14:paraId="19464114" w14:textId="77777777" w:rsidR="00866CB3" w:rsidRPr="00866CB3" w:rsidRDefault="00866CB3" w:rsidP="00866CB3">
            <w:pPr>
              <w:numPr>
                <w:ilvl w:val="0"/>
                <w:numId w:val="1"/>
              </w:numPr>
              <w:spacing w:after="0" w:line="240" w:lineRule="auto"/>
              <w:contextualSpacing/>
              <w:jc w:val="both"/>
              <w:rPr>
                <w:rFonts w:eastAsia="Times New Roman" w:cstheme="minorHAnsi"/>
                <w:bCs/>
                <w:sz w:val="20"/>
                <w:szCs w:val="20"/>
                <w:lang w:val="es-MX" w:eastAsia="es-ES"/>
              </w:rPr>
            </w:pPr>
            <w:r w:rsidRPr="00866CB3">
              <w:rPr>
                <w:rFonts w:eastAsia="Times New Roman" w:cstheme="minorHAnsi"/>
                <w:bCs/>
                <w:sz w:val="20"/>
                <w:szCs w:val="20"/>
                <w:lang w:val="es-MX" w:eastAsia="es-ES"/>
              </w:rPr>
              <w:t>Proxy</w:t>
            </w:r>
          </w:p>
          <w:p w14:paraId="373B4A1F" w14:textId="77777777" w:rsidR="00866CB3" w:rsidRPr="00866CB3" w:rsidRDefault="00866CB3" w:rsidP="00866CB3">
            <w:pPr>
              <w:numPr>
                <w:ilvl w:val="0"/>
                <w:numId w:val="1"/>
              </w:numPr>
              <w:spacing w:after="0" w:line="240" w:lineRule="auto"/>
              <w:contextualSpacing/>
              <w:jc w:val="both"/>
              <w:rPr>
                <w:rFonts w:eastAsia="Times New Roman" w:cstheme="minorHAnsi"/>
                <w:bCs/>
                <w:sz w:val="20"/>
                <w:szCs w:val="20"/>
                <w:lang w:val="es-MX" w:eastAsia="es-ES"/>
              </w:rPr>
            </w:pPr>
            <w:r w:rsidRPr="00866CB3">
              <w:rPr>
                <w:rFonts w:eastAsia="Times New Roman" w:cstheme="minorHAnsi"/>
                <w:bCs/>
                <w:sz w:val="20"/>
                <w:szCs w:val="20"/>
                <w:lang w:val="es-MX" w:eastAsia="es-ES"/>
              </w:rPr>
              <w:t xml:space="preserve">Red privada: el contratista deja a discreción de las entidades beneficiadas la creación de su </w:t>
            </w:r>
            <w:r w:rsidRPr="00866CB3">
              <w:rPr>
                <w:rFonts w:eastAsia="Times New Roman" w:cstheme="minorHAnsi"/>
                <w:bCs/>
                <w:sz w:val="20"/>
                <w:szCs w:val="20"/>
                <w:lang w:val="es-MX" w:eastAsia="es-ES"/>
              </w:rPr>
              <w:lastRenderedPageBreak/>
              <w:t xml:space="preserve">propia red privada (VPN) para acceso remoto a las bases de datos. </w:t>
            </w:r>
          </w:p>
          <w:p w14:paraId="78976764" w14:textId="77777777" w:rsidR="00866CB3" w:rsidRPr="00866CB3" w:rsidRDefault="00866CB3" w:rsidP="00866CB3">
            <w:pPr>
              <w:jc w:val="both"/>
              <w:rPr>
                <w:rFonts w:cstheme="minorHAnsi"/>
                <w:bCs/>
                <w:lang w:val="es-MX" w:eastAsia="es-ES"/>
              </w:rPr>
            </w:pPr>
          </w:p>
          <w:p w14:paraId="63666941" w14:textId="77777777" w:rsidR="00866CB3" w:rsidRPr="00866CB3" w:rsidRDefault="00866CB3" w:rsidP="00866CB3">
            <w:pPr>
              <w:jc w:val="both"/>
              <w:rPr>
                <w:rFonts w:cstheme="minorHAnsi"/>
                <w:b/>
                <w:lang w:val="es-MX" w:eastAsia="es-ES"/>
              </w:rPr>
            </w:pPr>
            <w:r w:rsidRPr="00866CB3">
              <w:rPr>
                <w:rFonts w:cstheme="minorHAnsi"/>
                <w:b/>
                <w:lang w:val="es-MX" w:eastAsia="es-ES"/>
              </w:rPr>
              <w:t>Acceso a la información de los artículos incluidos en la base de datos multidisciplinaria de las revistas científicas indizadas con factor de impacto de las entidades indicadas en el punto D.4 deberá ser a través de dos maneras (no excluyentes entre sí):</w:t>
            </w:r>
          </w:p>
          <w:p w14:paraId="6AE0BB40" w14:textId="77777777" w:rsidR="00866CB3" w:rsidRPr="00866CB3" w:rsidRDefault="00866CB3" w:rsidP="00866CB3">
            <w:pPr>
              <w:numPr>
                <w:ilvl w:val="0"/>
                <w:numId w:val="1"/>
              </w:numPr>
              <w:spacing w:after="0" w:line="240" w:lineRule="auto"/>
              <w:contextualSpacing/>
              <w:jc w:val="both"/>
              <w:rPr>
                <w:rFonts w:ascii="Times New Roman" w:eastAsia="Times New Roman" w:hAnsi="Times New Roman" w:cstheme="minorHAnsi"/>
                <w:bCs/>
                <w:sz w:val="20"/>
                <w:szCs w:val="20"/>
                <w:lang w:val="es-MX" w:eastAsia="es-ES"/>
              </w:rPr>
            </w:pPr>
            <w:r w:rsidRPr="00866CB3">
              <w:rPr>
                <w:rFonts w:ascii="Times New Roman" w:eastAsia="Times New Roman" w:hAnsi="Times New Roman" w:cstheme="minorHAnsi"/>
                <w:bCs/>
                <w:sz w:val="20"/>
                <w:szCs w:val="20"/>
                <w:lang w:val="es-MX" w:eastAsia="es-ES"/>
              </w:rPr>
              <w:t>Mediante la descarga del texto completo en formato</w:t>
            </w:r>
            <w:r w:rsidRPr="00866CB3">
              <w:rPr>
                <w:rFonts w:ascii="Times New Roman" w:eastAsia="Times New Roman" w:hAnsi="Times New Roman" w:cs="Times New Roman"/>
                <w:sz w:val="20"/>
                <w:szCs w:val="20"/>
                <w:lang w:val="es-PA"/>
              </w:rPr>
              <w:t xml:space="preserve"> </w:t>
            </w:r>
            <w:r w:rsidRPr="00866CB3">
              <w:rPr>
                <w:rFonts w:ascii="Times New Roman" w:eastAsia="Times New Roman" w:hAnsi="Times New Roman" w:cstheme="minorHAnsi"/>
                <w:bCs/>
                <w:sz w:val="20"/>
                <w:szCs w:val="20"/>
                <w:lang w:val="es-MX" w:eastAsia="es-ES"/>
              </w:rPr>
              <w:t xml:space="preserve">Portable </w:t>
            </w:r>
            <w:proofErr w:type="spellStart"/>
            <w:r w:rsidRPr="00866CB3">
              <w:rPr>
                <w:rFonts w:ascii="Times New Roman" w:eastAsia="Times New Roman" w:hAnsi="Times New Roman" w:cstheme="minorHAnsi"/>
                <w:bCs/>
                <w:sz w:val="20"/>
                <w:szCs w:val="20"/>
                <w:lang w:val="es-MX" w:eastAsia="es-ES"/>
              </w:rPr>
              <w:t>Document</w:t>
            </w:r>
            <w:proofErr w:type="spellEnd"/>
            <w:r w:rsidRPr="00866CB3">
              <w:rPr>
                <w:rFonts w:ascii="Times New Roman" w:eastAsia="Times New Roman" w:hAnsi="Times New Roman" w:cstheme="minorHAnsi"/>
                <w:bCs/>
                <w:sz w:val="20"/>
                <w:szCs w:val="20"/>
                <w:lang w:val="es-MX" w:eastAsia="es-ES"/>
              </w:rPr>
              <w:t xml:space="preserve"> </w:t>
            </w:r>
            <w:proofErr w:type="spellStart"/>
            <w:r w:rsidRPr="00866CB3">
              <w:rPr>
                <w:rFonts w:ascii="Times New Roman" w:eastAsia="Times New Roman" w:hAnsi="Times New Roman" w:cstheme="minorHAnsi"/>
                <w:bCs/>
                <w:sz w:val="20"/>
                <w:szCs w:val="20"/>
                <w:lang w:val="es-MX" w:eastAsia="es-ES"/>
              </w:rPr>
              <w:t>Format</w:t>
            </w:r>
            <w:proofErr w:type="spellEnd"/>
            <w:r w:rsidRPr="00866CB3">
              <w:rPr>
                <w:rFonts w:ascii="Times New Roman" w:eastAsia="Times New Roman" w:hAnsi="Times New Roman" w:cstheme="minorHAnsi"/>
                <w:bCs/>
                <w:sz w:val="20"/>
                <w:szCs w:val="20"/>
                <w:lang w:val="es-MX" w:eastAsia="es-ES"/>
              </w:rPr>
              <w:t xml:space="preserve"> (PDF).</w:t>
            </w:r>
          </w:p>
          <w:p w14:paraId="4A7C81E2" w14:textId="77777777" w:rsidR="00866CB3" w:rsidRPr="00866CB3" w:rsidRDefault="00866CB3" w:rsidP="00866CB3">
            <w:pPr>
              <w:spacing w:after="0" w:line="240" w:lineRule="auto"/>
              <w:ind w:left="720"/>
              <w:contextualSpacing/>
              <w:jc w:val="both"/>
              <w:rPr>
                <w:rFonts w:eastAsia="Times New Roman" w:cstheme="minorHAnsi"/>
                <w:bCs/>
                <w:sz w:val="20"/>
                <w:szCs w:val="20"/>
                <w:lang w:val="es-MX" w:eastAsia="es-ES"/>
              </w:rPr>
            </w:pPr>
            <w:r w:rsidRPr="00866CB3">
              <w:rPr>
                <w:rFonts w:eastAsia="Times New Roman" w:cstheme="minorHAnsi"/>
                <w:bCs/>
                <w:sz w:val="20"/>
                <w:szCs w:val="20"/>
                <w:lang w:val="es-MX" w:eastAsia="es-ES"/>
              </w:rPr>
              <w:t xml:space="preserve">Mediante la visualización del texto completo en versión </w:t>
            </w:r>
            <w:proofErr w:type="spellStart"/>
            <w:r w:rsidRPr="00866CB3">
              <w:rPr>
                <w:rFonts w:eastAsia="Times New Roman" w:cstheme="minorHAnsi"/>
                <w:bCs/>
                <w:sz w:val="20"/>
                <w:szCs w:val="20"/>
                <w:lang w:val="es-MX" w:eastAsia="es-ES"/>
              </w:rPr>
              <w:t>HyperText</w:t>
            </w:r>
            <w:proofErr w:type="spellEnd"/>
            <w:r w:rsidRPr="00866CB3">
              <w:rPr>
                <w:rFonts w:eastAsia="Times New Roman" w:cstheme="minorHAnsi"/>
                <w:bCs/>
                <w:sz w:val="20"/>
                <w:szCs w:val="20"/>
                <w:lang w:val="es-MX" w:eastAsia="es-ES"/>
              </w:rPr>
              <w:t xml:space="preserve"> </w:t>
            </w:r>
            <w:proofErr w:type="spellStart"/>
            <w:r w:rsidRPr="00866CB3">
              <w:rPr>
                <w:rFonts w:eastAsia="Times New Roman" w:cstheme="minorHAnsi"/>
                <w:bCs/>
                <w:sz w:val="20"/>
                <w:szCs w:val="20"/>
                <w:lang w:val="es-MX" w:eastAsia="es-ES"/>
              </w:rPr>
              <w:t>Markup</w:t>
            </w:r>
            <w:proofErr w:type="spellEnd"/>
            <w:r w:rsidRPr="00866CB3">
              <w:rPr>
                <w:rFonts w:eastAsia="Times New Roman" w:cstheme="minorHAnsi"/>
                <w:bCs/>
                <w:sz w:val="20"/>
                <w:szCs w:val="20"/>
                <w:lang w:val="es-MX" w:eastAsia="es-ES"/>
              </w:rPr>
              <w:t xml:space="preserve"> </w:t>
            </w:r>
            <w:proofErr w:type="spellStart"/>
            <w:r w:rsidRPr="00866CB3">
              <w:rPr>
                <w:rFonts w:eastAsia="Times New Roman" w:cstheme="minorHAnsi"/>
                <w:bCs/>
                <w:sz w:val="20"/>
                <w:szCs w:val="20"/>
                <w:lang w:val="es-MX" w:eastAsia="es-ES"/>
              </w:rPr>
              <w:t>Language</w:t>
            </w:r>
            <w:proofErr w:type="spellEnd"/>
            <w:r w:rsidRPr="00866CB3">
              <w:rPr>
                <w:rFonts w:eastAsia="Times New Roman" w:cstheme="minorHAnsi"/>
                <w:bCs/>
                <w:sz w:val="20"/>
                <w:szCs w:val="20"/>
                <w:lang w:val="es-MX" w:eastAsia="es-ES"/>
              </w:rPr>
              <w:t xml:space="preserve"> (HTML).</w:t>
            </w:r>
          </w:p>
          <w:p w14:paraId="258F89DA" w14:textId="77777777" w:rsidR="00866CB3" w:rsidRPr="00866CB3" w:rsidRDefault="00866CB3" w:rsidP="00866CB3">
            <w:pPr>
              <w:jc w:val="both"/>
              <w:rPr>
                <w:rFonts w:cstheme="minorHAnsi"/>
                <w:bCs/>
                <w:lang w:val="es-MX" w:eastAsia="es-ES"/>
              </w:rPr>
            </w:pPr>
          </w:p>
          <w:p w14:paraId="0EA8465E" w14:textId="77777777" w:rsidR="00866CB3" w:rsidRPr="00866CB3" w:rsidRDefault="00866CB3" w:rsidP="00866CB3">
            <w:pPr>
              <w:keepNext/>
              <w:spacing w:before="120" w:after="120" w:line="240" w:lineRule="auto"/>
              <w:jc w:val="both"/>
              <w:outlineLvl w:val="2"/>
              <w:rPr>
                <w:rFonts w:eastAsia="Times New Roman" w:cstheme="minorHAnsi"/>
                <w:b/>
                <w:lang w:val="es-PA"/>
              </w:rPr>
            </w:pPr>
            <w:r w:rsidRPr="00866CB3">
              <w:rPr>
                <w:rFonts w:eastAsia="Times New Roman" w:cstheme="minorHAnsi"/>
                <w:b/>
                <w:lang w:val="es-PA"/>
              </w:rPr>
              <w:t>El proveedor dará continuidad al acceso a todos los títulos en las temáticas solicitadas en el punto D.3 a las siguientes entidades beneficiadas:</w:t>
            </w:r>
          </w:p>
          <w:p w14:paraId="68A03347" w14:textId="77777777" w:rsidR="00866CB3" w:rsidRPr="00866CB3" w:rsidRDefault="00866CB3" w:rsidP="00866CB3">
            <w:pPr>
              <w:numPr>
                <w:ilvl w:val="0"/>
                <w:numId w:val="1"/>
              </w:numPr>
              <w:spacing w:after="0" w:line="240" w:lineRule="auto"/>
              <w:jc w:val="both"/>
              <w:outlineLvl w:val="1"/>
              <w:rPr>
                <w:rFonts w:eastAsia="Times New Roman" w:cstheme="minorHAnsi"/>
                <w:lang w:val="es-ES"/>
              </w:rPr>
            </w:pPr>
            <w:r w:rsidRPr="00866CB3">
              <w:rPr>
                <w:rFonts w:eastAsia="Times New Roman" w:cstheme="minorHAnsi"/>
                <w:lang w:val="es-ES"/>
              </w:rPr>
              <w:t>Biblioteca Nacional de Panamá Ernesto J. Castillero R. (BINAL)</w:t>
            </w:r>
          </w:p>
          <w:p w14:paraId="64DC0E4C" w14:textId="77777777" w:rsidR="00866CB3" w:rsidRPr="00866CB3" w:rsidRDefault="00866CB3" w:rsidP="00866CB3">
            <w:pPr>
              <w:numPr>
                <w:ilvl w:val="0"/>
                <w:numId w:val="1"/>
              </w:numPr>
              <w:spacing w:after="0" w:line="240" w:lineRule="auto"/>
              <w:jc w:val="both"/>
              <w:outlineLvl w:val="1"/>
              <w:rPr>
                <w:rFonts w:eastAsia="Times New Roman" w:cstheme="minorHAnsi"/>
                <w:lang w:val="es-ES"/>
              </w:rPr>
            </w:pPr>
            <w:r w:rsidRPr="00866CB3">
              <w:rPr>
                <w:rFonts w:eastAsia="Times New Roman" w:cstheme="minorHAnsi"/>
                <w:lang w:val="es-ES"/>
              </w:rPr>
              <w:t>Secretaría Nacional de Ciencia, Tecnología e Innovación (SENACYT, siendo la entidad gestora de ABC)</w:t>
            </w:r>
          </w:p>
          <w:p w14:paraId="691D5BD7" w14:textId="77777777" w:rsidR="00866CB3" w:rsidRPr="00866CB3" w:rsidRDefault="00866CB3" w:rsidP="00866CB3">
            <w:pPr>
              <w:numPr>
                <w:ilvl w:val="0"/>
                <w:numId w:val="1"/>
              </w:numPr>
              <w:spacing w:after="0" w:line="240" w:lineRule="auto"/>
              <w:jc w:val="both"/>
              <w:outlineLvl w:val="1"/>
              <w:rPr>
                <w:rFonts w:eastAsia="Times New Roman" w:cstheme="minorHAnsi"/>
                <w:lang w:val="es-ES"/>
              </w:rPr>
            </w:pPr>
            <w:r w:rsidRPr="00866CB3">
              <w:rPr>
                <w:rFonts w:eastAsia="Times New Roman" w:cstheme="minorHAnsi"/>
                <w:lang w:val="es-ES"/>
              </w:rPr>
              <w:t>Universidad Autónoma de Chiriquí (UNACHI)</w:t>
            </w:r>
          </w:p>
          <w:p w14:paraId="265925F7" w14:textId="77777777" w:rsidR="00866CB3" w:rsidRPr="00866CB3" w:rsidRDefault="00866CB3" w:rsidP="00866CB3">
            <w:pPr>
              <w:numPr>
                <w:ilvl w:val="0"/>
                <w:numId w:val="1"/>
              </w:numPr>
              <w:spacing w:after="0" w:line="240" w:lineRule="auto"/>
              <w:jc w:val="both"/>
              <w:outlineLvl w:val="1"/>
              <w:rPr>
                <w:rFonts w:eastAsia="Times New Roman" w:cstheme="minorHAnsi"/>
                <w:lang w:val="es-ES"/>
              </w:rPr>
            </w:pPr>
            <w:r w:rsidRPr="00866CB3">
              <w:rPr>
                <w:rFonts w:eastAsia="Times New Roman" w:cstheme="minorHAnsi"/>
                <w:lang w:val="es-ES"/>
              </w:rPr>
              <w:t>Universidad de Panamá (UP)</w:t>
            </w:r>
          </w:p>
          <w:p w14:paraId="45124CEC" w14:textId="77777777" w:rsidR="00866CB3" w:rsidRPr="00866CB3" w:rsidRDefault="00866CB3" w:rsidP="00866CB3">
            <w:pPr>
              <w:numPr>
                <w:ilvl w:val="0"/>
                <w:numId w:val="1"/>
              </w:numPr>
              <w:spacing w:after="0" w:line="240" w:lineRule="auto"/>
              <w:jc w:val="both"/>
              <w:outlineLvl w:val="1"/>
              <w:rPr>
                <w:rFonts w:eastAsia="Times New Roman" w:cstheme="minorHAnsi"/>
                <w:lang w:val="es-ES"/>
              </w:rPr>
            </w:pPr>
            <w:r w:rsidRPr="00866CB3">
              <w:rPr>
                <w:rFonts w:eastAsia="Times New Roman" w:cstheme="minorHAnsi"/>
                <w:lang w:val="es-ES"/>
              </w:rPr>
              <w:t>Universidad Tecnológica de Panamá (UTP)</w:t>
            </w:r>
          </w:p>
          <w:p w14:paraId="6A1DCB8E" w14:textId="77777777" w:rsidR="00866CB3" w:rsidRPr="00866CB3" w:rsidRDefault="00866CB3" w:rsidP="00866CB3">
            <w:pPr>
              <w:numPr>
                <w:ilvl w:val="0"/>
                <w:numId w:val="1"/>
              </w:numPr>
              <w:spacing w:after="0" w:line="240" w:lineRule="auto"/>
              <w:jc w:val="both"/>
              <w:outlineLvl w:val="1"/>
              <w:rPr>
                <w:rFonts w:eastAsia="Times New Roman" w:cstheme="minorHAnsi"/>
                <w:lang w:val="es-ES"/>
              </w:rPr>
            </w:pPr>
            <w:r w:rsidRPr="00866CB3">
              <w:rPr>
                <w:rFonts w:eastAsia="Times New Roman" w:cstheme="minorHAnsi"/>
                <w:lang w:val="es-ES"/>
              </w:rPr>
              <w:t xml:space="preserve">Universidad Marítima de Panamá (UMIP) </w:t>
            </w:r>
          </w:p>
          <w:p w14:paraId="1416EDEA" w14:textId="77777777" w:rsidR="00866CB3" w:rsidRPr="00866CB3" w:rsidRDefault="00866CB3" w:rsidP="00866CB3">
            <w:pPr>
              <w:numPr>
                <w:ilvl w:val="0"/>
                <w:numId w:val="1"/>
              </w:numPr>
              <w:spacing w:after="0" w:line="240" w:lineRule="auto"/>
              <w:jc w:val="both"/>
              <w:outlineLvl w:val="1"/>
              <w:rPr>
                <w:rFonts w:eastAsia="Times New Roman" w:cstheme="minorHAnsi"/>
                <w:lang w:val="es-ES"/>
              </w:rPr>
            </w:pPr>
            <w:r w:rsidRPr="00866CB3">
              <w:rPr>
                <w:rFonts w:eastAsia="Times New Roman" w:cstheme="minorHAnsi"/>
                <w:lang w:val="es-ES"/>
              </w:rPr>
              <w:t>Universidad Especializada de las Américas (UDELAS)</w:t>
            </w:r>
          </w:p>
          <w:p w14:paraId="4EB1EFFE" w14:textId="77777777" w:rsidR="00866CB3" w:rsidRPr="00866CB3" w:rsidRDefault="00866CB3" w:rsidP="00866CB3">
            <w:pPr>
              <w:numPr>
                <w:ilvl w:val="0"/>
                <w:numId w:val="1"/>
              </w:numPr>
              <w:spacing w:after="0" w:line="240" w:lineRule="auto"/>
              <w:jc w:val="both"/>
              <w:outlineLvl w:val="1"/>
              <w:rPr>
                <w:rFonts w:eastAsia="Times New Roman" w:cstheme="minorHAnsi"/>
                <w:lang w:val="es-ES"/>
              </w:rPr>
            </w:pPr>
            <w:r w:rsidRPr="00866CB3">
              <w:rPr>
                <w:rFonts w:eastAsia="Times New Roman" w:cstheme="minorHAnsi"/>
                <w:lang w:val="es-ES"/>
              </w:rPr>
              <w:t>Instituto de Investigaciones de AUPPA (</w:t>
            </w:r>
            <w:proofErr w:type="spellStart"/>
            <w:r w:rsidRPr="00866CB3">
              <w:rPr>
                <w:rFonts w:eastAsia="Times New Roman" w:cstheme="minorHAnsi"/>
                <w:lang w:val="es-ES"/>
              </w:rPr>
              <w:t>IdIA</w:t>
            </w:r>
            <w:proofErr w:type="spellEnd"/>
            <w:r w:rsidRPr="00866CB3">
              <w:rPr>
                <w:rFonts w:eastAsia="Times New Roman" w:cstheme="minorHAnsi"/>
                <w:lang w:val="es-ES"/>
              </w:rPr>
              <w:t>)</w:t>
            </w:r>
          </w:p>
          <w:p w14:paraId="1B50AFC7" w14:textId="77777777" w:rsidR="00866CB3" w:rsidRPr="00866CB3" w:rsidRDefault="00866CB3" w:rsidP="00866CB3">
            <w:pPr>
              <w:spacing w:before="120" w:after="120"/>
              <w:rPr>
                <w:rFonts w:cstheme="minorHAnsi"/>
                <w:color w:val="0000FF"/>
                <w:u w:val="single"/>
                <w:lang w:val="es-PA"/>
              </w:rPr>
            </w:pPr>
            <w:r w:rsidRPr="00866CB3">
              <w:rPr>
                <w:rFonts w:cstheme="minorHAnsi"/>
                <w:b/>
                <w:bCs/>
                <w:lang w:val="es-PA"/>
              </w:rPr>
              <w:t xml:space="preserve">El proponente proveerá acceso a al menos 60 revistas que se encuentran incluidas en el </w:t>
            </w:r>
            <w:proofErr w:type="spellStart"/>
            <w:r w:rsidRPr="00866CB3">
              <w:rPr>
                <w:rFonts w:cstheme="minorHAnsi"/>
                <w:b/>
                <w:bCs/>
                <w:lang w:val="es-PA"/>
              </w:rPr>
              <w:t>Scimago</w:t>
            </w:r>
            <w:proofErr w:type="spellEnd"/>
            <w:r w:rsidRPr="00866CB3">
              <w:rPr>
                <w:rFonts w:cstheme="minorHAnsi"/>
                <w:b/>
                <w:bCs/>
                <w:lang w:val="es-PA"/>
              </w:rPr>
              <w:t xml:space="preserve"> </w:t>
            </w:r>
            <w:proofErr w:type="spellStart"/>
            <w:r w:rsidRPr="00866CB3">
              <w:rPr>
                <w:rFonts w:cstheme="minorHAnsi"/>
                <w:b/>
                <w:bCs/>
                <w:lang w:val="es-PA"/>
              </w:rPr>
              <w:t>Journal</w:t>
            </w:r>
            <w:proofErr w:type="spellEnd"/>
            <w:r w:rsidRPr="00866CB3">
              <w:rPr>
                <w:rFonts w:cstheme="minorHAnsi"/>
                <w:b/>
                <w:bCs/>
                <w:lang w:val="es-PA"/>
              </w:rPr>
              <w:t xml:space="preserve"> &amp; Country Rank </w:t>
            </w:r>
            <w:r w:rsidRPr="00866CB3">
              <w:rPr>
                <w:rFonts w:cstheme="minorHAnsi"/>
                <w:lang w:val="es-PA"/>
              </w:rPr>
              <w:t>(</w:t>
            </w:r>
            <w:hyperlink r:id="rId10" w:history="1">
              <w:r w:rsidRPr="00866CB3">
                <w:rPr>
                  <w:rFonts w:cstheme="minorHAnsi"/>
                  <w:color w:val="0000FF"/>
                  <w:u w:val="single"/>
                  <w:lang w:val="es-PA"/>
                </w:rPr>
                <w:t>https://www.scimagojr.com/journalrank.php</w:t>
              </w:r>
            </w:hyperlink>
            <w:r w:rsidRPr="00866CB3">
              <w:rPr>
                <w:rFonts w:cstheme="minorHAnsi"/>
                <w:color w:val="0000FF"/>
                <w:u w:val="single"/>
                <w:lang w:val="es-PA"/>
              </w:rPr>
              <w:t>.</w:t>
            </w:r>
          </w:p>
          <w:p w14:paraId="01742A3B" w14:textId="77777777" w:rsidR="00866CB3" w:rsidRPr="00866CB3" w:rsidRDefault="00866CB3" w:rsidP="00866CB3">
            <w:pPr>
              <w:spacing w:after="0" w:line="240" w:lineRule="auto"/>
              <w:jc w:val="both"/>
              <w:outlineLvl w:val="1"/>
              <w:rPr>
                <w:rFonts w:eastAsia="Times New Roman" w:cstheme="minorHAnsi"/>
                <w:lang w:val="es-ES"/>
              </w:rPr>
            </w:pPr>
          </w:p>
          <w:p w14:paraId="6084D11B" w14:textId="77777777" w:rsidR="00866CB3" w:rsidRPr="00866CB3" w:rsidRDefault="00866CB3" w:rsidP="00866CB3">
            <w:pPr>
              <w:spacing w:after="0" w:line="240" w:lineRule="auto"/>
              <w:jc w:val="both"/>
              <w:outlineLvl w:val="1"/>
              <w:rPr>
                <w:rFonts w:eastAsia="Times New Roman" w:cstheme="minorHAnsi"/>
                <w:lang w:val="es-ES"/>
              </w:rPr>
            </w:pPr>
            <w:r w:rsidRPr="00866CB3">
              <w:rPr>
                <w:rFonts w:eastAsia="Times New Roman" w:cstheme="minorHAnsi"/>
                <w:b/>
                <w:bCs/>
                <w:lang w:val="es-ES"/>
              </w:rPr>
              <w:t xml:space="preserve">El proponente edita al menos 5 revistas que han permanecido incluidas en el del </w:t>
            </w:r>
            <w:proofErr w:type="spellStart"/>
            <w:r w:rsidRPr="00866CB3">
              <w:rPr>
                <w:rFonts w:eastAsia="Times New Roman" w:cstheme="minorHAnsi"/>
                <w:b/>
                <w:bCs/>
                <w:lang w:val="es-ES"/>
              </w:rPr>
              <w:t>Scimago</w:t>
            </w:r>
            <w:proofErr w:type="spellEnd"/>
            <w:r w:rsidRPr="00866CB3">
              <w:rPr>
                <w:rFonts w:eastAsia="Times New Roman" w:cstheme="minorHAnsi"/>
                <w:b/>
                <w:bCs/>
                <w:lang w:val="es-ES"/>
              </w:rPr>
              <w:t xml:space="preserve"> </w:t>
            </w:r>
            <w:proofErr w:type="spellStart"/>
            <w:r w:rsidRPr="00866CB3">
              <w:rPr>
                <w:rFonts w:eastAsia="Times New Roman" w:cstheme="minorHAnsi"/>
                <w:b/>
                <w:bCs/>
                <w:lang w:val="es-ES"/>
              </w:rPr>
              <w:t>Journal</w:t>
            </w:r>
            <w:proofErr w:type="spellEnd"/>
            <w:r w:rsidRPr="00866CB3">
              <w:rPr>
                <w:rFonts w:eastAsia="Times New Roman" w:cstheme="minorHAnsi"/>
                <w:b/>
                <w:bCs/>
                <w:lang w:val="es-ES"/>
              </w:rPr>
              <w:t xml:space="preserve"> &amp; Country Rank entre el año 2014 al 2016</w:t>
            </w:r>
            <w:r w:rsidRPr="00866CB3">
              <w:rPr>
                <w:rFonts w:eastAsia="Times New Roman" w:cstheme="minorHAnsi"/>
                <w:lang w:val="es-ES"/>
              </w:rPr>
              <w:t xml:space="preserve"> (</w:t>
            </w:r>
            <w:hyperlink r:id="rId11" w:history="1">
              <w:r w:rsidRPr="00866CB3">
                <w:rPr>
                  <w:rFonts w:eastAsia="Times New Roman" w:cstheme="minorHAnsi"/>
                  <w:color w:val="0000FF"/>
                  <w:u w:val="single"/>
                  <w:lang w:val="es-ES"/>
                </w:rPr>
                <w:t>https://www.scimagojr.com/journalrank.php</w:t>
              </w:r>
            </w:hyperlink>
            <w:r w:rsidRPr="00866CB3">
              <w:rPr>
                <w:rFonts w:eastAsia="Times New Roman" w:cstheme="minorHAnsi"/>
                <w:lang w:val="es-ES"/>
              </w:rPr>
              <w:t>)</w:t>
            </w:r>
          </w:p>
          <w:p w14:paraId="6256D113" w14:textId="77777777" w:rsidR="00866CB3" w:rsidRPr="00866CB3" w:rsidRDefault="00866CB3" w:rsidP="00866CB3">
            <w:pPr>
              <w:spacing w:before="120" w:after="120"/>
              <w:jc w:val="both"/>
              <w:rPr>
                <w:rFonts w:cs="Calibri"/>
                <w:b/>
                <w:bCs/>
                <w:lang w:val="es-ES"/>
              </w:rPr>
            </w:pPr>
            <w:r w:rsidRPr="00866CB3">
              <w:rPr>
                <w:rFonts w:cs="Calibri"/>
                <w:b/>
                <w:bCs/>
                <w:lang w:val="es-ES"/>
              </w:rPr>
              <w:t>Se ofrecerá los siguientes servicios conexos:</w:t>
            </w:r>
          </w:p>
          <w:p w14:paraId="379FAA28" w14:textId="77777777" w:rsidR="00866CB3" w:rsidRPr="00866CB3" w:rsidRDefault="00866CB3" w:rsidP="00866CB3">
            <w:pPr>
              <w:numPr>
                <w:ilvl w:val="0"/>
                <w:numId w:val="1"/>
              </w:numPr>
              <w:spacing w:before="120" w:after="120" w:line="240" w:lineRule="auto"/>
              <w:contextualSpacing/>
              <w:jc w:val="both"/>
              <w:rPr>
                <w:rFonts w:ascii="Times New Roman" w:eastAsia="Times New Roman" w:hAnsi="Times New Roman" w:cs="Calibri"/>
                <w:sz w:val="20"/>
                <w:szCs w:val="20"/>
                <w:lang w:val="es-ES"/>
              </w:rPr>
            </w:pPr>
            <w:r w:rsidRPr="00866CB3">
              <w:rPr>
                <w:rFonts w:ascii="Times New Roman" w:eastAsia="Times New Roman" w:hAnsi="Times New Roman" w:cs="Calibri"/>
                <w:sz w:val="20"/>
                <w:szCs w:val="20"/>
                <w:lang w:val="es-ES"/>
              </w:rPr>
              <w:t>Validación de usuarios a través de direcciones IP (según el punto D.1), proxy y claves de acceso remoto para el acceso a ambas bases de datos</w:t>
            </w:r>
          </w:p>
          <w:p w14:paraId="034F9BB9" w14:textId="77777777" w:rsidR="00866CB3" w:rsidRPr="00866CB3" w:rsidRDefault="00866CB3" w:rsidP="00866CB3">
            <w:pPr>
              <w:numPr>
                <w:ilvl w:val="0"/>
                <w:numId w:val="1"/>
              </w:numPr>
              <w:spacing w:before="120" w:after="120" w:line="240" w:lineRule="auto"/>
              <w:contextualSpacing/>
              <w:jc w:val="both"/>
              <w:rPr>
                <w:rFonts w:ascii="Times New Roman" w:eastAsia="Times New Roman" w:hAnsi="Times New Roman" w:cs="Calibri"/>
                <w:sz w:val="20"/>
                <w:szCs w:val="20"/>
                <w:lang w:val="es-ES"/>
              </w:rPr>
            </w:pPr>
            <w:r w:rsidRPr="00866CB3">
              <w:rPr>
                <w:rFonts w:ascii="Times New Roman" w:eastAsia="Times New Roman" w:hAnsi="Times New Roman" w:cs="Calibri"/>
                <w:sz w:val="20"/>
                <w:szCs w:val="20"/>
                <w:lang w:val="es-ES"/>
              </w:rPr>
              <w:t xml:space="preserve">Accesibilidad a las bases de datos </w:t>
            </w:r>
            <w:r w:rsidRPr="00866CB3">
              <w:rPr>
                <w:rFonts w:ascii="Times New Roman" w:eastAsia="Times New Roman" w:hAnsi="Times New Roman" w:cs="Calibri"/>
                <w:sz w:val="20"/>
                <w:szCs w:val="20"/>
                <w:lang w:val="es-MX"/>
              </w:rPr>
              <w:t>las 24 horas del día, 7 días a la semana</w:t>
            </w:r>
          </w:p>
          <w:p w14:paraId="2015BDDC" w14:textId="77777777" w:rsidR="00866CB3" w:rsidRPr="00866CB3" w:rsidRDefault="00866CB3" w:rsidP="00866CB3">
            <w:pPr>
              <w:numPr>
                <w:ilvl w:val="0"/>
                <w:numId w:val="1"/>
              </w:numPr>
              <w:spacing w:before="120" w:after="120" w:line="240" w:lineRule="auto"/>
              <w:contextualSpacing/>
              <w:jc w:val="both"/>
              <w:rPr>
                <w:rFonts w:ascii="Times New Roman" w:eastAsia="Times New Roman" w:hAnsi="Times New Roman" w:cs="Calibri"/>
                <w:sz w:val="20"/>
                <w:szCs w:val="20"/>
                <w:lang w:val="es-ES"/>
              </w:rPr>
            </w:pPr>
            <w:r w:rsidRPr="00866CB3">
              <w:rPr>
                <w:rFonts w:ascii="Times New Roman" w:eastAsia="Times New Roman" w:hAnsi="Times New Roman" w:cs="Calibri"/>
                <w:sz w:val="20"/>
                <w:szCs w:val="20"/>
                <w:lang w:val="es-ES"/>
              </w:rPr>
              <w:t>Soporte técnico por vía de correo electrónico, internet y teléfono disponible de manera permanente en horas laborables (de 8:00 a.m. a 4:00 p.m., hora de Panamá)</w:t>
            </w:r>
          </w:p>
          <w:p w14:paraId="7D21567F" w14:textId="77777777" w:rsidR="00866CB3" w:rsidRPr="00866CB3" w:rsidRDefault="00866CB3" w:rsidP="00866CB3">
            <w:pPr>
              <w:numPr>
                <w:ilvl w:val="0"/>
                <w:numId w:val="1"/>
              </w:numPr>
              <w:spacing w:before="120" w:after="120" w:line="240" w:lineRule="auto"/>
              <w:contextualSpacing/>
              <w:jc w:val="both"/>
              <w:rPr>
                <w:rFonts w:ascii="Times New Roman" w:eastAsia="Times New Roman" w:hAnsi="Times New Roman" w:cs="Calibri"/>
                <w:sz w:val="20"/>
                <w:szCs w:val="20"/>
                <w:lang w:val="es-ES"/>
              </w:rPr>
            </w:pPr>
            <w:r w:rsidRPr="00866CB3">
              <w:rPr>
                <w:rFonts w:ascii="Times New Roman" w:eastAsia="Times New Roman" w:hAnsi="Times New Roman" w:cs="Calibri"/>
                <w:sz w:val="20"/>
                <w:szCs w:val="20"/>
                <w:lang w:val="es-ES"/>
              </w:rPr>
              <w:t>Al menos dos rondas de capacitaciones presenciales sobre las funciones y el uso de las bases de datos en cada una de las entidades beneficiadas de acuerdo con el cronograma que se establezca</w:t>
            </w:r>
          </w:p>
          <w:p w14:paraId="0300321D" w14:textId="77777777" w:rsidR="00866CB3" w:rsidRPr="00866CB3" w:rsidRDefault="00866CB3" w:rsidP="00866CB3">
            <w:pPr>
              <w:numPr>
                <w:ilvl w:val="0"/>
                <w:numId w:val="1"/>
              </w:numPr>
              <w:spacing w:before="120" w:after="120" w:line="240" w:lineRule="auto"/>
              <w:contextualSpacing/>
              <w:jc w:val="both"/>
              <w:rPr>
                <w:rFonts w:ascii="Times New Roman" w:eastAsia="Times New Roman" w:hAnsi="Times New Roman" w:cs="Calibri"/>
                <w:sz w:val="20"/>
                <w:szCs w:val="20"/>
                <w:lang w:val="es-ES"/>
              </w:rPr>
            </w:pPr>
            <w:r w:rsidRPr="00866CB3">
              <w:rPr>
                <w:rFonts w:ascii="Times New Roman" w:eastAsia="Times New Roman" w:hAnsi="Times New Roman" w:cs="Calibri"/>
                <w:sz w:val="20"/>
                <w:szCs w:val="20"/>
                <w:lang w:val="es-ES"/>
              </w:rPr>
              <w:t>Capacitaciones en línea ofrecidas, a demanda de los usuarios (Skype, WebEx u otros)</w:t>
            </w:r>
          </w:p>
          <w:p w14:paraId="398F2C45" w14:textId="77777777" w:rsidR="00866CB3" w:rsidRPr="00866CB3" w:rsidRDefault="00866CB3" w:rsidP="00866CB3">
            <w:pPr>
              <w:numPr>
                <w:ilvl w:val="0"/>
                <w:numId w:val="1"/>
              </w:numPr>
              <w:spacing w:before="120" w:after="120" w:line="240" w:lineRule="auto"/>
              <w:contextualSpacing/>
              <w:jc w:val="both"/>
              <w:rPr>
                <w:rFonts w:ascii="Calibri" w:eastAsia="Times New Roman" w:hAnsi="Calibri" w:cs="Calibri"/>
                <w:sz w:val="20"/>
                <w:szCs w:val="20"/>
                <w:lang w:val="es-MX"/>
              </w:rPr>
            </w:pPr>
            <w:r w:rsidRPr="00866CB3">
              <w:rPr>
                <w:rFonts w:ascii="Times New Roman" w:eastAsia="Times New Roman" w:hAnsi="Times New Roman" w:cs="Calibri"/>
                <w:sz w:val="20"/>
                <w:szCs w:val="20"/>
                <w:lang w:val="es-ES"/>
              </w:rPr>
              <w:t xml:space="preserve">Envío mensual de un </w:t>
            </w:r>
            <w:r w:rsidRPr="00866CB3">
              <w:rPr>
                <w:rFonts w:ascii="Times New Roman" w:eastAsia="Times New Roman" w:hAnsi="Times New Roman" w:cs="Calibri"/>
                <w:sz w:val="20"/>
                <w:szCs w:val="20"/>
                <w:lang w:val="es-MX"/>
              </w:rPr>
              <w:t>reporte de estadísticas de uso de las dos bases de datos.</w:t>
            </w:r>
          </w:p>
          <w:p w14:paraId="44A23394" w14:textId="77777777" w:rsidR="00866CB3" w:rsidRPr="00866CB3" w:rsidRDefault="00866CB3" w:rsidP="00866CB3">
            <w:pPr>
              <w:spacing w:after="0" w:line="240" w:lineRule="auto"/>
              <w:jc w:val="both"/>
              <w:outlineLvl w:val="1"/>
              <w:rPr>
                <w:rFonts w:eastAsia="Times New Roman" w:cstheme="minorHAnsi"/>
                <w:lang w:val="es-ES"/>
              </w:rPr>
            </w:pPr>
            <w:r w:rsidRPr="00866CB3">
              <w:rPr>
                <w:rFonts w:eastAsia="Times New Roman" w:cstheme="minorHAnsi"/>
                <w:lang w:val="es-ES"/>
              </w:rPr>
              <w:t>Los títulos incluidos en las colecciones de las bases de datos de revistas científicas indizadas con factores impacto mencionadas en el punto D.3 no deberán estar bajo ningún tipo de embargo, todas las publicaciones de los títulos ofrecidos en el servicio de la base de datos deben estar disponibles para los usuarios de las entidades del punto D.4 el mismo día de su publicación en línea.</w:t>
            </w:r>
          </w:p>
          <w:p w14:paraId="1DA17D73" w14:textId="77777777" w:rsidR="00866CB3" w:rsidRPr="00866CB3" w:rsidRDefault="00866CB3" w:rsidP="00866CB3">
            <w:pPr>
              <w:spacing w:after="0" w:line="240" w:lineRule="auto"/>
              <w:ind w:left="720"/>
              <w:contextualSpacing/>
              <w:rPr>
                <w:rFonts w:eastAsia="Times New Roman" w:cstheme="minorHAnsi"/>
                <w:lang w:val="es-PA"/>
              </w:rPr>
            </w:pPr>
          </w:p>
          <w:p w14:paraId="57565F98" w14:textId="77777777" w:rsidR="00866CB3" w:rsidRPr="00866CB3" w:rsidRDefault="00866CB3" w:rsidP="00866CB3">
            <w:pPr>
              <w:spacing w:before="120" w:after="120"/>
              <w:jc w:val="both"/>
              <w:rPr>
                <w:rFonts w:ascii="Calibri" w:hAnsi="Calibri" w:cs="Calibri"/>
                <w:lang w:val="es-PA"/>
              </w:rPr>
            </w:pPr>
          </w:p>
        </w:tc>
        <w:tc>
          <w:tcPr>
            <w:tcW w:w="1620" w:type="dxa"/>
          </w:tcPr>
          <w:p w14:paraId="279E3A9D" w14:textId="77777777" w:rsidR="00866CB3" w:rsidRPr="00866CB3" w:rsidRDefault="00866CB3" w:rsidP="00866CB3">
            <w:pPr>
              <w:rPr>
                <w:rFonts w:ascii="Calibri" w:hAnsi="Calibri" w:cs="Calibri"/>
                <w:lang w:val="es-ES_tradnl"/>
              </w:rPr>
            </w:pPr>
          </w:p>
        </w:tc>
        <w:tc>
          <w:tcPr>
            <w:tcW w:w="1530" w:type="dxa"/>
          </w:tcPr>
          <w:p w14:paraId="7C3B5E31" w14:textId="77777777" w:rsidR="00866CB3" w:rsidRPr="00866CB3" w:rsidRDefault="00866CB3" w:rsidP="00866CB3">
            <w:pPr>
              <w:rPr>
                <w:rFonts w:ascii="Calibri" w:hAnsi="Calibri" w:cs="Calibri"/>
                <w:lang w:val="es-ES_tradnl"/>
              </w:rPr>
            </w:pPr>
          </w:p>
        </w:tc>
      </w:tr>
      <w:tr w:rsidR="00866CB3" w:rsidRPr="00866CB3" w14:paraId="00C6982A" w14:textId="77777777" w:rsidTr="000845F7">
        <w:tc>
          <w:tcPr>
            <w:tcW w:w="1170" w:type="dxa"/>
          </w:tcPr>
          <w:p w14:paraId="7586F513" w14:textId="77777777" w:rsidR="00866CB3" w:rsidRPr="00866CB3" w:rsidRDefault="00866CB3" w:rsidP="00866CB3">
            <w:pPr>
              <w:rPr>
                <w:rFonts w:ascii="Calibri" w:hAnsi="Calibri" w:cs="Calibri"/>
                <w:lang w:val="es-ES_tradnl"/>
              </w:rPr>
            </w:pPr>
          </w:p>
        </w:tc>
        <w:tc>
          <w:tcPr>
            <w:tcW w:w="4657" w:type="dxa"/>
          </w:tcPr>
          <w:p w14:paraId="5574C1C1" w14:textId="77777777" w:rsidR="00866CB3" w:rsidRPr="00866CB3" w:rsidRDefault="00866CB3" w:rsidP="00866CB3">
            <w:pPr>
              <w:keepNext/>
              <w:spacing w:before="120" w:after="120" w:line="240" w:lineRule="auto"/>
              <w:jc w:val="both"/>
              <w:outlineLvl w:val="2"/>
              <w:rPr>
                <w:rFonts w:eastAsia="Times New Roman" w:cstheme="minorHAnsi"/>
                <w:bCs/>
                <w:lang w:val="es-PA"/>
              </w:rPr>
            </w:pPr>
            <w:r w:rsidRPr="00866CB3">
              <w:rPr>
                <w:rFonts w:eastAsia="Times New Roman" w:cstheme="minorHAnsi"/>
                <w:bCs/>
                <w:lang w:val="es-PA"/>
              </w:rPr>
              <w:t>TOTAL</w:t>
            </w:r>
          </w:p>
        </w:tc>
        <w:tc>
          <w:tcPr>
            <w:tcW w:w="1620" w:type="dxa"/>
          </w:tcPr>
          <w:p w14:paraId="7B39D9A8" w14:textId="77777777" w:rsidR="00866CB3" w:rsidRPr="00866CB3" w:rsidRDefault="00866CB3" w:rsidP="00866CB3">
            <w:pPr>
              <w:rPr>
                <w:rFonts w:ascii="Calibri" w:hAnsi="Calibri" w:cs="Calibri"/>
                <w:lang w:val="es-ES_tradnl"/>
              </w:rPr>
            </w:pPr>
          </w:p>
        </w:tc>
        <w:tc>
          <w:tcPr>
            <w:tcW w:w="1530" w:type="dxa"/>
          </w:tcPr>
          <w:p w14:paraId="75600C59" w14:textId="77777777" w:rsidR="00866CB3" w:rsidRPr="00866CB3" w:rsidRDefault="00866CB3" w:rsidP="00866CB3">
            <w:pPr>
              <w:rPr>
                <w:rFonts w:ascii="Calibri" w:hAnsi="Calibri" w:cs="Calibri"/>
                <w:lang w:val="es-ES_tradnl"/>
              </w:rPr>
            </w:pPr>
          </w:p>
        </w:tc>
      </w:tr>
    </w:tbl>
    <w:p w14:paraId="5DC8310A" w14:textId="77777777" w:rsidR="00866CB3" w:rsidRPr="00866CB3" w:rsidRDefault="00866CB3" w:rsidP="00866CB3">
      <w:pPr>
        <w:spacing w:after="216"/>
        <w:ind w:left="10" w:right="1" w:hanging="10"/>
        <w:jc w:val="right"/>
        <w:rPr>
          <w:rFonts w:cstheme="minorHAnsi"/>
          <w:sz w:val="24"/>
          <w:szCs w:val="24"/>
          <w:lang w:val="es-PA"/>
        </w:rPr>
      </w:pPr>
    </w:p>
    <w:p w14:paraId="640E25CC" w14:textId="77777777" w:rsidR="00866CB3" w:rsidRPr="00866CB3" w:rsidRDefault="00866CB3" w:rsidP="00866CB3">
      <w:pPr>
        <w:jc w:val="both"/>
        <w:rPr>
          <w:rFonts w:eastAsia="Calibri" w:cstheme="minorHAnsi"/>
          <w:i/>
          <w:sz w:val="24"/>
          <w:szCs w:val="24"/>
          <w:lang w:val="es-PA"/>
        </w:rPr>
      </w:pPr>
      <w:r w:rsidRPr="00866CB3">
        <w:rPr>
          <w:rFonts w:eastAsia="Calibri" w:cstheme="minorHAnsi"/>
          <w:b/>
          <w:i/>
          <w:sz w:val="24"/>
          <w:szCs w:val="24"/>
          <w:lang w:val="es-PA"/>
        </w:rPr>
        <w:t>Nota:</w:t>
      </w:r>
      <w:r w:rsidRPr="00866CB3">
        <w:rPr>
          <w:rFonts w:eastAsia="Calibri" w:cstheme="minorHAnsi"/>
          <w:i/>
          <w:sz w:val="24"/>
          <w:szCs w:val="24"/>
          <w:lang w:val="es-PA"/>
        </w:rPr>
        <w:t xml:space="preserve"> El precio de la cotización NO deberá incluir impuestos.  PNUD por ser organismo internacional está exento del pago de impuestos </w:t>
      </w:r>
      <w:proofErr w:type="gramStart"/>
      <w:r w:rsidRPr="00866CB3">
        <w:rPr>
          <w:rFonts w:eastAsia="Calibri" w:cstheme="minorHAnsi"/>
          <w:i/>
          <w:sz w:val="24"/>
          <w:szCs w:val="24"/>
          <w:lang w:val="es-PA"/>
        </w:rPr>
        <w:t>de acuerdo a</w:t>
      </w:r>
      <w:proofErr w:type="gramEnd"/>
      <w:r w:rsidRPr="00866CB3">
        <w:rPr>
          <w:rFonts w:eastAsia="Calibri" w:cstheme="minorHAnsi"/>
          <w:i/>
          <w:sz w:val="24"/>
          <w:szCs w:val="24"/>
          <w:lang w:val="es-PA"/>
        </w:rPr>
        <w:t xml:space="preserve"> lo establecido en la resolución 201-862 del 2 de marzo de 1999.</w:t>
      </w:r>
    </w:p>
    <w:p w14:paraId="0DCCEE43" w14:textId="77777777" w:rsidR="00866CB3" w:rsidRPr="00866CB3" w:rsidRDefault="00866CB3" w:rsidP="00866CB3">
      <w:pPr>
        <w:jc w:val="both"/>
        <w:rPr>
          <w:rFonts w:eastAsia="Calibri" w:cstheme="minorHAnsi"/>
          <w:i/>
          <w:sz w:val="24"/>
          <w:szCs w:val="24"/>
          <w:lang w:val="es-PA"/>
        </w:rPr>
      </w:pPr>
    </w:p>
    <w:p w14:paraId="09DD2A14" w14:textId="77777777" w:rsidR="00866CB3" w:rsidRPr="00866CB3" w:rsidRDefault="00866CB3" w:rsidP="00866CB3">
      <w:pPr>
        <w:jc w:val="both"/>
        <w:rPr>
          <w:rFonts w:eastAsia="Calibri" w:cstheme="minorHAnsi"/>
          <w:i/>
          <w:sz w:val="24"/>
          <w:szCs w:val="24"/>
          <w:lang w:val="es-PA"/>
        </w:rPr>
      </w:pPr>
    </w:p>
    <w:p w14:paraId="04A3FB6A" w14:textId="77777777" w:rsidR="00866CB3" w:rsidRPr="00866CB3" w:rsidRDefault="00866CB3" w:rsidP="00866CB3">
      <w:pPr>
        <w:ind w:left="284"/>
        <w:jc w:val="both"/>
        <w:rPr>
          <w:rFonts w:cstheme="minorHAnsi"/>
          <w:i/>
          <w:iCs/>
          <w:noProof/>
          <w:snapToGrid w:val="0"/>
          <w:sz w:val="24"/>
          <w:szCs w:val="24"/>
          <w:lang w:val="es-ES_tradnl"/>
        </w:rPr>
      </w:pPr>
      <w:r w:rsidRPr="00866CB3">
        <w:rPr>
          <w:rFonts w:cstheme="minorHAnsi"/>
          <w:i/>
          <w:iCs/>
          <w:noProof/>
          <w:snapToGrid w:val="0"/>
          <w:sz w:val="24"/>
          <w:szCs w:val="24"/>
          <w:lang w:val="es-ES_tradnl"/>
        </w:rPr>
        <w:t>_____________________________________________________</w:t>
      </w:r>
    </w:p>
    <w:p w14:paraId="21F0C330" w14:textId="77777777" w:rsidR="00866CB3" w:rsidRPr="00866CB3" w:rsidRDefault="00866CB3" w:rsidP="00866CB3">
      <w:pPr>
        <w:ind w:left="284"/>
        <w:jc w:val="both"/>
        <w:rPr>
          <w:rFonts w:cstheme="minorHAnsi"/>
          <w:i/>
          <w:iCs/>
          <w:noProof/>
          <w:snapToGrid w:val="0"/>
          <w:sz w:val="24"/>
          <w:szCs w:val="24"/>
          <w:lang w:val="es-ES_tradnl"/>
        </w:rPr>
      </w:pPr>
      <w:r w:rsidRPr="00866CB3">
        <w:rPr>
          <w:rFonts w:cstheme="minorHAnsi"/>
          <w:i/>
          <w:iCs/>
          <w:noProof/>
          <w:snapToGrid w:val="0"/>
          <w:sz w:val="24"/>
          <w:szCs w:val="24"/>
          <w:lang w:val="es-ES_tradnl"/>
        </w:rPr>
        <w:t>Firma del Representante legal o persona autorizada para firmar]</w:t>
      </w:r>
    </w:p>
    <w:p w14:paraId="2C7CCC53" w14:textId="77777777" w:rsidR="00866CB3" w:rsidRPr="00866CB3" w:rsidRDefault="00866CB3" w:rsidP="00866CB3">
      <w:pPr>
        <w:ind w:left="284"/>
        <w:jc w:val="both"/>
        <w:rPr>
          <w:rFonts w:cstheme="minorHAnsi"/>
          <w:i/>
          <w:iCs/>
          <w:noProof/>
          <w:snapToGrid w:val="0"/>
          <w:sz w:val="24"/>
          <w:szCs w:val="24"/>
          <w:lang w:val="es-ES_tradnl"/>
        </w:rPr>
      </w:pPr>
    </w:p>
    <w:p w14:paraId="4AB7555B" w14:textId="77777777" w:rsidR="00866CB3" w:rsidRPr="00866CB3" w:rsidRDefault="00866CB3" w:rsidP="00866CB3">
      <w:pPr>
        <w:ind w:left="284"/>
        <w:jc w:val="both"/>
        <w:rPr>
          <w:rFonts w:cstheme="minorHAnsi"/>
          <w:i/>
          <w:iCs/>
          <w:noProof/>
          <w:snapToGrid w:val="0"/>
          <w:sz w:val="24"/>
          <w:szCs w:val="24"/>
          <w:lang w:val="es-ES_tradnl"/>
        </w:rPr>
      </w:pPr>
    </w:p>
    <w:p w14:paraId="76526FA7" w14:textId="77777777" w:rsidR="00866CB3" w:rsidRPr="00866CB3" w:rsidRDefault="00866CB3" w:rsidP="00866CB3">
      <w:pPr>
        <w:ind w:left="284"/>
        <w:jc w:val="both"/>
        <w:rPr>
          <w:rFonts w:cstheme="minorHAnsi"/>
          <w:i/>
          <w:iCs/>
          <w:noProof/>
          <w:snapToGrid w:val="0"/>
          <w:sz w:val="24"/>
          <w:szCs w:val="24"/>
          <w:lang w:val="es-ES_tradnl"/>
        </w:rPr>
      </w:pPr>
      <w:r w:rsidRPr="00866CB3">
        <w:rPr>
          <w:rFonts w:cstheme="minorHAnsi"/>
          <w:i/>
          <w:iCs/>
          <w:noProof/>
          <w:snapToGrid w:val="0"/>
          <w:sz w:val="24"/>
          <w:szCs w:val="24"/>
          <w:lang w:val="es-ES_tradnl"/>
        </w:rPr>
        <w:t>_______________________________________</w:t>
      </w:r>
    </w:p>
    <w:p w14:paraId="53925393" w14:textId="77777777" w:rsidR="00866CB3" w:rsidRPr="00866CB3" w:rsidRDefault="00866CB3" w:rsidP="00866CB3">
      <w:pPr>
        <w:ind w:left="284"/>
        <w:jc w:val="both"/>
        <w:rPr>
          <w:rFonts w:cstheme="minorHAnsi"/>
          <w:i/>
          <w:iCs/>
          <w:noProof/>
          <w:snapToGrid w:val="0"/>
          <w:sz w:val="24"/>
          <w:szCs w:val="24"/>
          <w:lang w:val="es-ES_tradnl"/>
        </w:rPr>
      </w:pPr>
      <w:r w:rsidRPr="00866CB3">
        <w:rPr>
          <w:rFonts w:cstheme="minorHAnsi"/>
          <w:i/>
          <w:iCs/>
          <w:noProof/>
          <w:snapToGrid w:val="0"/>
          <w:sz w:val="24"/>
          <w:szCs w:val="24"/>
          <w:lang w:val="es-ES_tradnl"/>
        </w:rPr>
        <w:t>Fecha</w:t>
      </w:r>
    </w:p>
    <w:p w14:paraId="2F9D1CA0" w14:textId="77777777" w:rsidR="00866CB3" w:rsidRDefault="00866CB3" w:rsidP="00866CB3">
      <w:r w:rsidRPr="00866CB3">
        <w:rPr>
          <w:rFonts w:cstheme="minorHAnsi"/>
          <w:b/>
          <w:sz w:val="24"/>
          <w:szCs w:val="24"/>
          <w:lang w:val="es-PA"/>
        </w:rPr>
        <w:br w:type="page"/>
      </w:r>
      <w:bookmarkStart w:id="0" w:name="_GoBack"/>
      <w:bookmarkEnd w:id="0"/>
    </w:p>
    <w:sectPr w:rsidR="00866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2CA1" w14:textId="77777777" w:rsidR="00866CB3" w:rsidRDefault="00866CB3" w:rsidP="00866CB3">
      <w:pPr>
        <w:spacing w:after="0" w:line="240" w:lineRule="auto"/>
      </w:pPr>
      <w:r>
        <w:separator/>
      </w:r>
    </w:p>
  </w:endnote>
  <w:endnote w:type="continuationSeparator" w:id="0">
    <w:p w14:paraId="1DAE439A" w14:textId="77777777" w:rsidR="00866CB3" w:rsidRDefault="00866CB3" w:rsidP="0086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7E52" w14:textId="77777777" w:rsidR="00866CB3" w:rsidRDefault="00866CB3" w:rsidP="00866CB3">
      <w:pPr>
        <w:spacing w:after="0" w:line="240" w:lineRule="auto"/>
      </w:pPr>
      <w:r>
        <w:separator/>
      </w:r>
    </w:p>
  </w:footnote>
  <w:footnote w:type="continuationSeparator" w:id="0">
    <w:p w14:paraId="31570720" w14:textId="77777777" w:rsidR="00866CB3" w:rsidRDefault="00866CB3" w:rsidP="00866CB3">
      <w:pPr>
        <w:spacing w:after="0" w:line="240" w:lineRule="auto"/>
      </w:pPr>
      <w:r>
        <w:continuationSeparator/>
      </w:r>
    </w:p>
  </w:footnote>
  <w:footnote w:id="1">
    <w:p w14:paraId="20C008A8" w14:textId="77777777" w:rsidR="00866CB3" w:rsidRPr="00217F20" w:rsidRDefault="00866CB3" w:rsidP="00866CB3">
      <w:pPr>
        <w:jc w:val="both"/>
        <w:rPr>
          <w:lang w:val="es-ES_tradnl"/>
        </w:rPr>
      </w:pPr>
      <w:r w:rsidRPr="00217F20">
        <w:rPr>
          <w:rStyle w:val="FootnoteReferenc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14:paraId="0218EAE7" w14:textId="77777777" w:rsidR="00866CB3" w:rsidRPr="00217F20" w:rsidRDefault="00866CB3" w:rsidP="00866CB3">
      <w:pPr>
        <w:pStyle w:val="FootnoteText"/>
        <w:rPr>
          <w:i/>
          <w:lang w:val="es-ES_tradnl"/>
        </w:rPr>
      </w:pPr>
      <w:r w:rsidRPr="00217F20">
        <w:rPr>
          <w:rStyle w:val="FootnoteReferenc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de la empresa deberá</w:t>
      </w:r>
      <w:r>
        <w:rPr>
          <w:i/>
          <w:lang w:val="es-ES_tradnl"/>
        </w:rPr>
        <w:t xml:space="preserve"> señalar datos de contacto</w:t>
      </w:r>
      <w:r w:rsidRPr="00217F20">
        <w:rPr>
          <w:i/>
          <w:lang w:val="es-ES_tradnl"/>
        </w:rPr>
        <w:t xml:space="preserve"> –dirección, correo electrónico, números de teléfono y fax– a efectos de verificación.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06C2"/>
    <w:multiLevelType w:val="hybridMultilevel"/>
    <w:tmpl w:val="FF504958"/>
    <w:lvl w:ilvl="0" w:tplc="6E30C512">
      <w:start w:val="2"/>
      <w:numFmt w:val="bullet"/>
      <w:lvlText w:val="-"/>
      <w:lvlJc w:val="left"/>
      <w:pPr>
        <w:ind w:left="720" w:hanging="360"/>
      </w:pPr>
      <w:rPr>
        <w:rFonts w:ascii="Calibri" w:eastAsia="Times New Roman" w:hAnsi="Calibri" w:cs="Calibri"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comments="0"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B3"/>
    <w:rsid w:val="0086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A901"/>
  <w15:chartTrackingRefBased/>
  <w15:docId w15:val="{6DCBADDD-AA3B-46AD-A529-77E20CFA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6CB3"/>
    <w:rPr>
      <w:vertAlign w:val="superscript"/>
    </w:rPr>
  </w:style>
  <w:style w:type="paragraph" w:styleId="FootnoteText">
    <w:name w:val="footnote text"/>
    <w:basedOn w:val="Normal"/>
    <w:link w:val="FootnoteTextChar"/>
    <w:uiPriority w:val="99"/>
    <w:semiHidden/>
    <w:unhideWhenUsed/>
    <w:rsid w:val="00866C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6C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magojr.com/journalrank.php" TargetMode="External"/><Relationship Id="rId5" Type="http://schemas.openxmlformats.org/officeDocument/2006/relationships/styles" Target="styles.xml"/><Relationship Id="rId10" Type="http://schemas.openxmlformats.org/officeDocument/2006/relationships/hyperlink" Target="https://www.scimagojr.com/journalrank.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C2046B78054383D2641E6C6FA82E" ma:contentTypeVersion="10" ma:contentTypeDescription="Create a new document." ma:contentTypeScope="" ma:versionID="a71becf1c2a0e3b60926fe0281afce98">
  <xsd:schema xmlns:xsd="http://www.w3.org/2001/XMLSchema" xmlns:xs="http://www.w3.org/2001/XMLSchema" xmlns:p="http://schemas.microsoft.com/office/2006/metadata/properties" xmlns:ns3="7c176bf4-9a54-405a-b086-f639c0bf8f14" xmlns:ns4="4831e7c2-13c5-468c-99b0-9c7176f36de8" targetNamespace="http://schemas.microsoft.com/office/2006/metadata/properties" ma:root="true" ma:fieldsID="1d09cadab88b265009c974ad2afb453a" ns3:_="" ns4:_="">
    <xsd:import namespace="7c176bf4-9a54-405a-b086-f639c0bf8f14"/>
    <xsd:import namespace="4831e7c2-13c5-468c-99b0-9c7176f36d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76bf4-9a54-405a-b086-f639c0bf8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1e7c2-13c5-468c-99b0-9c7176f36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BDC24-9E0E-464D-8A46-B2EE1717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76bf4-9a54-405a-b086-f639c0bf8f14"/>
    <ds:schemaRef ds:uri="4831e7c2-13c5-468c-99b0-9c7176f36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56596-CFBB-4E39-9402-E8DC5CEB7CDA}">
  <ds:schemaRefs>
    <ds:schemaRef ds:uri="http://schemas.microsoft.com/sharepoint/v3/contenttype/forms"/>
  </ds:schemaRefs>
</ds:datastoreItem>
</file>

<file path=customXml/itemProps3.xml><?xml version="1.0" encoding="utf-8"?>
<ds:datastoreItem xmlns:ds="http://schemas.openxmlformats.org/officeDocument/2006/customXml" ds:itemID="{18E017CB-B684-4E08-86FF-4A4E50052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Aracellys Combe Carrasquilla</dc:creator>
  <cp:keywords/>
  <dc:description/>
  <cp:lastModifiedBy>Myrna Aracellys Combe Carrasquilla</cp:lastModifiedBy>
  <cp:revision>1</cp:revision>
  <dcterms:created xsi:type="dcterms:W3CDTF">2019-11-13T00:14:00Z</dcterms:created>
  <dcterms:modified xsi:type="dcterms:W3CDTF">2019-11-13T00:15:00Z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0x0101000B17C2046B78054383D2641E6C6FA82E</vt:lpwstr>
  </property>
</Properties>
</file>