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0" w:rsidRPr="00411AE0" w:rsidRDefault="00411AE0" w:rsidP="00EA46FD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:rsidR="009C31CD" w:rsidRPr="00411AE0" w:rsidRDefault="009C31CD" w:rsidP="00411AE0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  <w:r w:rsidRPr="00411AE0">
        <w:rPr>
          <w:rFonts w:asciiTheme="majorBidi" w:hAnsiTheme="majorBidi" w:cstheme="majorBidi"/>
          <w:b/>
          <w:sz w:val="20"/>
          <w:szCs w:val="20"/>
          <w:u w:val="single"/>
        </w:rPr>
        <w:t>PROPOSAL TEMPLATE</w:t>
      </w:r>
    </w:p>
    <w:p w:rsidR="00C64A09" w:rsidRPr="00411AE0" w:rsidRDefault="00FF37BF" w:rsidP="001E133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411AE0">
        <w:rPr>
          <w:rFonts w:asciiTheme="majorBidi" w:hAnsiTheme="majorBidi" w:cstheme="majorBidi"/>
          <w:sz w:val="20"/>
          <w:szCs w:val="20"/>
        </w:rPr>
        <w:t>(</w:t>
      </w:r>
      <w:r w:rsidR="00CB7B0F">
        <w:rPr>
          <w:rFonts w:asciiTheme="majorBidi" w:hAnsiTheme="majorBidi" w:cstheme="majorBidi"/>
          <w:sz w:val="20"/>
          <w:szCs w:val="20"/>
        </w:rPr>
        <w:t xml:space="preserve">To </w:t>
      </w:r>
      <w:bookmarkStart w:id="0" w:name="_GoBack"/>
      <w:bookmarkEnd w:id="0"/>
      <w:r w:rsidR="00664867" w:rsidRPr="00411AE0">
        <w:rPr>
          <w:rFonts w:asciiTheme="majorBidi" w:hAnsiTheme="majorBidi" w:cstheme="majorBidi"/>
          <w:sz w:val="20"/>
          <w:szCs w:val="20"/>
        </w:rPr>
        <w:t>complet</w:t>
      </w:r>
      <w:r w:rsidR="0067231B" w:rsidRPr="00411AE0">
        <w:rPr>
          <w:rFonts w:asciiTheme="majorBidi" w:hAnsiTheme="majorBidi" w:cstheme="majorBidi"/>
          <w:sz w:val="20"/>
          <w:szCs w:val="20"/>
        </w:rPr>
        <w:t>ed in English</w:t>
      </w:r>
      <w:r w:rsidRPr="00411AE0">
        <w:rPr>
          <w:rFonts w:asciiTheme="majorBidi" w:hAnsiTheme="majorBidi" w:cstheme="majorBidi"/>
          <w:sz w:val="20"/>
          <w:szCs w:val="20"/>
        </w:rPr>
        <w:t>)</w:t>
      </w:r>
    </w:p>
    <w:p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:rsidR="0067231B" w:rsidRPr="00411AE0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b/>
        </w:rPr>
      </w:pPr>
      <w:r w:rsidRPr="00411AE0">
        <w:rPr>
          <w:rFonts w:asciiTheme="majorBidi" w:hAnsiTheme="majorBidi" w:cstheme="majorBidi"/>
          <w:b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411AE0" w:rsidTr="007A3388">
        <w:tc>
          <w:tcPr>
            <w:tcW w:w="3227" w:type="dxa"/>
          </w:tcPr>
          <w:p w:rsidR="0067231B" w:rsidRPr="00411AE0" w:rsidRDefault="003F33C3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Project Name</w:t>
            </w:r>
          </w:p>
        </w:tc>
        <w:tc>
          <w:tcPr>
            <w:tcW w:w="5656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:rsidTr="007A3388">
        <w:tc>
          <w:tcPr>
            <w:tcW w:w="3227" w:type="dxa"/>
          </w:tcPr>
          <w:p w:rsidR="0067231B" w:rsidRPr="00411AE0" w:rsidRDefault="003F33C3" w:rsidP="00AC4514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Expected</w:t>
            </w:r>
            <w:r w:rsidR="00CB7B0F">
              <w:rPr>
                <w:rFonts w:asciiTheme="majorBidi" w:hAnsiTheme="majorBidi" w:cstheme="majorBidi"/>
              </w:rPr>
              <w:t xml:space="preserve"> Outcome</w:t>
            </w:r>
            <w:r w:rsidRPr="00411AE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656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AC4514" w:rsidRPr="00411AE0" w:rsidTr="007A3388">
        <w:tc>
          <w:tcPr>
            <w:tcW w:w="3227" w:type="dxa"/>
          </w:tcPr>
          <w:p w:rsidR="00AC4514" w:rsidRPr="00411AE0" w:rsidRDefault="00AC4514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Expected Outputs</w:t>
            </w:r>
          </w:p>
        </w:tc>
        <w:tc>
          <w:tcPr>
            <w:tcW w:w="5656" w:type="dxa"/>
          </w:tcPr>
          <w:p w:rsidR="00AC4514" w:rsidRPr="00411AE0" w:rsidRDefault="00AC4514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:rsidTr="007A3388">
        <w:tc>
          <w:tcPr>
            <w:tcW w:w="3227" w:type="dxa"/>
          </w:tcPr>
          <w:p w:rsidR="0067231B" w:rsidRPr="00411AE0" w:rsidRDefault="003F33C3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Direct</w:t>
            </w:r>
            <w:r w:rsidR="0067231B" w:rsidRPr="00411AE0">
              <w:rPr>
                <w:rFonts w:asciiTheme="majorBidi" w:hAnsiTheme="majorBidi" w:cstheme="majorBidi"/>
              </w:rPr>
              <w:t xml:space="preserve"> Beneficiaries</w:t>
            </w:r>
          </w:p>
        </w:tc>
        <w:tc>
          <w:tcPr>
            <w:tcW w:w="5656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:rsidTr="007A3388">
        <w:tc>
          <w:tcPr>
            <w:tcW w:w="3227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Organization Name</w:t>
            </w:r>
          </w:p>
        </w:tc>
        <w:tc>
          <w:tcPr>
            <w:tcW w:w="5656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:rsidTr="007A3388">
        <w:tc>
          <w:tcPr>
            <w:tcW w:w="3227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Contact Information</w:t>
            </w:r>
          </w:p>
        </w:tc>
        <w:tc>
          <w:tcPr>
            <w:tcW w:w="5656" w:type="dxa"/>
          </w:tcPr>
          <w:p w:rsidR="0067231B" w:rsidRPr="00411AE0" w:rsidRDefault="0067231B" w:rsidP="00D64425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(Name and Title)</w:t>
            </w:r>
          </w:p>
          <w:p w:rsidR="0067231B" w:rsidRPr="00411AE0" w:rsidRDefault="0067231B" w:rsidP="00D64425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(E-mail Address)</w:t>
            </w:r>
          </w:p>
          <w:p w:rsidR="0067231B" w:rsidRPr="00411AE0" w:rsidRDefault="0067231B" w:rsidP="0067231B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 xml:space="preserve">(Phone Number) </w:t>
            </w:r>
          </w:p>
          <w:p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7231B" w:rsidRPr="00411AE0" w:rsidTr="007A3388">
        <w:tc>
          <w:tcPr>
            <w:tcW w:w="3227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 xml:space="preserve">Funding </w:t>
            </w:r>
            <w:r w:rsidR="00432D80">
              <w:rPr>
                <w:rFonts w:asciiTheme="majorBidi" w:hAnsiTheme="majorBidi" w:cstheme="majorBidi"/>
              </w:rPr>
              <w:t xml:space="preserve">Amount </w:t>
            </w:r>
            <w:r w:rsidRPr="00411AE0">
              <w:rPr>
                <w:rFonts w:asciiTheme="majorBidi" w:hAnsiTheme="majorBidi" w:cstheme="majorBidi"/>
              </w:rPr>
              <w:t>Requested</w:t>
            </w:r>
          </w:p>
        </w:tc>
        <w:tc>
          <w:tcPr>
            <w:tcW w:w="5656" w:type="dxa"/>
          </w:tcPr>
          <w:p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7231B" w:rsidRPr="00411AE0" w:rsidTr="007A3388">
        <w:tc>
          <w:tcPr>
            <w:tcW w:w="3227" w:type="dxa"/>
          </w:tcPr>
          <w:p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 xml:space="preserve">Execution </w:t>
            </w:r>
            <w:r w:rsidR="00D35274">
              <w:rPr>
                <w:rFonts w:asciiTheme="majorBidi" w:hAnsiTheme="majorBidi" w:cstheme="majorBidi"/>
              </w:rPr>
              <w:t>P</w:t>
            </w:r>
            <w:r w:rsidRPr="00411AE0">
              <w:rPr>
                <w:rFonts w:asciiTheme="majorBidi" w:hAnsiTheme="majorBidi" w:cstheme="majorBidi"/>
              </w:rPr>
              <w:t>eriod</w:t>
            </w:r>
          </w:p>
        </w:tc>
        <w:tc>
          <w:tcPr>
            <w:tcW w:w="5656" w:type="dxa"/>
          </w:tcPr>
          <w:p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eastAsia="en-GB"/>
        </w:rPr>
        <w:t xml:space="preserve">II. </w:t>
      </w: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Context and Problem Analysis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Describe the situation, highlighting needs and challenges on the relevant focus areas and provide </w:t>
      </w:r>
      <w:r w:rsidR="00432D8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a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brief description of emerging opportunities and key objectives</w:t>
      </w:r>
      <w:proofErr w:type="gramStart"/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;</w:t>
      </w:r>
      <w:proofErr w:type="gramEnd"/>
    </w:p>
    <w:p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III. Justification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:rsidR="00270F1E" w:rsidRPr="00411AE0" w:rsidRDefault="00432D80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Provi</w:t>
      </w:r>
      <w:r w:rsidR="008A4A15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</w:t>
      </w:r>
      <w:r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e an </w:t>
      </w:r>
      <w:r w:rsidR="00270F1E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analysis of why it is important to implement the proposed project.</w:t>
      </w:r>
    </w:p>
    <w:p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</w:p>
    <w:p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IV. Project Design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:rsidR="00270F1E" w:rsidRPr="00411AE0" w:rsidRDefault="008A4A15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Elaborate on the </w:t>
      </w:r>
      <w:r w:rsidR="00270F1E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strateg</w:t>
      </w:r>
      <w:r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y</w:t>
      </w:r>
      <w:r w:rsidR="00270F1E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, methodolog</w:t>
      </w:r>
      <w:r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y, </w:t>
      </w:r>
      <w:r w:rsidR="00270F1E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and approac</w:t>
      </w:r>
      <w:r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h</w:t>
      </w:r>
      <w:r w:rsidR="003144E9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</w:t>
      </w:r>
      <w:r w:rsidR="00270F1E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your organization proposes to utilize </w:t>
      </w:r>
      <w:r w:rsidR="003144E9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to attain the </w:t>
      </w:r>
      <w:r w:rsidR="00270F1E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project’s </w:t>
      </w:r>
      <w:r w:rsidR="003144E9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expected outputs</w:t>
      </w:r>
      <w:proofErr w:type="gramStart"/>
      <w:r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  <w:r w:rsidR="00270F1E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  <w:proofErr w:type="gramEnd"/>
    </w:p>
    <w:p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V. Target Beneficiaries: </w:t>
      </w:r>
    </w:p>
    <w:p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the populations targeted and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principles for identifying the target groups or beneficiaries (reference to </w:t>
      </w:r>
      <w:r w:rsidR="00D13427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any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baseline information </w:t>
      </w:r>
      <w:r w:rsidR="00D13427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available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such as </w:t>
      </w:r>
      <w:r w:rsidR="00DD777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related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needs assessment</w:t>
      </w:r>
      <w:r w:rsidR="00DD777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s</w:t>
      </w:r>
      <w:r w:rsidR="00D13427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and surveys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conducted, will be useful).</w:t>
      </w:r>
      <w:r w:rsidR="00AC669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Where possible, indicate how many women and youth will be targeted through the project.</w:t>
      </w:r>
    </w:p>
    <w:p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VI. Expected Project Outcome, Outputs and Planned Activities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:rsidR="00B420B6" w:rsidRPr="00411AE0" w:rsidRDefault="00270F1E" w:rsidP="00F86EA9">
      <w:pPr>
        <w:pStyle w:val="Default"/>
        <w:jc w:val="both"/>
        <w:rPr>
          <w:lang w:val="en-GB"/>
        </w:rPr>
        <w:sectPr w:rsidR="00B420B6" w:rsidRPr="00411AE0" w:rsidSect="003879C8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State the expected </w:t>
      </w:r>
      <w:r w:rsidR="00CE7A34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outcome</w:t>
      </w:r>
      <w:r w:rsidR="003F5048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and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outputs the project aims to achieve and describe </w:t>
      </w:r>
      <w:r w:rsidR="003F5048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the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activities corresponding to each output.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  <w:r w:rsidR="00AC4514" w:rsidRPr="00F86EA9">
        <w:rPr>
          <w:rFonts w:asciiTheme="majorBidi" w:hAnsiTheme="majorBidi" w:cstheme="majorBidi"/>
          <w:bCs/>
          <w:i/>
          <w:iCs/>
          <w:lang w:val="en-GB" w:eastAsia="en-GB"/>
        </w:rPr>
        <w:t xml:space="preserve">Kindly </w:t>
      </w:r>
      <w:r w:rsidR="009A5149">
        <w:rPr>
          <w:rFonts w:asciiTheme="majorBidi" w:hAnsiTheme="majorBidi" w:cstheme="majorBidi"/>
          <w:bCs/>
          <w:i/>
          <w:iCs/>
          <w:color w:val="auto"/>
          <w:sz w:val="22"/>
          <w:szCs w:val="22"/>
          <w:lang w:val="en-GB" w:eastAsia="en-GB"/>
        </w:rPr>
        <w:t xml:space="preserve">describe a </w:t>
      </w:r>
      <w:r w:rsidR="00AC4514" w:rsidRPr="00F86EA9">
        <w:rPr>
          <w:rFonts w:asciiTheme="majorBidi" w:hAnsiTheme="majorBidi" w:cstheme="majorBidi"/>
          <w:bCs/>
          <w:i/>
          <w:iCs/>
          <w:lang w:val="en-GB" w:eastAsia="en-GB"/>
        </w:rPr>
        <w:t xml:space="preserve">causal </w:t>
      </w:r>
      <w:r w:rsidR="009A5149">
        <w:rPr>
          <w:rFonts w:asciiTheme="majorBidi" w:hAnsiTheme="majorBidi" w:cstheme="majorBidi"/>
          <w:bCs/>
          <w:i/>
          <w:iCs/>
          <w:color w:val="auto"/>
          <w:sz w:val="22"/>
          <w:szCs w:val="22"/>
          <w:lang w:val="en-GB" w:eastAsia="en-GB"/>
        </w:rPr>
        <w:t xml:space="preserve">chain </w:t>
      </w:r>
      <w:r w:rsidR="00AC4514" w:rsidRPr="00F86EA9">
        <w:rPr>
          <w:rFonts w:asciiTheme="majorBidi" w:hAnsiTheme="majorBidi" w:cstheme="majorBidi"/>
          <w:bCs/>
          <w:i/>
          <w:iCs/>
          <w:lang w:val="en-GB" w:eastAsia="en-GB"/>
        </w:rPr>
        <w:t xml:space="preserve">explaining how the </w:t>
      </w:r>
      <w:r w:rsidR="009A5149">
        <w:rPr>
          <w:rFonts w:asciiTheme="majorBidi" w:hAnsiTheme="majorBidi" w:cstheme="majorBidi"/>
          <w:bCs/>
          <w:i/>
          <w:iCs/>
          <w:color w:val="auto"/>
          <w:sz w:val="22"/>
          <w:szCs w:val="22"/>
          <w:lang w:val="en-GB" w:eastAsia="en-GB"/>
        </w:rPr>
        <w:t xml:space="preserve">lower-level </w:t>
      </w:r>
      <w:r w:rsidR="00AC4514" w:rsidRPr="00F86EA9">
        <w:rPr>
          <w:rFonts w:asciiTheme="majorBidi" w:hAnsiTheme="majorBidi" w:cstheme="majorBidi"/>
          <w:bCs/>
          <w:i/>
          <w:iCs/>
          <w:lang w:val="en-GB" w:eastAsia="en-GB"/>
        </w:rPr>
        <w:t xml:space="preserve">outputs are strategically linked to the </w:t>
      </w:r>
      <w:proofErr w:type="gramStart"/>
      <w:r w:rsidR="00AC4514" w:rsidRPr="00F86EA9">
        <w:rPr>
          <w:rFonts w:asciiTheme="majorBidi" w:hAnsiTheme="majorBidi" w:cstheme="majorBidi"/>
          <w:bCs/>
          <w:i/>
          <w:iCs/>
          <w:lang w:val="en-GB" w:eastAsia="en-GB"/>
        </w:rPr>
        <w:t>higher level</w:t>
      </w:r>
      <w:proofErr w:type="gramEnd"/>
      <w:r w:rsidR="00AC4514" w:rsidRPr="00F86EA9">
        <w:rPr>
          <w:rFonts w:asciiTheme="majorBidi" w:hAnsiTheme="majorBidi" w:cstheme="majorBidi"/>
          <w:bCs/>
          <w:i/>
          <w:iCs/>
          <w:lang w:val="en-GB" w:eastAsia="en-GB"/>
        </w:rPr>
        <w:t xml:space="preserve"> outcome (if- then-logic).</w:t>
      </w:r>
      <w:r w:rsidR="00AC4514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</w:p>
    <w:p w:rsidR="002B4083" w:rsidRPr="00CC7C92" w:rsidRDefault="00CB34E1" w:rsidP="00D64425">
      <w:pPr>
        <w:pStyle w:val="Default"/>
        <w:ind w:left="-810"/>
        <w:jc w:val="both"/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</w:pPr>
      <w:r w:rsidRPr="00CC7C92">
        <w:rPr>
          <w:rFonts w:asciiTheme="majorBidi" w:hAnsiTheme="majorBidi" w:cstheme="majorBidi"/>
          <w:b/>
          <w:bCs/>
          <w:color w:val="auto"/>
          <w:sz w:val="22"/>
          <w:szCs w:val="22"/>
          <w:lang w:val="en-GB" w:eastAsia="en-GB"/>
        </w:rPr>
        <w:lastRenderedPageBreak/>
        <w:t>VII. Result-based Work Plan</w:t>
      </w:r>
      <w:r w:rsidR="00CC7C92" w:rsidRPr="00CC7C92">
        <w:rPr>
          <w:rFonts w:asciiTheme="majorBidi" w:hAnsiTheme="majorBidi" w:cstheme="majorBidi"/>
          <w:b/>
          <w:bCs/>
          <w:color w:val="auto"/>
          <w:sz w:val="22"/>
          <w:szCs w:val="22"/>
          <w:lang w:val="en-GB" w:eastAsia="en-GB"/>
        </w:rPr>
        <w:t xml:space="preserve"> </w:t>
      </w:r>
      <w:r w:rsidR="00CC7C92" w:rsidRPr="00CC7C92"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  <w:t>(</w:t>
      </w:r>
      <w:r w:rsidR="00CC7C92" w:rsidRPr="00CC7C92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add rows as needed</w:t>
      </w:r>
      <w:r w:rsidR="00CC7C92" w:rsidRPr="00CC7C92"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  <w:t xml:space="preserve">) </w:t>
      </w:r>
    </w:p>
    <w:tbl>
      <w:tblPr>
        <w:tblW w:w="149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873"/>
        <w:gridCol w:w="1621"/>
        <w:gridCol w:w="1531"/>
        <w:gridCol w:w="3960"/>
        <w:gridCol w:w="260"/>
        <w:gridCol w:w="270"/>
        <w:gridCol w:w="270"/>
        <w:gridCol w:w="270"/>
        <w:gridCol w:w="270"/>
        <w:gridCol w:w="270"/>
        <w:gridCol w:w="1761"/>
      </w:tblGrid>
      <w:tr w:rsidR="002B4083" w:rsidRPr="000A2C0B" w:rsidTr="00D64425">
        <w:trPr>
          <w:trHeight w:val="286"/>
          <w:jc w:val="center"/>
        </w:trPr>
        <w:tc>
          <w:tcPr>
            <w:tcW w:w="149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4083" w:rsidRPr="00D64425" w:rsidRDefault="002B4083" w:rsidP="002B4083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 xml:space="preserve">Outcome (s): </w:t>
            </w:r>
          </w:p>
        </w:tc>
      </w:tr>
      <w:tr w:rsidR="002B4083" w:rsidRPr="000A2C0B" w:rsidTr="00D64425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>Expected Outputs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>Indicator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>Baseline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>Target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>Planned Activities</w:t>
            </w:r>
          </w:p>
        </w:tc>
        <w:tc>
          <w:tcPr>
            <w:tcW w:w="1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>Time Frame (Month)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 xml:space="preserve">Required Budget </w:t>
            </w:r>
          </w:p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 w:rsidRPr="00D64425">
              <w:rPr>
                <w:rFonts w:eastAsia="Times New Roman" w:cstheme="majorBidi"/>
                <w:b/>
                <w:bCs/>
                <w:color w:val="000000"/>
              </w:rPr>
              <w:t>(Per Output)</w:t>
            </w:r>
          </w:p>
        </w:tc>
      </w:tr>
      <w:tr w:rsidR="002B4083" w:rsidRPr="00411AE0" w:rsidTr="00D64425">
        <w:trPr>
          <w:trHeight w:val="70"/>
          <w:jc w:val="center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3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4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5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6</w:t>
            </w: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 xml:space="preserve">Output 1  </w:t>
            </w:r>
          </w:p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pStyle w:val="Header"/>
              <w:tabs>
                <w:tab w:val="num" w:pos="432"/>
              </w:tabs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pStyle w:val="Header"/>
              <w:tabs>
                <w:tab w:val="num" w:pos="432"/>
              </w:tabs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pStyle w:val="Header"/>
              <w:tabs>
                <w:tab w:val="num" w:pos="432"/>
              </w:tabs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pStyle w:val="Header"/>
              <w:tabs>
                <w:tab w:val="num" w:pos="432"/>
              </w:tabs>
            </w:pPr>
            <w:r w:rsidRPr="00D64425">
              <w:t>Activity 1-1: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  <w:r w:rsidRPr="00D64425">
              <w:t>Activity 1-2:</w:t>
            </w: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404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pStyle w:val="Header"/>
              <w:tabs>
                <w:tab w:val="num" w:pos="432"/>
              </w:tabs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B4083">
            <w:pPr>
              <w:pStyle w:val="Header"/>
              <w:tabs>
                <w:tab w:val="num" w:pos="432"/>
              </w:tabs>
              <w:ind w:left="-108" w:firstLine="108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pStyle w:val="Header"/>
              <w:tabs>
                <w:tab w:val="num" w:pos="432"/>
              </w:tabs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pStyle w:val="Header"/>
              <w:tabs>
                <w:tab w:val="num" w:pos="432"/>
              </w:tabs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  <w:bookmarkStart w:id="1" w:name="Indicator"/>
            <w:r w:rsidRPr="00D64425">
              <w:rPr>
                <w:rFonts w:eastAsia="Times New Roman" w:cstheme="majorBidi"/>
                <w:color w:val="000000"/>
              </w:rPr>
              <w:t>Output 2</w:t>
            </w:r>
          </w:p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bookmarkEnd w:id="1"/>
      <w:tr w:rsidR="002B4083" w:rsidRPr="00411AE0" w:rsidTr="00D64425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Output 3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00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15"/>
          <w:jc w:val="center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4475DD" w:rsidRPr="00411AE0" w:rsidTr="00D64425">
        <w:trPr>
          <w:trHeight w:val="31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 xml:space="preserve">Project Management </w:t>
            </w:r>
          </w:p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>(e.g., recruitment of staff, M&amp;E, reporting etc</w:t>
            </w:r>
            <w:r w:rsidR="00D35274">
              <w:rPr>
                <w:rFonts w:eastAsia="Times New Roman" w:cstheme="majorBidi"/>
                <w:color w:val="000000"/>
              </w:rPr>
              <w:t>.</w:t>
            </w:r>
            <w:r w:rsidRPr="00D64425">
              <w:rPr>
                <w:rFonts w:eastAsia="Times New Roman" w:cstheme="majorBidi"/>
                <w:color w:val="000000"/>
              </w:rPr>
              <w:t xml:space="preserve">).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4475DD" w:rsidRPr="00411AE0" w:rsidTr="00D64425">
        <w:trPr>
          <w:trHeight w:val="315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4475DD" w:rsidRPr="00411AE0" w:rsidTr="00D64425">
        <w:trPr>
          <w:trHeight w:val="315"/>
          <w:jc w:val="center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4475DD" w:rsidRPr="00411AE0" w:rsidTr="00D64425">
        <w:trPr>
          <w:trHeight w:val="315"/>
          <w:jc w:val="center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5DD" w:rsidRPr="00D64425" w:rsidRDefault="004475DD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  <w:tr w:rsidR="002B4083" w:rsidRPr="00411AE0" w:rsidTr="00D64425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  <w:r w:rsidRPr="00D64425">
              <w:rPr>
                <w:rFonts w:eastAsia="Times New Roman" w:cstheme="majorBidi"/>
                <w:color w:val="000000"/>
              </w:rPr>
              <w:t xml:space="preserve">TOTAL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083" w:rsidRPr="00D64425" w:rsidRDefault="002B4083" w:rsidP="002F59B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</w:rPr>
            </w:pPr>
          </w:p>
        </w:tc>
      </w:tr>
    </w:tbl>
    <w:p w:rsidR="00E8621C" w:rsidRPr="00411AE0" w:rsidRDefault="00262997" w:rsidP="00E81400">
      <w:pPr>
        <w:pStyle w:val="ListParagraph"/>
        <w:spacing w:after="0" w:line="240" w:lineRule="auto"/>
        <w:ind w:left="-45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*Add </w:t>
      </w:r>
      <w:r w:rsidR="006A6FC7">
        <w:rPr>
          <w:rFonts w:asciiTheme="majorBidi" w:hAnsiTheme="majorBidi" w:cstheme="majorBidi"/>
          <w:bCs/>
          <w:i/>
          <w:iCs/>
          <w:sz w:val="20"/>
          <w:szCs w:val="20"/>
        </w:rPr>
        <w:t xml:space="preserve">Outcomes or 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Outputs as required. </w:t>
      </w:r>
    </w:p>
    <w:p w:rsidR="00E8621C" w:rsidRPr="00A20F2B" w:rsidRDefault="00262997" w:rsidP="00E81400">
      <w:pPr>
        <w:pStyle w:val="ListParagraph"/>
        <w:spacing w:after="0" w:line="240" w:lineRule="auto"/>
        <w:ind w:left="-450"/>
        <w:contextualSpacing w:val="0"/>
        <w:rPr>
          <w:rFonts w:asciiTheme="majorBidi" w:hAnsiTheme="majorBidi" w:cstheme="majorBidi"/>
          <w:b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*Target Indicators should </w:t>
      </w:r>
      <w:r w:rsidR="00B20B93">
        <w:rPr>
          <w:rFonts w:asciiTheme="majorBidi" w:hAnsiTheme="majorBidi" w:cstheme="majorBidi"/>
          <w:bCs/>
          <w:i/>
          <w:iCs/>
          <w:sz w:val="20"/>
          <w:szCs w:val="20"/>
        </w:rPr>
        <w:t xml:space="preserve">both consist 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of the qualitative figures that the project aims to achieve and </w:t>
      </w:r>
      <w:r w:rsidR="00B20B93">
        <w:rPr>
          <w:rFonts w:asciiTheme="majorBidi" w:hAnsiTheme="majorBidi" w:cstheme="majorBidi"/>
          <w:bCs/>
          <w:i/>
          <w:iCs/>
          <w:sz w:val="20"/>
          <w:szCs w:val="20"/>
        </w:rPr>
        <w:t xml:space="preserve">the 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>indicators to be used. For example, “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  <w:u w:val="single"/>
        </w:rPr>
        <w:t>100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women received </w:t>
      </w:r>
      <w:r w:rsidR="00B20B93">
        <w:rPr>
          <w:rFonts w:asciiTheme="majorBidi" w:hAnsiTheme="majorBidi" w:cstheme="majorBidi"/>
          <w:bCs/>
          <w:i/>
          <w:iCs/>
          <w:sz w:val="20"/>
          <w:szCs w:val="20"/>
        </w:rPr>
        <w:t>temporary income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through cash for work”</w:t>
      </w:r>
      <w:r w:rsidR="00B20B93">
        <w:rPr>
          <w:rFonts w:asciiTheme="majorBidi" w:hAnsiTheme="majorBidi" w:cstheme="majorBidi"/>
          <w:bCs/>
          <w:i/>
          <w:iCs/>
          <w:sz w:val="20"/>
          <w:szCs w:val="20"/>
        </w:rPr>
        <w:t>.</w:t>
      </w:r>
    </w:p>
    <w:p w:rsidR="003F33C3" w:rsidRDefault="003F33C3" w:rsidP="00E81400">
      <w:pPr>
        <w:pStyle w:val="ListParagraph"/>
        <w:spacing w:after="0" w:line="240" w:lineRule="auto"/>
        <w:ind w:left="-450"/>
        <w:contextualSpacing w:val="0"/>
        <w:rPr>
          <w:rFonts w:asciiTheme="majorBidi" w:hAnsiTheme="majorBidi" w:cstheme="majorBidi"/>
          <w:b/>
          <w:sz w:val="20"/>
          <w:szCs w:val="20"/>
        </w:rPr>
        <w:sectPr w:rsidR="003F33C3" w:rsidSect="00D64425">
          <w:pgSz w:w="16839" w:h="11907" w:orient="landscape" w:code="9"/>
          <w:pgMar w:top="1296" w:right="1440" w:bottom="1296" w:left="1440" w:header="720" w:footer="720" w:gutter="0"/>
          <w:cols w:space="720"/>
          <w:docGrid w:linePitch="360"/>
        </w:sectPr>
      </w:pPr>
    </w:p>
    <w:p w:rsidR="003F33C3" w:rsidRPr="00411AE0" w:rsidRDefault="003F33C3" w:rsidP="006A6FC7">
      <w:pPr>
        <w:pStyle w:val="Default"/>
        <w:ind w:left="-810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lastRenderedPageBreak/>
        <w:t>VII</w:t>
      </w:r>
      <w:r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I. </w:t>
      </w:r>
      <w:proofErr w:type="spellStart"/>
      <w:r>
        <w:rPr>
          <w:rFonts w:asciiTheme="majorBidi" w:hAnsiTheme="majorBidi" w:cstheme="majorBidi"/>
          <w:b/>
          <w:bCs/>
          <w:color w:val="auto"/>
          <w:lang w:val="en-GB" w:eastAsia="en-GB"/>
        </w:rPr>
        <w:t>ActivityInfo</w:t>
      </w:r>
      <w:proofErr w:type="spellEnd"/>
      <w:r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 Project Target List </w:t>
      </w:r>
    </w:p>
    <w:p w:rsidR="003F33C3" w:rsidRDefault="003F33C3" w:rsidP="00A74F28">
      <w:pPr>
        <w:pStyle w:val="Heading1"/>
        <w:ind w:left="-810" w:right="-1071"/>
        <w:rPr>
          <w:rFonts w:ascii="Myriad Pro" w:hAnsi="Myriad Pro" w:cs="Arial"/>
          <w:b w:val="0"/>
          <w:bCs w:val="0"/>
          <w:i/>
          <w:iCs/>
          <w:sz w:val="22"/>
          <w:szCs w:val="22"/>
        </w:rPr>
      </w:pPr>
      <w:r w:rsidRPr="00EC2981">
        <w:rPr>
          <w:rFonts w:ascii="Myriad Pro" w:hAnsi="Myriad Pro" w:cs="Arial"/>
          <w:b w:val="0"/>
          <w:bCs w:val="0"/>
          <w:i/>
          <w:iCs/>
          <w:sz w:val="22"/>
          <w:szCs w:val="22"/>
        </w:rPr>
        <w:t>Please fil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>l</w:t>
      </w:r>
      <w:r w:rsidR="00A74F28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out the cells of only relevant</w:t>
      </w:r>
      <w:r w:rsidRPr="00EC2981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indicators to your project/activities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with targeted numbers to be </w:t>
      </w:r>
      <w:r w:rsidR="00307FF3">
        <w:rPr>
          <w:rFonts w:ascii="Myriad Pro" w:hAnsi="Myriad Pro" w:cs="Arial"/>
          <w:b w:val="0"/>
          <w:bCs w:val="0"/>
          <w:i/>
          <w:iCs/>
          <w:sz w:val="22"/>
          <w:szCs w:val="22"/>
        </w:rPr>
        <w:t>achieved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. </w:t>
      </w:r>
      <w:r w:rsidRPr="00EC2981">
        <w:rPr>
          <w:rFonts w:ascii="Myriad Pro" w:hAnsi="Myriad Pro" w:cs="Arial"/>
          <w:b w:val="0"/>
          <w:bCs w:val="0"/>
          <w:i/>
          <w:iCs/>
          <w:sz w:val="22"/>
          <w:szCs w:val="22"/>
        </w:rPr>
        <w:t>For “Location,” please specify the camp or district and governorate for non-camp project site. Be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>neficiaries should be counted</w:t>
      </w:r>
      <w:r w:rsidR="00307FF3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using the number of individual</w:t>
      </w:r>
      <w:r w:rsidR="00E81400">
        <w:rPr>
          <w:rFonts w:ascii="Myriad Pro" w:hAnsi="Myriad Pro" w:cs="Arial"/>
          <w:b w:val="0"/>
          <w:bCs w:val="0"/>
          <w:i/>
          <w:iCs/>
          <w:sz w:val="22"/>
          <w:szCs w:val="22"/>
        </w:rPr>
        <w:t>s</w:t>
      </w:r>
      <w:r w:rsidR="00A74F28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and non-human indicators </w:t>
      </w:r>
      <w:r w:rsidR="00E81400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are </w:t>
      </w:r>
      <w:r w:rsidR="00A74F28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entered in last column.  </w:t>
      </w:r>
    </w:p>
    <w:tbl>
      <w:tblPr>
        <w:tblW w:w="15243" w:type="dxa"/>
        <w:tblInd w:w="-9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4590"/>
        <w:gridCol w:w="900"/>
        <w:gridCol w:w="963"/>
        <w:gridCol w:w="848"/>
        <w:gridCol w:w="831"/>
        <w:gridCol w:w="905"/>
        <w:gridCol w:w="877"/>
        <w:gridCol w:w="877"/>
        <w:gridCol w:w="879"/>
        <w:gridCol w:w="838"/>
      </w:tblGrid>
      <w:tr w:rsidR="00D64425" w:rsidRPr="00365B71" w:rsidTr="00787B09">
        <w:trPr>
          <w:trHeight w:val="435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HRP/3RP Output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Indicator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 xml:space="preserve">Location 1: </w:t>
            </w:r>
          </w:p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Name of camp, district or governorate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 xml:space="preserve">Location 2:  </w:t>
            </w:r>
          </w:p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Name of camp, district or governorate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Other Unit #</w:t>
            </w:r>
          </w:p>
        </w:tc>
      </w:tr>
      <w:tr w:rsidR="00D64425" w:rsidRPr="00365B71" w:rsidTr="00787B09">
        <w:trPr>
          <w:trHeight w:val="403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Women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Men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Boys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Girls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Women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Men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Boys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425" w:rsidRPr="00365B71" w:rsidRDefault="00D64425" w:rsidP="003335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Girls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4425" w:rsidRPr="00365B71" w:rsidRDefault="00D64425" w:rsidP="00D6442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64425" w:rsidRPr="00365B71" w:rsidTr="00787B09">
        <w:trPr>
          <w:trHeight w:val="350"/>
        </w:trPr>
        <w:tc>
          <w:tcPr>
            <w:tcW w:w="1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 xml:space="preserve">Objective 1: Improve economic opportunities for affected populations for Syrian refugees, IDP and host communities         </w:t>
            </w: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  <w:r w:rsidRPr="00365B71">
              <w:rPr>
                <w:rFonts w:cs="Times New Roman"/>
                <w:sz w:val="20"/>
                <w:szCs w:val="20"/>
                <w:lang w:eastAsia="ja-JP"/>
              </w:rPr>
              <w:br/>
              <w:t>1.1. Increased employment opportunities for Syrian refugee, IDPs and host communities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IDPs benefited temporary employment activities (cash for work etc.)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HC benefited temporary employment activities (cash for work etc.)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Refugees benefited temporary employment activities (cash for work etc.)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sz w:val="20"/>
                <w:szCs w:val="20"/>
                <w:lang w:eastAsia="ja-JP"/>
              </w:rPr>
              <w:t>1.2. Small businesses promoted and established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IDPs supported to establish or scale up businesses  (micro-finance, small grants, etc.)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HC supported to establish or scale up businesses  (micro-finance, small grants, etc.)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Refugees supported to establish or scale up businesses  (micro-finance, small grants, etc.)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</w:t>
            </w:r>
            <w:proofErr w:type="gramStart"/>
            <w:r w:rsidRPr="00365B71">
              <w:rPr>
                <w:sz w:val="20"/>
                <w:szCs w:val="20"/>
                <w:lang w:eastAsia="ja-JP"/>
              </w:rPr>
              <w:t>of</w:t>
            </w:r>
            <w:proofErr w:type="gramEnd"/>
            <w:r w:rsidRPr="00365B71">
              <w:rPr>
                <w:sz w:val="20"/>
                <w:szCs w:val="20"/>
                <w:lang w:eastAsia="ja-JP"/>
              </w:rPr>
              <w:t xml:space="preserve">  Value chains involving diverse ethnic/social groups supported.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sz w:val="20"/>
                <w:szCs w:val="20"/>
                <w:lang w:eastAsia="ja-JP"/>
              </w:rPr>
              <w:t>1.3. Partnerships with private sector strengthened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># of Signed partnership  agreements  with private sector  to facilitate employment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D64425" w:rsidRPr="00365B71" w:rsidTr="00787B09">
        <w:trPr>
          <w:trHeight w:val="350"/>
        </w:trPr>
        <w:tc>
          <w:tcPr>
            <w:tcW w:w="1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4425" w:rsidRPr="00365B71" w:rsidRDefault="00D64425" w:rsidP="0033355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Objective 2: .Improved employability with marketable skills</w:t>
            </w: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sz w:val="20"/>
                <w:szCs w:val="20"/>
                <w:lang w:eastAsia="ja-JP"/>
              </w:rPr>
              <w:t xml:space="preserve">2.1. Increased availability of information and improved understanding of market demands, employability skills and business environment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># of livelihoods and/or market assessments conducted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sz w:val="20"/>
                <w:szCs w:val="20"/>
                <w:lang w:eastAsia="ja-JP"/>
              </w:rPr>
              <w:t>2.2. Capacity of training institutes mapped, assessed and strengthened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mapping exercises on training institutions conducted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># of institutions that received support to enhance their training capacity (physical, coverage or knowledge transfer) by governorate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sz w:val="20"/>
                <w:szCs w:val="20"/>
                <w:lang w:eastAsia="ja-JP"/>
              </w:rPr>
              <w:lastRenderedPageBreak/>
              <w:t xml:space="preserve">2.3. Facilitation mechanisms for job opportunities, vocational and business trainings  provided   ( employability trainings, skills trainings, job portals, job newsletters, databases, </w:t>
            </w:r>
            <w:proofErr w:type="spellStart"/>
            <w:r w:rsidRPr="00365B71">
              <w:rPr>
                <w:rFonts w:cs="Times New Roman"/>
                <w:sz w:val="20"/>
                <w:szCs w:val="20"/>
                <w:lang w:eastAsia="ja-JP"/>
              </w:rPr>
              <w:t>etc</w:t>
            </w:r>
            <w:proofErr w:type="spellEnd"/>
            <w:r w:rsidRPr="00365B71">
              <w:rPr>
                <w:rFonts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IDPs Men who benefited from  job placement/referral mechanisms (registered job fairs, job portals, job newsletters, job centers)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HC  who benefited from  job placement/referral mechanisms  (registered, job fairs, job portals, job newsletters, job centers)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Refugees who benefited from  job placement/referral mechanisms  (registered, job fairs, job portals, job newsletters, job centers)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IDPs  participated in professional skills, vocational or business development training courses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HC  participated in professional skills, vocational or business development training courses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of Refugees participated in professional skills, vocational or business development training courses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583"/>
        </w:trPr>
        <w:tc>
          <w:tcPr>
            <w:tcW w:w="1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  <w:t>Objective 3:</w:t>
            </w:r>
          </w:p>
          <w:p w:rsidR="00A74F28" w:rsidRPr="00365B71" w:rsidRDefault="00A74F28" w:rsidP="003335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  <w:t>3-1. Promote Inclusiveness and peaceful co-existence among refugees, IDP, host communities and other local groups</w:t>
            </w:r>
          </w:p>
          <w:p w:rsidR="00A74F28" w:rsidRPr="00365B71" w:rsidRDefault="00A74F28" w:rsidP="003335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  <w:t>3-2. Increase communication channels for dialogue, coordination and consultation between host communities, s, and IDPs to promote peaceful coexistence</w:t>
            </w:r>
          </w:p>
          <w:p w:rsidR="00A74F28" w:rsidRPr="00365B71" w:rsidRDefault="00A74F28" w:rsidP="003335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b/>
                <w:bCs/>
                <w:color w:val="000000"/>
                <w:sz w:val="20"/>
                <w:szCs w:val="20"/>
                <w:lang w:eastAsia="ja-JP"/>
              </w:rPr>
              <w:t>3-3. Increase interconnectivity and interdependence among diversified groups of refugees, IDPs and hosting communities' households through  job opportunities and livelihoods across the same value chain</w:t>
            </w:r>
          </w:p>
        </w:tc>
      </w:tr>
      <w:tr w:rsidR="00A74F28" w:rsidRPr="00365B71" w:rsidTr="00787B09">
        <w:trPr>
          <w:trHeight w:val="296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3.1. Community-based activities for social cohesion facilitated</w:t>
            </w:r>
          </w:p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65B7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Participated in mixed social cohesion community events (including dialogue sessions)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41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65B7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Participated in men's social cohesion community events (including dialogue sessions)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9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65B7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Participated in women's social cohesion community events (including dialogue sessions)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9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8" w:rsidRPr="00365B71" w:rsidRDefault="00A74F28" w:rsidP="00333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65B7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Participated in Youth social cohesion community events (including dialogue sessions)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35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 xml:space="preserve"> 3.2. Shared facilities and services provided for refugees, IDP,  host communities and other local groups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 xml:space="preserve"># community facilities provided or rehabilitated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74F28" w:rsidRPr="00365B71" w:rsidTr="00787B09">
        <w:trPr>
          <w:trHeight w:val="872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3.3  System established to monitor tensions between divergent community sub-groups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28" w:rsidRPr="00365B71" w:rsidRDefault="00A74F28" w:rsidP="00333550">
            <w:pPr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  <w:r w:rsidRPr="00365B71">
              <w:rPr>
                <w:sz w:val="20"/>
                <w:szCs w:val="20"/>
                <w:lang w:eastAsia="ja-JP"/>
              </w:rPr>
              <w:t>Assessments completed to indicate social tension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365B71">
              <w:rPr>
                <w:rFonts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28" w:rsidRPr="00365B71" w:rsidRDefault="00A74F28" w:rsidP="0033355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D64425" w:rsidRPr="00411AE0" w:rsidRDefault="00D64425" w:rsidP="00D64425">
      <w:pPr>
        <w:rPr>
          <w:rFonts w:asciiTheme="majorBidi" w:hAnsiTheme="majorBidi" w:cstheme="majorBidi"/>
          <w:b/>
          <w:sz w:val="20"/>
          <w:szCs w:val="20"/>
        </w:rPr>
        <w:sectPr w:rsidR="00D64425" w:rsidRPr="00411AE0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:rsidR="00270F1E" w:rsidRPr="00411AE0" w:rsidRDefault="00FF1CDD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>
        <w:rPr>
          <w:rFonts w:asciiTheme="majorBidi" w:hAnsiTheme="majorBidi" w:cstheme="majorBidi"/>
          <w:b/>
          <w:bCs/>
          <w:color w:val="auto"/>
          <w:lang w:val="en-GB" w:eastAsia="en-GB"/>
        </w:rPr>
        <w:lastRenderedPageBreak/>
        <w:t>IX</w:t>
      </w:r>
      <w:r w:rsidR="00270F1E"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. Implementation Arrangement </w:t>
      </w:r>
    </w:p>
    <w:p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</w:p>
    <w:p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Management structure/mechanisms: </w:t>
      </w:r>
    </w:p>
    <w:p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Describe how the project will be managed with key personnel/positions to </w:t>
      </w:r>
      <w:r w:rsidR="008975A7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ensure efficient and effective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implementation</w:t>
      </w:r>
      <w:r w:rsidR="008975A7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</w:p>
    <w:p w:rsidR="003C7C9F" w:rsidRPr="00411AE0" w:rsidRDefault="003C7C9F" w:rsidP="003C7C9F">
      <w:pPr>
        <w:pStyle w:val="Default"/>
        <w:ind w:left="810"/>
        <w:jc w:val="both"/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</w:pPr>
    </w:p>
    <w:p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Monitoring &amp; Evaluation (M&amp;E) and Reporting: </w:t>
      </w:r>
    </w:p>
    <w:p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Describe how the organization will conduct M&amp;E and ensure quality reporting to the UNDP.  </w:t>
      </w:r>
    </w:p>
    <w:p w:rsidR="003C7C9F" w:rsidRPr="00411AE0" w:rsidRDefault="003C7C9F" w:rsidP="003C7C9F">
      <w:pPr>
        <w:pStyle w:val="Default"/>
        <w:ind w:left="810"/>
        <w:jc w:val="both"/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</w:pPr>
    </w:p>
    <w:p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>Partnerships</w:t>
      </w: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: </w:t>
      </w:r>
    </w:p>
    <w:p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Describe the partners needed to successfully implement the project and their roles, if applicable. The partnership with local NGOs </w:t>
      </w:r>
      <w:r w:rsidR="0028753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and community based </w:t>
      </w:r>
      <w:proofErr w:type="spellStart"/>
      <w:r w:rsidR="0028753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organizations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is</w:t>
      </w:r>
      <w:proofErr w:type="spellEnd"/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encouraged</w:t>
      </w:r>
      <w:r w:rsidR="0028753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</w:p>
    <w:p w:rsidR="003C7C9F" w:rsidRPr="00411AE0" w:rsidRDefault="003C7C9F" w:rsidP="003C7C9F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Risk analysis: </w:t>
      </w:r>
    </w:p>
    <w:p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Indicate the possible risks in relation to project implementation and suggested </w:t>
      </w:r>
      <w:r w:rsidR="00D35274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risk management strategy and </w:t>
      </w:r>
      <w:proofErr w:type="gramStart"/>
      <w:r w:rsidR="00D35274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countermeasure </w:t>
      </w:r>
      <w:r w:rsidR="0028753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</w:t>
      </w:r>
      <w:r w:rsidR="005614DB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in</w:t>
      </w:r>
      <w:proofErr w:type="gramEnd"/>
      <w:r w:rsidR="005614DB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the table below</w:t>
      </w:r>
      <w:r w:rsidR="00152FBF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 Livelihoods and Effect/Impact of the risk can be scaled High, Medium and Low</w:t>
      </w:r>
    </w:p>
    <w:p w:rsidR="00270F1E" w:rsidRPr="00411AE0" w:rsidRDefault="00270F1E" w:rsidP="00270F1E">
      <w:pPr>
        <w:pStyle w:val="Default"/>
        <w:ind w:left="144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</w:p>
    <w:tbl>
      <w:tblPr>
        <w:tblStyle w:val="TableGrid1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2070"/>
        <w:gridCol w:w="2250"/>
        <w:gridCol w:w="2520"/>
      </w:tblGrid>
      <w:tr w:rsidR="005614DB" w:rsidRPr="00411AE0" w:rsidTr="00787B09">
        <w:trPr>
          <w:trHeight w:val="142"/>
        </w:trPr>
        <w:tc>
          <w:tcPr>
            <w:tcW w:w="2137" w:type="dxa"/>
            <w:shd w:val="clear" w:color="auto" w:fill="DBE5F1" w:themeFill="accent1" w:themeFillTint="33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87B09">
              <w:rPr>
                <w:rFonts w:asciiTheme="majorBidi" w:hAnsiTheme="majorBidi" w:cstheme="majorBidi"/>
                <w:bCs/>
                <w:sz w:val="22"/>
                <w:szCs w:val="22"/>
              </w:rPr>
              <w:t>Risk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5614DB" w:rsidRPr="00787B09" w:rsidRDefault="005614DB" w:rsidP="00CB34E1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87B09">
              <w:rPr>
                <w:rFonts w:asciiTheme="majorBidi" w:hAnsiTheme="majorBidi" w:cstheme="majorBidi"/>
                <w:bCs/>
                <w:sz w:val="22"/>
                <w:szCs w:val="22"/>
              </w:rPr>
              <w:t>Likelihood of risk occurring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87B09">
              <w:rPr>
                <w:rFonts w:asciiTheme="majorBidi" w:hAnsiTheme="majorBidi" w:cstheme="majorBidi"/>
                <w:bCs/>
                <w:sz w:val="22"/>
                <w:szCs w:val="22"/>
              </w:rPr>
              <w:t>Effect on the achievement of expected results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87B09">
              <w:rPr>
                <w:rFonts w:asciiTheme="majorBidi" w:hAnsiTheme="majorBidi" w:cstheme="majorBidi"/>
                <w:bCs/>
                <w:sz w:val="22"/>
                <w:szCs w:val="22"/>
              </w:rPr>
              <w:t>Risk management strategy/Countermeasures</w:t>
            </w:r>
          </w:p>
        </w:tc>
      </w:tr>
      <w:tr w:rsidR="005614DB" w:rsidRPr="00411AE0" w:rsidTr="00CB34E1">
        <w:trPr>
          <w:trHeight w:val="142"/>
        </w:trPr>
        <w:tc>
          <w:tcPr>
            <w:tcW w:w="2137" w:type="dxa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4DB" w:rsidRPr="00411AE0" w:rsidTr="00CB34E1">
        <w:trPr>
          <w:trHeight w:val="142"/>
        </w:trPr>
        <w:tc>
          <w:tcPr>
            <w:tcW w:w="2137" w:type="dxa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614DB" w:rsidRPr="00787B09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614DB" w:rsidRPr="00787B09" w:rsidRDefault="005614DB" w:rsidP="00E80A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2FBF" w:rsidRPr="00411AE0" w:rsidTr="00CB34E1">
        <w:trPr>
          <w:trHeight w:val="142"/>
        </w:trPr>
        <w:tc>
          <w:tcPr>
            <w:tcW w:w="2137" w:type="dxa"/>
          </w:tcPr>
          <w:p w:rsidR="00152FBF" w:rsidRPr="00787B09" w:rsidRDefault="00152FBF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52FBF" w:rsidRPr="00787B09" w:rsidRDefault="00152FBF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52FBF" w:rsidRPr="00787B09" w:rsidRDefault="00152FBF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52FBF" w:rsidRPr="00787B09" w:rsidRDefault="00152FBF" w:rsidP="00E80A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2FBF" w:rsidRPr="00411AE0" w:rsidTr="00CB34E1">
        <w:trPr>
          <w:trHeight w:val="142"/>
        </w:trPr>
        <w:tc>
          <w:tcPr>
            <w:tcW w:w="2137" w:type="dxa"/>
          </w:tcPr>
          <w:p w:rsidR="00152FBF" w:rsidRPr="00787B09" w:rsidRDefault="00152FBF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52FBF" w:rsidRPr="00787B09" w:rsidRDefault="00152FBF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52FBF" w:rsidRPr="00787B09" w:rsidRDefault="00152FBF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52FBF" w:rsidRPr="00787B09" w:rsidRDefault="00152FBF" w:rsidP="00E80A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5614DB" w:rsidRPr="00411AE0" w:rsidRDefault="005614DB" w:rsidP="00270F1E">
      <w:pPr>
        <w:pStyle w:val="Default"/>
        <w:ind w:left="1440"/>
        <w:jc w:val="both"/>
        <w:rPr>
          <w:rFonts w:asciiTheme="majorBidi" w:hAnsiTheme="majorBidi" w:cstheme="majorBidi"/>
          <w:i/>
          <w:iCs/>
          <w:color w:val="auto"/>
          <w:lang w:eastAsia="en-GB"/>
        </w:rPr>
      </w:pPr>
    </w:p>
    <w:p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:rsidR="00270F1E" w:rsidRPr="00411AE0" w:rsidRDefault="00270F1E" w:rsidP="00270F1E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  <w:sectPr w:rsidR="00270F1E" w:rsidRPr="00411AE0" w:rsidSect="00270F1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8621C" w:rsidRPr="00411AE0" w:rsidRDefault="00E8621C" w:rsidP="00270F1E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2B4083" w:rsidRPr="00787B09" w:rsidRDefault="00FF1CDD" w:rsidP="00787B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X</w:t>
      </w:r>
      <w:r w:rsidR="00270F1E" w:rsidRPr="00411AE0">
        <w:rPr>
          <w:rFonts w:asciiTheme="majorBidi" w:hAnsiTheme="majorBidi" w:cstheme="majorBidi"/>
          <w:b/>
          <w:sz w:val="24"/>
          <w:szCs w:val="24"/>
        </w:rPr>
        <w:t>.</w:t>
      </w:r>
      <w:r w:rsidR="00152FBF" w:rsidRPr="00411AE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8621C" w:rsidRPr="00411AE0">
        <w:rPr>
          <w:rFonts w:asciiTheme="majorBidi" w:hAnsiTheme="majorBidi" w:cstheme="majorBidi"/>
          <w:b/>
          <w:sz w:val="24"/>
          <w:szCs w:val="24"/>
        </w:rPr>
        <w:t xml:space="preserve">Budget </w:t>
      </w:r>
    </w:p>
    <w:tbl>
      <w:tblPr>
        <w:tblW w:w="13812" w:type="dxa"/>
        <w:tblInd w:w="93" w:type="dxa"/>
        <w:tblLook w:val="04A0" w:firstRow="1" w:lastRow="0" w:firstColumn="1" w:lastColumn="0" w:noHBand="0" w:noVBand="1"/>
      </w:tblPr>
      <w:tblGrid>
        <w:gridCol w:w="3227"/>
        <w:gridCol w:w="5130"/>
        <w:gridCol w:w="1260"/>
        <w:gridCol w:w="1168"/>
        <w:gridCol w:w="1080"/>
        <w:gridCol w:w="1947"/>
      </w:tblGrid>
      <w:tr w:rsidR="002B4083" w:rsidRPr="00787B09" w:rsidTr="00E81400">
        <w:trPr>
          <w:trHeight w:val="64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B4083" w:rsidRPr="00787B09" w:rsidRDefault="002B4083" w:rsidP="00E81400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87B09">
              <w:rPr>
                <w:rFonts w:cstheme="majorBidi"/>
                <w:b/>
                <w:bCs/>
                <w:color w:val="000000"/>
              </w:rPr>
              <w:t>Output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B4083" w:rsidRPr="00787B09" w:rsidRDefault="002B4083" w:rsidP="00E81400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787B09">
              <w:rPr>
                <w:rFonts w:cstheme="majorBidi"/>
                <w:b/>
                <w:bCs/>
                <w:color w:val="000000"/>
              </w:rPr>
              <w:t>Budget Item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B4083" w:rsidRPr="00787B09" w:rsidRDefault="00787B09" w:rsidP="00E81400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787B09">
              <w:rPr>
                <w:rFonts w:cstheme="majorBidi"/>
                <w:b/>
                <w:bCs/>
                <w:color w:val="000000"/>
              </w:rPr>
              <w:t>Unit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87B09" w:rsidRPr="00787B09" w:rsidRDefault="00787B09" w:rsidP="00E81400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787B09">
              <w:rPr>
                <w:rFonts w:cstheme="majorBidi"/>
                <w:b/>
                <w:bCs/>
                <w:color w:val="000000"/>
              </w:rPr>
              <w:t>Unit Price</w:t>
            </w:r>
          </w:p>
          <w:p w:rsidR="002B4083" w:rsidRPr="00787B09" w:rsidRDefault="00787B09" w:rsidP="00E81400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787B09">
              <w:rPr>
                <w:rFonts w:cstheme="majorBidi"/>
                <w:b/>
                <w:bCs/>
                <w:color w:val="000000"/>
              </w:rPr>
              <w:t>(USD)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B4083" w:rsidRPr="00787B09" w:rsidRDefault="002B4083" w:rsidP="00E81400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proofErr w:type="spellStart"/>
            <w:r w:rsidRPr="00787B09">
              <w:rPr>
                <w:rFonts w:cstheme="majorBidi"/>
                <w:b/>
                <w:bCs/>
                <w:color w:val="000000"/>
              </w:rPr>
              <w:t>Qty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B4083" w:rsidRPr="00787B09" w:rsidRDefault="002B4083" w:rsidP="00E81400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787B09">
              <w:rPr>
                <w:rFonts w:cstheme="majorBidi"/>
                <w:b/>
                <w:bCs/>
                <w:color w:val="000000"/>
              </w:rPr>
              <w:t>Budget Amount</w:t>
            </w:r>
          </w:p>
          <w:p w:rsidR="002B4083" w:rsidRPr="00787B09" w:rsidRDefault="002B4083" w:rsidP="00E81400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787B09">
              <w:rPr>
                <w:rFonts w:cstheme="majorBidi"/>
                <w:b/>
                <w:bCs/>
                <w:color w:val="000000"/>
              </w:rPr>
              <w:t>(USD)</w:t>
            </w:r>
          </w:p>
        </w:tc>
      </w:tr>
      <w:tr w:rsidR="002B4083" w:rsidRPr="00411AE0" w:rsidTr="00E81400">
        <w:trPr>
          <w:trHeight w:val="31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  <w:r w:rsidRPr="00787B09">
              <w:rPr>
                <w:rFonts w:cstheme="majorBidi"/>
                <w:color w:val="000000"/>
              </w:rPr>
              <w:t>Output 1: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25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322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25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  <w:r w:rsidRPr="00787B09">
              <w:rPr>
                <w:rFonts w:cstheme="majorBidi"/>
                <w:color w:val="000000"/>
              </w:rPr>
              <w:t>Output 2: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22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29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25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787B09" w:rsidRPr="00411AE0" w:rsidTr="00E81400">
        <w:trPr>
          <w:trHeight w:val="232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  <w:r w:rsidRPr="00787B09">
              <w:rPr>
                <w:rFonts w:cstheme="majorBidi"/>
                <w:color w:val="000000"/>
              </w:rPr>
              <w:t>Output 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787B09" w:rsidRPr="00411AE0" w:rsidTr="00E81400">
        <w:trPr>
          <w:trHeight w:val="223"/>
        </w:trPr>
        <w:tc>
          <w:tcPr>
            <w:tcW w:w="32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787B09" w:rsidRPr="00411AE0" w:rsidTr="00E81400">
        <w:trPr>
          <w:trHeight w:val="187"/>
        </w:trPr>
        <w:tc>
          <w:tcPr>
            <w:tcW w:w="32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787B09" w:rsidRPr="00411AE0" w:rsidTr="00E81400">
        <w:trPr>
          <w:trHeight w:val="268"/>
        </w:trPr>
        <w:tc>
          <w:tcPr>
            <w:tcW w:w="32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B09" w:rsidRPr="00787B09" w:rsidRDefault="00787B09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16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  <w:r w:rsidRPr="00787B09">
              <w:rPr>
                <w:rFonts w:cstheme="majorBidi"/>
                <w:color w:val="000000"/>
              </w:rPr>
              <w:t xml:space="preserve">Project Management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207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162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207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33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spacing w:after="0" w:line="240" w:lineRule="auto"/>
              <w:rPr>
                <w:rFonts w:cstheme="majorBidi"/>
                <w:color w:val="000000"/>
              </w:rPr>
            </w:pPr>
          </w:p>
        </w:tc>
      </w:tr>
      <w:tr w:rsidR="002B4083" w:rsidRPr="00411AE0" w:rsidTr="00E81400">
        <w:trPr>
          <w:trHeight w:val="34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4083" w:rsidRPr="00787B09" w:rsidRDefault="002B4083" w:rsidP="00E81400">
            <w:pPr>
              <w:snapToGrid w:val="0"/>
              <w:rPr>
                <w:rFonts w:cstheme="majorBidi"/>
                <w:color w:val="000000"/>
              </w:rPr>
            </w:pPr>
            <w:r w:rsidRPr="00787B09">
              <w:rPr>
                <w:rFonts w:cstheme="majorBidi"/>
                <w:color w:val="000000"/>
              </w:rPr>
              <w:t xml:space="preserve">TOTAL </w:t>
            </w:r>
          </w:p>
        </w:tc>
        <w:tc>
          <w:tcPr>
            <w:tcW w:w="5130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rPr>
                <w:rFonts w:cstheme="majorBid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rPr>
                <w:rFonts w:cstheme="majorBidi"/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rPr>
                <w:rFonts w:cstheme="majorBid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rPr>
                <w:rFonts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083" w:rsidRPr="00787B09" w:rsidRDefault="002B4083" w:rsidP="00E81400">
            <w:pPr>
              <w:snapToGrid w:val="0"/>
              <w:rPr>
                <w:rFonts w:cstheme="majorBidi"/>
                <w:b/>
                <w:bCs/>
                <w:color w:val="000000"/>
              </w:rPr>
            </w:pPr>
          </w:p>
        </w:tc>
      </w:tr>
    </w:tbl>
    <w:p w:rsidR="00E8621C" w:rsidRPr="002B4083" w:rsidRDefault="00E8621C" w:rsidP="002B4083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262997" w:rsidRPr="00411AE0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*Add Outputs as required. </w:t>
      </w:r>
    </w:p>
    <w:p w:rsidR="00262997" w:rsidRPr="00411AE0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>*Project Management include</w:t>
      </w:r>
      <w:r w:rsidR="00D35274">
        <w:rPr>
          <w:rFonts w:asciiTheme="majorBidi" w:hAnsiTheme="majorBidi" w:cstheme="majorBidi"/>
          <w:bCs/>
          <w:i/>
          <w:iCs/>
          <w:sz w:val="20"/>
          <w:szCs w:val="20"/>
        </w:rPr>
        <w:t>s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operational and overheat costs. </w:t>
      </w:r>
    </w:p>
    <w:sectPr w:rsidR="00262997" w:rsidRPr="00411AE0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DE" w:rsidRDefault="009008DE" w:rsidP="00584502">
      <w:pPr>
        <w:spacing w:after="0" w:line="240" w:lineRule="auto"/>
      </w:pPr>
      <w:r>
        <w:separator/>
      </w:r>
    </w:p>
  </w:endnote>
  <w:endnote w:type="continuationSeparator" w:id="0">
    <w:p w:rsidR="009008DE" w:rsidRDefault="009008DE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9" w:rsidRDefault="00E81400" w:rsidP="00E81400">
    <w:pPr>
      <w:pStyle w:val="Footer"/>
    </w:pPr>
    <w:r>
      <w:t>ICRRP Proposal Template, 1-Nov-15 Update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DE" w:rsidRDefault="009008DE" w:rsidP="00584502">
      <w:pPr>
        <w:spacing w:after="0" w:line="240" w:lineRule="auto"/>
      </w:pPr>
      <w:r>
        <w:separator/>
      </w:r>
    </w:p>
  </w:footnote>
  <w:footnote w:type="continuationSeparator" w:id="0">
    <w:p w:rsidR="009008DE" w:rsidRDefault="009008DE" w:rsidP="0058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rin Schweppe">
    <w15:presenceInfo w15:providerId="Windows Live" w15:userId="51d8dded989249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FD"/>
    <w:rsid w:val="00003C91"/>
    <w:rsid w:val="000061D3"/>
    <w:rsid w:val="0006458D"/>
    <w:rsid w:val="00065405"/>
    <w:rsid w:val="000762C6"/>
    <w:rsid w:val="00097952"/>
    <w:rsid w:val="000A2C0B"/>
    <w:rsid w:val="000E25B3"/>
    <w:rsid w:val="000E41BA"/>
    <w:rsid w:val="001243CA"/>
    <w:rsid w:val="00150E59"/>
    <w:rsid w:val="00152FBF"/>
    <w:rsid w:val="0017617E"/>
    <w:rsid w:val="00185F5A"/>
    <w:rsid w:val="001929E1"/>
    <w:rsid w:val="001C12C5"/>
    <w:rsid w:val="001E1334"/>
    <w:rsid w:val="001E6481"/>
    <w:rsid w:val="00205D10"/>
    <w:rsid w:val="00227EFF"/>
    <w:rsid w:val="00262997"/>
    <w:rsid w:val="00270937"/>
    <w:rsid w:val="00270F1E"/>
    <w:rsid w:val="0028753B"/>
    <w:rsid w:val="0028796E"/>
    <w:rsid w:val="002A4046"/>
    <w:rsid w:val="002A4356"/>
    <w:rsid w:val="002B23AD"/>
    <w:rsid w:val="002B4083"/>
    <w:rsid w:val="002F7A1F"/>
    <w:rsid w:val="00307FF3"/>
    <w:rsid w:val="0031215C"/>
    <w:rsid w:val="003144E9"/>
    <w:rsid w:val="00327026"/>
    <w:rsid w:val="00346D7B"/>
    <w:rsid w:val="00360E48"/>
    <w:rsid w:val="003728F2"/>
    <w:rsid w:val="003879C8"/>
    <w:rsid w:val="00390AD4"/>
    <w:rsid w:val="003A62B7"/>
    <w:rsid w:val="003B3979"/>
    <w:rsid w:val="003C3F5E"/>
    <w:rsid w:val="003C7C9F"/>
    <w:rsid w:val="003D6DBA"/>
    <w:rsid w:val="003F33C3"/>
    <w:rsid w:val="003F5048"/>
    <w:rsid w:val="003F7372"/>
    <w:rsid w:val="004052C7"/>
    <w:rsid w:val="00411AE0"/>
    <w:rsid w:val="00432D80"/>
    <w:rsid w:val="004438E5"/>
    <w:rsid w:val="004475DD"/>
    <w:rsid w:val="004819AA"/>
    <w:rsid w:val="00483FD9"/>
    <w:rsid w:val="00493943"/>
    <w:rsid w:val="004B7790"/>
    <w:rsid w:val="004E00E4"/>
    <w:rsid w:val="004E1202"/>
    <w:rsid w:val="005028A9"/>
    <w:rsid w:val="00504940"/>
    <w:rsid w:val="00525262"/>
    <w:rsid w:val="0055581C"/>
    <w:rsid w:val="005614DB"/>
    <w:rsid w:val="00564A92"/>
    <w:rsid w:val="0057112E"/>
    <w:rsid w:val="00572D66"/>
    <w:rsid w:val="00584502"/>
    <w:rsid w:val="005C0468"/>
    <w:rsid w:val="005D34F3"/>
    <w:rsid w:val="005E0260"/>
    <w:rsid w:val="005E2603"/>
    <w:rsid w:val="005E2B58"/>
    <w:rsid w:val="00610F77"/>
    <w:rsid w:val="00616F4C"/>
    <w:rsid w:val="00664867"/>
    <w:rsid w:val="00666967"/>
    <w:rsid w:val="0067231B"/>
    <w:rsid w:val="00672C54"/>
    <w:rsid w:val="00676EDA"/>
    <w:rsid w:val="006973BC"/>
    <w:rsid w:val="006A5DCC"/>
    <w:rsid w:val="006A6FC7"/>
    <w:rsid w:val="006E0CD4"/>
    <w:rsid w:val="006E37EB"/>
    <w:rsid w:val="006F38BE"/>
    <w:rsid w:val="00711016"/>
    <w:rsid w:val="00713800"/>
    <w:rsid w:val="00747C9F"/>
    <w:rsid w:val="0075023F"/>
    <w:rsid w:val="00787B09"/>
    <w:rsid w:val="007B0A3D"/>
    <w:rsid w:val="007C2B49"/>
    <w:rsid w:val="007C735A"/>
    <w:rsid w:val="0081679F"/>
    <w:rsid w:val="00830073"/>
    <w:rsid w:val="0087185D"/>
    <w:rsid w:val="0089480B"/>
    <w:rsid w:val="008971B6"/>
    <w:rsid w:val="008975A7"/>
    <w:rsid w:val="008A4A15"/>
    <w:rsid w:val="008A726B"/>
    <w:rsid w:val="008B6720"/>
    <w:rsid w:val="008B7B34"/>
    <w:rsid w:val="008D0D8C"/>
    <w:rsid w:val="008E72C5"/>
    <w:rsid w:val="008F290F"/>
    <w:rsid w:val="009008DE"/>
    <w:rsid w:val="00906127"/>
    <w:rsid w:val="009761DB"/>
    <w:rsid w:val="0098792C"/>
    <w:rsid w:val="009A404A"/>
    <w:rsid w:val="009A5149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74F28"/>
    <w:rsid w:val="00AA04A3"/>
    <w:rsid w:val="00AC4514"/>
    <w:rsid w:val="00AC669B"/>
    <w:rsid w:val="00AD72FE"/>
    <w:rsid w:val="00AE65FE"/>
    <w:rsid w:val="00AE7A24"/>
    <w:rsid w:val="00AF1E34"/>
    <w:rsid w:val="00AF2589"/>
    <w:rsid w:val="00B06120"/>
    <w:rsid w:val="00B20B93"/>
    <w:rsid w:val="00B309F5"/>
    <w:rsid w:val="00B3272A"/>
    <w:rsid w:val="00B420B6"/>
    <w:rsid w:val="00B54FF9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35771"/>
    <w:rsid w:val="00C57504"/>
    <w:rsid w:val="00C60FF5"/>
    <w:rsid w:val="00C6222C"/>
    <w:rsid w:val="00C64A09"/>
    <w:rsid w:val="00C67C9F"/>
    <w:rsid w:val="00C86976"/>
    <w:rsid w:val="00CA3AF7"/>
    <w:rsid w:val="00CB0B1F"/>
    <w:rsid w:val="00CB34E1"/>
    <w:rsid w:val="00CB7B0F"/>
    <w:rsid w:val="00CC4A09"/>
    <w:rsid w:val="00CC7C92"/>
    <w:rsid w:val="00CE682B"/>
    <w:rsid w:val="00CE7A34"/>
    <w:rsid w:val="00CF3A4C"/>
    <w:rsid w:val="00CF506F"/>
    <w:rsid w:val="00D04ECE"/>
    <w:rsid w:val="00D07D25"/>
    <w:rsid w:val="00D11E3F"/>
    <w:rsid w:val="00D13427"/>
    <w:rsid w:val="00D35274"/>
    <w:rsid w:val="00D62C4F"/>
    <w:rsid w:val="00D64425"/>
    <w:rsid w:val="00D80358"/>
    <w:rsid w:val="00D83DC5"/>
    <w:rsid w:val="00DD6EF1"/>
    <w:rsid w:val="00DD777B"/>
    <w:rsid w:val="00DE5687"/>
    <w:rsid w:val="00DF2EA2"/>
    <w:rsid w:val="00E138CB"/>
    <w:rsid w:val="00E1503D"/>
    <w:rsid w:val="00E341E8"/>
    <w:rsid w:val="00E42A9C"/>
    <w:rsid w:val="00E71F9D"/>
    <w:rsid w:val="00E81400"/>
    <w:rsid w:val="00E8621C"/>
    <w:rsid w:val="00E92259"/>
    <w:rsid w:val="00EA3213"/>
    <w:rsid w:val="00EA40A1"/>
    <w:rsid w:val="00EA46FD"/>
    <w:rsid w:val="00EC18F8"/>
    <w:rsid w:val="00EC653B"/>
    <w:rsid w:val="00ED279E"/>
    <w:rsid w:val="00F42E35"/>
    <w:rsid w:val="00F713B5"/>
    <w:rsid w:val="00F737DF"/>
    <w:rsid w:val="00F84D3A"/>
    <w:rsid w:val="00F86EA9"/>
    <w:rsid w:val="00FB4B56"/>
    <w:rsid w:val="00FC03F8"/>
    <w:rsid w:val="00FC34D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1E3A-7FDF-704D-99BA-80710AF3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1235</Words>
  <Characters>7045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susanasi</dc:creator>
  <cp:lastModifiedBy>Gozde Avci</cp:lastModifiedBy>
  <cp:revision>2</cp:revision>
  <cp:lastPrinted>2014-09-28T13:09:00Z</cp:lastPrinted>
  <dcterms:created xsi:type="dcterms:W3CDTF">2015-11-02T08:56:00Z</dcterms:created>
  <dcterms:modified xsi:type="dcterms:W3CDTF">2015-11-02T08:56:00Z</dcterms:modified>
</cp:coreProperties>
</file>