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AC" w:rsidRPr="00D81699" w:rsidRDefault="00402EAC" w:rsidP="00402EAC">
      <w:pPr>
        <w:tabs>
          <w:tab w:val="left" w:pos="1410"/>
        </w:tabs>
        <w:spacing w:after="0" w:line="240" w:lineRule="auto"/>
        <w:ind w:left="1410"/>
        <w:jc w:val="right"/>
        <w:rPr>
          <w:rFonts w:ascii="Times New Roman" w:eastAsia="Times New Roman" w:hAnsi="Times New Roman"/>
          <w:b/>
          <w:sz w:val="28"/>
          <w:szCs w:val="28"/>
          <w:lang w:eastAsia="rw-RW"/>
        </w:rPr>
      </w:pPr>
      <w:r w:rsidRPr="00D81699">
        <w:rPr>
          <w:rFonts w:ascii="Times New Roman" w:eastAsia="Times New Roman" w:hAnsi="Times New Roman"/>
          <w:b/>
          <w:noProof/>
          <w:sz w:val="28"/>
          <w:szCs w:val="28"/>
          <w:lang w:eastAsia="fr-FR"/>
        </w:rPr>
        <mc:AlternateContent>
          <mc:Choice Requires="wps">
            <w:drawing>
              <wp:anchor distT="0" distB="0" distL="114300" distR="114300" simplePos="0" relativeHeight="251662336" behindDoc="0" locked="0" layoutInCell="1" allowOverlap="1" wp14:anchorId="56B97125" wp14:editId="2336828B">
                <wp:simplePos x="0" y="0"/>
                <wp:positionH relativeFrom="column">
                  <wp:posOffset>5695950</wp:posOffset>
                </wp:positionH>
                <wp:positionV relativeFrom="paragraph">
                  <wp:posOffset>-506730</wp:posOffset>
                </wp:positionV>
                <wp:extent cx="762000" cy="1562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EAC" w:rsidRDefault="00402EAC" w:rsidP="00402EAC">
                            <w:r w:rsidRPr="001C0978">
                              <w:rPr>
                                <w:rFonts w:ascii="Times New Roman" w:hAnsi="Times New Roman"/>
                                <w:b/>
                                <w:noProof/>
                                <w:sz w:val="28"/>
                                <w:szCs w:val="28"/>
                                <w:lang w:eastAsia="fr-FR"/>
                              </w:rPr>
                              <w:drawing>
                                <wp:inline distT="0" distB="0" distL="0" distR="0" wp14:anchorId="33A826CE" wp14:editId="54E56CE6">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97125" id="_x0000_t202" coordsize="21600,21600" o:spt="202" path="m,l,21600r21600,l21600,xe">
                <v:stroke joinstyle="miter"/>
                <v:path gradientshapeok="t" o:connecttype="rect"/>
              </v:shapetype>
              <v:shape id="Zone de texte 4" o:spid="_x0000_s1026" type="#_x0000_t202" style="position:absolute;left:0;text-align:left;margin-left:448.5pt;margin-top:-39.9pt;width:60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M879yrBAgAAxQUAAA4AAAAAAAAAAAAAAAAALgIAAGRycy9lMm9Eb2MueG1sUEsBAi0AFAAG&#10;AAgAAAAhAKZkQTzgAAAADAEAAA8AAAAAAAAAAAAAAAAAGwUAAGRycy9kb3ducmV2LnhtbFBLBQYA&#10;AAAABAAEAPMAAAAoBgAAAAA=&#10;" filled="f" stroked="f">
                <v:textbox>
                  <w:txbxContent>
                    <w:p w:rsidR="00402EAC" w:rsidRDefault="00402EAC" w:rsidP="00402EAC">
                      <w:r w:rsidRPr="001C0978">
                        <w:rPr>
                          <w:rFonts w:ascii="Times New Roman" w:hAnsi="Times New Roman"/>
                          <w:b/>
                          <w:noProof/>
                          <w:sz w:val="28"/>
                          <w:szCs w:val="28"/>
                          <w:lang w:eastAsia="fr-FR"/>
                        </w:rPr>
                        <w:drawing>
                          <wp:inline distT="0" distB="0" distL="0" distR="0" wp14:anchorId="33A826CE" wp14:editId="54E56CE6">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v:textbox>
              </v:shape>
            </w:pict>
          </mc:Fallback>
        </mc:AlternateContent>
      </w:r>
    </w:p>
    <w:p w:rsidR="00402EAC" w:rsidRDefault="00402EAC" w:rsidP="00402EAC">
      <w:pPr>
        <w:tabs>
          <w:tab w:val="left" w:pos="1410"/>
        </w:tabs>
        <w:spacing w:line="240" w:lineRule="auto"/>
        <w:rPr>
          <w:rFonts w:ascii="Times New Roman" w:hAnsi="Times New Roman"/>
          <w:b/>
          <w:sz w:val="28"/>
          <w:szCs w:val="28"/>
        </w:rPr>
      </w:pPr>
    </w:p>
    <w:p w:rsidR="00402EAC" w:rsidRDefault="00402EAC" w:rsidP="00402EAC">
      <w:pPr>
        <w:tabs>
          <w:tab w:val="left" w:pos="1410"/>
        </w:tabs>
        <w:spacing w:line="240" w:lineRule="auto"/>
        <w:rPr>
          <w:rFonts w:ascii="Times New Roman" w:hAnsi="Times New Roman"/>
          <w:b/>
          <w:sz w:val="28"/>
          <w:szCs w:val="28"/>
        </w:rPr>
      </w:pPr>
    </w:p>
    <w:p w:rsidR="00402EAC" w:rsidRDefault="00402EAC" w:rsidP="00402EAC">
      <w:pPr>
        <w:tabs>
          <w:tab w:val="left" w:pos="1410"/>
        </w:tabs>
        <w:spacing w:line="240" w:lineRule="auto"/>
        <w:jc w:val="center"/>
        <w:rPr>
          <w:rFonts w:ascii="Times New Roman" w:hAnsi="Times New Roman"/>
          <w:b/>
          <w:sz w:val="32"/>
          <w:szCs w:val="32"/>
        </w:rPr>
      </w:pPr>
      <w:r>
        <w:rPr>
          <w:rFonts w:ascii="Times New Roman" w:hAnsi="Times New Roman"/>
          <w:b/>
          <w:sz w:val="32"/>
          <w:szCs w:val="32"/>
        </w:rPr>
        <w:t>Le PNUD GUINEE RECRUTE</w:t>
      </w:r>
    </w:p>
    <w:p w:rsidR="00402EAC" w:rsidRPr="00070560" w:rsidRDefault="00402EAC" w:rsidP="00402EAC">
      <w:pPr>
        <w:tabs>
          <w:tab w:val="left" w:pos="1410"/>
        </w:tabs>
        <w:spacing w:line="240" w:lineRule="auto"/>
        <w:jc w:val="center"/>
        <w:rPr>
          <w:rFonts w:ascii="Times New Roman" w:hAnsi="Times New Roman"/>
          <w:b/>
          <w:sz w:val="32"/>
          <w:szCs w:val="32"/>
        </w:rPr>
      </w:pPr>
      <w:r w:rsidRPr="000B30B3">
        <w:rPr>
          <w:rFonts w:cs="Calibri"/>
          <w:b/>
          <w:color w:val="833C0B"/>
        </w:rPr>
        <w:t xml:space="preserve">UN CONSULTANT </w:t>
      </w:r>
      <w:r>
        <w:rPr>
          <w:rFonts w:cs="Calibri"/>
          <w:b/>
          <w:color w:val="833C0B"/>
        </w:rPr>
        <w:t>AVEC EXPERTISE INTERNATIONALE EN CONSTRUCTION DE PETITE CENTRALE HYDROELECTRIQUE.</w:t>
      </w:r>
    </w:p>
    <w:p w:rsidR="00402EAC" w:rsidRPr="00D81699" w:rsidRDefault="00402EAC" w:rsidP="00402EAC">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D81699">
        <w:rPr>
          <w:rFonts w:ascii="Times New Roman" w:eastAsia="Times New Roman" w:hAnsi="Times New Roman"/>
          <w:sz w:val="24"/>
          <w:szCs w:val="24"/>
          <w:lang w:eastAsia="rw-RW"/>
        </w:rPr>
        <w:t>Délai de réception des offres :</w:t>
      </w:r>
      <w:r>
        <w:rPr>
          <w:rFonts w:ascii="Times New Roman" w:eastAsia="Times New Roman" w:hAnsi="Times New Roman"/>
          <w:sz w:val="24"/>
          <w:szCs w:val="24"/>
          <w:lang w:eastAsia="rw-RW"/>
        </w:rPr>
        <w:t xml:space="preserve"> </w:t>
      </w:r>
      <w:r>
        <w:rPr>
          <w:rFonts w:ascii="Times New Roman" w:eastAsia="Times New Roman" w:hAnsi="Times New Roman"/>
          <w:b/>
          <w:sz w:val="24"/>
          <w:szCs w:val="24"/>
          <w:lang w:eastAsia="rw-RW"/>
        </w:rPr>
        <w:t>30</w:t>
      </w:r>
      <w:r>
        <w:rPr>
          <w:rFonts w:ascii="Times New Roman" w:eastAsia="Times New Roman" w:hAnsi="Times New Roman"/>
          <w:b/>
          <w:sz w:val="24"/>
          <w:szCs w:val="24"/>
          <w:lang w:eastAsia="rw-RW"/>
        </w:rPr>
        <w:t xml:space="preserve"> </w:t>
      </w:r>
      <w:r>
        <w:rPr>
          <w:rFonts w:ascii="Times New Roman" w:hAnsi="Times New Roman"/>
          <w:b/>
          <w:sz w:val="24"/>
          <w:szCs w:val="24"/>
        </w:rPr>
        <w:t>Mai 2019</w:t>
      </w:r>
      <w:r w:rsidRPr="00D81699">
        <w:rPr>
          <w:rFonts w:ascii="Times New Roman" w:hAnsi="Times New Roman"/>
          <w:sz w:val="24"/>
          <w:szCs w:val="24"/>
        </w:rPr>
        <w:t>.</w:t>
      </w:r>
    </w:p>
    <w:p w:rsidR="00402EAC" w:rsidRPr="00D81699" w:rsidRDefault="00402EAC" w:rsidP="00402EAC">
      <w:pPr>
        <w:tabs>
          <w:tab w:val="left" w:pos="1410"/>
        </w:tabs>
        <w:spacing w:after="0" w:line="240" w:lineRule="auto"/>
        <w:jc w:val="both"/>
        <w:rPr>
          <w:rFonts w:ascii="Times New Roman" w:eastAsia="Times New Roman" w:hAnsi="Times New Roman"/>
          <w:b/>
          <w:lang w:eastAsia="rw-RW"/>
        </w:rPr>
      </w:pPr>
      <w:r w:rsidRPr="00D81699">
        <w:rPr>
          <w:rFonts w:ascii="Times New Roman" w:hAnsi="Times New Roman"/>
          <w:noProof/>
        </w:rPr>
        <mc:AlternateContent>
          <mc:Choice Requires="wps">
            <w:drawing>
              <wp:anchor distT="4294967292" distB="4294967292" distL="114300" distR="114300" simplePos="0" relativeHeight="251660288" behindDoc="0" locked="0" layoutInCell="1" allowOverlap="1" wp14:anchorId="7D3AC9C3" wp14:editId="535B31AE">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12D7F"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r>
        <w:rPr>
          <w:rFonts w:ascii="Times New Roman" w:eastAsia="Times New Roman" w:hAnsi="Times New Roman"/>
          <w:b/>
          <w:lang w:eastAsia="rw-RW"/>
        </w:rPr>
        <w:t xml:space="preserve"> </w:t>
      </w:r>
    </w:p>
    <w:p w:rsidR="00402EAC" w:rsidRPr="00D81699" w:rsidRDefault="00402EAC" w:rsidP="00402EAC">
      <w:pPr>
        <w:tabs>
          <w:tab w:val="left" w:pos="1410"/>
        </w:tabs>
        <w:spacing w:after="120" w:line="240" w:lineRule="auto"/>
        <w:jc w:val="both"/>
        <w:rPr>
          <w:rFonts w:ascii="Times New Roman" w:hAnsi="Times New Roman"/>
        </w:rPr>
      </w:pPr>
      <w:r w:rsidRPr="00D81699">
        <w:rPr>
          <w:rFonts w:ascii="Times New Roman" w:hAnsi="Times New Roman"/>
          <w:b/>
        </w:rPr>
        <w:t>Pays</w:t>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t xml:space="preserve"> </w:t>
      </w:r>
      <w:r w:rsidRPr="00E97AA7">
        <w:rPr>
          <w:rFonts w:ascii="Times New Roman" w:hAnsi="Times New Roman"/>
          <w:b/>
        </w:rPr>
        <w:t>GUINEE</w:t>
      </w:r>
    </w:p>
    <w:p w:rsidR="00402EAC" w:rsidRPr="00070560" w:rsidRDefault="00402EAC" w:rsidP="00402EAC">
      <w:pPr>
        <w:tabs>
          <w:tab w:val="left" w:pos="1410"/>
        </w:tabs>
        <w:spacing w:line="240" w:lineRule="auto"/>
        <w:jc w:val="center"/>
        <w:rPr>
          <w:rFonts w:ascii="Times New Roman" w:hAnsi="Times New Roman"/>
          <w:b/>
          <w:sz w:val="32"/>
          <w:szCs w:val="32"/>
        </w:rPr>
      </w:pPr>
      <w:r w:rsidRPr="00D81699">
        <w:rPr>
          <w:rFonts w:ascii="Times New Roman" w:hAnsi="Times New Roman"/>
          <w:b/>
        </w:rPr>
        <w:t>Intitulé de la mission</w:t>
      </w:r>
      <w:r w:rsidRPr="00D81699">
        <w:rPr>
          <w:rFonts w:ascii="Times New Roman" w:hAnsi="Times New Roman"/>
        </w:rPr>
        <w:t> </w:t>
      </w:r>
      <w:r w:rsidRPr="00D81699">
        <w:rPr>
          <w:rFonts w:ascii="Times New Roman" w:hAnsi="Times New Roman"/>
          <w:b/>
        </w:rPr>
        <w:t xml:space="preserve">: </w:t>
      </w:r>
      <w:r w:rsidRPr="00402EAC">
        <w:rPr>
          <w:rFonts w:cs="Calibri"/>
          <w:b/>
        </w:rPr>
        <w:t>UN CONSULTANT AVEC EXPERTISE INTERNATIONALE EN CONSTRUCTION DE PETITE CENTRALE HYDROELECTRIQUE.</w:t>
      </w:r>
    </w:p>
    <w:p w:rsidR="00402EAC" w:rsidRDefault="00402EAC" w:rsidP="00402EAC">
      <w:pPr>
        <w:tabs>
          <w:tab w:val="left" w:pos="1410"/>
        </w:tabs>
        <w:spacing w:line="240" w:lineRule="auto"/>
        <w:ind w:left="3600" w:hanging="3600"/>
        <w:jc w:val="both"/>
        <w:rPr>
          <w:rFonts w:ascii="Times New Roman" w:hAnsi="Times New Roman"/>
        </w:rPr>
      </w:pPr>
      <w:r w:rsidRPr="00D81699">
        <w:rPr>
          <w:rFonts w:ascii="Times New Roman" w:hAnsi="Times New Roman"/>
          <w:b/>
        </w:rPr>
        <w:t>Niveau de poste et d’expérience :</w:t>
      </w:r>
      <w:r>
        <w:rPr>
          <w:rFonts w:ascii="Times New Roman" w:hAnsi="Times New Roman"/>
        </w:rPr>
        <w:t xml:space="preserve">         </w:t>
      </w:r>
      <w:r>
        <w:rPr>
          <w:rFonts w:ascii="Times New Roman" w:hAnsi="Times New Roman"/>
          <w:b/>
        </w:rPr>
        <w:t>International</w:t>
      </w:r>
    </w:p>
    <w:p w:rsidR="00402EAC" w:rsidRPr="00D81699" w:rsidRDefault="00402EAC" w:rsidP="00402EAC">
      <w:pPr>
        <w:tabs>
          <w:tab w:val="left" w:pos="1410"/>
        </w:tabs>
        <w:spacing w:line="240" w:lineRule="auto"/>
        <w:ind w:left="3600" w:hanging="3600"/>
        <w:jc w:val="both"/>
        <w:rPr>
          <w:rFonts w:ascii="Times New Roman" w:hAnsi="Times New Roman"/>
        </w:rPr>
      </w:pPr>
      <w:r>
        <w:rPr>
          <w:rFonts w:ascii="Times New Roman" w:hAnsi="Times New Roman"/>
          <w:b/>
        </w:rPr>
        <w:t xml:space="preserve">Nombre de poste :                                    </w:t>
      </w:r>
      <w:r>
        <w:rPr>
          <w:rFonts w:ascii="Times New Roman" w:hAnsi="Times New Roman"/>
        </w:rPr>
        <w:t xml:space="preserve"> </w:t>
      </w:r>
      <w:r w:rsidRPr="00704233">
        <w:rPr>
          <w:rFonts w:ascii="Times New Roman" w:hAnsi="Times New Roman"/>
          <w:b/>
        </w:rPr>
        <w:t xml:space="preserve">1 </w:t>
      </w:r>
      <w:r>
        <w:rPr>
          <w:rFonts w:ascii="Times New Roman" w:hAnsi="Times New Roman"/>
        </w:rPr>
        <w:t xml:space="preserve"> </w:t>
      </w:r>
    </w:p>
    <w:p w:rsidR="00402EAC" w:rsidRPr="00D81699" w:rsidRDefault="00402EAC" w:rsidP="00402EAC">
      <w:pPr>
        <w:tabs>
          <w:tab w:val="left" w:pos="1410"/>
        </w:tabs>
        <w:spacing w:line="240" w:lineRule="auto"/>
        <w:ind w:left="3600" w:hanging="3600"/>
        <w:jc w:val="both"/>
        <w:rPr>
          <w:rFonts w:ascii="Times New Roman" w:hAnsi="Times New Roman"/>
        </w:rPr>
      </w:pPr>
      <w:r w:rsidRPr="00D81699">
        <w:rPr>
          <w:rFonts w:ascii="Times New Roman" w:hAnsi="Times New Roman"/>
          <w:b/>
        </w:rPr>
        <w:t>Durée de la mission</w:t>
      </w:r>
      <w:r w:rsidRPr="00D81699">
        <w:rPr>
          <w:rFonts w:ascii="Times New Roman" w:hAnsi="Times New Roman"/>
        </w:rPr>
        <w:tab/>
      </w:r>
      <w:r>
        <w:rPr>
          <w:rFonts w:ascii="Times New Roman" w:hAnsi="Times New Roman"/>
          <w:b/>
        </w:rPr>
        <w:t>35 jours ouvrables dont 30 jours en Guinée repartis en deux missions.</w:t>
      </w:r>
    </w:p>
    <w:p w:rsidR="00402EAC" w:rsidRPr="00D81699" w:rsidRDefault="00402EAC" w:rsidP="00402EAC">
      <w:pPr>
        <w:tabs>
          <w:tab w:val="left" w:pos="1410"/>
        </w:tabs>
        <w:spacing w:line="240" w:lineRule="auto"/>
        <w:ind w:left="3600" w:hanging="3600"/>
        <w:jc w:val="both"/>
        <w:rPr>
          <w:rFonts w:ascii="Times New Roman" w:hAnsi="Times New Roman"/>
        </w:rPr>
      </w:pPr>
      <w:r w:rsidRPr="00D81699">
        <w:rPr>
          <w:rFonts w:ascii="Times New Roman" w:hAnsi="Times New Roman"/>
          <w:b/>
        </w:rPr>
        <w:t xml:space="preserve">Type </w:t>
      </w:r>
      <w:r>
        <w:rPr>
          <w:rFonts w:ascii="Times New Roman" w:hAnsi="Times New Roman"/>
          <w:b/>
        </w:rPr>
        <w:t>et Lieu d’</w:t>
      </w:r>
      <w:r w:rsidRPr="00D81699">
        <w:rPr>
          <w:rFonts w:ascii="Times New Roman" w:hAnsi="Times New Roman"/>
          <w:b/>
        </w:rPr>
        <w:t>affectation :</w:t>
      </w:r>
      <w:r w:rsidRPr="00D81699">
        <w:rPr>
          <w:rFonts w:ascii="Times New Roman" w:hAnsi="Times New Roman"/>
          <w:b/>
        </w:rPr>
        <w:tab/>
      </w:r>
      <w:r>
        <w:rPr>
          <w:rFonts w:ascii="Times New Roman" w:hAnsi="Times New Roman"/>
          <w:b/>
        </w:rPr>
        <w:t xml:space="preserve">Home </w:t>
      </w:r>
      <w:proofErr w:type="spellStart"/>
      <w:r>
        <w:rPr>
          <w:rFonts w:ascii="Times New Roman" w:hAnsi="Times New Roman"/>
          <w:b/>
        </w:rPr>
        <w:t>based</w:t>
      </w:r>
      <w:proofErr w:type="spellEnd"/>
      <w:r>
        <w:rPr>
          <w:rFonts w:ascii="Times New Roman" w:hAnsi="Times New Roman"/>
          <w:b/>
        </w:rPr>
        <w:t xml:space="preserve"> et sur site</w:t>
      </w:r>
    </w:p>
    <w:p w:rsidR="00402EAC" w:rsidRDefault="00402EAC" w:rsidP="00402EAC">
      <w:pPr>
        <w:spacing w:after="0" w:line="240" w:lineRule="auto"/>
        <w:jc w:val="both"/>
        <w:rPr>
          <w:rFonts w:ascii="Times New Roman" w:eastAsia="Times New Roman" w:hAnsi="Times New Roman"/>
          <w:lang w:eastAsia="rw-RW"/>
        </w:rPr>
      </w:pPr>
      <w:r w:rsidRPr="00D81699">
        <w:rPr>
          <w:rFonts w:ascii="Times New Roman" w:eastAsia="Times New Roman" w:hAnsi="Times New Roman"/>
          <w:lang w:eastAsia="rw-RW"/>
        </w:rPr>
        <w:t>Prière envoyer vos propositions (propositions technique et financière) dûment signées</w:t>
      </w:r>
      <w:r>
        <w:rPr>
          <w:rFonts w:ascii="Times New Roman" w:eastAsia="Times New Roman" w:hAnsi="Times New Roman"/>
          <w:lang w:eastAsia="rw-RW"/>
        </w:rPr>
        <w:t xml:space="preserve"> : </w:t>
      </w:r>
    </w:p>
    <w:p w:rsidR="00402EAC" w:rsidRDefault="00402EAC" w:rsidP="00402EAC">
      <w:pPr>
        <w:spacing w:after="0"/>
      </w:pPr>
      <w:r>
        <w:rPr>
          <w:b/>
        </w:rPr>
        <w:t>Uniquement par</w:t>
      </w:r>
      <w:r w:rsidRPr="002A0ECB">
        <w:rPr>
          <w:b/>
        </w:rPr>
        <w:t xml:space="preserve"> e-mail :</w:t>
      </w:r>
    </w:p>
    <w:p w:rsidR="00402EAC" w:rsidRPr="006175E8" w:rsidRDefault="00402EAC" w:rsidP="00402EAC">
      <w:pPr>
        <w:tabs>
          <w:tab w:val="left" w:pos="709"/>
        </w:tabs>
        <w:spacing w:after="0"/>
        <w:rPr>
          <w:lang w:val="en-US"/>
        </w:rPr>
      </w:pPr>
      <w:r w:rsidRPr="006175E8">
        <w:rPr>
          <w:lang w:val="en-US"/>
        </w:rPr>
        <w:t>A:</w:t>
      </w:r>
      <w:r w:rsidRPr="006175E8">
        <w:rPr>
          <w:b/>
          <w:lang w:val="en-US"/>
        </w:rPr>
        <w:t xml:space="preserve"> </w:t>
      </w:r>
      <w:hyperlink r:id="rId6" w:history="1">
        <w:r w:rsidRPr="006175E8">
          <w:rPr>
            <w:rStyle w:val="Lienhypertexte"/>
            <w:b/>
            <w:lang w:val="en-US"/>
          </w:rPr>
          <w:t>ic.offres.gn@undp.org</w:t>
        </w:r>
      </w:hyperlink>
      <w:r w:rsidRPr="006175E8">
        <w:rPr>
          <w:b/>
          <w:lang w:val="en-US"/>
        </w:rPr>
        <w:t xml:space="preserve"> </w:t>
      </w:r>
    </w:p>
    <w:p w:rsidR="00402EAC" w:rsidRPr="000C24A8" w:rsidRDefault="00402EAC" w:rsidP="00402EAC">
      <w:pPr>
        <w:spacing w:after="0" w:line="240" w:lineRule="auto"/>
        <w:jc w:val="both"/>
        <w:rPr>
          <w:rFonts w:ascii="Times New Roman" w:eastAsia="Times New Roman" w:hAnsi="Times New Roman"/>
          <w:b/>
          <w:lang w:eastAsia="rw-RW"/>
        </w:rPr>
      </w:pPr>
      <w:r w:rsidRPr="007C5EEE">
        <w:rPr>
          <w:rFonts w:ascii="Times New Roman" w:eastAsia="Times New Roman" w:hAnsi="Times New Roman"/>
          <w:color w:val="FF0000"/>
          <w:lang w:eastAsia="rw-RW"/>
        </w:rPr>
        <w:t>Avec mention de la référence et intitulé du dossier</w:t>
      </w:r>
      <w:r w:rsidRPr="00D81699">
        <w:rPr>
          <w:rFonts w:ascii="Times New Roman" w:eastAsia="Times New Roman" w:hAnsi="Times New Roman"/>
          <w:b/>
          <w:lang w:eastAsia="rw-RW"/>
        </w:rPr>
        <w:t xml:space="preserve">. </w:t>
      </w:r>
    </w:p>
    <w:p w:rsidR="00402EAC" w:rsidRDefault="00402EAC" w:rsidP="00402EAC">
      <w:pPr>
        <w:spacing w:after="0" w:line="240" w:lineRule="auto"/>
        <w:jc w:val="both"/>
        <w:rPr>
          <w:rFonts w:ascii="Times New Roman" w:hAnsi="Times New Roman"/>
          <w:b/>
        </w:rPr>
      </w:pPr>
    </w:p>
    <w:p w:rsidR="00402EAC" w:rsidRPr="00D81699" w:rsidRDefault="00402EAC" w:rsidP="00402EAC">
      <w:pPr>
        <w:spacing w:after="0" w:line="240" w:lineRule="auto"/>
        <w:jc w:val="both"/>
        <w:rPr>
          <w:rFonts w:ascii="Times New Roman" w:hAnsi="Times New Roman"/>
        </w:rPr>
      </w:pPr>
      <w:r w:rsidRPr="00D81699">
        <w:rPr>
          <w:rFonts w:ascii="Times New Roman" w:hAnsi="Times New Roman"/>
          <w:b/>
        </w:rPr>
        <w:t xml:space="preserve">Votre proposition devra être reçue </w:t>
      </w:r>
      <w:r w:rsidRPr="00402EAC">
        <w:rPr>
          <w:rFonts w:ascii="Times New Roman" w:hAnsi="Times New Roman"/>
          <w:b/>
        </w:rPr>
        <w:t>au plus tard le</w:t>
      </w:r>
      <w:r w:rsidRPr="00402EAC">
        <w:rPr>
          <w:rFonts w:ascii="Times New Roman" w:hAnsi="Times New Roman"/>
          <w:b/>
          <w:sz w:val="24"/>
          <w:szCs w:val="24"/>
        </w:rPr>
        <w:t xml:space="preserve"> </w:t>
      </w:r>
      <w:r w:rsidRPr="00402EAC">
        <w:rPr>
          <w:rFonts w:ascii="Times New Roman" w:hAnsi="Times New Roman"/>
          <w:b/>
          <w:sz w:val="24"/>
          <w:szCs w:val="24"/>
        </w:rPr>
        <w:t>30</w:t>
      </w:r>
      <w:r>
        <w:rPr>
          <w:rFonts w:ascii="Times New Roman" w:hAnsi="Times New Roman"/>
          <w:b/>
          <w:sz w:val="24"/>
          <w:szCs w:val="24"/>
        </w:rPr>
        <w:t xml:space="preserve"> Mai 2019 à 16h00mn GMT</w:t>
      </w:r>
      <w:r w:rsidRPr="00D81699">
        <w:rPr>
          <w:rFonts w:ascii="Times New Roman" w:hAnsi="Times New Roman"/>
          <w:sz w:val="24"/>
          <w:szCs w:val="24"/>
        </w:rPr>
        <w:t>.</w:t>
      </w:r>
      <w:r w:rsidRPr="00D81699">
        <w:rPr>
          <w:rFonts w:ascii="Times New Roman" w:hAnsi="Times New Roman"/>
        </w:rPr>
        <w:t xml:space="preserve"> </w:t>
      </w:r>
    </w:p>
    <w:p w:rsidR="00402EAC" w:rsidRPr="00D81699" w:rsidRDefault="00402EAC" w:rsidP="00402EAC">
      <w:pPr>
        <w:spacing w:after="0" w:line="240" w:lineRule="auto"/>
        <w:jc w:val="both"/>
        <w:rPr>
          <w:rFonts w:ascii="Times New Roman" w:hAnsi="Times New Roman"/>
        </w:rPr>
      </w:pPr>
    </w:p>
    <w:p w:rsidR="00402EAC" w:rsidRPr="00D81699" w:rsidRDefault="00402EAC" w:rsidP="00402EAC">
      <w:pPr>
        <w:spacing w:after="0" w:line="240" w:lineRule="auto"/>
        <w:jc w:val="both"/>
        <w:rPr>
          <w:rFonts w:ascii="Times New Roman" w:hAnsi="Times New Roman"/>
          <w:b/>
        </w:rPr>
      </w:pPr>
      <w:r w:rsidRPr="00D81699">
        <w:rPr>
          <w:rFonts w:ascii="Times New Roman" w:hAnsi="Times New Roman"/>
        </w:rPr>
        <w:t xml:space="preserve">N’hésitez pas à écrire à l’adresse </w:t>
      </w:r>
      <w:hyperlink r:id="rId7" w:history="1">
        <w:r w:rsidRPr="000E6CA3">
          <w:rPr>
            <w:rStyle w:val="Lienhypertexte"/>
            <w:rFonts w:ascii="Times New Roman" w:hAnsi="Times New Roman"/>
          </w:rPr>
          <w:t>info.offres.gn@undp.org</w:t>
        </w:r>
      </w:hyperlink>
      <w:r>
        <w:rPr>
          <w:rFonts w:ascii="Times New Roman" w:hAnsi="Times New Roman"/>
        </w:rPr>
        <w:t xml:space="preserve"> </w:t>
      </w:r>
      <w:r w:rsidRPr="00D81699">
        <w:rPr>
          <w:rFonts w:ascii="Times New Roman" w:hAnsi="Times New Roman"/>
        </w:rPr>
        <w:t xml:space="preserve"> pour toute information complémentaire. </w:t>
      </w:r>
    </w:p>
    <w:p w:rsidR="00402EAC" w:rsidRPr="00D81699" w:rsidRDefault="00402EAC" w:rsidP="00402EAC">
      <w:pPr>
        <w:spacing w:after="0" w:line="240" w:lineRule="auto"/>
        <w:jc w:val="both"/>
        <w:rPr>
          <w:rFonts w:ascii="Times New Roman" w:eastAsia="Times New Roman" w:hAnsi="Times New Roman"/>
          <w:lang w:eastAsia="rw-RW"/>
        </w:rPr>
      </w:pPr>
    </w:p>
    <w:p w:rsidR="00402EAC" w:rsidRPr="00D81699" w:rsidRDefault="00402EAC" w:rsidP="00402EAC">
      <w:pPr>
        <w:numPr>
          <w:ilvl w:val="0"/>
          <w:numId w:val="2"/>
        </w:numPr>
        <w:spacing w:after="0" w:line="240" w:lineRule="auto"/>
        <w:jc w:val="both"/>
        <w:rPr>
          <w:rFonts w:ascii="Times New Roman" w:eastAsia="Times New Roman" w:hAnsi="Times New Roman"/>
          <w:lang w:eastAsia="rw-RW"/>
        </w:rPr>
      </w:pPr>
      <w:r w:rsidRPr="00D81699">
        <w:rPr>
          <w:rFonts w:ascii="Times New Roman" w:hAnsi="Times New Roman"/>
          <w:noProof/>
        </w:rPr>
        <mc:AlternateContent>
          <mc:Choice Requires="wps">
            <w:drawing>
              <wp:anchor distT="4294967292" distB="4294967292" distL="114300" distR="114300" simplePos="0" relativeHeight="251661312" behindDoc="0" locked="0" layoutInCell="1" allowOverlap="1" wp14:anchorId="6C8DB327" wp14:editId="131EE24C">
                <wp:simplePos x="0" y="0"/>
                <wp:positionH relativeFrom="column">
                  <wp:posOffset>-367030</wp:posOffset>
                </wp:positionH>
                <wp:positionV relativeFrom="paragraph">
                  <wp:posOffset>116204</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FCF3D" id="Connecteur droit avec flèche 2" o:spid="_x0000_s1026" type="#_x0000_t32" style="position:absolute;margin-left:-28.9pt;margin-top:9.15pt;width:522.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402EAC" w:rsidRPr="00D81699" w:rsidRDefault="00402EAC" w:rsidP="00402EAC">
      <w:pPr>
        <w:pStyle w:val="Paragraphedeliste"/>
        <w:tabs>
          <w:tab w:val="left" w:pos="720"/>
        </w:tabs>
        <w:spacing w:after="0" w:line="240" w:lineRule="auto"/>
        <w:ind w:left="714"/>
        <w:rPr>
          <w:rFonts w:ascii="Times New Roman" w:hAnsi="Times New Roman"/>
          <w:b/>
          <w:sz w:val="28"/>
          <w:szCs w:val="28"/>
          <w:u w:val="single"/>
          <w:lang w:val="fr-CH"/>
        </w:rPr>
      </w:pPr>
    </w:p>
    <w:p w:rsidR="00402EAC" w:rsidRPr="00E913CF" w:rsidRDefault="00402EAC" w:rsidP="00402EAC">
      <w:pPr>
        <w:spacing w:after="0" w:line="240" w:lineRule="auto"/>
        <w:jc w:val="both"/>
        <w:rPr>
          <w:rFonts w:ascii="Times New Roman" w:hAnsi="Times New Roman"/>
          <w:sz w:val="24"/>
          <w:szCs w:val="24"/>
        </w:rPr>
      </w:pPr>
      <w:r w:rsidRPr="00E913CF">
        <w:rPr>
          <w:rFonts w:ascii="Times New Roman" w:hAnsi="Times New Roman"/>
          <w:sz w:val="24"/>
          <w:szCs w:val="24"/>
        </w:rPr>
        <w:t xml:space="preserve">Les Termes de Référence sont joints en annexe 01 de cette notice pour plus de détail sur la mission. </w:t>
      </w:r>
    </w:p>
    <w:p w:rsidR="00402EAC" w:rsidRPr="00D81699" w:rsidRDefault="00402EAC" w:rsidP="00402EAC">
      <w:pPr>
        <w:pStyle w:val="Paragraphedeliste"/>
        <w:spacing w:after="0" w:line="240" w:lineRule="auto"/>
        <w:ind w:left="0"/>
        <w:jc w:val="both"/>
        <w:rPr>
          <w:rFonts w:ascii="Times New Roman" w:eastAsia="Times New Roman" w:hAnsi="Times New Roman"/>
          <w:b/>
          <w:u w:val="single"/>
          <w:lang w:eastAsia="rw-RW"/>
        </w:rPr>
      </w:pPr>
    </w:p>
    <w:p w:rsidR="00402EAC" w:rsidRPr="00D81699" w:rsidRDefault="00402EAC" w:rsidP="00402EAC">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Documents constitutifs de l’Offre</w:t>
      </w:r>
      <w:r w:rsidRPr="00D81699">
        <w:rPr>
          <w:rFonts w:ascii="Times New Roman" w:eastAsia="Times New Roman" w:hAnsi="Times New Roman"/>
          <w:b/>
          <w:lang w:eastAsia="rw-RW"/>
        </w:rPr>
        <w:t> :</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D81699" w:rsidRDefault="00402EAC" w:rsidP="00402EAC">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Pour démontrer leurs qualifications, les candidat (e)s devront soumettre une offre qui comprendra les documents suivants :</w:t>
      </w:r>
    </w:p>
    <w:p w:rsidR="00402EAC" w:rsidRDefault="00402EAC" w:rsidP="00402EAC">
      <w:pPr>
        <w:pStyle w:val="Retraitcorpsdetexte"/>
        <w:ind w:left="0"/>
        <w:jc w:val="both"/>
        <w:rPr>
          <w:bCs/>
          <w:sz w:val="22"/>
          <w:szCs w:val="22"/>
        </w:rPr>
      </w:pPr>
    </w:p>
    <w:p w:rsidR="00402EAC" w:rsidRDefault="00402EAC" w:rsidP="00402EAC">
      <w:pPr>
        <w:pStyle w:val="Retraitcorpsdetexte"/>
        <w:ind w:left="0"/>
        <w:jc w:val="both"/>
        <w:rPr>
          <w:bCs/>
          <w:sz w:val="22"/>
          <w:szCs w:val="22"/>
        </w:rPr>
      </w:pPr>
    </w:p>
    <w:p w:rsidR="00402EAC" w:rsidRDefault="00402EAC" w:rsidP="00402EAC">
      <w:pPr>
        <w:pStyle w:val="Retraitcorpsdetexte"/>
        <w:ind w:left="0"/>
        <w:jc w:val="both"/>
        <w:rPr>
          <w:bCs/>
          <w:sz w:val="22"/>
          <w:szCs w:val="22"/>
        </w:rPr>
      </w:pPr>
    </w:p>
    <w:p w:rsidR="00402EAC" w:rsidRDefault="00402EAC" w:rsidP="00402EAC">
      <w:pPr>
        <w:pStyle w:val="Retraitcorpsdetexte"/>
        <w:ind w:left="0"/>
        <w:jc w:val="both"/>
        <w:rPr>
          <w:bCs/>
          <w:sz w:val="22"/>
          <w:szCs w:val="22"/>
        </w:rPr>
      </w:pPr>
    </w:p>
    <w:p w:rsidR="00402EAC" w:rsidRDefault="00402EAC" w:rsidP="00402EAC">
      <w:pPr>
        <w:pStyle w:val="Retraitcorpsdetexte"/>
        <w:ind w:left="0"/>
        <w:jc w:val="both"/>
        <w:rPr>
          <w:bCs/>
          <w:sz w:val="22"/>
          <w:szCs w:val="22"/>
        </w:rPr>
      </w:pPr>
    </w:p>
    <w:p w:rsidR="00402EAC" w:rsidRPr="00D81699" w:rsidRDefault="00402EAC" w:rsidP="00402EAC">
      <w:pPr>
        <w:pStyle w:val="Retraitcorpsdetexte"/>
        <w:ind w:left="0"/>
        <w:jc w:val="both"/>
        <w:rPr>
          <w:bCs/>
          <w:sz w:val="22"/>
          <w:szCs w:val="22"/>
        </w:rPr>
      </w:pPr>
    </w:p>
    <w:tbl>
      <w:tblPr>
        <w:tblW w:w="10020" w:type="dxa"/>
        <w:tblInd w:w="70" w:type="dxa"/>
        <w:tblCellMar>
          <w:left w:w="70" w:type="dxa"/>
          <w:right w:w="70" w:type="dxa"/>
        </w:tblCellMar>
        <w:tblLook w:val="04A0" w:firstRow="1" w:lastRow="0" w:firstColumn="1" w:lastColumn="0" w:noHBand="0" w:noVBand="1"/>
      </w:tblPr>
      <w:tblGrid>
        <w:gridCol w:w="1260"/>
        <w:gridCol w:w="1677"/>
        <w:gridCol w:w="4623"/>
        <w:gridCol w:w="2460"/>
      </w:tblGrid>
      <w:tr w:rsidR="00402EAC" w:rsidRPr="000D16B1" w:rsidTr="00E10907">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402EAC" w:rsidRPr="000D16B1" w:rsidRDefault="00402EAC"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rsidR="00402EAC" w:rsidRPr="000D16B1" w:rsidRDefault="00402EAC"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rsidR="00402EAC" w:rsidRPr="000D16B1" w:rsidRDefault="00402EAC"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Description</w:t>
            </w:r>
          </w:p>
        </w:tc>
        <w:tc>
          <w:tcPr>
            <w:tcW w:w="2460" w:type="dxa"/>
            <w:tcBorders>
              <w:top w:val="single" w:sz="4" w:space="0" w:color="auto"/>
              <w:left w:val="nil"/>
              <w:bottom w:val="single" w:sz="4" w:space="0" w:color="auto"/>
              <w:right w:val="single" w:sz="4" w:space="0" w:color="auto"/>
            </w:tcBorders>
            <w:shd w:val="clear" w:color="000000" w:fill="DBDBDB"/>
            <w:vAlign w:val="center"/>
            <w:hideMark/>
          </w:tcPr>
          <w:p w:rsidR="00402EAC" w:rsidRPr="000D16B1" w:rsidRDefault="00402EAC" w:rsidP="00E10907">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Forme</w:t>
            </w:r>
          </w:p>
        </w:tc>
      </w:tr>
      <w:tr w:rsidR="00402EAC" w:rsidRPr="000D16B1" w:rsidTr="00E10907">
        <w:trPr>
          <w:trHeight w:val="219"/>
        </w:trPr>
        <w:tc>
          <w:tcPr>
            <w:tcW w:w="1260" w:type="dxa"/>
            <w:vMerge w:val="restart"/>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Partie 1 :</w:t>
            </w:r>
            <w:r w:rsidRPr="000D16B1">
              <w:rPr>
                <w:rFonts w:ascii="Times New Roman" w:hAnsi="Times New Roman"/>
                <w:color w:val="000000"/>
                <w:sz w:val="20"/>
                <w:szCs w:val="20"/>
                <w:lang w:eastAsia="fr-FR"/>
              </w:rPr>
              <w:t xml:space="preserve"> Offre Technique</w:t>
            </w:r>
          </w:p>
        </w:tc>
        <w:tc>
          <w:tcPr>
            <w:tcW w:w="1677" w:type="dxa"/>
            <w:vMerge w:val="restart"/>
            <w:tcBorders>
              <w:top w:val="nil"/>
              <w:left w:val="single" w:sz="4" w:space="0" w:color="auto"/>
              <w:bottom w:val="single" w:sz="4" w:space="0" w:color="000000"/>
              <w:right w:val="nil"/>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r w:rsidRPr="000D16B1">
              <w:rPr>
                <w:rFonts w:ascii="Times New Roman" w:hAnsi="Times New Roman"/>
                <w:color w:val="000000"/>
                <w:sz w:val="20"/>
                <w:szCs w:val="20"/>
                <w:lang w:eastAsia="fr-FR"/>
              </w:rPr>
              <w:t xml:space="preserve">Note méthodologique pour l’exécution de la mission attendue </w:t>
            </w:r>
          </w:p>
        </w:tc>
        <w:tc>
          <w:tcPr>
            <w:tcW w:w="4623" w:type="dxa"/>
            <w:tcBorders>
              <w:top w:val="single" w:sz="4" w:space="0" w:color="auto"/>
              <w:left w:val="single" w:sz="4" w:space="0" w:color="auto"/>
              <w:bottom w:val="nil"/>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Une description expliquant :</w:t>
            </w:r>
          </w:p>
        </w:tc>
        <w:tc>
          <w:tcPr>
            <w:tcW w:w="2460" w:type="dxa"/>
            <w:vMerge w:val="restart"/>
            <w:tcBorders>
              <w:top w:val="nil"/>
              <w:left w:val="nil"/>
              <w:bottom w:val="single" w:sz="4" w:space="0" w:color="000000"/>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sz w:val="20"/>
                <w:szCs w:val="20"/>
                <w:lang w:eastAsia="fr-FR"/>
              </w:rPr>
            </w:pPr>
            <w:r w:rsidRPr="000D16B1">
              <w:rPr>
                <w:rFonts w:ascii="Times New Roman" w:hAnsi="Times New Roman"/>
                <w:sz w:val="20"/>
                <w:szCs w:val="20"/>
                <w:lang w:eastAsia="fr-FR"/>
              </w:rPr>
              <w:t>- Pas de formulaire spécifique pour la méthodologie</w:t>
            </w:r>
          </w:p>
          <w:p w:rsidR="00402EAC" w:rsidRPr="000D16B1" w:rsidRDefault="00402EAC" w:rsidP="00E10907">
            <w:pPr>
              <w:spacing w:after="0" w:line="240" w:lineRule="auto"/>
              <w:rPr>
                <w:rFonts w:ascii="Times New Roman" w:hAnsi="Times New Roman"/>
                <w:sz w:val="20"/>
                <w:szCs w:val="20"/>
                <w:lang w:eastAsia="fr-FR"/>
              </w:rPr>
            </w:pPr>
          </w:p>
        </w:tc>
      </w:tr>
      <w:tr w:rsidR="00402EAC" w:rsidRPr="000D16B1" w:rsidTr="00E10907">
        <w:trPr>
          <w:trHeight w:val="440"/>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nil"/>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En quoi vous êtes le meilleur candidat pour la mission ; </w:t>
            </w:r>
          </w:p>
        </w:tc>
        <w:tc>
          <w:tcPr>
            <w:tcW w:w="2460" w:type="dxa"/>
            <w:vMerge/>
            <w:tcBorders>
              <w:top w:val="nil"/>
              <w:left w:val="nil"/>
              <w:bottom w:val="single" w:sz="4" w:space="0" w:color="000000"/>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sz w:val="20"/>
                <w:szCs w:val="20"/>
                <w:lang w:eastAsia="fr-FR"/>
              </w:rPr>
            </w:pPr>
          </w:p>
        </w:tc>
      </w:tr>
      <w:tr w:rsidR="00402EAC" w:rsidRPr="000D16B1" w:rsidTr="00E10907">
        <w:trPr>
          <w:trHeight w:val="661"/>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La démarche ou approche, les outils ainsi que les tâches que vous comptez mettre en œuvre pour réaliser la mission. Un chronogramme indicatif des activités</w:t>
            </w:r>
          </w:p>
          <w:p w:rsidR="00402EAC" w:rsidRPr="000D16B1" w:rsidRDefault="00402EAC" w:rsidP="00E10907">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 </w:t>
            </w:r>
          </w:p>
        </w:tc>
        <w:tc>
          <w:tcPr>
            <w:tcW w:w="2460" w:type="dxa"/>
            <w:vMerge/>
            <w:tcBorders>
              <w:top w:val="nil"/>
              <w:left w:val="nil"/>
              <w:bottom w:val="single" w:sz="4" w:space="0" w:color="000000"/>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sz w:val="20"/>
                <w:szCs w:val="20"/>
                <w:lang w:eastAsia="fr-FR"/>
              </w:rPr>
            </w:pPr>
          </w:p>
        </w:tc>
      </w:tr>
      <w:tr w:rsidR="00402EAC" w:rsidRPr="000D16B1" w:rsidTr="00E10907">
        <w:trPr>
          <w:trHeight w:val="882"/>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Curriculum Vitae</w:t>
            </w:r>
          </w:p>
        </w:tc>
        <w:tc>
          <w:tcPr>
            <w:tcW w:w="4623"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 xml:space="preserve">Actualiser le CV, </w:t>
            </w:r>
            <w:r w:rsidRPr="000D16B1">
              <w:rPr>
                <w:rFonts w:ascii="Times New Roman" w:hAnsi="Times New Roman"/>
                <w:color w:val="000000"/>
                <w:sz w:val="20"/>
                <w:szCs w:val="20"/>
                <w:lang w:eastAsia="fr-FR"/>
              </w:rPr>
              <w:t>en</w:t>
            </w:r>
            <w:r>
              <w:rPr>
                <w:rFonts w:ascii="Times New Roman" w:hAnsi="Times New Roman"/>
                <w:color w:val="000000"/>
                <w:sz w:val="20"/>
                <w:szCs w:val="20"/>
                <w:lang w:eastAsia="fr-FR"/>
              </w:rPr>
              <w:t xml:space="preserve"> y incluant </w:t>
            </w:r>
            <w:r w:rsidRPr="000D16B1">
              <w:rPr>
                <w:rFonts w:ascii="Times New Roman" w:hAnsi="Times New Roman"/>
                <w:color w:val="000000"/>
                <w:sz w:val="20"/>
                <w:szCs w:val="20"/>
                <w:lang w:eastAsia="fr-FR"/>
              </w:rPr>
              <w:t>surtout votre expérience des mi</w:t>
            </w:r>
            <w:r>
              <w:rPr>
                <w:rFonts w:ascii="Times New Roman" w:hAnsi="Times New Roman"/>
                <w:color w:val="000000"/>
                <w:sz w:val="20"/>
                <w:szCs w:val="20"/>
                <w:lang w:eastAsia="fr-FR"/>
              </w:rPr>
              <w:t xml:space="preserve">ssions similaires et indiquant </w:t>
            </w:r>
            <w:r w:rsidRPr="000D16B1">
              <w:rPr>
                <w:rFonts w:ascii="Times New Roman" w:hAnsi="Times New Roman"/>
                <w:color w:val="000000"/>
                <w:sz w:val="20"/>
                <w:szCs w:val="20"/>
                <w:lang w:eastAsia="fr-FR"/>
              </w:rPr>
              <w:t>au moins 3 (trois) personnes de référence.</w:t>
            </w:r>
          </w:p>
        </w:tc>
        <w:tc>
          <w:tcPr>
            <w:tcW w:w="2460"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sz w:val="20"/>
                <w:szCs w:val="20"/>
                <w:lang w:eastAsia="fr-FR"/>
              </w:rPr>
            </w:pPr>
          </w:p>
        </w:tc>
      </w:tr>
      <w:tr w:rsidR="00402EAC" w:rsidRPr="000D16B1" w:rsidTr="00E10907">
        <w:trPr>
          <w:trHeight w:val="815"/>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Diplômes</w:t>
            </w:r>
          </w:p>
        </w:tc>
        <w:tc>
          <w:tcPr>
            <w:tcW w:w="4623"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Envoyer une</w:t>
            </w:r>
            <w:r>
              <w:rPr>
                <w:rFonts w:ascii="Times New Roman" w:hAnsi="Times New Roman"/>
                <w:color w:val="000000"/>
                <w:sz w:val="20"/>
                <w:szCs w:val="20"/>
                <w:lang w:eastAsia="fr-FR"/>
              </w:rPr>
              <w:t xml:space="preserve"> </w:t>
            </w:r>
            <w:r w:rsidRPr="000D16B1">
              <w:rPr>
                <w:rFonts w:ascii="Times New Roman" w:hAnsi="Times New Roman"/>
                <w:color w:val="000000"/>
                <w:sz w:val="20"/>
                <w:szCs w:val="20"/>
                <w:lang w:eastAsia="fr-FR"/>
              </w:rPr>
              <w:t>(les) copies du (des) diplômes</w:t>
            </w:r>
          </w:p>
        </w:tc>
        <w:tc>
          <w:tcPr>
            <w:tcW w:w="2460" w:type="dxa"/>
            <w:tcBorders>
              <w:top w:val="nil"/>
              <w:left w:val="nil"/>
              <w:bottom w:val="single" w:sz="4" w:space="0" w:color="auto"/>
              <w:right w:val="single" w:sz="4" w:space="0" w:color="auto"/>
            </w:tcBorders>
            <w:shd w:val="clear" w:color="auto" w:fill="E2EFD9"/>
            <w:vAlign w:val="center"/>
            <w:hideMark/>
          </w:tcPr>
          <w:p w:rsidR="00402EAC" w:rsidRPr="000D16B1" w:rsidRDefault="00402EAC" w:rsidP="00E10907">
            <w:pPr>
              <w:spacing w:after="0" w:line="240" w:lineRule="auto"/>
              <w:jc w:val="both"/>
              <w:rPr>
                <w:rFonts w:ascii="Times New Roman" w:hAnsi="Times New Roman"/>
                <w:sz w:val="20"/>
                <w:szCs w:val="20"/>
                <w:lang w:eastAsia="fr-FR"/>
              </w:rPr>
            </w:pPr>
            <w:r w:rsidRPr="000D16B1">
              <w:rPr>
                <w:rFonts w:ascii="Times New Roman" w:hAnsi="Times New Roman"/>
                <w:sz w:val="20"/>
                <w:szCs w:val="20"/>
                <w:lang w:eastAsia="fr-FR"/>
              </w:rPr>
              <w:t> </w:t>
            </w:r>
          </w:p>
        </w:tc>
      </w:tr>
      <w:tr w:rsidR="00402EAC" w:rsidRPr="000D16B1" w:rsidTr="00E10907">
        <w:trPr>
          <w:trHeight w:val="887"/>
        </w:trPr>
        <w:tc>
          <w:tcPr>
            <w:tcW w:w="1260" w:type="dxa"/>
            <w:tcBorders>
              <w:top w:val="nil"/>
              <w:left w:val="single" w:sz="4" w:space="0" w:color="auto"/>
              <w:bottom w:val="single" w:sz="4" w:space="0" w:color="auto"/>
              <w:right w:val="single" w:sz="4" w:space="0" w:color="auto"/>
            </w:tcBorders>
            <w:shd w:val="clear" w:color="000000" w:fill="DDEBF7"/>
            <w:vAlign w:val="center"/>
            <w:hideMark/>
          </w:tcPr>
          <w:p w:rsidR="00402EAC" w:rsidRPr="000D16B1" w:rsidRDefault="00402EAC" w:rsidP="00E10907">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 xml:space="preserve">Partie </w:t>
            </w:r>
            <w:proofErr w:type="gramStart"/>
            <w:r w:rsidRPr="000D16B1">
              <w:rPr>
                <w:rFonts w:ascii="Times New Roman" w:hAnsi="Times New Roman"/>
                <w:b/>
                <w:bCs/>
                <w:color w:val="000000"/>
                <w:sz w:val="20"/>
                <w:szCs w:val="20"/>
                <w:u w:val="single"/>
                <w:lang w:eastAsia="fr-FR"/>
              </w:rPr>
              <w:t>2:</w:t>
            </w:r>
            <w:proofErr w:type="gramEnd"/>
            <w:r w:rsidRPr="000D16B1">
              <w:rPr>
                <w:rFonts w:ascii="Times New Roman" w:hAnsi="Times New Roman"/>
                <w:color w:val="000000"/>
                <w:sz w:val="20"/>
                <w:szCs w:val="20"/>
                <w:lang w:eastAsia="fr-FR"/>
              </w:rPr>
              <w:t xml:space="preserve"> Offre Financière</w:t>
            </w:r>
          </w:p>
        </w:tc>
        <w:tc>
          <w:tcPr>
            <w:tcW w:w="1677" w:type="dxa"/>
            <w:tcBorders>
              <w:top w:val="nil"/>
              <w:left w:val="nil"/>
              <w:bottom w:val="single" w:sz="4" w:space="0" w:color="auto"/>
              <w:right w:val="single" w:sz="4" w:space="0" w:color="auto"/>
            </w:tcBorders>
            <w:shd w:val="clear" w:color="000000" w:fill="DDEBF7"/>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Tableau des coûts</w:t>
            </w:r>
          </w:p>
        </w:tc>
        <w:tc>
          <w:tcPr>
            <w:tcW w:w="4623" w:type="dxa"/>
            <w:tcBorders>
              <w:top w:val="nil"/>
              <w:left w:val="nil"/>
              <w:bottom w:val="single" w:sz="4" w:space="0" w:color="auto"/>
              <w:right w:val="single" w:sz="4" w:space="0" w:color="auto"/>
            </w:tcBorders>
            <w:shd w:val="clear" w:color="000000" w:fill="DDEBF7"/>
            <w:vAlign w:val="center"/>
            <w:hideMark/>
          </w:tcPr>
          <w:p w:rsidR="00402EAC" w:rsidRPr="000D16B1" w:rsidRDefault="00402EAC" w:rsidP="00E10907">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Remplir le tableau</w:t>
            </w:r>
            <w:r>
              <w:rPr>
                <w:rFonts w:ascii="Times New Roman" w:hAnsi="Times New Roman"/>
                <w:color w:val="000000"/>
                <w:sz w:val="20"/>
                <w:szCs w:val="20"/>
                <w:lang w:eastAsia="fr-FR"/>
              </w:rPr>
              <w:t xml:space="preserve"> (utilisation obligatoire de ce tableau pour l’offre financière)</w:t>
            </w:r>
          </w:p>
        </w:tc>
        <w:tc>
          <w:tcPr>
            <w:tcW w:w="2460" w:type="dxa"/>
            <w:tcBorders>
              <w:top w:val="nil"/>
              <w:left w:val="nil"/>
              <w:bottom w:val="single" w:sz="4" w:space="0" w:color="auto"/>
              <w:right w:val="single" w:sz="4" w:space="0" w:color="auto"/>
            </w:tcBorders>
            <w:shd w:val="clear" w:color="000000" w:fill="DDEBF7"/>
            <w:vAlign w:val="center"/>
            <w:hideMark/>
          </w:tcPr>
          <w:p w:rsidR="00402EAC" w:rsidRDefault="00402EAC" w:rsidP="00E10907">
            <w:pPr>
              <w:spacing w:after="0" w:line="240" w:lineRule="auto"/>
              <w:rPr>
                <w:rFonts w:ascii="Times New Roman" w:hAnsi="Times New Roman"/>
                <w:sz w:val="20"/>
                <w:szCs w:val="20"/>
                <w:lang w:eastAsia="fr-FR"/>
              </w:rPr>
            </w:pPr>
            <w:hyperlink r:id="rId8" w:history="1">
              <w:r w:rsidRPr="000D16B1">
                <w:rPr>
                  <w:rFonts w:ascii="Times New Roman" w:hAnsi="Times New Roman"/>
                  <w:sz w:val="20"/>
                  <w:szCs w:val="20"/>
                  <w:lang w:eastAsia="fr-FR"/>
                </w:rPr>
                <w:t xml:space="preserve">Voir Annexe </w:t>
              </w:r>
            </w:hyperlink>
            <w:r>
              <w:rPr>
                <w:rFonts w:ascii="Times New Roman" w:hAnsi="Times New Roman"/>
                <w:sz w:val="20"/>
                <w:szCs w:val="20"/>
                <w:lang w:eastAsia="fr-FR"/>
              </w:rPr>
              <w:t>2</w:t>
            </w:r>
          </w:p>
          <w:p w:rsidR="00402EAC" w:rsidRPr="000D16B1" w:rsidRDefault="00402EAC" w:rsidP="00E10907">
            <w:pPr>
              <w:spacing w:after="0" w:line="240" w:lineRule="auto"/>
              <w:rPr>
                <w:rFonts w:ascii="Times New Roman" w:hAnsi="Times New Roman"/>
                <w:sz w:val="20"/>
                <w:szCs w:val="20"/>
                <w:lang w:eastAsia="fr-FR"/>
              </w:rPr>
            </w:pPr>
          </w:p>
        </w:tc>
      </w:tr>
    </w:tbl>
    <w:p w:rsidR="00402EAC" w:rsidRPr="00D81699" w:rsidRDefault="00402EAC" w:rsidP="00402EAC">
      <w:pPr>
        <w:autoSpaceDE w:val="0"/>
        <w:autoSpaceDN w:val="0"/>
        <w:adjustRightInd w:val="0"/>
        <w:spacing w:after="0" w:line="240" w:lineRule="auto"/>
        <w:jc w:val="both"/>
        <w:rPr>
          <w:rFonts w:ascii="Times New Roman" w:hAnsi="Times New Roman"/>
          <w:b/>
        </w:rPr>
      </w:pPr>
    </w:p>
    <w:p w:rsidR="00402EAC" w:rsidRPr="00704233" w:rsidRDefault="00402EAC" w:rsidP="00402EAC">
      <w:pPr>
        <w:autoSpaceDE w:val="0"/>
        <w:autoSpaceDN w:val="0"/>
        <w:adjustRightInd w:val="0"/>
        <w:spacing w:after="0" w:line="240" w:lineRule="auto"/>
        <w:jc w:val="both"/>
        <w:rPr>
          <w:rFonts w:ascii="Times New Roman" w:hAnsi="Times New Roman"/>
          <w:b/>
        </w:rPr>
      </w:pPr>
      <w:r w:rsidRPr="00D81699">
        <w:rPr>
          <w:rFonts w:ascii="Times New Roman" w:hAnsi="Times New Roman"/>
          <w:b/>
        </w:rPr>
        <w:t xml:space="preserve">Les offres incomplètes seront rejetées. </w:t>
      </w:r>
    </w:p>
    <w:p w:rsidR="00402EAC" w:rsidRPr="00D81699" w:rsidRDefault="00402EAC" w:rsidP="00402EAC">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Evaluation</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D81699" w:rsidRDefault="00402EAC" w:rsidP="00402EAC">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L’évaluation des offres se déroule en deux temps. L’évaluation des propositions techniques est achevée avant l’ouverture et la comparaison des propositions financières.</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7A2DBA" w:rsidRDefault="00402EAC" w:rsidP="00402EAC">
      <w:pPr>
        <w:spacing w:after="0" w:line="240" w:lineRule="auto"/>
        <w:jc w:val="both"/>
        <w:rPr>
          <w:rFonts w:ascii="Times New Roman" w:eastAsia="Times New Roman" w:hAnsi="Times New Roman"/>
          <w:bCs/>
          <w:lang w:eastAsia="rw-RW"/>
        </w:rPr>
      </w:pPr>
      <w:bookmarkStart w:id="0" w:name="_Hlk520531440"/>
      <w:r w:rsidRPr="00602210">
        <w:rPr>
          <w:rFonts w:ascii="Times New Roman" w:eastAsia="Times New Roman" w:hAnsi="Times New Roman"/>
          <w:bCs/>
          <w:lang w:eastAsia="rw-RW"/>
        </w:rPr>
        <w:t xml:space="preserve">Le marché sera attribué au Consultant techniquement qualifié </w:t>
      </w:r>
      <w:r w:rsidRPr="007A2DBA">
        <w:rPr>
          <w:rFonts w:ascii="Times New Roman" w:eastAsia="Times New Roman" w:hAnsi="Times New Roman"/>
          <w:bCs/>
          <w:lang w:eastAsia="rw-RW"/>
        </w:rPr>
        <w:t xml:space="preserve">ayant présenté le meilleur score combiné - rapport qualité/prix, évaluation cumulative - (Technique pondérée à 70% + Financière à 30%). </w:t>
      </w:r>
    </w:p>
    <w:bookmarkEnd w:id="0"/>
    <w:p w:rsidR="00402EAC" w:rsidRDefault="00402EAC" w:rsidP="00402EAC">
      <w:pPr>
        <w:spacing w:after="0" w:line="240" w:lineRule="auto"/>
        <w:jc w:val="both"/>
        <w:rPr>
          <w:rFonts w:ascii="Times New Roman" w:eastAsia="Times New Roman" w:hAnsi="Times New Roman"/>
          <w:bCs/>
          <w:i/>
          <w:lang w:eastAsia="rw-RW"/>
        </w:rPr>
      </w:pPr>
      <w:r w:rsidRPr="007A2DBA">
        <w:rPr>
          <w:rFonts w:ascii="Times New Roman" w:eastAsia="Times New Roman" w:hAnsi="Times New Roman"/>
          <w:bCs/>
          <w:i/>
          <w:lang w:eastAsia="rw-RW"/>
        </w:rPr>
        <w:t>Cette note financière combinée à 30% est calculée pour chaque proposition sur la base de la formule suivante : Note financière A = [(Offre financière le moins disant) /Offre financière de A] x 30</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D81699" w:rsidRDefault="00402EAC" w:rsidP="00402EAC">
      <w:pPr>
        <w:numPr>
          <w:ilvl w:val="0"/>
          <w:numId w:val="1"/>
        </w:numPr>
        <w:spacing w:after="0" w:line="240" w:lineRule="auto"/>
        <w:jc w:val="both"/>
        <w:rPr>
          <w:rFonts w:ascii="Times New Roman" w:eastAsia="Times New Roman" w:hAnsi="Times New Roman"/>
          <w:bCs/>
          <w:i/>
          <w:u w:val="single"/>
          <w:lang w:eastAsia="rw-RW"/>
        </w:rPr>
      </w:pPr>
      <w:r w:rsidRPr="00D81699">
        <w:rPr>
          <w:rFonts w:ascii="Times New Roman" w:eastAsia="Times New Roman" w:hAnsi="Times New Roman"/>
          <w:bCs/>
          <w:i/>
          <w:u w:val="single"/>
          <w:lang w:eastAsia="rw-RW"/>
        </w:rPr>
        <w:t>Les propositions techniques</w:t>
      </w:r>
    </w:p>
    <w:p w:rsidR="00402EAC" w:rsidRPr="00D81699" w:rsidRDefault="00402EAC" w:rsidP="00402EAC">
      <w:pPr>
        <w:spacing w:after="0" w:line="240" w:lineRule="auto"/>
        <w:jc w:val="both"/>
        <w:rPr>
          <w:rFonts w:ascii="Times New Roman" w:eastAsia="Times New Roman" w:hAnsi="Times New Roman"/>
          <w:bCs/>
          <w:i/>
          <w:u w:val="single"/>
          <w:lang w:eastAsia="rw-RW"/>
        </w:rPr>
      </w:pPr>
    </w:p>
    <w:p w:rsidR="00402EAC" w:rsidRPr="00D81699" w:rsidRDefault="00402EAC" w:rsidP="00402EAC">
      <w:pPr>
        <w:pStyle w:val="Retraitcorpsdetexte"/>
        <w:ind w:left="0"/>
        <w:jc w:val="both"/>
        <w:rPr>
          <w:bCs/>
          <w:sz w:val="22"/>
          <w:szCs w:val="22"/>
        </w:rPr>
      </w:pPr>
      <w:r w:rsidRPr="00D81699">
        <w:rPr>
          <w:bCs/>
          <w:sz w:val="22"/>
          <w:szCs w:val="22"/>
        </w:rPr>
        <w:t>Elles sont évaluées sur des critères suivants en rapport avec les termes de référence :</w:t>
      </w:r>
    </w:p>
    <w:p w:rsidR="00402EAC" w:rsidRDefault="00402EAC" w:rsidP="00402EAC">
      <w:pPr>
        <w:spacing w:after="0" w:line="240" w:lineRule="auto"/>
        <w:jc w:val="both"/>
        <w:rPr>
          <w:rFonts w:ascii="Times New Roman" w:hAnsi="Times New Roman"/>
        </w:rPr>
      </w:pPr>
      <w:r w:rsidRPr="00D81699">
        <w:rPr>
          <w:rFonts w:ascii="Times New Roman" w:hAnsi="Times New Roman"/>
        </w:rPr>
        <w:t>Pour information, la proposition technique sera évaluée sur son degré de réponse par rapport aux termes de référence et sur la base des critères suivants :</w:t>
      </w:r>
    </w:p>
    <w:p w:rsidR="00402EAC" w:rsidRDefault="00402EAC" w:rsidP="00402EAC">
      <w:pPr>
        <w:spacing w:after="0" w:line="240" w:lineRule="auto"/>
        <w:jc w:val="both"/>
        <w:rPr>
          <w:rFonts w:ascii="Times New Roman" w:hAnsi="Times New Roman"/>
        </w:rPr>
      </w:pPr>
    </w:p>
    <w:p w:rsidR="00402EAC" w:rsidRDefault="00402EAC" w:rsidP="00402EAC">
      <w:pPr>
        <w:spacing w:after="0" w:line="240" w:lineRule="auto"/>
        <w:jc w:val="both"/>
        <w:rPr>
          <w:rFonts w:ascii="Times New Roman" w:hAnsi="Times New Roman"/>
        </w:rPr>
      </w:pPr>
    </w:p>
    <w:p w:rsidR="00402EAC" w:rsidRDefault="00402EAC" w:rsidP="00402EAC">
      <w:pPr>
        <w:spacing w:after="0" w:line="240" w:lineRule="auto"/>
        <w:jc w:val="both"/>
        <w:rPr>
          <w:rFonts w:ascii="Times New Roman" w:hAnsi="Times New Roman"/>
        </w:rPr>
      </w:pPr>
    </w:p>
    <w:p w:rsidR="00402EAC" w:rsidRDefault="00402EAC" w:rsidP="00402EAC">
      <w:pPr>
        <w:spacing w:after="0" w:line="240" w:lineRule="auto"/>
        <w:jc w:val="both"/>
        <w:rPr>
          <w:rFonts w:ascii="Times New Roman" w:hAnsi="Times New Roman"/>
        </w:rPr>
      </w:pPr>
    </w:p>
    <w:p w:rsidR="00402EAC" w:rsidRDefault="00402EAC" w:rsidP="00402EAC">
      <w:pPr>
        <w:spacing w:after="0" w:line="240" w:lineRule="auto"/>
        <w:jc w:val="both"/>
        <w:rPr>
          <w:rFonts w:ascii="Times New Roman" w:hAnsi="Times New Roman"/>
        </w:rPr>
      </w:pPr>
    </w:p>
    <w:p w:rsidR="00402EAC" w:rsidRDefault="00402EAC" w:rsidP="00402EAC">
      <w:pPr>
        <w:tabs>
          <w:tab w:val="left" w:pos="5160"/>
        </w:tabs>
        <w:spacing w:after="0" w:line="240" w:lineRule="auto"/>
        <w:rPr>
          <w:rFonts w:ascii="Times New Roman" w:hAnsi="Times New Roman"/>
          <w:b/>
        </w:rPr>
      </w:pPr>
      <w:r>
        <w:rPr>
          <w:rFonts w:ascii="Times New Roman" w:hAnsi="Times New Roman"/>
          <w:b/>
        </w:rPr>
        <w:lastRenderedPageBreak/>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6"/>
        <w:gridCol w:w="2126"/>
      </w:tblGrid>
      <w:tr w:rsidR="009344F2" w:rsidRPr="00707A64" w:rsidTr="00E10907">
        <w:trPr>
          <w:cantSplit/>
        </w:trPr>
        <w:tc>
          <w:tcPr>
            <w:tcW w:w="7196" w:type="dxa"/>
            <w:shd w:val="clear" w:color="auto" w:fill="auto"/>
            <w:tcMar>
              <w:top w:w="0" w:type="dxa"/>
              <w:left w:w="108" w:type="dxa"/>
              <w:bottom w:w="0" w:type="dxa"/>
              <w:right w:w="108" w:type="dxa"/>
            </w:tcMar>
          </w:tcPr>
          <w:p w:rsidR="009344F2" w:rsidRPr="00707A64" w:rsidRDefault="009344F2" w:rsidP="00E10907">
            <w:pPr>
              <w:pStyle w:val="P1"/>
              <w:spacing w:before="0" w:after="0"/>
            </w:pPr>
            <w:r w:rsidRPr="00C029EE">
              <w:rPr>
                <w:b/>
              </w:rPr>
              <w:t>Critères d’évaluation technique</w:t>
            </w:r>
          </w:p>
        </w:tc>
        <w:tc>
          <w:tcPr>
            <w:tcW w:w="2126" w:type="dxa"/>
            <w:shd w:val="clear" w:color="auto" w:fill="auto"/>
            <w:tcMar>
              <w:top w:w="0" w:type="dxa"/>
              <w:left w:w="108" w:type="dxa"/>
              <w:bottom w:w="0" w:type="dxa"/>
              <w:right w:w="108" w:type="dxa"/>
            </w:tcMar>
          </w:tcPr>
          <w:p w:rsidR="009344F2" w:rsidRPr="00707A64" w:rsidRDefault="009344F2" w:rsidP="00E10907">
            <w:pPr>
              <w:pStyle w:val="P1"/>
              <w:spacing w:before="0" w:after="0"/>
            </w:pPr>
            <w:r w:rsidRPr="00C029EE">
              <w:rPr>
                <w:b/>
              </w:rPr>
              <w:t>Note maximum</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Qualifications académiques</w:t>
            </w:r>
          </w:p>
        </w:tc>
        <w:tc>
          <w:tcPr>
            <w:tcW w:w="2126" w:type="dxa"/>
            <w:shd w:val="clear" w:color="auto" w:fill="auto"/>
            <w:tcMar>
              <w:top w:w="0" w:type="dxa"/>
              <w:left w:w="108" w:type="dxa"/>
              <w:bottom w:w="0" w:type="dxa"/>
              <w:right w:w="108" w:type="dxa"/>
            </w:tcMar>
            <w:vAlign w:val="center"/>
          </w:tcPr>
          <w:p w:rsidR="009344F2" w:rsidRPr="009825B6" w:rsidRDefault="009344F2" w:rsidP="00E10907">
            <w:pPr>
              <w:pStyle w:val="P1"/>
              <w:spacing w:before="0" w:after="0"/>
              <w:jc w:val="center"/>
            </w:pPr>
            <w:r w:rsidRPr="00F917AA">
              <w:rPr>
                <w:rFonts w:eastAsia="Calibri"/>
                <w:szCs w:val="22"/>
                <w:lang w:val="rw-RW" w:eastAsia="rw-RW"/>
              </w:rPr>
              <w:t>20</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 xml:space="preserve">Expériences dans le domaine </w:t>
            </w:r>
            <w:r>
              <w:rPr>
                <w:szCs w:val="22"/>
              </w:rPr>
              <w:t xml:space="preserve">des </w:t>
            </w:r>
            <w:r>
              <w:rPr>
                <w:szCs w:val="22"/>
              </w:rPr>
              <w:t>barrages pico</w:t>
            </w:r>
            <w:r>
              <w:rPr>
                <w:szCs w:val="22"/>
              </w:rPr>
              <w:t xml:space="preserve"> hydro-électriques</w:t>
            </w:r>
          </w:p>
        </w:tc>
        <w:tc>
          <w:tcPr>
            <w:tcW w:w="2126" w:type="dxa"/>
            <w:shd w:val="clear" w:color="auto" w:fill="auto"/>
            <w:tcMar>
              <w:top w:w="0" w:type="dxa"/>
              <w:left w:w="108" w:type="dxa"/>
              <w:bottom w:w="0" w:type="dxa"/>
              <w:right w:w="108" w:type="dxa"/>
            </w:tcMar>
            <w:vAlign w:val="center"/>
          </w:tcPr>
          <w:p w:rsidR="009344F2" w:rsidRPr="009825B6" w:rsidRDefault="009344F2" w:rsidP="00E10907">
            <w:pPr>
              <w:pStyle w:val="P1"/>
              <w:spacing w:before="0" w:after="0"/>
              <w:jc w:val="center"/>
              <w:rPr>
                <w:rFonts w:eastAsia="Calibri"/>
                <w:lang w:val="rw-RW" w:eastAsia="rw-RW"/>
              </w:rPr>
            </w:pPr>
            <w:r w:rsidRPr="00F917AA">
              <w:rPr>
                <w:rFonts w:eastAsia="Calibri"/>
                <w:szCs w:val="22"/>
                <w:lang w:eastAsia="rw-RW"/>
              </w:rPr>
              <w:t>50</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Approche méthodologique et Planning de mise en œuvre</w:t>
            </w:r>
          </w:p>
        </w:tc>
        <w:tc>
          <w:tcPr>
            <w:tcW w:w="212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jc w:val="center"/>
              <w:rPr>
                <w:rFonts w:eastAsia="Calibri"/>
                <w:lang w:val="rw-RW" w:eastAsia="rw-RW"/>
              </w:rPr>
            </w:pPr>
            <w:r w:rsidRPr="00F917AA">
              <w:rPr>
                <w:rFonts w:eastAsia="Calibri"/>
                <w:szCs w:val="22"/>
                <w:lang w:eastAsia="rw-RW"/>
              </w:rPr>
              <w:t>30</w:t>
            </w:r>
          </w:p>
        </w:tc>
      </w:tr>
      <w:tr w:rsidR="009344F2" w:rsidRPr="000E029E" w:rsidTr="00E10907">
        <w:trPr>
          <w:cantSplit/>
        </w:trPr>
        <w:tc>
          <w:tcPr>
            <w:tcW w:w="7196" w:type="dxa"/>
            <w:tcMar>
              <w:top w:w="0" w:type="dxa"/>
              <w:left w:w="108" w:type="dxa"/>
              <w:bottom w:w="0" w:type="dxa"/>
              <w:right w:w="108" w:type="dxa"/>
            </w:tcMar>
            <w:vAlign w:val="center"/>
            <w:hideMark/>
          </w:tcPr>
          <w:p w:rsidR="009344F2" w:rsidRPr="000E029E" w:rsidRDefault="009344F2" w:rsidP="00E10907">
            <w:pPr>
              <w:pStyle w:val="P1"/>
              <w:spacing w:before="0" w:after="0"/>
              <w:rPr>
                <w:rFonts w:eastAsia="Calibri"/>
                <w:b/>
                <w:snapToGrid w:val="0"/>
                <w:lang w:eastAsia="fr-FR"/>
              </w:rPr>
            </w:pPr>
            <w:proofErr w:type="gramStart"/>
            <w:r w:rsidRPr="000E029E">
              <w:rPr>
                <w:rFonts w:eastAsia="Calibri"/>
                <w:b/>
                <w:snapToGrid w:val="0"/>
                <w:lang w:eastAsia="fr-FR"/>
              </w:rPr>
              <w:t>Total  note</w:t>
            </w:r>
            <w:proofErr w:type="gramEnd"/>
            <w:r w:rsidRPr="000E029E">
              <w:rPr>
                <w:rFonts w:eastAsia="Calibri"/>
                <w:b/>
                <w:snapToGrid w:val="0"/>
                <w:lang w:eastAsia="fr-FR"/>
              </w:rPr>
              <w:t xml:space="preserve"> technique </w:t>
            </w:r>
          </w:p>
        </w:tc>
        <w:tc>
          <w:tcPr>
            <w:tcW w:w="2126" w:type="dxa"/>
            <w:tcMar>
              <w:top w:w="0" w:type="dxa"/>
              <w:left w:w="108" w:type="dxa"/>
              <w:bottom w:w="0" w:type="dxa"/>
              <w:right w:w="108" w:type="dxa"/>
            </w:tcMar>
            <w:vAlign w:val="center"/>
            <w:hideMark/>
          </w:tcPr>
          <w:p w:rsidR="009344F2" w:rsidRPr="000E029E" w:rsidRDefault="009344F2" w:rsidP="00E10907">
            <w:pPr>
              <w:pStyle w:val="P1"/>
              <w:spacing w:before="0" w:after="0"/>
              <w:jc w:val="center"/>
              <w:rPr>
                <w:rFonts w:eastAsia="Calibri"/>
                <w:b/>
                <w:lang w:eastAsia="fr-FR"/>
              </w:rPr>
            </w:pPr>
            <w:r w:rsidRPr="000E029E">
              <w:rPr>
                <w:rFonts w:eastAsia="Calibri"/>
                <w:b/>
                <w:lang w:eastAsia="fr-FR"/>
              </w:rPr>
              <w:t>100</w:t>
            </w:r>
          </w:p>
        </w:tc>
      </w:tr>
    </w:tbl>
    <w:p w:rsidR="00402EAC" w:rsidRDefault="00402EAC" w:rsidP="00402EAC">
      <w:pPr>
        <w:tabs>
          <w:tab w:val="left" w:pos="5160"/>
        </w:tabs>
        <w:spacing w:after="0" w:line="240" w:lineRule="auto"/>
        <w:rPr>
          <w:rFonts w:ascii="Times New Roman" w:hAnsi="Times New Roman"/>
          <w:b/>
        </w:rPr>
      </w:pPr>
    </w:p>
    <w:p w:rsidR="00402EAC" w:rsidRPr="00D81699" w:rsidRDefault="00402EAC" w:rsidP="00402EAC">
      <w:pPr>
        <w:spacing w:after="0" w:line="240" w:lineRule="auto"/>
        <w:jc w:val="both"/>
        <w:rPr>
          <w:rFonts w:ascii="Times New Roman" w:hAnsi="Times New Roman"/>
          <w:b/>
        </w:rPr>
      </w:pPr>
      <w:r w:rsidRPr="00D81699">
        <w:rPr>
          <w:rFonts w:ascii="Times New Roman" w:hAnsi="Times New Roman"/>
          <w:b/>
        </w:rPr>
        <w:t>Seront jugées qualifiées, les propositions techniques qui obtiendront 70% de la note maximale de 100 point</w:t>
      </w:r>
      <w:r>
        <w:rPr>
          <w:rFonts w:ascii="Times New Roman" w:hAnsi="Times New Roman"/>
          <w:b/>
        </w:rPr>
        <w:t>s</w:t>
      </w:r>
      <w:r w:rsidRPr="00D81699">
        <w:rPr>
          <w:rFonts w:ascii="Times New Roman" w:hAnsi="Times New Roman"/>
          <w:b/>
        </w:rPr>
        <w:t> ; cette note technique sera pondérée a 70%.</w:t>
      </w:r>
    </w:p>
    <w:p w:rsidR="00402EAC" w:rsidRDefault="00402EAC" w:rsidP="00402EAC">
      <w:pPr>
        <w:spacing w:after="0" w:line="240" w:lineRule="auto"/>
        <w:jc w:val="both"/>
        <w:rPr>
          <w:rFonts w:ascii="Times New Roman" w:hAnsi="Times New Roman"/>
          <w:b/>
        </w:rPr>
      </w:pPr>
    </w:p>
    <w:p w:rsidR="00402EAC" w:rsidRPr="00D81699" w:rsidRDefault="00402EAC" w:rsidP="00402EAC">
      <w:pPr>
        <w:numPr>
          <w:ilvl w:val="0"/>
          <w:numId w:val="1"/>
        </w:numPr>
        <w:spacing w:after="0" w:line="240" w:lineRule="auto"/>
        <w:contextualSpacing/>
        <w:jc w:val="both"/>
        <w:rPr>
          <w:rFonts w:ascii="Times New Roman" w:eastAsia="Times New Roman" w:hAnsi="Times New Roman"/>
          <w:i/>
          <w:lang w:eastAsia="rw-RW"/>
        </w:rPr>
      </w:pPr>
      <w:r w:rsidRPr="00D81699">
        <w:rPr>
          <w:rFonts w:ascii="Times New Roman" w:eastAsia="Times New Roman" w:hAnsi="Times New Roman"/>
          <w:i/>
          <w:u w:val="single"/>
          <w:lang w:eastAsia="rw-RW"/>
        </w:rPr>
        <w:t>Les propositions financières</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D81699" w:rsidRDefault="00402EAC" w:rsidP="00402EAC">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Le/la Consultant (e) fait sa proposition financière suivant le Tableau des coûts. Il doit proposer un montant forfaitaire et présenter dans le Tableau des coûts la ventilation de ce montant forfaitaire.</w:t>
      </w:r>
    </w:p>
    <w:p w:rsidR="00402EAC" w:rsidRPr="00D81699" w:rsidRDefault="00402EAC" w:rsidP="00402EAC">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 xml:space="preserve">Le consultant devra inclure tous les frais lui permettant d’exécuter la mission suivant la durée prévue. </w:t>
      </w:r>
    </w:p>
    <w:p w:rsidR="00402EAC" w:rsidRPr="00D81699" w:rsidRDefault="00402EAC" w:rsidP="00402EAC">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Les paiements seront effectués sur la base de la production des livrables tels que mentionnés dans les termes des références.</w:t>
      </w:r>
    </w:p>
    <w:p w:rsidR="00402EAC" w:rsidRPr="00D81699" w:rsidRDefault="00402EAC" w:rsidP="00402EAC">
      <w:pPr>
        <w:spacing w:after="0" w:line="240" w:lineRule="auto"/>
        <w:jc w:val="both"/>
        <w:rPr>
          <w:rFonts w:ascii="Times New Roman" w:eastAsia="Times New Roman" w:hAnsi="Times New Roman"/>
          <w:bCs/>
          <w:lang w:eastAsia="rw-RW"/>
        </w:rPr>
      </w:pPr>
    </w:p>
    <w:p w:rsidR="00402EAC" w:rsidRPr="00D81699" w:rsidRDefault="00402EAC" w:rsidP="00402EAC">
      <w:pPr>
        <w:spacing w:after="0" w:line="240" w:lineRule="auto"/>
        <w:jc w:val="both"/>
        <w:rPr>
          <w:rFonts w:ascii="Times New Roman" w:eastAsia="Times New Roman" w:hAnsi="Times New Roman"/>
          <w:b/>
          <w:i/>
          <w:lang w:eastAsia="rw-RW"/>
        </w:rPr>
      </w:pPr>
      <w:r w:rsidRPr="00D81699">
        <w:rPr>
          <w:rFonts w:ascii="Times New Roman" w:eastAsia="Times New Roman" w:hAnsi="Times New Roman"/>
          <w:lang w:eastAsia="rw-RW"/>
        </w:rPr>
        <w:t>Dans une deuxième étape du processus d’évaluation, les enveloppes financières seront ouvertes et l</w:t>
      </w:r>
      <w:r>
        <w:rPr>
          <w:rFonts w:ascii="Times New Roman" w:eastAsia="Times New Roman" w:hAnsi="Times New Roman"/>
          <w:lang w:eastAsia="rw-RW"/>
        </w:rPr>
        <w:t xml:space="preserve">es offres financières comparées. </w:t>
      </w:r>
    </w:p>
    <w:p w:rsidR="00402EAC" w:rsidRPr="00D81699" w:rsidRDefault="00402EAC" w:rsidP="00402EAC">
      <w:pPr>
        <w:spacing w:after="0" w:line="240" w:lineRule="auto"/>
        <w:jc w:val="both"/>
        <w:rPr>
          <w:rFonts w:ascii="Times New Roman" w:eastAsia="Times New Roman" w:hAnsi="Times New Roman"/>
          <w:b/>
          <w:i/>
          <w:u w:val="single"/>
          <w:lang w:eastAsia="rw-RW"/>
        </w:rPr>
      </w:pPr>
    </w:p>
    <w:p w:rsidR="00402EAC" w:rsidRDefault="00402EAC" w:rsidP="00402EAC">
      <w:pPr>
        <w:spacing w:after="0" w:line="240" w:lineRule="auto"/>
        <w:jc w:val="both"/>
        <w:rPr>
          <w:rFonts w:ascii="Times New Roman" w:eastAsia="Times New Roman" w:hAnsi="Times New Roman"/>
          <w:b/>
          <w:lang w:eastAsia="rw-RW"/>
        </w:rPr>
      </w:pPr>
      <w:r w:rsidRPr="00170727">
        <w:rPr>
          <w:rFonts w:ascii="Times New Roman" w:eastAsia="Times New Roman" w:hAnsi="Times New Roman"/>
          <w:b/>
          <w:bCs/>
          <w:lang w:eastAsia="rw-RW"/>
        </w:rPr>
        <w:t>Le marché sera attribué au Consultant techniquement qualifié ayant présenté le meilleur score combiné - rapport qualité/prix, évaluation cumulative - (Technique pondérée à 70% + Financi</w:t>
      </w:r>
      <w:r>
        <w:rPr>
          <w:rFonts w:ascii="Times New Roman" w:eastAsia="Times New Roman" w:hAnsi="Times New Roman"/>
          <w:b/>
          <w:bCs/>
          <w:lang w:eastAsia="rw-RW"/>
        </w:rPr>
        <w:t>ère à 30%</w:t>
      </w:r>
      <w:proofErr w:type="gramStart"/>
      <w:r>
        <w:rPr>
          <w:rFonts w:ascii="Times New Roman" w:eastAsia="Times New Roman" w:hAnsi="Times New Roman"/>
          <w:b/>
          <w:bCs/>
          <w:lang w:eastAsia="rw-RW"/>
        </w:rPr>
        <w:t>)</w:t>
      </w:r>
      <w:r w:rsidRPr="000B35E1">
        <w:rPr>
          <w:rFonts w:ascii="Times New Roman" w:eastAsia="Times New Roman" w:hAnsi="Times New Roman"/>
          <w:b/>
          <w:lang w:eastAsia="rw-RW"/>
        </w:rPr>
        <w:t>;</w:t>
      </w:r>
      <w:proofErr w:type="gramEnd"/>
      <w:r w:rsidRPr="000B35E1">
        <w:rPr>
          <w:rFonts w:ascii="Times New Roman" w:eastAsia="Times New Roman" w:hAnsi="Times New Roman"/>
          <w:b/>
          <w:lang w:eastAsia="rw-RW"/>
        </w:rPr>
        <w:t xml:space="preserve">  </w:t>
      </w:r>
    </w:p>
    <w:p w:rsidR="00402EAC" w:rsidRPr="00D81699" w:rsidRDefault="00402EAC" w:rsidP="00402EAC">
      <w:pPr>
        <w:spacing w:after="0" w:line="240" w:lineRule="auto"/>
        <w:jc w:val="both"/>
        <w:rPr>
          <w:rFonts w:ascii="Times New Roman" w:eastAsia="Times New Roman" w:hAnsi="Times New Roman"/>
          <w:b/>
          <w:lang w:eastAsia="rw-RW"/>
        </w:rPr>
      </w:pPr>
    </w:p>
    <w:p w:rsidR="00402EAC" w:rsidRPr="00D81699" w:rsidRDefault="00402EAC" w:rsidP="00402EAC">
      <w:pPr>
        <w:pStyle w:val="Retraitcorpsdetexte"/>
        <w:ind w:left="0"/>
        <w:jc w:val="both"/>
        <w:rPr>
          <w:b/>
          <w:i/>
          <w:sz w:val="22"/>
          <w:szCs w:val="22"/>
          <w:u w:val="single"/>
        </w:rPr>
      </w:pPr>
      <w:r w:rsidRPr="00D81699">
        <w:rPr>
          <w:b/>
          <w:i/>
          <w:sz w:val="22"/>
          <w:szCs w:val="22"/>
          <w:u w:val="single"/>
        </w:rPr>
        <w:t xml:space="preserve">N.B. : </w:t>
      </w:r>
    </w:p>
    <w:p w:rsidR="00402EAC" w:rsidRPr="00D81699" w:rsidRDefault="00402EAC" w:rsidP="00402EAC">
      <w:pPr>
        <w:pStyle w:val="Retraitcorpsdetexte"/>
        <w:ind w:left="0"/>
        <w:jc w:val="both"/>
        <w:rPr>
          <w:b/>
          <w:i/>
          <w:sz w:val="22"/>
          <w:szCs w:val="22"/>
          <w:u w:val="single"/>
        </w:rPr>
      </w:pPr>
    </w:p>
    <w:p w:rsidR="00402EAC" w:rsidRPr="00D81699" w:rsidRDefault="00402EAC" w:rsidP="00402EAC">
      <w:pPr>
        <w:pStyle w:val="Retraitcorpsdetexte"/>
        <w:ind w:left="0"/>
        <w:jc w:val="both"/>
        <w:rPr>
          <w:sz w:val="22"/>
          <w:szCs w:val="22"/>
        </w:rPr>
      </w:pPr>
      <w:r w:rsidRPr="00D81699">
        <w:rPr>
          <w:sz w:val="22"/>
          <w:szCs w:val="22"/>
        </w:rPr>
        <w:t xml:space="preserve">Les consultants sont tenus de se renseigner sur les </w:t>
      </w:r>
      <w:hyperlink r:id="rId9" w:history="1">
        <w:r w:rsidRPr="00D81699">
          <w:rPr>
            <w:sz w:val="22"/>
            <w:szCs w:val="22"/>
          </w:rPr>
          <w:t>Conditions Générales des Contrats Individuels</w:t>
        </w:r>
      </w:hyperlink>
      <w:r w:rsidRPr="00D81699">
        <w:rPr>
          <w:sz w:val="22"/>
          <w:szCs w:val="22"/>
        </w:rPr>
        <w:t xml:space="preserve"> (annexe 1). </w:t>
      </w:r>
    </w:p>
    <w:p w:rsidR="00402EAC" w:rsidRPr="00D81699" w:rsidRDefault="00402EAC" w:rsidP="00402EAC">
      <w:pPr>
        <w:pStyle w:val="Retraitcorpsdetexte"/>
        <w:ind w:left="0"/>
        <w:jc w:val="both"/>
      </w:pPr>
    </w:p>
    <w:p w:rsidR="009344F2" w:rsidRDefault="00402EAC" w:rsidP="009344F2">
      <w:pPr>
        <w:spacing w:line="240" w:lineRule="auto"/>
        <w:jc w:val="both"/>
        <w:rPr>
          <w:rFonts w:ascii="Times New Roman" w:hAnsi="Times New Roman"/>
          <w:b/>
          <w:u w:val="single"/>
        </w:rPr>
      </w:pPr>
      <w:r w:rsidRPr="00D81699">
        <w:rPr>
          <w:rFonts w:ascii="Times New Roman" w:hAnsi="Times New Roman"/>
          <w:b/>
          <w:u w:val="single"/>
        </w:rPr>
        <w:t>ANNEXES</w:t>
      </w:r>
      <w:bookmarkStart w:id="1" w:name="_Hlk511027382"/>
      <w:bookmarkStart w:id="2" w:name="_Hlk530393127"/>
      <w:bookmarkStart w:id="3" w:name="_Hlk536021147"/>
    </w:p>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9344F2" w:rsidRPr="0066031D" w:rsidTr="00E10907">
        <w:trPr>
          <w:cantSplit/>
          <w:trHeight w:val="903"/>
        </w:trPr>
        <w:tc>
          <w:tcPr>
            <w:tcW w:w="1458" w:type="dxa"/>
            <w:tcBorders>
              <w:top w:val="thinThickSmallGap" w:sz="24" w:space="0" w:color="auto"/>
              <w:bottom w:val="thickThinSmallGap" w:sz="24" w:space="0" w:color="auto"/>
            </w:tcBorders>
            <w:shd w:val="clear" w:color="auto" w:fill="FFFFFF"/>
            <w:vAlign w:val="center"/>
          </w:tcPr>
          <w:p w:rsidR="009344F2" w:rsidRPr="0066031D" w:rsidRDefault="009344F2" w:rsidP="00E10907">
            <w:pPr>
              <w:jc w:val="center"/>
              <w:rPr>
                <w:rFonts w:cs="Arial"/>
                <w:b/>
                <w:sz w:val="32"/>
                <w:szCs w:val="32"/>
              </w:rPr>
            </w:pPr>
            <w:r>
              <w:rPr>
                <w:rFonts w:cs="Arial"/>
                <w:b/>
                <w:noProof/>
                <w:sz w:val="32"/>
                <w:szCs w:val="32"/>
                <w:lang w:eastAsia="fr-FR"/>
              </w:rPr>
              <w:drawing>
                <wp:anchor distT="0" distB="0" distL="114300" distR="114300" simplePos="0" relativeHeight="251665408" behindDoc="0" locked="0" layoutInCell="1" allowOverlap="1">
                  <wp:simplePos x="0" y="0"/>
                  <wp:positionH relativeFrom="column">
                    <wp:posOffset>1270</wp:posOffset>
                  </wp:positionH>
                  <wp:positionV relativeFrom="paragraph">
                    <wp:posOffset>39370</wp:posOffset>
                  </wp:positionV>
                  <wp:extent cx="293370" cy="541655"/>
                  <wp:effectExtent l="0" t="0" r="0" b="0"/>
                  <wp:wrapNone/>
                  <wp:docPr id="5" name="Image 5" descr="logo pnud fr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pnud fran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31D">
              <w:rPr>
                <w:rFonts w:cs="Arial"/>
                <w:b/>
                <w:sz w:val="32"/>
                <w:szCs w:val="32"/>
              </w:rPr>
              <w:t xml:space="preserve"> </w:t>
            </w:r>
          </w:p>
        </w:tc>
        <w:tc>
          <w:tcPr>
            <w:tcW w:w="8010" w:type="dxa"/>
            <w:tcBorders>
              <w:top w:val="thinThickSmallGap" w:sz="24" w:space="0" w:color="auto"/>
              <w:bottom w:val="thickThinSmallGap" w:sz="24" w:space="0" w:color="auto"/>
            </w:tcBorders>
            <w:shd w:val="clear" w:color="auto" w:fill="FFFFFF"/>
          </w:tcPr>
          <w:p w:rsidR="009344F2" w:rsidRPr="0066031D" w:rsidRDefault="009344F2" w:rsidP="00E10907">
            <w:pPr>
              <w:jc w:val="center"/>
              <w:rPr>
                <w:rFonts w:cs="Arial"/>
                <w:b/>
                <w:sz w:val="32"/>
                <w:szCs w:val="32"/>
              </w:rPr>
            </w:pPr>
          </w:p>
          <w:p w:rsidR="009344F2" w:rsidRPr="00160FCD" w:rsidRDefault="009344F2" w:rsidP="00E10907">
            <w:pPr>
              <w:rPr>
                <w:rFonts w:cs="Arial"/>
                <w:b/>
                <w:sz w:val="32"/>
                <w:szCs w:val="32"/>
                <w:lang w:val="en-GB"/>
              </w:rPr>
            </w:pPr>
            <w:r w:rsidRPr="0066031D">
              <w:rPr>
                <w:rFonts w:cs="Arial"/>
                <w:b/>
                <w:noProof/>
                <w:sz w:val="32"/>
                <w:szCs w:val="32"/>
                <w:lang w:val="en-GB"/>
              </w:rPr>
              <w:t xml:space="preserve">                 TERMES DE REFERENCE</w:t>
            </w:r>
          </w:p>
        </w:tc>
      </w:tr>
    </w:tbl>
    <w:p w:rsidR="009344F2" w:rsidRPr="00BA22F8" w:rsidRDefault="009344F2" w:rsidP="009344F2">
      <w:pPr>
        <w:rPr>
          <w:vanish/>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668"/>
        <w:gridCol w:w="7800"/>
      </w:tblGrid>
      <w:tr w:rsidR="009344F2" w:rsidRPr="00822343" w:rsidTr="00E10907">
        <w:trPr>
          <w:trHeight w:val="435"/>
        </w:trPr>
        <w:tc>
          <w:tcPr>
            <w:tcW w:w="9468" w:type="dxa"/>
            <w:gridSpan w:val="2"/>
            <w:shd w:val="clear" w:color="auto" w:fill="00467A"/>
            <w:vAlign w:val="center"/>
          </w:tcPr>
          <w:p w:rsidR="009344F2" w:rsidRPr="00822343" w:rsidRDefault="009344F2" w:rsidP="00E10907">
            <w:pPr>
              <w:pStyle w:val="T1"/>
              <w:spacing w:before="0" w:after="0"/>
            </w:pPr>
            <w:r w:rsidRPr="00822343">
              <w:t>I. Information sur l</w:t>
            </w:r>
            <w:r>
              <w:t>e Poste</w:t>
            </w:r>
          </w:p>
        </w:tc>
      </w:tr>
      <w:tr w:rsidR="009344F2" w:rsidRPr="00707A64" w:rsidTr="00E10907">
        <w:trPr>
          <w:trHeight w:val="1805"/>
        </w:trPr>
        <w:tc>
          <w:tcPr>
            <w:tcW w:w="9468" w:type="dxa"/>
            <w:gridSpan w:val="2"/>
          </w:tcPr>
          <w:p w:rsidR="009344F2" w:rsidRPr="00442865" w:rsidRDefault="009344F2" w:rsidP="00E10907">
            <w:pPr>
              <w:pStyle w:val="P1"/>
              <w:rPr>
                <w:b/>
              </w:rPr>
            </w:pPr>
            <w:r w:rsidRPr="009825B6">
              <w:lastRenderedPageBreak/>
              <w:t xml:space="preserve">Intitulé du Poste/Service attendu : </w:t>
            </w:r>
            <w:r w:rsidRPr="00442865">
              <w:rPr>
                <w:b/>
              </w:rPr>
              <w:t>Consultant avec expertise internationale en construction de petite centrale hydroélectrique</w:t>
            </w:r>
          </w:p>
          <w:p w:rsidR="009344F2" w:rsidRDefault="009344F2" w:rsidP="00E10907">
            <w:pPr>
              <w:pStyle w:val="P1"/>
            </w:pPr>
            <w:r>
              <w:t xml:space="preserve">Niveau du (des) Poste (s) ou Prestation (Local </w:t>
            </w:r>
            <w:proofErr w:type="gramStart"/>
            <w:r>
              <w:t>ou</w:t>
            </w:r>
            <w:proofErr w:type="gramEnd"/>
            <w:r>
              <w:t xml:space="preserve">) : </w:t>
            </w:r>
            <w:r w:rsidRPr="00442865">
              <w:rPr>
                <w:b/>
              </w:rPr>
              <w:t>International</w:t>
            </w:r>
            <w:r>
              <w:t xml:space="preserve">  </w:t>
            </w:r>
          </w:p>
          <w:p w:rsidR="009344F2" w:rsidRPr="00442865" w:rsidRDefault="009344F2" w:rsidP="00E10907">
            <w:pPr>
              <w:pStyle w:val="P1"/>
              <w:rPr>
                <w:b/>
              </w:rPr>
            </w:pPr>
            <w:r>
              <w:t xml:space="preserve">Nature de la consultation (Support/ Substance) : </w:t>
            </w:r>
            <w:r w:rsidRPr="00442865">
              <w:rPr>
                <w:b/>
              </w:rPr>
              <w:t>Substance</w:t>
            </w:r>
          </w:p>
          <w:p w:rsidR="009344F2" w:rsidRPr="00974A8A" w:rsidRDefault="009344F2" w:rsidP="00E10907">
            <w:pPr>
              <w:pStyle w:val="P1"/>
            </w:pPr>
            <w:r w:rsidRPr="009825B6">
              <w:t xml:space="preserve">Type de contrat </w:t>
            </w:r>
            <w:r w:rsidRPr="00974A8A">
              <w:t xml:space="preserve">: </w:t>
            </w:r>
            <w:r w:rsidRPr="00442865">
              <w:rPr>
                <w:b/>
              </w:rPr>
              <w:t>contrat de service individuel</w:t>
            </w:r>
          </w:p>
          <w:p w:rsidR="009344F2" w:rsidRPr="00442865" w:rsidRDefault="009344F2" w:rsidP="00E10907">
            <w:pPr>
              <w:pStyle w:val="P1"/>
            </w:pPr>
            <w:r w:rsidRPr="00722815">
              <w:t>Lieu d’affectation</w:t>
            </w:r>
            <w:r>
              <w:t xml:space="preserve"> : </w:t>
            </w:r>
            <w:r w:rsidRPr="00442865">
              <w:rPr>
                <w:b/>
              </w:rPr>
              <w:t xml:space="preserve">Home </w:t>
            </w:r>
            <w:proofErr w:type="spellStart"/>
            <w:r w:rsidRPr="00442865">
              <w:rPr>
                <w:b/>
              </w:rPr>
              <w:t>based</w:t>
            </w:r>
            <w:proofErr w:type="spellEnd"/>
            <w:r w:rsidRPr="00442865">
              <w:rPr>
                <w:b/>
              </w:rPr>
              <w:t xml:space="preserve"> et sur site</w:t>
            </w:r>
            <w:r w:rsidRPr="00442865">
              <w:tab/>
            </w:r>
          </w:p>
          <w:p w:rsidR="009344F2" w:rsidRDefault="009344F2" w:rsidP="00E10907">
            <w:pPr>
              <w:pStyle w:val="P1"/>
              <w:rPr>
                <w:bCs/>
              </w:rPr>
            </w:pPr>
            <w:r w:rsidRPr="00442865">
              <w:t>Durée de la mission :</w:t>
            </w:r>
            <w:r w:rsidRPr="00442865">
              <w:rPr>
                <w:bCs/>
              </w:rPr>
              <w:t xml:space="preserve"> </w:t>
            </w:r>
            <w:r w:rsidRPr="00442865">
              <w:rPr>
                <w:b/>
                <w:bCs/>
              </w:rPr>
              <w:t xml:space="preserve">35 jours ouvrables dont </w:t>
            </w:r>
            <w:r>
              <w:rPr>
                <w:b/>
                <w:bCs/>
              </w:rPr>
              <w:t>30</w:t>
            </w:r>
            <w:r w:rsidRPr="00442865">
              <w:rPr>
                <w:b/>
              </w:rPr>
              <w:t xml:space="preserve"> jours repartis en deux missions</w:t>
            </w:r>
            <w:r>
              <w:rPr>
                <w:b/>
              </w:rPr>
              <w:t xml:space="preserve"> à Conakry</w:t>
            </w:r>
            <w:r w:rsidRPr="00442865">
              <w:rPr>
                <w:b/>
              </w:rPr>
              <w:t xml:space="preserve"> </w:t>
            </w:r>
            <w:r>
              <w:rPr>
                <w:b/>
              </w:rPr>
              <w:t>(</w:t>
            </w:r>
            <w:r w:rsidRPr="00442865">
              <w:rPr>
                <w:b/>
              </w:rPr>
              <w:t>Guinée</w:t>
            </w:r>
            <w:r>
              <w:rPr>
                <w:b/>
              </w:rPr>
              <w:t>) et dans la zone du projet</w:t>
            </w:r>
            <w:r w:rsidRPr="00442865">
              <w:rPr>
                <w:b/>
              </w:rPr>
              <w:t xml:space="preserve"> </w:t>
            </w:r>
          </w:p>
          <w:p w:rsidR="009344F2" w:rsidRPr="00974A8A" w:rsidRDefault="009344F2" w:rsidP="00E10907">
            <w:pPr>
              <w:pStyle w:val="P1"/>
            </w:pPr>
            <w:r w:rsidRPr="009825B6">
              <w:t xml:space="preserve">Date estimative de démarrage de la mission : </w:t>
            </w:r>
            <w:r w:rsidRPr="00442865">
              <w:rPr>
                <w:b/>
              </w:rPr>
              <w:t>immédiate</w:t>
            </w:r>
          </w:p>
        </w:tc>
      </w:tr>
      <w:tr w:rsidR="009344F2" w:rsidRPr="00E04A61" w:rsidTr="00E10907">
        <w:tblPrEx>
          <w:shd w:val="clear" w:color="auto" w:fill="E0E0E0"/>
        </w:tblPrEx>
        <w:trPr>
          <w:trHeight w:val="349"/>
        </w:trPr>
        <w:tc>
          <w:tcPr>
            <w:tcW w:w="9468" w:type="dxa"/>
            <w:gridSpan w:val="2"/>
            <w:shd w:val="clear" w:color="auto" w:fill="00467A"/>
            <w:vAlign w:val="center"/>
          </w:tcPr>
          <w:p w:rsidR="009344F2" w:rsidRPr="00707A64" w:rsidRDefault="009344F2" w:rsidP="00E10907">
            <w:pPr>
              <w:pStyle w:val="T1"/>
              <w:spacing w:before="0" w:after="0"/>
            </w:pPr>
            <w:r w:rsidRPr="00707A64">
              <w:t xml:space="preserve">II. </w:t>
            </w:r>
            <w:r w:rsidRPr="00442865">
              <w:rPr>
                <w:color w:val="FFFFFF"/>
              </w:rPr>
              <w:t>Contexte et objectif</w:t>
            </w:r>
          </w:p>
        </w:tc>
      </w:tr>
      <w:tr w:rsidR="009344F2" w:rsidRPr="00707A64" w:rsidTr="00E10907">
        <w:tblPrEx>
          <w:shd w:val="clear" w:color="auto" w:fill="E0E0E0"/>
        </w:tblPrEx>
        <w:trPr>
          <w:trHeight w:val="488"/>
        </w:trPr>
        <w:tc>
          <w:tcPr>
            <w:tcW w:w="9468" w:type="dxa"/>
            <w:gridSpan w:val="2"/>
          </w:tcPr>
          <w:p w:rsidR="009344F2" w:rsidRPr="00635C99" w:rsidRDefault="009344F2" w:rsidP="00E10907">
            <w:pPr>
              <w:pStyle w:val="P1"/>
            </w:pPr>
            <w:r w:rsidRPr="00E04A61">
              <w:t xml:space="preserve">La Guinée jouit d’un énorme potentiel agricole, minier, économique. Le pays est bien arrosé </w:t>
            </w:r>
            <w:proofErr w:type="gramStart"/>
            <w:r w:rsidRPr="00E04A61">
              <w:t>de par</w:t>
            </w:r>
            <w:proofErr w:type="gramEnd"/>
            <w:r w:rsidRPr="00E04A61">
              <w:t xml:space="preserve"> sa position géographique par rapport à la mer et dispose d’un réseau hydrographique très important</w:t>
            </w:r>
            <w:r w:rsidRPr="00635C99">
              <w:rPr>
                <w:rFonts w:eastAsia="Calibri"/>
              </w:rPr>
              <w:t> ; le potentiel hydro électrique est évalué à plus de 6.000 GW.</w:t>
            </w:r>
          </w:p>
          <w:p w:rsidR="009344F2" w:rsidRPr="00E04A61" w:rsidRDefault="009344F2" w:rsidP="00E10907">
            <w:pPr>
              <w:pStyle w:val="P1"/>
            </w:pPr>
            <w:r w:rsidRPr="00E04A61">
              <w:t>En dépit de ce potentiel, la Guinée demeure fragile et vulnérable sur les plans économiques et social. En particulier, le taux d’accès à l’électricité est le plus faible au n</w:t>
            </w:r>
            <w:r>
              <w:t>i</w:t>
            </w:r>
            <w:r w:rsidRPr="00E04A61">
              <w:t>veau de la sous-région ouest africaine</w:t>
            </w:r>
            <w:r>
              <w:t>.</w:t>
            </w:r>
          </w:p>
          <w:p w:rsidR="009344F2" w:rsidRDefault="009344F2" w:rsidP="00E10907">
            <w:pPr>
              <w:pStyle w:val="P1"/>
            </w:pPr>
            <w:r w:rsidRPr="00E04A61">
              <w:t xml:space="preserve"> En 2017, le PNUD a a</w:t>
            </w:r>
            <w:r>
              <w:t>ppuy</w:t>
            </w:r>
            <w:r w:rsidRPr="00E04A61">
              <w:t>é l’installation d</w:t>
            </w:r>
            <w:r>
              <w:t>’un</w:t>
            </w:r>
            <w:r w:rsidRPr="00E04A61">
              <w:t>e petite centrale hydroélectrique</w:t>
            </w:r>
            <w:r>
              <w:t xml:space="preserve"> (PCH)</w:t>
            </w:r>
            <w:r w:rsidRPr="00E04A61">
              <w:t xml:space="preserve"> dans la commune rurale de </w:t>
            </w:r>
            <w:proofErr w:type="spellStart"/>
            <w:r w:rsidRPr="00E04A61">
              <w:t>Bolodou</w:t>
            </w:r>
            <w:proofErr w:type="spellEnd"/>
            <w:r w:rsidRPr="00E04A61">
              <w:t xml:space="preserve"> (Guéckédou). Cette expérience réussie a permis au PNUD de mobiliser </w:t>
            </w:r>
            <w:r>
              <w:t>d</w:t>
            </w:r>
            <w:r w:rsidRPr="00E04A61">
              <w:t>es ressources</w:t>
            </w:r>
            <w:r>
              <w:t xml:space="preserve"> afin (i) d’</w:t>
            </w:r>
            <w:r w:rsidRPr="00D22EC4">
              <w:t xml:space="preserve">améliorer l’accès à l’énergie propre </w:t>
            </w:r>
            <w:r>
              <w:t>des</w:t>
            </w:r>
            <w:r w:rsidRPr="00D22EC4">
              <w:t xml:space="preserve"> communautés rurales supplémentaires </w:t>
            </w:r>
            <w:r>
              <w:t>en Guinée Forestière et en</w:t>
            </w:r>
            <w:r w:rsidRPr="00D22EC4">
              <w:t xml:space="preserve"> Moyenne Guinée et (ii) de développer un modèle de financement pour soutenir les investissements dans la construction et l'exploitation viables et durables de systèmes de petite centrale hydroélectrique.</w:t>
            </w:r>
            <w:r>
              <w:t xml:space="preserve"> </w:t>
            </w:r>
          </w:p>
          <w:p w:rsidR="009344F2" w:rsidRPr="00E04A61" w:rsidRDefault="009344F2" w:rsidP="00E10907">
            <w:pPr>
              <w:pStyle w:val="P1"/>
            </w:pPr>
            <w:r w:rsidRPr="00E04A61">
              <w:t>Des réunions de travail entre les techniciens du PNUD, du Ministère en charge de l’Energie (M</w:t>
            </w:r>
            <w:r>
              <w:t>E</w:t>
            </w:r>
            <w:r w:rsidRPr="00E04A61">
              <w:t xml:space="preserve">) ont permis d’avoir des échanges approfondis sur les étapes de mise en œuvre du projet. Une mission conjointe a séjourné du 26 mars au 4 avril dans les préfectures de Kissidougou, </w:t>
            </w:r>
            <w:proofErr w:type="spellStart"/>
            <w:r w:rsidRPr="00E04A61">
              <w:t>Guéckédougou</w:t>
            </w:r>
            <w:proofErr w:type="spellEnd"/>
            <w:r w:rsidRPr="00E04A61">
              <w:t xml:space="preserve">, Macenta, Lola et </w:t>
            </w:r>
            <w:proofErr w:type="spellStart"/>
            <w:r w:rsidRPr="00E04A61">
              <w:t>Télimélé</w:t>
            </w:r>
            <w:proofErr w:type="spellEnd"/>
            <w:r w:rsidRPr="00E04A61">
              <w:t xml:space="preserve"> en vue d’évaluer les caractéristiques </w:t>
            </w:r>
            <w:proofErr w:type="spellStart"/>
            <w:r w:rsidRPr="00E04A61">
              <w:t>bio-physiques</w:t>
            </w:r>
            <w:proofErr w:type="spellEnd"/>
            <w:r w:rsidRPr="00E04A61">
              <w:t xml:space="preserve"> et socioéconomiques de huit (8) sites pour la construction de PCH.</w:t>
            </w:r>
          </w:p>
          <w:p w:rsidR="009344F2" w:rsidRPr="00E04A61" w:rsidRDefault="009344F2" w:rsidP="00E10907">
            <w:pPr>
              <w:pStyle w:val="P1"/>
            </w:pPr>
            <w:r w:rsidRPr="00E04A61">
              <w:t xml:space="preserve">La </w:t>
            </w:r>
            <w:r>
              <w:t>r</w:t>
            </w:r>
            <w:r w:rsidRPr="00E04A61">
              <w:t xml:space="preserve">éunion de restitution des résultats de </w:t>
            </w:r>
            <w:r>
              <w:t>cette</w:t>
            </w:r>
            <w:r w:rsidRPr="00E04A61">
              <w:t xml:space="preserve"> mission tenue le 8 avril dans la salle de conférence du </w:t>
            </w:r>
            <w:proofErr w:type="gramStart"/>
            <w:r w:rsidRPr="00E04A61">
              <w:t>ME a</w:t>
            </w:r>
            <w:proofErr w:type="gramEnd"/>
            <w:r w:rsidRPr="00E04A61">
              <w:t xml:space="preserve"> retenu </w:t>
            </w:r>
            <w:r>
              <w:t xml:space="preserve">deux axes d’intervention du projet pico barrage : </w:t>
            </w:r>
            <w:r w:rsidRPr="00E04A61">
              <w:t xml:space="preserve">(i) renforcement des deux PCH à </w:t>
            </w:r>
            <w:proofErr w:type="spellStart"/>
            <w:r w:rsidRPr="00E04A61">
              <w:t>Firadou</w:t>
            </w:r>
            <w:proofErr w:type="spellEnd"/>
            <w:r w:rsidRPr="00E04A61">
              <w:t xml:space="preserve"> (Kissidougou) et </w:t>
            </w:r>
            <w:r>
              <w:t xml:space="preserve">à </w:t>
            </w:r>
            <w:proofErr w:type="spellStart"/>
            <w:r w:rsidRPr="00E04A61">
              <w:t>Bolodou</w:t>
            </w:r>
            <w:proofErr w:type="spellEnd"/>
            <w:r w:rsidRPr="00E04A61">
              <w:t xml:space="preserve"> (</w:t>
            </w:r>
            <w:proofErr w:type="spellStart"/>
            <w:r w:rsidRPr="00E04A61">
              <w:t>Guéckédougou</w:t>
            </w:r>
            <w:proofErr w:type="spellEnd"/>
            <w:r w:rsidRPr="00E04A61">
              <w:t>) et</w:t>
            </w:r>
            <w:r>
              <w:t xml:space="preserve"> (ii)</w:t>
            </w:r>
            <w:r w:rsidRPr="00E04A61">
              <w:t xml:space="preserve"> construction </w:t>
            </w:r>
            <w:r>
              <w:t xml:space="preserve">de nouvelles </w:t>
            </w:r>
            <w:r w:rsidRPr="00E04A61">
              <w:t xml:space="preserve">PCH à </w:t>
            </w:r>
            <w:proofErr w:type="spellStart"/>
            <w:r w:rsidRPr="00E04A61">
              <w:t>Tékoulo</w:t>
            </w:r>
            <w:proofErr w:type="spellEnd"/>
            <w:r w:rsidRPr="00E04A61">
              <w:t xml:space="preserve"> (Guéckédou)</w:t>
            </w:r>
            <w:r>
              <w:t xml:space="preserve"> et</w:t>
            </w:r>
            <w:r w:rsidRPr="00E04A61">
              <w:t xml:space="preserve"> </w:t>
            </w:r>
            <w:proofErr w:type="spellStart"/>
            <w:r w:rsidRPr="00E04A61">
              <w:t>Gbié</w:t>
            </w:r>
            <w:proofErr w:type="spellEnd"/>
            <w:r w:rsidRPr="00E04A61">
              <w:t xml:space="preserve"> (Lola) qui offrent des conditions </w:t>
            </w:r>
            <w:r>
              <w:t xml:space="preserve">physiques </w:t>
            </w:r>
            <w:r w:rsidRPr="00E04A61">
              <w:t>favorables.</w:t>
            </w:r>
          </w:p>
          <w:p w:rsidR="009344F2" w:rsidRPr="00E04A61" w:rsidRDefault="009344F2" w:rsidP="00E10907">
            <w:pPr>
              <w:pStyle w:val="P1"/>
            </w:pPr>
            <w:r>
              <w:t xml:space="preserve">Pour la mise en œuvre de ce projet, </w:t>
            </w:r>
            <w:r w:rsidRPr="00E04A61">
              <w:t>le PNUD</w:t>
            </w:r>
            <w:r>
              <w:t xml:space="preserve"> en collaboration avec le Ministère de l’Energie, envisage de mobiliser </w:t>
            </w:r>
            <w:r w:rsidRPr="004A055D">
              <w:t>les services d’un (e) Consultant (e) avec une expérience internationale</w:t>
            </w:r>
            <w:r>
              <w:t xml:space="preserve"> solide</w:t>
            </w:r>
            <w:r w:rsidRPr="004A055D">
              <w:t xml:space="preserve"> en </w:t>
            </w:r>
            <w:r>
              <w:t xml:space="preserve">construction de </w:t>
            </w:r>
            <w:r w:rsidRPr="000732DA">
              <w:t>petite centrale hydroélectrique</w:t>
            </w:r>
            <w:r>
              <w:t>.</w:t>
            </w:r>
          </w:p>
        </w:tc>
      </w:tr>
      <w:tr w:rsidR="009344F2" w:rsidRPr="00B96F4F" w:rsidTr="00E10907">
        <w:tblPrEx>
          <w:shd w:val="clear" w:color="auto" w:fill="E0E0E0"/>
        </w:tblPrEx>
        <w:trPr>
          <w:cantSplit/>
        </w:trPr>
        <w:tc>
          <w:tcPr>
            <w:tcW w:w="9468" w:type="dxa"/>
            <w:gridSpan w:val="2"/>
            <w:shd w:val="clear" w:color="auto" w:fill="00467A"/>
          </w:tcPr>
          <w:p w:rsidR="009344F2" w:rsidRPr="00E04A61" w:rsidRDefault="009344F2" w:rsidP="00E10907">
            <w:pPr>
              <w:pStyle w:val="T1"/>
              <w:spacing w:before="0" w:after="0"/>
            </w:pPr>
            <w:r>
              <w:t>III. Résultats attendus</w:t>
            </w:r>
          </w:p>
        </w:tc>
      </w:tr>
      <w:tr w:rsidR="009344F2" w:rsidRPr="00B6028A" w:rsidTr="00E10907">
        <w:tblPrEx>
          <w:shd w:val="clear" w:color="auto" w:fill="E0E0E0"/>
        </w:tblPrEx>
        <w:trPr>
          <w:trHeight w:val="488"/>
        </w:trPr>
        <w:tc>
          <w:tcPr>
            <w:tcW w:w="9468" w:type="dxa"/>
            <w:gridSpan w:val="2"/>
            <w:shd w:val="clear" w:color="auto" w:fill="auto"/>
          </w:tcPr>
          <w:p w:rsidR="009344F2" w:rsidRDefault="009344F2" w:rsidP="00E10907">
            <w:pPr>
              <w:pStyle w:val="P1"/>
              <w:rPr>
                <w:highlight w:val="yellow"/>
              </w:rPr>
            </w:pPr>
            <w:r w:rsidRPr="000732DA">
              <w:t xml:space="preserve">Dans le cadre de ce mandat, les principaux résultats attendus sont : </w:t>
            </w:r>
          </w:p>
          <w:p w:rsidR="009344F2" w:rsidRPr="000E634B" w:rsidRDefault="009344F2" w:rsidP="009344F2">
            <w:pPr>
              <w:pStyle w:val="P1"/>
              <w:numPr>
                <w:ilvl w:val="0"/>
                <w:numId w:val="12"/>
              </w:numPr>
            </w:pPr>
            <w:r w:rsidRPr="00CF6FF8">
              <w:lastRenderedPageBreak/>
              <w:t xml:space="preserve">Les études d’Avant-Projet Détaillé (APD) et au besoin la constitution de Dossiers d’Appel d’Offres (DAO) pour le renforcement des PCH de </w:t>
            </w:r>
            <w:proofErr w:type="spellStart"/>
            <w:r w:rsidRPr="00CF6FF8">
              <w:t>Firadou</w:t>
            </w:r>
            <w:proofErr w:type="spellEnd"/>
            <w:r w:rsidRPr="00CF6FF8">
              <w:t xml:space="preserve"> et </w:t>
            </w:r>
            <w:proofErr w:type="spellStart"/>
            <w:r w:rsidRPr="00CF6FF8">
              <w:t>Bolodou</w:t>
            </w:r>
            <w:proofErr w:type="spellEnd"/>
            <w:r w:rsidRPr="00CF6FF8">
              <w:t xml:space="preserve"> et la construction de 3 </w:t>
            </w:r>
            <w:r w:rsidRPr="000E634B">
              <w:t>PCH sont validées ;</w:t>
            </w:r>
          </w:p>
          <w:p w:rsidR="009344F2" w:rsidRPr="000D77C6" w:rsidRDefault="009344F2" w:rsidP="009344F2">
            <w:pPr>
              <w:pStyle w:val="P1"/>
              <w:numPr>
                <w:ilvl w:val="0"/>
                <w:numId w:val="12"/>
              </w:numPr>
            </w:pPr>
            <w:r w:rsidRPr="000D77C6">
              <w:t xml:space="preserve">Un dispositif </w:t>
            </w:r>
            <w:r>
              <w:t xml:space="preserve">de suivi </w:t>
            </w:r>
            <w:r w:rsidRPr="000D77C6">
              <w:t xml:space="preserve">et un plan de contrôle sont mis </w:t>
            </w:r>
            <w:r>
              <w:t>en place</w:t>
            </w:r>
            <w:r w:rsidRPr="000D77C6">
              <w:t xml:space="preserve"> pour s’assurer de la qualité des travaux exécutés ; </w:t>
            </w:r>
          </w:p>
          <w:p w:rsidR="009344F2" w:rsidRPr="00CF6FF8" w:rsidRDefault="009344F2" w:rsidP="009344F2">
            <w:pPr>
              <w:pStyle w:val="P1"/>
              <w:numPr>
                <w:ilvl w:val="0"/>
                <w:numId w:val="12"/>
              </w:numPr>
            </w:pPr>
            <w:r w:rsidRPr="000D77C6">
              <w:t>Les modules de formation adaptés pour l’équipe nationale sont identifiés</w:t>
            </w:r>
            <w:r>
              <w:t>, préparés, validés et mis à dispositions des acteurs nationaux et livrés à 80 bénéficiaires ;</w:t>
            </w:r>
          </w:p>
          <w:p w:rsidR="009344F2" w:rsidRDefault="009344F2" w:rsidP="009344F2">
            <w:pPr>
              <w:pStyle w:val="P1"/>
              <w:numPr>
                <w:ilvl w:val="0"/>
                <w:numId w:val="12"/>
              </w:numPr>
            </w:pPr>
            <w:r w:rsidRPr="00CF6FF8">
              <w:t xml:space="preserve">Les capacités d’intervention de l’Equipe Nationale sont renforcées </w:t>
            </w:r>
            <w:r>
              <w:t>dans</w:t>
            </w:r>
            <w:r w:rsidRPr="00CF6FF8">
              <w:t xml:space="preserve"> la </w:t>
            </w:r>
            <w:r>
              <w:t>construction</w:t>
            </w:r>
            <w:r w:rsidRPr="00CF6FF8">
              <w:t xml:space="preserve">, l’entretien et la maintenance des PCH à travers </w:t>
            </w:r>
            <w:r w:rsidRPr="00442865">
              <w:t>les</w:t>
            </w:r>
            <w:r w:rsidRPr="00CF6FF8">
              <w:t xml:space="preserve"> formation</w:t>
            </w:r>
            <w:r w:rsidRPr="00442865">
              <w:t>s sur le tas </w:t>
            </w:r>
            <w:proofErr w:type="gramStart"/>
            <w:r>
              <w:t>de  80</w:t>
            </w:r>
            <w:proofErr w:type="gramEnd"/>
            <w:r>
              <w:t xml:space="preserve"> bénéficiaires</w:t>
            </w:r>
            <w:r w:rsidRPr="00442865">
              <w:t>;</w:t>
            </w:r>
            <w:r w:rsidRPr="00CF6FF8">
              <w:t xml:space="preserve"> </w:t>
            </w:r>
          </w:p>
          <w:p w:rsidR="009344F2" w:rsidRDefault="009344F2" w:rsidP="009344F2">
            <w:pPr>
              <w:pStyle w:val="P1"/>
              <w:numPr>
                <w:ilvl w:val="0"/>
                <w:numId w:val="12"/>
              </w:numPr>
            </w:pPr>
            <w:r>
              <w:t>U</w:t>
            </w:r>
            <w:r w:rsidRPr="00DF1CCB">
              <w:t>n guide pour la construction et l’exploitation de PCH en Guinée à l’attention des différentes parties prenantes</w:t>
            </w:r>
            <w:r>
              <w:t xml:space="preserve"> est disponible ;</w:t>
            </w:r>
          </w:p>
          <w:p w:rsidR="009344F2" w:rsidRPr="00CF6FF8" w:rsidRDefault="009344F2" w:rsidP="009344F2">
            <w:pPr>
              <w:pStyle w:val="P1"/>
              <w:numPr>
                <w:ilvl w:val="0"/>
                <w:numId w:val="12"/>
              </w:numPr>
            </w:pPr>
            <w:r>
              <w:t>Un montage financier (plan d’affaire) impliquant un partenariat public-privé est disponible</w:t>
            </w:r>
          </w:p>
          <w:p w:rsidR="009344F2" w:rsidRPr="00B6028A" w:rsidRDefault="009344F2" w:rsidP="009344F2">
            <w:pPr>
              <w:pStyle w:val="P1"/>
              <w:numPr>
                <w:ilvl w:val="0"/>
                <w:numId w:val="12"/>
              </w:numPr>
            </w:pPr>
            <w:r>
              <w:t>Quatre (</w:t>
            </w:r>
            <w:r w:rsidRPr="00442865">
              <w:t>4</w:t>
            </w:r>
            <w:r>
              <w:t>)</w:t>
            </w:r>
            <w:r w:rsidRPr="00CF6FF8">
              <w:t xml:space="preserve"> PCH sont opérationnelles</w:t>
            </w:r>
            <w:r>
              <w:t xml:space="preserve">. </w:t>
            </w:r>
          </w:p>
        </w:tc>
      </w:tr>
      <w:tr w:rsidR="009344F2" w:rsidRPr="00442865" w:rsidTr="00E10907">
        <w:tblPrEx>
          <w:shd w:val="clear" w:color="auto" w:fill="E0E0E0"/>
        </w:tblPrEx>
        <w:trPr>
          <w:trHeight w:val="416"/>
        </w:trPr>
        <w:tc>
          <w:tcPr>
            <w:tcW w:w="9468" w:type="dxa"/>
            <w:gridSpan w:val="2"/>
            <w:shd w:val="clear" w:color="auto" w:fill="00467A"/>
            <w:vAlign w:val="center"/>
          </w:tcPr>
          <w:p w:rsidR="009344F2" w:rsidRPr="00707A64" w:rsidRDefault="009344F2" w:rsidP="00E10907">
            <w:pPr>
              <w:pStyle w:val="T1"/>
              <w:spacing w:before="0" w:after="0"/>
            </w:pPr>
            <w:r w:rsidRPr="00707A64">
              <w:lastRenderedPageBreak/>
              <w:t>IV. Tâches</w:t>
            </w:r>
            <w:r>
              <w:t xml:space="preserve"> du Consultant</w:t>
            </w:r>
          </w:p>
        </w:tc>
      </w:tr>
      <w:tr w:rsidR="009344F2" w:rsidRPr="00707A64" w:rsidTr="00E10907">
        <w:tblPrEx>
          <w:shd w:val="clear" w:color="auto" w:fill="E0E0E0"/>
        </w:tblPrEx>
        <w:trPr>
          <w:trHeight w:val="552"/>
        </w:trPr>
        <w:tc>
          <w:tcPr>
            <w:tcW w:w="9468" w:type="dxa"/>
            <w:gridSpan w:val="2"/>
          </w:tcPr>
          <w:p w:rsidR="009344F2" w:rsidRPr="000D657B" w:rsidRDefault="009344F2" w:rsidP="00E10907">
            <w:pPr>
              <w:pStyle w:val="P1"/>
            </w:pPr>
            <w:r w:rsidRPr="000D657B">
              <w:t>Sous la supervision du Chargé de Programme Environnement du PNUD, en collaboration directe avec toutes les parties prenantes en particulier le Ministère en charge de l’énergie prenantes, le Consultant International sera chargé de conduire la construction des PCH. Il/elle sera appuyé(e) par une équipe nationale.</w:t>
            </w:r>
          </w:p>
          <w:p w:rsidR="009344F2" w:rsidRPr="000D657B" w:rsidRDefault="009344F2" w:rsidP="00E10907">
            <w:pPr>
              <w:pStyle w:val="P1"/>
            </w:pPr>
            <w:r w:rsidRPr="000D657B">
              <w:t>Plus spécifiquement, il/elle assurera les tâches suivantes :</w:t>
            </w:r>
          </w:p>
          <w:p w:rsidR="009344F2" w:rsidRPr="000D657B" w:rsidRDefault="009344F2" w:rsidP="009344F2">
            <w:pPr>
              <w:pStyle w:val="P1"/>
              <w:numPr>
                <w:ilvl w:val="0"/>
                <w:numId w:val="13"/>
              </w:numPr>
            </w:pPr>
            <w:r w:rsidRPr="000D657B">
              <w:t xml:space="preserve">Analyser les propositions d’amélioration et de sécurisation des PCH de </w:t>
            </w:r>
            <w:proofErr w:type="spellStart"/>
            <w:r w:rsidRPr="000D657B">
              <w:t>Firadou</w:t>
            </w:r>
            <w:proofErr w:type="spellEnd"/>
            <w:r w:rsidRPr="000D657B">
              <w:t xml:space="preserve"> et de </w:t>
            </w:r>
            <w:proofErr w:type="spellStart"/>
            <w:r w:rsidRPr="000D657B">
              <w:t>Bolodou</w:t>
            </w:r>
            <w:proofErr w:type="spellEnd"/>
            <w:r w:rsidRPr="000D657B">
              <w:t xml:space="preserve"> ; </w:t>
            </w:r>
          </w:p>
          <w:p w:rsidR="009344F2" w:rsidRPr="000D657B" w:rsidRDefault="009344F2" w:rsidP="009344F2">
            <w:pPr>
              <w:pStyle w:val="P1"/>
              <w:numPr>
                <w:ilvl w:val="0"/>
                <w:numId w:val="13"/>
              </w:numPr>
            </w:pPr>
            <w:r w:rsidRPr="000D657B">
              <w:t>Analyser les propositions d’implantation de PCH formulées par l’Equipe Nationale pour les valider et le cas échéant les amender ;</w:t>
            </w:r>
          </w:p>
          <w:p w:rsidR="009344F2" w:rsidRPr="000D657B" w:rsidRDefault="009344F2" w:rsidP="009344F2">
            <w:pPr>
              <w:pStyle w:val="P1"/>
              <w:numPr>
                <w:ilvl w:val="0"/>
                <w:numId w:val="13"/>
              </w:numPr>
            </w:pPr>
            <w:r w:rsidRPr="000D657B">
              <w:t>Appuyer l’Equipe Nationale dans le choix des équipements, notamment la tuyauterie, les turbines, les alternateurs, les conducteurs, les poteaux et potelets, les équipements domestiques (interrupteurs, prises, ampoules, etc.) ;</w:t>
            </w:r>
          </w:p>
          <w:p w:rsidR="009344F2" w:rsidRPr="000D657B" w:rsidRDefault="009344F2" w:rsidP="009344F2">
            <w:pPr>
              <w:pStyle w:val="P1"/>
              <w:numPr>
                <w:ilvl w:val="0"/>
                <w:numId w:val="13"/>
              </w:numPr>
            </w:pPr>
            <w:r w:rsidRPr="000D657B">
              <w:t>Proposer un dispositif de suivi et de contrôle des travaux pour s’assurer de la qualité des ouvrages ;</w:t>
            </w:r>
          </w:p>
          <w:p w:rsidR="009344F2" w:rsidRPr="000D657B" w:rsidRDefault="009344F2" w:rsidP="009344F2">
            <w:pPr>
              <w:pStyle w:val="P1"/>
              <w:numPr>
                <w:ilvl w:val="0"/>
                <w:numId w:val="13"/>
              </w:numPr>
            </w:pPr>
            <w:r w:rsidRPr="000D657B">
              <w:t xml:space="preserve">Elaborer un guide pour la construction et l’exploitation de PCH en Guinée à l’attention des différentes parties prenantes ; </w:t>
            </w:r>
          </w:p>
          <w:p w:rsidR="009344F2" w:rsidRPr="000D657B" w:rsidRDefault="009344F2" w:rsidP="009344F2">
            <w:pPr>
              <w:pStyle w:val="P1"/>
              <w:numPr>
                <w:ilvl w:val="0"/>
                <w:numId w:val="13"/>
              </w:numPr>
            </w:pPr>
            <w:r w:rsidRPr="000D657B">
              <w:t>Préparer et valider un plan d’affaires standard pour le fonctionnement des pico barrages ;</w:t>
            </w:r>
          </w:p>
          <w:p w:rsidR="009344F2" w:rsidRPr="000D657B" w:rsidRDefault="009344F2" w:rsidP="009344F2">
            <w:pPr>
              <w:pStyle w:val="P1"/>
              <w:numPr>
                <w:ilvl w:val="0"/>
                <w:numId w:val="13"/>
              </w:numPr>
            </w:pPr>
            <w:r w:rsidRPr="000D657B">
              <w:t xml:space="preserve">Identifier les besoins en formation de l’Equipe nationale et des entreprises partenaires et proposer des modules de formation adaptés ; </w:t>
            </w:r>
          </w:p>
          <w:p w:rsidR="009344F2" w:rsidRPr="000D657B" w:rsidRDefault="009344F2" w:rsidP="009344F2">
            <w:pPr>
              <w:pStyle w:val="P1"/>
              <w:numPr>
                <w:ilvl w:val="0"/>
                <w:numId w:val="13"/>
              </w:numPr>
            </w:pPr>
            <w:r w:rsidRPr="000D657B">
              <w:t>Former et outiller l’Equipe nationale et des entreprises partenaires pour la réalisation, l’entretien et la maintenance des PCH ;</w:t>
            </w:r>
          </w:p>
          <w:p w:rsidR="009344F2" w:rsidRPr="000D657B" w:rsidRDefault="009344F2" w:rsidP="009344F2">
            <w:pPr>
              <w:pStyle w:val="P1"/>
              <w:numPr>
                <w:ilvl w:val="0"/>
                <w:numId w:val="13"/>
              </w:numPr>
            </w:pPr>
            <w:r w:rsidRPr="000D657B">
              <w:t>Proposer un montage financier avec un partenariat public-privé ;</w:t>
            </w:r>
          </w:p>
          <w:p w:rsidR="009344F2" w:rsidRPr="000D657B" w:rsidRDefault="009344F2" w:rsidP="009344F2">
            <w:pPr>
              <w:pStyle w:val="P1"/>
              <w:numPr>
                <w:ilvl w:val="0"/>
                <w:numId w:val="13"/>
              </w:numPr>
            </w:pPr>
            <w:r w:rsidRPr="000D657B">
              <w:lastRenderedPageBreak/>
              <w:t>Proposer une approche globale d’intervention pour dynamiser l’Agence Guinéenne d’Electrification Rurale (AGER).</w:t>
            </w:r>
          </w:p>
        </w:tc>
      </w:tr>
      <w:tr w:rsidR="009344F2" w:rsidRPr="00442865" w:rsidTr="00E10907">
        <w:tblPrEx>
          <w:shd w:val="clear" w:color="auto" w:fill="E0E0E0"/>
        </w:tblPrEx>
        <w:trPr>
          <w:trHeight w:val="309"/>
        </w:trPr>
        <w:tc>
          <w:tcPr>
            <w:tcW w:w="9468" w:type="dxa"/>
            <w:gridSpan w:val="2"/>
            <w:shd w:val="clear" w:color="auto" w:fill="00467A"/>
            <w:vAlign w:val="center"/>
          </w:tcPr>
          <w:p w:rsidR="009344F2" w:rsidRPr="00707A64" w:rsidRDefault="009344F2" w:rsidP="00E10907">
            <w:pPr>
              <w:pStyle w:val="T1"/>
              <w:spacing w:before="0" w:after="0"/>
            </w:pPr>
            <w:r w:rsidRPr="00707A64">
              <w:lastRenderedPageBreak/>
              <w:t xml:space="preserve">V. Livrables </w:t>
            </w:r>
          </w:p>
        </w:tc>
      </w:tr>
      <w:tr w:rsidR="009344F2" w:rsidRPr="00707A64" w:rsidTr="00E10907">
        <w:tblPrEx>
          <w:shd w:val="clear" w:color="auto" w:fill="E0E0E0"/>
        </w:tblPrEx>
        <w:trPr>
          <w:trHeight w:val="132"/>
        </w:trPr>
        <w:tc>
          <w:tcPr>
            <w:tcW w:w="9468" w:type="dxa"/>
            <w:gridSpan w:val="2"/>
          </w:tcPr>
          <w:p w:rsidR="009344F2" w:rsidRDefault="009344F2" w:rsidP="00E10907">
            <w:pPr>
              <w:pStyle w:val="P1"/>
            </w:pPr>
            <w:r>
              <w:t xml:space="preserve">Trois livrables sont </w:t>
            </w:r>
            <w:proofErr w:type="gramStart"/>
            <w:r>
              <w:t>attendus:</w:t>
            </w:r>
            <w:proofErr w:type="gramEnd"/>
          </w:p>
          <w:p w:rsidR="009344F2" w:rsidRDefault="009344F2" w:rsidP="00E10907">
            <w:pPr>
              <w:pStyle w:val="P1"/>
              <w:rPr>
                <w:b/>
              </w:rPr>
            </w:pPr>
            <w:r>
              <w:rPr>
                <w:b/>
              </w:rPr>
              <w:t>Livrable 1</w:t>
            </w:r>
            <w:r>
              <w:t xml:space="preserve"> : </w:t>
            </w:r>
            <w:r w:rsidRPr="00EC126C">
              <w:rPr>
                <w:bCs/>
                <w:color w:val="000000"/>
                <w:szCs w:val="22"/>
                <w:lang w:eastAsia="fr-FR"/>
              </w:rPr>
              <w:t>Note méthodologique assortie d’un plan de travail et d’un chronogramme détaillé</w:t>
            </w:r>
          </w:p>
          <w:p w:rsidR="009344F2" w:rsidRDefault="009344F2" w:rsidP="00E10907">
            <w:pPr>
              <w:pStyle w:val="P1"/>
            </w:pPr>
            <w:r w:rsidRPr="00AF3FF7">
              <w:rPr>
                <w:b/>
              </w:rPr>
              <w:t xml:space="preserve">Livrable </w:t>
            </w:r>
            <w:r>
              <w:rPr>
                <w:b/>
              </w:rPr>
              <w:t>2</w:t>
            </w:r>
            <w:r>
              <w:t> : Rapport de validation des APD/DAO de renforcement et de construction de PCH en Guinée. Ce rapport sera assorti des données techniques et économiques y compris des plans d’affaires pour la construction des PCH ;</w:t>
            </w:r>
          </w:p>
          <w:p w:rsidR="009344F2" w:rsidRDefault="009344F2" w:rsidP="00E10907">
            <w:pPr>
              <w:pStyle w:val="P1"/>
            </w:pPr>
            <w:r w:rsidRPr="00AF3FF7">
              <w:rPr>
                <w:b/>
              </w:rPr>
              <w:t xml:space="preserve">Livrable </w:t>
            </w:r>
            <w:r>
              <w:rPr>
                <w:b/>
              </w:rPr>
              <w:t>3</w:t>
            </w:r>
            <w:r>
              <w:t xml:space="preserve"> : un guide pour la construction et l’exploitation de PCH en </w:t>
            </w:r>
            <w:proofErr w:type="gramStart"/>
            <w:r>
              <w:t>Guinée»</w:t>
            </w:r>
            <w:proofErr w:type="gramEnd"/>
            <w:r>
              <w:t>, présentant les résultats et des recommandations pour les actions futures. Rapport final validé par le PNUD et la partie nationale.</w:t>
            </w:r>
          </w:p>
          <w:p w:rsidR="009344F2" w:rsidRPr="009D080E" w:rsidRDefault="009344F2" w:rsidP="00E10907">
            <w:pPr>
              <w:pStyle w:val="P1"/>
            </w:pPr>
            <w:r w:rsidRPr="0037353B">
              <w:rPr>
                <w:b/>
              </w:rPr>
              <w:t>Livrable 4</w:t>
            </w:r>
            <w:r>
              <w:t> : formulation de modules de formation sur l’évaluation de site, la construction, O&amp;M de PCH.</w:t>
            </w:r>
          </w:p>
        </w:tc>
      </w:tr>
      <w:tr w:rsidR="009344F2" w:rsidRPr="00E60AB4" w:rsidTr="00E10907">
        <w:tblPrEx>
          <w:shd w:val="clear" w:color="auto" w:fill="E0E0E0"/>
        </w:tblPrEx>
        <w:trPr>
          <w:trHeight w:val="369"/>
        </w:trPr>
        <w:tc>
          <w:tcPr>
            <w:tcW w:w="9468" w:type="dxa"/>
            <w:gridSpan w:val="2"/>
            <w:shd w:val="clear" w:color="auto" w:fill="00467A"/>
            <w:vAlign w:val="center"/>
          </w:tcPr>
          <w:p w:rsidR="009344F2" w:rsidRPr="00707A64" w:rsidRDefault="009344F2" w:rsidP="00E10907">
            <w:pPr>
              <w:pStyle w:val="T1"/>
              <w:spacing w:before="0" w:after="0"/>
            </w:pPr>
            <w:r w:rsidRPr="00707A64">
              <w:t xml:space="preserve">VI. Durée de la mission </w:t>
            </w:r>
          </w:p>
        </w:tc>
      </w:tr>
      <w:tr w:rsidR="009344F2" w:rsidRPr="00707A64" w:rsidTr="00E10907">
        <w:tblPrEx>
          <w:shd w:val="clear" w:color="auto" w:fill="E0E0E0"/>
        </w:tblPrEx>
        <w:trPr>
          <w:trHeight w:val="269"/>
        </w:trPr>
        <w:tc>
          <w:tcPr>
            <w:tcW w:w="9468" w:type="dxa"/>
            <w:gridSpan w:val="2"/>
            <w:shd w:val="clear" w:color="auto" w:fill="auto"/>
            <w:vAlign w:val="center"/>
          </w:tcPr>
          <w:p w:rsidR="009344F2" w:rsidRDefault="009344F2" w:rsidP="00E10907">
            <w:pPr>
              <w:pStyle w:val="P1"/>
            </w:pPr>
            <w:r w:rsidRPr="00707A64">
              <w:t xml:space="preserve">La durée de la prestation </w:t>
            </w:r>
            <w:r>
              <w:t xml:space="preserve">est </w:t>
            </w:r>
            <w:r w:rsidRPr="00707A64">
              <w:t xml:space="preserve">de </w:t>
            </w:r>
            <w:r w:rsidRPr="007220C1">
              <w:t xml:space="preserve">35 jours </w:t>
            </w:r>
            <w:proofErr w:type="gramStart"/>
            <w:r w:rsidRPr="007220C1">
              <w:t>ouvrables</w:t>
            </w:r>
            <w:proofErr w:type="gramEnd"/>
            <w:r w:rsidRPr="007220C1">
              <w:t xml:space="preserve"> dont 30 jours repartis en deux missions à Conakry (Gu</w:t>
            </w:r>
            <w:r>
              <w:t>inée) et dans la zone du projet.</w:t>
            </w:r>
          </w:p>
          <w:p w:rsidR="009344F2" w:rsidRPr="00442865" w:rsidRDefault="009344F2" w:rsidP="009344F2">
            <w:pPr>
              <w:numPr>
                <w:ilvl w:val="0"/>
                <w:numId w:val="17"/>
              </w:numPr>
              <w:spacing w:after="0" w:line="240" w:lineRule="auto"/>
              <w:ind w:left="426" w:hanging="284"/>
              <w:jc w:val="both"/>
              <w:rPr>
                <w:rFonts w:ascii="Times New Roman" w:hAnsi="Times New Roman" w:cs="Times New Roman (Corps CS)"/>
              </w:rPr>
            </w:pPr>
            <w:r>
              <w:rPr>
                <w:rFonts w:ascii="Times New Roman" w:hAnsi="Times New Roman" w:cs="Times New Roman (Corps CS)"/>
              </w:rPr>
              <w:t>Une p</w:t>
            </w:r>
            <w:r w:rsidRPr="00051FA1">
              <w:rPr>
                <w:rFonts w:ascii="Times New Roman" w:hAnsi="Times New Roman" w:cs="Times New Roman (Corps CS)"/>
              </w:rPr>
              <w:t xml:space="preserve">remière mission de </w:t>
            </w:r>
            <w:r>
              <w:rPr>
                <w:rFonts w:ascii="Times New Roman" w:hAnsi="Times New Roman" w:cs="Times New Roman (Corps CS)"/>
              </w:rPr>
              <w:t>20</w:t>
            </w:r>
            <w:r w:rsidRPr="00051FA1">
              <w:rPr>
                <w:rFonts w:ascii="Times New Roman" w:hAnsi="Times New Roman" w:cs="Times New Roman (Corps CS)"/>
              </w:rPr>
              <w:t xml:space="preserve"> jours</w:t>
            </w:r>
            <w:r>
              <w:rPr>
                <w:rFonts w:ascii="Times New Roman" w:hAnsi="Times New Roman" w:cs="Times New Roman (Corps CS)"/>
              </w:rPr>
              <w:t xml:space="preserve"> : concertation avec les structures nationales en charge de l’énergie (Agence générale de l’électrification rurale, Direction nationale de l’énergie, </w:t>
            </w:r>
            <w:proofErr w:type="spellStart"/>
            <w:r>
              <w:rPr>
                <w:rFonts w:ascii="Times New Roman" w:hAnsi="Times New Roman" w:cs="Times New Roman (Corps CS)"/>
              </w:rPr>
              <w:t>etc</w:t>
            </w:r>
            <w:proofErr w:type="spellEnd"/>
            <w:r>
              <w:rPr>
                <w:rFonts w:ascii="Times New Roman" w:hAnsi="Times New Roman" w:cs="Times New Roman (Corps CS)"/>
              </w:rPr>
              <w:t>), des promoteurs privés du secteur, des PTF etc.</w:t>
            </w:r>
            <w:r w:rsidRPr="00051FA1">
              <w:rPr>
                <w:rFonts w:ascii="Times New Roman" w:hAnsi="Times New Roman" w:cs="Times New Roman (Corps CS)"/>
              </w:rPr>
              <w:t xml:space="preserve"> </w:t>
            </w:r>
            <w:r>
              <w:rPr>
                <w:rFonts w:ascii="Times New Roman" w:hAnsi="Times New Roman" w:cs="Times New Roman (Corps CS)"/>
              </w:rPr>
              <w:t>et autres partenaires. Visite de sites, avis techniques sur les ouvrages, formation des parties prenantes, etc.</w:t>
            </w:r>
            <w:r w:rsidRPr="00442865">
              <w:rPr>
                <w:lang w:val="fr-CA"/>
              </w:rPr>
              <w:t xml:space="preserve"> </w:t>
            </w:r>
          </w:p>
          <w:p w:rsidR="009344F2" w:rsidRPr="00442865" w:rsidRDefault="009344F2" w:rsidP="009344F2">
            <w:pPr>
              <w:numPr>
                <w:ilvl w:val="0"/>
                <w:numId w:val="17"/>
              </w:numPr>
              <w:spacing w:after="0" w:line="240" w:lineRule="auto"/>
              <w:ind w:left="426" w:hanging="284"/>
              <w:jc w:val="both"/>
              <w:rPr>
                <w:rFonts w:ascii="Times New Roman" w:hAnsi="Times New Roman" w:cs="Times New Roman (Corps CS)"/>
              </w:rPr>
            </w:pPr>
            <w:r>
              <w:rPr>
                <w:rFonts w:ascii="Times New Roman" w:hAnsi="Times New Roman" w:cs="Times New Roman (Corps CS)"/>
              </w:rPr>
              <w:t>Une d</w:t>
            </w:r>
            <w:r w:rsidRPr="00AC6A75">
              <w:rPr>
                <w:rFonts w:ascii="Times New Roman" w:hAnsi="Times New Roman" w:cs="Times New Roman (Corps CS)"/>
              </w:rPr>
              <w:t xml:space="preserve">euxième mission de </w:t>
            </w:r>
            <w:r>
              <w:rPr>
                <w:rFonts w:ascii="Times New Roman" w:hAnsi="Times New Roman" w:cs="Times New Roman (Corps CS)"/>
              </w:rPr>
              <w:t>10</w:t>
            </w:r>
            <w:r w:rsidRPr="00AC6A75">
              <w:rPr>
                <w:rFonts w:ascii="Times New Roman" w:hAnsi="Times New Roman" w:cs="Times New Roman (Corps CS)"/>
              </w:rPr>
              <w:t xml:space="preserve"> jours</w:t>
            </w:r>
            <w:r>
              <w:rPr>
                <w:rFonts w:ascii="Times New Roman" w:hAnsi="Times New Roman" w:cs="Times New Roman (Corps CS)"/>
              </w:rPr>
              <w:t xml:space="preserve"> </w:t>
            </w:r>
            <w:r w:rsidRPr="00AC6A75">
              <w:rPr>
                <w:rFonts w:ascii="Times New Roman" w:hAnsi="Times New Roman" w:cs="Times New Roman (Corps CS)"/>
              </w:rPr>
              <w:t>: à Conakry et sur les sites de PCH pour s’assurer de viabilité des ouvrages</w:t>
            </w:r>
            <w:r>
              <w:rPr>
                <w:rFonts w:ascii="Times New Roman" w:hAnsi="Times New Roman" w:cs="Times New Roman (Corps CS)"/>
              </w:rPr>
              <w:t xml:space="preserve"> et la finalisation du guide.</w:t>
            </w:r>
          </w:p>
        </w:tc>
      </w:tr>
      <w:tr w:rsidR="009344F2" w:rsidRPr="00442865" w:rsidTr="00E10907">
        <w:tblPrEx>
          <w:shd w:val="clear" w:color="auto" w:fill="E0E0E0"/>
        </w:tblPrEx>
        <w:trPr>
          <w:trHeight w:val="269"/>
        </w:trPr>
        <w:tc>
          <w:tcPr>
            <w:tcW w:w="9468" w:type="dxa"/>
            <w:gridSpan w:val="2"/>
            <w:shd w:val="clear" w:color="auto" w:fill="00467A"/>
            <w:vAlign w:val="center"/>
          </w:tcPr>
          <w:p w:rsidR="009344F2" w:rsidRPr="00707A64" w:rsidRDefault="009344F2" w:rsidP="00E10907">
            <w:pPr>
              <w:pStyle w:val="T1"/>
              <w:spacing w:before="0" w:after="0"/>
            </w:pPr>
            <w:r w:rsidRPr="00442865">
              <w:t>VII. COMPETENCES FONCTIONNELLES</w:t>
            </w:r>
          </w:p>
        </w:tc>
      </w:tr>
      <w:tr w:rsidR="009344F2" w:rsidRPr="00442865" w:rsidTr="00E10907">
        <w:tblPrEx>
          <w:shd w:val="clear" w:color="auto" w:fill="E0E0E0"/>
        </w:tblPrEx>
        <w:trPr>
          <w:trHeight w:val="269"/>
        </w:trPr>
        <w:tc>
          <w:tcPr>
            <w:tcW w:w="9468" w:type="dxa"/>
            <w:gridSpan w:val="2"/>
            <w:shd w:val="clear" w:color="auto" w:fill="auto"/>
            <w:vAlign w:val="center"/>
          </w:tcPr>
          <w:p w:rsidR="009344F2" w:rsidRPr="00570EA0" w:rsidRDefault="009344F2" w:rsidP="00E10907">
            <w:pPr>
              <w:jc w:val="both"/>
              <w:rPr>
                <w:rFonts w:ascii="Times New Roman" w:hAnsi="Times New Roman"/>
                <w:lang w:val="fr-CA"/>
              </w:rPr>
            </w:pPr>
            <w:r w:rsidRPr="00570EA0">
              <w:rPr>
                <w:rFonts w:ascii="Times New Roman" w:hAnsi="Times New Roman"/>
                <w:lang w:val="fr-CA"/>
              </w:rPr>
              <w:t>Les principales aptitudes, compétences exigées se résument comme suit :</w:t>
            </w:r>
          </w:p>
          <w:p w:rsidR="009344F2" w:rsidRPr="00570EA0" w:rsidRDefault="009344F2" w:rsidP="009344F2">
            <w:pPr>
              <w:numPr>
                <w:ilvl w:val="0"/>
                <w:numId w:val="15"/>
              </w:numPr>
              <w:spacing w:after="0" w:line="240" w:lineRule="auto"/>
              <w:ind w:left="426" w:hanging="284"/>
              <w:jc w:val="both"/>
              <w:rPr>
                <w:rFonts w:ascii="Times New Roman" w:hAnsi="Times New Roman"/>
                <w:lang w:val="fr-CA"/>
              </w:rPr>
            </w:pPr>
            <w:r w:rsidRPr="00570EA0">
              <w:rPr>
                <w:rFonts w:ascii="Times New Roman" w:hAnsi="Times New Roman"/>
                <w:lang w:val="fr-CA"/>
              </w:rPr>
              <w:t>Leadership et aptitude à entreprendre</w:t>
            </w:r>
          </w:p>
          <w:p w:rsidR="009344F2" w:rsidRPr="00570EA0" w:rsidRDefault="009344F2" w:rsidP="009344F2">
            <w:pPr>
              <w:numPr>
                <w:ilvl w:val="0"/>
                <w:numId w:val="15"/>
              </w:numPr>
              <w:spacing w:after="0" w:line="240" w:lineRule="auto"/>
              <w:ind w:left="426" w:hanging="284"/>
              <w:jc w:val="both"/>
              <w:rPr>
                <w:rFonts w:ascii="Times New Roman" w:hAnsi="Times New Roman"/>
                <w:lang w:val="fr-CA"/>
              </w:rPr>
            </w:pPr>
            <w:r>
              <w:rPr>
                <w:rFonts w:ascii="Times New Roman" w:hAnsi="Times New Roman"/>
                <w:lang w:val="fr-CA"/>
              </w:rPr>
              <w:t>C</w:t>
            </w:r>
            <w:r w:rsidRPr="00570EA0">
              <w:rPr>
                <w:rFonts w:ascii="Times New Roman" w:hAnsi="Times New Roman"/>
                <w:lang w:val="fr-CA"/>
              </w:rPr>
              <w:t>ompétences techniques</w:t>
            </w:r>
            <w:r>
              <w:rPr>
                <w:rFonts w:ascii="Times New Roman" w:hAnsi="Times New Roman"/>
                <w:lang w:val="fr-CA"/>
              </w:rPr>
              <w:t xml:space="preserve"> avérées et prouvées </w:t>
            </w:r>
            <w:r w:rsidRPr="00570EA0">
              <w:rPr>
                <w:rFonts w:ascii="Times New Roman" w:hAnsi="Times New Roman"/>
                <w:lang w:val="fr-CA"/>
              </w:rPr>
              <w:t xml:space="preserve">dans le domaine de </w:t>
            </w:r>
            <w:r>
              <w:rPr>
                <w:rFonts w:ascii="Times New Roman" w:hAnsi="Times New Roman"/>
                <w:lang w:val="fr-CA"/>
              </w:rPr>
              <w:t xml:space="preserve">construction et suivi des petites centrales hydroélectriques en Afrique et de préférence dans la sous-région </w:t>
            </w:r>
          </w:p>
          <w:p w:rsidR="009344F2" w:rsidRPr="00570EA0" w:rsidRDefault="009344F2" w:rsidP="009344F2">
            <w:pPr>
              <w:numPr>
                <w:ilvl w:val="0"/>
                <w:numId w:val="15"/>
              </w:numPr>
              <w:spacing w:after="0" w:line="240" w:lineRule="auto"/>
              <w:ind w:left="426" w:hanging="284"/>
              <w:jc w:val="both"/>
              <w:rPr>
                <w:rFonts w:ascii="Times New Roman" w:hAnsi="Times New Roman"/>
                <w:lang w:val="fr-CA"/>
              </w:rPr>
            </w:pPr>
            <w:r w:rsidRPr="00570EA0">
              <w:rPr>
                <w:rFonts w:ascii="Times New Roman" w:hAnsi="Times New Roman"/>
                <w:lang w:val="fr-CA"/>
              </w:rPr>
              <w:t>Capacités avérées à planifier, organiser et mettre en œuvre efficacement des activités</w:t>
            </w:r>
          </w:p>
          <w:p w:rsidR="009344F2" w:rsidRPr="00570EA0" w:rsidRDefault="009344F2" w:rsidP="009344F2">
            <w:pPr>
              <w:numPr>
                <w:ilvl w:val="0"/>
                <w:numId w:val="15"/>
              </w:numPr>
              <w:spacing w:after="0" w:line="240" w:lineRule="auto"/>
              <w:ind w:left="426" w:hanging="284"/>
              <w:jc w:val="both"/>
              <w:rPr>
                <w:rFonts w:ascii="Times New Roman" w:hAnsi="Times New Roman"/>
                <w:lang w:val="fr-CA"/>
              </w:rPr>
            </w:pPr>
            <w:r w:rsidRPr="00570EA0">
              <w:rPr>
                <w:rFonts w:ascii="Times New Roman" w:hAnsi="Times New Roman"/>
                <w:lang w:val="fr-CA"/>
              </w:rPr>
              <w:t>Grande capacité à coordonner et à travailler en équipe, y compris dans les environnements complexes</w:t>
            </w:r>
          </w:p>
          <w:p w:rsidR="009344F2" w:rsidRPr="00570EA0" w:rsidRDefault="009344F2" w:rsidP="009344F2">
            <w:pPr>
              <w:numPr>
                <w:ilvl w:val="0"/>
                <w:numId w:val="15"/>
              </w:numPr>
              <w:spacing w:after="0" w:line="240" w:lineRule="auto"/>
              <w:ind w:left="426" w:hanging="284"/>
              <w:jc w:val="both"/>
              <w:rPr>
                <w:rFonts w:ascii="Times New Roman" w:hAnsi="Times New Roman"/>
              </w:rPr>
            </w:pPr>
            <w:r w:rsidRPr="00570EA0">
              <w:rPr>
                <w:rFonts w:ascii="Times New Roman" w:hAnsi="Times New Roman"/>
              </w:rPr>
              <w:t>Bonne aptitude à communiquer</w:t>
            </w:r>
          </w:p>
          <w:p w:rsidR="009344F2" w:rsidRPr="00570EA0" w:rsidRDefault="009344F2" w:rsidP="009344F2">
            <w:pPr>
              <w:numPr>
                <w:ilvl w:val="0"/>
                <w:numId w:val="15"/>
              </w:numPr>
              <w:spacing w:after="0" w:line="240" w:lineRule="auto"/>
              <w:ind w:left="426" w:hanging="284"/>
              <w:jc w:val="both"/>
              <w:rPr>
                <w:lang w:val="fr-CA"/>
              </w:rPr>
            </w:pPr>
            <w:r w:rsidRPr="00570EA0">
              <w:rPr>
                <w:rFonts w:ascii="Times New Roman" w:hAnsi="Times New Roman"/>
                <w:lang w:val="fr-CA"/>
              </w:rPr>
              <w:t xml:space="preserve">Connaissances des procédures du système des Nations Unies </w:t>
            </w:r>
          </w:p>
          <w:p w:rsidR="009344F2" w:rsidRPr="00707A64" w:rsidRDefault="009344F2" w:rsidP="009344F2">
            <w:pPr>
              <w:pStyle w:val="P1"/>
              <w:numPr>
                <w:ilvl w:val="0"/>
                <w:numId w:val="15"/>
              </w:numPr>
              <w:spacing w:before="0"/>
              <w:ind w:left="426" w:hanging="284"/>
            </w:pPr>
            <w:r w:rsidRPr="00570EA0">
              <w:rPr>
                <w:lang w:val="fr-CA"/>
              </w:rPr>
              <w:t>Sensible au contexte du projet et aux aspects liés au genre.</w:t>
            </w:r>
          </w:p>
        </w:tc>
      </w:tr>
      <w:tr w:rsidR="009344F2" w:rsidRPr="00707A64" w:rsidTr="00E10907">
        <w:tblPrEx>
          <w:shd w:val="clear" w:color="auto" w:fill="E0E0E0"/>
        </w:tblPrEx>
        <w:trPr>
          <w:trHeight w:val="321"/>
        </w:trPr>
        <w:tc>
          <w:tcPr>
            <w:tcW w:w="9468" w:type="dxa"/>
            <w:gridSpan w:val="2"/>
            <w:tcBorders>
              <w:top w:val="single" w:sz="4" w:space="0" w:color="auto"/>
              <w:left w:val="single" w:sz="4" w:space="0" w:color="auto"/>
              <w:bottom w:val="single" w:sz="4" w:space="0" w:color="auto"/>
              <w:right w:val="single" w:sz="4" w:space="0" w:color="auto"/>
            </w:tcBorders>
            <w:shd w:val="clear" w:color="auto" w:fill="00467A"/>
            <w:vAlign w:val="center"/>
          </w:tcPr>
          <w:p w:rsidR="009344F2" w:rsidRPr="00707A64" w:rsidRDefault="009344F2" w:rsidP="00E10907">
            <w:pPr>
              <w:pStyle w:val="T1"/>
            </w:pPr>
            <w:r>
              <w:t>VIII.</w:t>
            </w:r>
            <w:r w:rsidRPr="00707A64">
              <w:t xml:space="preserve"> Qualifications</w:t>
            </w:r>
          </w:p>
        </w:tc>
      </w:tr>
      <w:tr w:rsidR="009344F2" w:rsidRPr="00707A64" w:rsidTr="00E10907">
        <w:tblPrEx>
          <w:shd w:val="clear" w:color="auto" w:fill="E0E0E0"/>
        </w:tblPrEx>
        <w:trPr>
          <w:trHeight w:val="421"/>
        </w:trPr>
        <w:tc>
          <w:tcPr>
            <w:tcW w:w="1668" w:type="dxa"/>
            <w:tcBorders>
              <w:top w:val="single" w:sz="4" w:space="0" w:color="auto"/>
            </w:tcBorders>
          </w:tcPr>
          <w:p w:rsidR="009344F2" w:rsidRPr="000F784B" w:rsidRDefault="009344F2" w:rsidP="00E10907">
            <w:pPr>
              <w:pStyle w:val="P1"/>
              <w:rPr>
                <w:b/>
              </w:rPr>
            </w:pPr>
            <w:r w:rsidRPr="000F784B">
              <w:rPr>
                <w:b/>
              </w:rPr>
              <w:t xml:space="preserve">Education </w:t>
            </w:r>
          </w:p>
        </w:tc>
        <w:tc>
          <w:tcPr>
            <w:tcW w:w="7800" w:type="dxa"/>
            <w:tcBorders>
              <w:top w:val="single" w:sz="4" w:space="0" w:color="auto"/>
            </w:tcBorders>
          </w:tcPr>
          <w:p w:rsidR="009344F2" w:rsidRPr="00707A64" w:rsidRDefault="009344F2" w:rsidP="00E10907">
            <w:pPr>
              <w:pStyle w:val="P1"/>
            </w:pPr>
            <w:r>
              <w:rPr>
                <w:szCs w:val="22"/>
              </w:rPr>
              <w:t xml:space="preserve">Minimum </w:t>
            </w:r>
            <w:r w:rsidRPr="00A642D6">
              <w:rPr>
                <w:szCs w:val="22"/>
              </w:rPr>
              <w:t>Master ou équivalent en économie de l’énergie,</w:t>
            </w:r>
            <w:r>
              <w:rPr>
                <w:szCs w:val="22"/>
              </w:rPr>
              <w:t xml:space="preserve"> Génie </w:t>
            </w:r>
            <w:proofErr w:type="gramStart"/>
            <w:r>
              <w:rPr>
                <w:szCs w:val="22"/>
              </w:rPr>
              <w:t xml:space="preserve">électrique, </w:t>
            </w:r>
            <w:r w:rsidRPr="00A642D6">
              <w:rPr>
                <w:szCs w:val="22"/>
              </w:rPr>
              <w:t xml:space="preserve"> ingénierie</w:t>
            </w:r>
            <w:proofErr w:type="gramEnd"/>
            <w:r w:rsidRPr="00A642D6">
              <w:rPr>
                <w:szCs w:val="22"/>
              </w:rPr>
              <w:t>, sciences économiques et de développement ou dans une discipline de développement pertinente</w:t>
            </w:r>
          </w:p>
        </w:tc>
      </w:tr>
      <w:tr w:rsidR="009344F2" w:rsidRPr="00707A64" w:rsidTr="00E10907">
        <w:tblPrEx>
          <w:shd w:val="clear" w:color="auto" w:fill="E0E0E0"/>
        </w:tblPrEx>
        <w:trPr>
          <w:trHeight w:val="269"/>
        </w:trPr>
        <w:tc>
          <w:tcPr>
            <w:tcW w:w="1668" w:type="dxa"/>
          </w:tcPr>
          <w:p w:rsidR="009344F2" w:rsidRPr="000F784B" w:rsidRDefault="009344F2" w:rsidP="00E10907">
            <w:pPr>
              <w:pStyle w:val="P1"/>
              <w:rPr>
                <w:b/>
              </w:rPr>
            </w:pPr>
            <w:r w:rsidRPr="000F784B">
              <w:rPr>
                <w:b/>
              </w:rPr>
              <w:lastRenderedPageBreak/>
              <w:t xml:space="preserve">Expérience </w:t>
            </w:r>
          </w:p>
        </w:tc>
        <w:tc>
          <w:tcPr>
            <w:tcW w:w="7800" w:type="dxa"/>
          </w:tcPr>
          <w:p w:rsidR="009344F2" w:rsidRDefault="009344F2" w:rsidP="009344F2">
            <w:pPr>
              <w:pStyle w:val="P1"/>
              <w:numPr>
                <w:ilvl w:val="0"/>
                <w:numId w:val="16"/>
              </w:numPr>
            </w:pPr>
            <w:r w:rsidRPr="00707A64">
              <w:t xml:space="preserve">Avoir une expérience d’au moins </w:t>
            </w:r>
            <w:r>
              <w:t>10 ans dans le domaine des études de projet de construction</w:t>
            </w:r>
            <w:r w:rsidRPr="00707A64">
              <w:t> </w:t>
            </w:r>
            <w:r>
              <w:t>de barrage hydro électrique ;</w:t>
            </w:r>
          </w:p>
          <w:p w:rsidR="009344F2" w:rsidRDefault="009344F2" w:rsidP="009344F2">
            <w:pPr>
              <w:pStyle w:val="P1"/>
              <w:numPr>
                <w:ilvl w:val="0"/>
                <w:numId w:val="16"/>
              </w:numPr>
            </w:pPr>
            <w:r w:rsidRPr="00707A64">
              <w:t>Au moins 0</w:t>
            </w:r>
            <w:r>
              <w:t>5</w:t>
            </w:r>
            <w:r w:rsidRPr="00707A64">
              <w:t xml:space="preserve"> ans d’expériences professionnelles dans le domaine de </w:t>
            </w:r>
            <w:r>
              <w:t>Petite Centrale Hydro électrique ;</w:t>
            </w:r>
          </w:p>
          <w:p w:rsidR="009344F2" w:rsidRDefault="009344F2" w:rsidP="009344F2">
            <w:pPr>
              <w:pStyle w:val="NormalWeb"/>
              <w:numPr>
                <w:ilvl w:val="0"/>
                <w:numId w:val="16"/>
              </w:numPr>
              <w:spacing w:before="0" w:beforeAutospacing="0" w:after="0" w:afterAutospacing="0"/>
              <w:jc w:val="both"/>
              <w:rPr>
                <w:rFonts w:eastAsia="Calibri"/>
                <w:sz w:val="22"/>
                <w:szCs w:val="22"/>
              </w:rPr>
            </w:pPr>
            <w:r>
              <w:t>Avoir conduit des travaux de construction de barrages hydro électrique/PCH en Afrique. U</w:t>
            </w:r>
            <w:r w:rsidRPr="00A642D6">
              <w:rPr>
                <w:rFonts w:eastAsia="Calibri"/>
                <w:sz w:val="22"/>
                <w:szCs w:val="22"/>
              </w:rPr>
              <w:t>ne expérience en Guinée serait un atout ;</w:t>
            </w:r>
          </w:p>
          <w:p w:rsidR="009344F2" w:rsidRPr="004F6A78" w:rsidRDefault="009344F2" w:rsidP="009344F2">
            <w:pPr>
              <w:pStyle w:val="NormalWeb"/>
              <w:numPr>
                <w:ilvl w:val="0"/>
                <w:numId w:val="16"/>
              </w:numPr>
              <w:spacing w:before="0" w:beforeAutospacing="0" w:after="0" w:afterAutospacing="0"/>
              <w:jc w:val="both"/>
              <w:rPr>
                <w:rFonts w:eastAsia="Calibri"/>
                <w:sz w:val="22"/>
                <w:szCs w:val="22"/>
              </w:rPr>
            </w:pPr>
            <w:r w:rsidRPr="004F6A78">
              <w:rPr>
                <w:rFonts w:eastAsia="Calibri"/>
                <w:sz w:val="22"/>
                <w:szCs w:val="22"/>
              </w:rPr>
              <w:t xml:space="preserve">Bonne connaissance des acteurs-clés dans le secteur de l'énergie au niveau africain et en Guinée ; </w:t>
            </w:r>
          </w:p>
          <w:p w:rsidR="009344F2" w:rsidRPr="00B96F4F" w:rsidRDefault="009344F2" w:rsidP="009344F2">
            <w:pPr>
              <w:pStyle w:val="P1"/>
              <w:numPr>
                <w:ilvl w:val="0"/>
                <w:numId w:val="16"/>
              </w:numPr>
            </w:pPr>
            <w:r w:rsidRPr="005C159E">
              <w:rPr>
                <w:rFonts w:cs="Arial"/>
                <w:sz w:val="24"/>
                <w:szCs w:val="28"/>
                <w:lang w:eastAsia="fr-FR"/>
              </w:rPr>
              <w:t xml:space="preserve">Une bonne connaissance des règles et procédures du PNUD </w:t>
            </w:r>
            <w:r>
              <w:rPr>
                <w:rFonts w:cs="Arial"/>
                <w:sz w:val="24"/>
                <w:szCs w:val="28"/>
                <w:lang w:eastAsia="fr-FR"/>
              </w:rPr>
              <w:t>est un atout.</w:t>
            </w:r>
          </w:p>
        </w:tc>
      </w:tr>
      <w:tr w:rsidR="009344F2" w:rsidRPr="000E029E" w:rsidTr="00E10907">
        <w:tblPrEx>
          <w:shd w:val="clear" w:color="auto" w:fill="E0E0E0"/>
        </w:tblPrEx>
        <w:trPr>
          <w:trHeight w:val="557"/>
        </w:trPr>
        <w:tc>
          <w:tcPr>
            <w:tcW w:w="1668" w:type="dxa"/>
          </w:tcPr>
          <w:p w:rsidR="009344F2" w:rsidRPr="00442865" w:rsidRDefault="009344F2" w:rsidP="00E10907">
            <w:pPr>
              <w:pStyle w:val="P1"/>
              <w:rPr>
                <w:b/>
              </w:rPr>
            </w:pPr>
            <w:r w:rsidRPr="00442865">
              <w:rPr>
                <w:b/>
              </w:rPr>
              <w:t xml:space="preserve">Langues requises </w:t>
            </w:r>
          </w:p>
        </w:tc>
        <w:tc>
          <w:tcPr>
            <w:tcW w:w="7800" w:type="dxa"/>
          </w:tcPr>
          <w:p w:rsidR="009344F2" w:rsidRPr="00707A64" w:rsidRDefault="009344F2" w:rsidP="00E10907">
            <w:pPr>
              <w:pStyle w:val="P1"/>
            </w:pPr>
            <w:r w:rsidRPr="000E634B">
              <w:t>Bonne capacité de rédaction et de communication en français est exigée. La connaissance de l’anglais serait un atout</w:t>
            </w:r>
          </w:p>
        </w:tc>
      </w:tr>
      <w:tr w:rsidR="009344F2" w:rsidRPr="00707A64" w:rsidTr="00E10907">
        <w:tblPrEx>
          <w:shd w:val="clear" w:color="auto" w:fill="E0E0E0"/>
        </w:tblPrEx>
        <w:trPr>
          <w:trHeight w:val="321"/>
        </w:trPr>
        <w:tc>
          <w:tcPr>
            <w:tcW w:w="9468" w:type="dxa"/>
            <w:gridSpan w:val="2"/>
            <w:shd w:val="clear" w:color="auto" w:fill="00467A"/>
            <w:vAlign w:val="center"/>
          </w:tcPr>
          <w:p w:rsidR="009344F2" w:rsidRPr="00707A64" w:rsidRDefault="009344F2" w:rsidP="00E10907">
            <w:pPr>
              <w:pStyle w:val="T1"/>
            </w:pPr>
            <w:r>
              <w:t>I</w:t>
            </w:r>
            <w:r w:rsidRPr="00707A64">
              <w:t xml:space="preserve">X. </w:t>
            </w:r>
            <w:r>
              <w:t>Critères d’Evaluation</w:t>
            </w:r>
            <w:r w:rsidRPr="00707A64">
              <w:t xml:space="preserve"> </w:t>
            </w:r>
          </w:p>
        </w:tc>
      </w:tr>
    </w:tbl>
    <w:p w:rsidR="009344F2" w:rsidRPr="00707A64" w:rsidRDefault="009344F2" w:rsidP="009344F2">
      <w:pPr>
        <w:pStyle w:val="P1"/>
      </w:pPr>
      <w:r w:rsidRPr="00707A64">
        <w:t>L’évaluation des offres se déroule en deux temps. L’évaluation des propositions techniques est achevée avant l’ouverture et la comparaison des propositions financières.</w:t>
      </w:r>
    </w:p>
    <w:p w:rsidR="009344F2" w:rsidRPr="00707A64" w:rsidRDefault="009344F2" w:rsidP="009344F2">
      <w:pPr>
        <w:pStyle w:val="P1"/>
      </w:pPr>
      <w:r w:rsidRPr="00707A64">
        <w:t>La proposition technique sera évaluée sur son degré de réponse par rapport aux termes de référence et sur la base des critères suivants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6"/>
        <w:gridCol w:w="2126"/>
      </w:tblGrid>
      <w:tr w:rsidR="009344F2" w:rsidRPr="00707A64" w:rsidTr="00E10907">
        <w:trPr>
          <w:cantSplit/>
        </w:trPr>
        <w:tc>
          <w:tcPr>
            <w:tcW w:w="7196" w:type="dxa"/>
            <w:shd w:val="clear" w:color="auto" w:fill="auto"/>
            <w:tcMar>
              <w:top w:w="0" w:type="dxa"/>
              <w:left w:w="108" w:type="dxa"/>
              <w:bottom w:w="0" w:type="dxa"/>
              <w:right w:w="108" w:type="dxa"/>
            </w:tcMar>
          </w:tcPr>
          <w:p w:rsidR="009344F2" w:rsidRPr="00707A64" w:rsidRDefault="009344F2" w:rsidP="00E10907">
            <w:pPr>
              <w:pStyle w:val="P1"/>
              <w:spacing w:before="0" w:after="0"/>
            </w:pPr>
            <w:bookmarkStart w:id="4" w:name="_Hlk8379536"/>
            <w:r w:rsidRPr="00C029EE">
              <w:rPr>
                <w:b/>
              </w:rPr>
              <w:t>Critères d’évaluation technique</w:t>
            </w:r>
          </w:p>
        </w:tc>
        <w:tc>
          <w:tcPr>
            <w:tcW w:w="2126" w:type="dxa"/>
            <w:shd w:val="clear" w:color="auto" w:fill="auto"/>
            <w:tcMar>
              <w:top w:w="0" w:type="dxa"/>
              <w:left w:w="108" w:type="dxa"/>
              <w:bottom w:w="0" w:type="dxa"/>
              <w:right w:w="108" w:type="dxa"/>
            </w:tcMar>
          </w:tcPr>
          <w:p w:rsidR="009344F2" w:rsidRPr="00707A64" w:rsidRDefault="009344F2" w:rsidP="00E10907">
            <w:pPr>
              <w:pStyle w:val="P1"/>
              <w:spacing w:before="0" w:after="0"/>
            </w:pPr>
            <w:r w:rsidRPr="00C029EE">
              <w:rPr>
                <w:b/>
              </w:rPr>
              <w:t>Note maximum</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Qualifications académiques</w:t>
            </w:r>
          </w:p>
        </w:tc>
        <w:tc>
          <w:tcPr>
            <w:tcW w:w="2126" w:type="dxa"/>
            <w:shd w:val="clear" w:color="auto" w:fill="auto"/>
            <w:tcMar>
              <w:top w:w="0" w:type="dxa"/>
              <w:left w:w="108" w:type="dxa"/>
              <w:bottom w:w="0" w:type="dxa"/>
              <w:right w:w="108" w:type="dxa"/>
            </w:tcMar>
            <w:vAlign w:val="center"/>
          </w:tcPr>
          <w:p w:rsidR="009344F2" w:rsidRPr="009825B6" w:rsidRDefault="009344F2" w:rsidP="00E10907">
            <w:pPr>
              <w:pStyle w:val="P1"/>
              <w:spacing w:before="0" w:after="0"/>
              <w:jc w:val="center"/>
            </w:pPr>
            <w:r w:rsidRPr="00F917AA">
              <w:rPr>
                <w:rFonts w:eastAsia="Calibri"/>
                <w:szCs w:val="22"/>
                <w:lang w:val="rw-RW" w:eastAsia="rw-RW"/>
              </w:rPr>
              <w:t>20</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 xml:space="preserve">Expériences dans le domaine </w:t>
            </w:r>
            <w:r>
              <w:rPr>
                <w:szCs w:val="22"/>
              </w:rPr>
              <w:t xml:space="preserve">des </w:t>
            </w:r>
            <w:r w:rsidR="00DF3566">
              <w:rPr>
                <w:szCs w:val="22"/>
              </w:rPr>
              <w:t>barrages pico</w:t>
            </w:r>
            <w:bookmarkStart w:id="5" w:name="_GoBack"/>
            <w:bookmarkEnd w:id="5"/>
            <w:r>
              <w:rPr>
                <w:szCs w:val="22"/>
              </w:rPr>
              <w:t xml:space="preserve"> hydro-électriques</w:t>
            </w:r>
          </w:p>
        </w:tc>
        <w:tc>
          <w:tcPr>
            <w:tcW w:w="2126" w:type="dxa"/>
            <w:shd w:val="clear" w:color="auto" w:fill="auto"/>
            <w:tcMar>
              <w:top w:w="0" w:type="dxa"/>
              <w:left w:w="108" w:type="dxa"/>
              <w:bottom w:w="0" w:type="dxa"/>
              <w:right w:w="108" w:type="dxa"/>
            </w:tcMar>
            <w:vAlign w:val="center"/>
          </w:tcPr>
          <w:p w:rsidR="009344F2" w:rsidRPr="009825B6" w:rsidRDefault="009344F2" w:rsidP="00E10907">
            <w:pPr>
              <w:pStyle w:val="P1"/>
              <w:spacing w:before="0" w:after="0"/>
              <w:jc w:val="center"/>
              <w:rPr>
                <w:rFonts w:eastAsia="Calibri"/>
                <w:lang w:val="rw-RW" w:eastAsia="rw-RW"/>
              </w:rPr>
            </w:pPr>
            <w:r w:rsidRPr="00F917AA">
              <w:rPr>
                <w:rFonts w:eastAsia="Calibri"/>
                <w:szCs w:val="22"/>
                <w:lang w:eastAsia="rw-RW"/>
              </w:rPr>
              <w:t>50</w:t>
            </w:r>
          </w:p>
        </w:tc>
      </w:tr>
      <w:tr w:rsidR="009344F2" w:rsidRPr="00707A64" w:rsidTr="00E10907">
        <w:trPr>
          <w:cantSplit/>
        </w:trPr>
        <w:tc>
          <w:tcPr>
            <w:tcW w:w="719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pPr>
            <w:r w:rsidRPr="00F917AA">
              <w:rPr>
                <w:szCs w:val="22"/>
              </w:rPr>
              <w:t>Approche méthodologique et Planning de mise en œuvre</w:t>
            </w:r>
          </w:p>
        </w:tc>
        <w:tc>
          <w:tcPr>
            <w:tcW w:w="2126" w:type="dxa"/>
            <w:shd w:val="clear" w:color="auto" w:fill="auto"/>
            <w:tcMar>
              <w:top w:w="0" w:type="dxa"/>
              <w:left w:w="108" w:type="dxa"/>
              <w:bottom w:w="0" w:type="dxa"/>
              <w:right w:w="108" w:type="dxa"/>
            </w:tcMar>
            <w:vAlign w:val="center"/>
          </w:tcPr>
          <w:p w:rsidR="009344F2" w:rsidRPr="00707A64" w:rsidRDefault="009344F2" w:rsidP="00E10907">
            <w:pPr>
              <w:pStyle w:val="P1"/>
              <w:spacing w:before="0" w:after="0"/>
              <w:jc w:val="center"/>
              <w:rPr>
                <w:rFonts w:eastAsia="Calibri"/>
                <w:lang w:val="rw-RW" w:eastAsia="rw-RW"/>
              </w:rPr>
            </w:pPr>
            <w:r w:rsidRPr="00F917AA">
              <w:rPr>
                <w:rFonts w:eastAsia="Calibri"/>
                <w:szCs w:val="22"/>
                <w:lang w:eastAsia="rw-RW"/>
              </w:rPr>
              <w:t>30</w:t>
            </w:r>
          </w:p>
        </w:tc>
      </w:tr>
      <w:tr w:rsidR="009344F2" w:rsidRPr="000E029E" w:rsidTr="00E10907">
        <w:trPr>
          <w:cantSplit/>
        </w:trPr>
        <w:tc>
          <w:tcPr>
            <w:tcW w:w="7196" w:type="dxa"/>
            <w:tcMar>
              <w:top w:w="0" w:type="dxa"/>
              <w:left w:w="108" w:type="dxa"/>
              <w:bottom w:w="0" w:type="dxa"/>
              <w:right w:w="108" w:type="dxa"/>
            </w:tcMar>
            <w:vAlign w:val="center"/>
            <w:hideMark/>
          </w:tcPr>
          <w:p w:rsidR="009344F2" w:rsidRPr="000E029E" w:rsidRDefault="009344F2" w:rsidP="00E10907">
            <w:pPr>
              <w:pStyle w:val="P1"/>
              <w:spacing w:before="0" w:after="0"/>
              <w:rPr>
                <w:rFonts w:eastAsia="Calibri"/>
                <w:b/>
                <w:snapToGrid w:val="0"/>
                <w:lang w:eastAsia="fr-FR"/>
              </w:rPr>
            </w:pPr>
            <w:proofErr w:type="gramStart"/>
            <w:r w:rsidRPr="000E029E">
              <w:rPr>
                <w:rFonts w:eastAsia="Calibri"/>
                <w:b/>
                <w:snapToGrid w:val="0"/>
                <w:lang w:eastAsia="fr-FR"/>
              </w:rPr>
              <w:t>Total  note</w:t>
            </w:r>
            <w:proofErr w:type="gramEnd"/>
            <w:r w:rsidRPr="000E029E">
              <w:rPr>
                <w:rFonts w:eastAsia="Calibri"/>
                <w:b/>
                <w:snapToGrid w:val="0"/>
                <w:lang w:eastAsia="fr-FR"/>
              </w:rPr>
              <w:t xml:space="preserve"> technique </w:t>
            </w:r>
          </w:p>
        </w:tc>
        <w:tc>
          <w:tcPr>
            <w:tcW w:w="2126" w:type="dxa"/>
            <w:tcMar>
              <w:top w:w="0" w:type="dxa"/>
              <w:left w:w="108" w:type="dxa"/>
              <w:bottom w:w="0" w:type="dxa"/>
              <w:right w:w="108" w:type="dxa"/>
            </w:tcMar>
            <w:vAlign w:val="center"/>
            <w:hideMark/>
          </w:tcPr>
          <w:p w:rsidR="009344F2" w:rsidRPr="000E029E" w:rsidRDefault="009344F2" w:rsidP="00E10907">
            <w:pPr>
              <w:pStyle w:val="P1"/>
              <w:spacing w:before="0" w:after="0"/>
              <w:jc w:val="center"/>
              <w:rPr>
                <w:rFonts w:eastAsia="Calibri"/>
                <w:b/>
                <w:lang w:eastAsia="fr-FR"/>
              </w:rPr>
            </w:pPr>
            <w:r w:rsidRPr="000E029E">
              <w:rPr>
                <w:rFonts w:eastAsia="Calibri"/>
                <w:b/>
                <w:lang w:eastAsia="fr-FR"/>
              </w:rPr>
              <w:t>100</w:t>
            </w:r>
          </w:p>
        </w:tc>
      </w:tr>
    </w:tbl>
    <w:bookmarkEnd w:id="4"/>
    <w:p w:rsidR="009344F2" w:rsidRPr="00707A64" w:rsidRDefault="009344F2" w:rsidP="009344F2">
      <w:pPr>
        <w:pStyle w:val="P1"/>
      </w:pPr>
      <w:r w:rsidRPr="00707A64">
        <w:t xml:space="preserve">Seront jugées qualifiées, les propositions techniques qui obtiendront 70% de la note maximale de 100 </w:t>
      </w:r>
      <w:proofErr w:type="gramStart"/>
      <w:r w:rsidRPr="00707A64">
        <w:t>point</w:t>
      </w:r>
      <w:proofErr w:type="gramEnd"/>
      <w:r w:rsidRPr="00707A64">
        <w:t> ; cette note technique sera pondérée a 70%.</w:t>
      </w:r>
    </w:p>
    <w:p w:rsidR="009344F2" w:rsidRPr="00707A64" w:rsidRDefault="009344F2" w:rsidP="009344F2">
      <w:pPr>
        <w:pStyle w:val="P1"/>
      </w:pPr>
      <w:r w:rsidRPr="00707A64">
        <w:t xml:space="preserve">Dans une deuxième étape du processus d’évaluation, les enveloppes financières seront ouvertes et les offres financières comparées. </w:t>
      </w:r>
    </w:p>
    <w:p w:rsidR="009344F2" w:rsidRPr="009825B6" w:rsidRDefault="009344F2" w:rsidP="009344F2">
      <w:pPr>
        <w:pStyle w:val="P1"/>
      </w:pPr>
      <w:r w:rsidRPr="00707A64">
        <w:t>Le marché ou le contrat sera attribué au cabinet ayant présenté le meilleur score combiné - rapport qualité/prix, évaluation cumulative - (Technique pondérée à 70% + Financière à 30%)</w:t>
      </w:r>
      <w:r>
        <w:t> ;</w:t>
      </w:r>
    </w:p>
    <w:p w:rsidR="009344F2" w:rsidRDefault="009344F2" w:rsidP="009344F2">
      <w:pPr>
        <w:pStyle w:val="P1"/>
        <w:rPr>
          <w:i/>
        </w:rPr>
      </w:pPr>
      <w:r w:rsidRPr="009825B6">
        <w:rPr>
          <w:i/>
        </w:rPr>
        <w:t xml:space="preserve">Cette note financière combinée à 30% est calculée pour chaque proposition sur la base de la formule suivante : Note financière A = [(Offre financière la moins </w:t>
      </w:r>
      <w:proofErr w:type="spellStart"/>
      <w:proofErr w:type="gramStart"/>
      <w:r w:rsidRPr="009825B6">
        <w:rPr>
          <w:i/>
        </w:rPr>
        <w:t>disante</w:t>
      </w:r>
      <w:proofErr w:type="spellEnd"/>
      <w:r w:rsidRPr="009825B6">
        <w:rPr>
          <w:i/>
        </w:rPr>
        <w:t>)/</w:t>
      </w:r>
      <w:proofErr w:type="gramEnd"/>
      <w:r w:rsidRPr="009825B6">
        <w:rPr>
          <w:i/>
        </w:rPr>
        <w:t>Offre financière de A] x 30.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526"/>
        <w:gridCol w:w="5841"/>
        <w:gridCol w:w="1119"/>
        <w:gridCol w:w="1261"/>
        <w:tblGridChange w:id="6">
          <w:tblGrid>
            <w:gridCol w:w="1526"/>
            <w:gridCol w:w="5841"/>
            <w:gridCol w:w="1119"/>
            <w:gridCol w:w="1261"/>
          </w:tblGrid>
        </w:tblGridChange>
      </w:tblGrid>
      <w:tr w:rsidR="009344F2" w:rsidRPr="00EC126C" w:rsidTr="00E10907">
        <w:trPr>
          <w:trHeight w:val="369"/>
        </w:trPr>
        <w:tc>
          <w:tcPr>
            <w:tcW w:w="9747" w:type="dxa"/>
            <w:gridSpan w:val="4"/>
            <w:shd w:val="clear" w:color="auto" w:fill="00467A"/>
            <w:vAlign w:val="center"/>
          </w:tcPr>
          <w:p w:rsidR="009344F2" w:rsidRPr="00EC126C" w:rsidRDefault="009344F2" w:rsidP="00E10907">
            <w:pPr>
              <w:jc w:val="both"/>
              <w:rPr>
                <w:rFonts w:ascii="Times New Roman" w:hAnsi="Times New Roman"/>
                <w:b/>
                <w:bCs/>
              </w:rPr>
            </w:pPr>
            <w:r w:rsidRPr="00EC126C">
              <w:rPr>
                <w:rFonts w:ascii="Times New Roman" w:hAnsi="Times New Roman"/>
                <w:b/>
                <w:bCs/>
              </w:rPr>
              <w:t xml:space="preserve">X. JALONS DE PAIEMENT  </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302"/>
        </w:trPr>
        <w:tc>
          <w:tcPr>
            <w:tcW w:w="7367" w:type="dxa"/>
            <w:gridSpan w:val="2"/>
            <w:shd w:val="clear" w:color="auto" w:fill="auto"/>
            <w:vAlign w:val="center"/>
            <w:hideMark/>
          </w:tcPr>
          <w:p w:rsidR="009344F2" w:rsidRPr="00EC126C" w:rsidRDefault="009344F2" w:rsidP="00E10907">
            <w:pPr>
              <w:jc w:val="both"/>
              <w:rPr>
                <w:rFonts w:ascii="Times New Roman" w:hAnsi="Times New Roman"/>
                <w:b/>
                <w:bCs/>
                <w:color w:val="000000"/>
                <w:lang w:eastAsia="fr-FR"/>
              </w:rPr>
            </w:pPr>
            <w:r w:rsidRPr="00EC126C">
              <w:rPr>
                <w:rFonts w:ascii="Times New Roman" w:hAnsi="Times New Roman"/>
                <w:b/>
                <w:bCs/>
                <w:color w:val="000000"/>
                <w:lang w:eastAsia="fr-FR"/>
              </w:rPr>
              <w:t>Livrables</w:t>
            </w:r>
          </w:p>
        </w:tc>
        <w:tc>
          <w:tcPr>
            <w:tcW w:w="1119" w:type="dxa"/>
            <w:shd w:val="clear" w:color="auto" w:fill="auto"/>
            <w:vAlign w:val="center"/>
            <w:hideMark/>
          </w:tcPr>
          <w:p w:rsidR="009344F2" w:rsidRPr="00EC126C" w:rsidRDefault="009344F2" w:rsidP="00E10907">
            <w:pPr>
              <w:jc w:val="center"/>
              <w:rPr>
                <w:rFonts w:ascii="Times New Roman" w:hAnsi="Times New Roman"/>
                <w:b/>
                <w:bCs/>
                <w:color w:val="000000"/>
                <w:lang w:eastAsia="fr-FR"/>
              </w:rPr>
            </w:pPr>
            <w:r w:rsidRPr="00EC126C">
              <w:rPr>
                <w:rFonts w:ascii="Times New Roman" w:hAnsi="Times New Roman"/>
                <w:b/>
                <w:bCs/>
                <w:color w:val="000000"/>
                <w:lang w:eastAsia="fr-FR"/>
              </w:rPr>
              <w:t xml:space="preserve">Délai </w:t>
            </w:r>
          </w:p>
        </w:tc>
        <w:tc>
          <w:tcPr>
            <w:tcW w:w="1261" w:type="dxa"/>
            <w:shd w:val="clear" w:color="auto" w:fill="auto"/>
            <w:vAlign w:val="center"/>
            <w:hideMark/>
          </w:tcPr>
          <w:p w:rsidR="009344F2" w:rsidRPr="00EC126C" w:rsidRDefault="009344F2" w:rsidP="00E10907">
            <w:pPr>
              <w:jc w:val="center"/>
              <w:rPr>
                <w:rFonts w:ascii="Times New Roman" w:hAnsi="Times New Roman"/>
                <w:b/>
                <w:bCs/>
                <w:color w:val="000000"/>
                <w:lang w:eastAsia="fr-FR"/>
              </w:rPr>
            </w:pPr>
            <w:r w:rsidRPr="00EC126C">
              <w:rPr>
                <w:rFonts w:ascii="Times New Roman" w:hAnsi="Times New Roman"/>
                <w:b/>
                <w:bCs/>
                <w:color w:val="000000"/>
                <w:lang w:eastAsia="fr-FR"/>
              </w:rPr>
              <w:t>%</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gridSpan w:val="2"/>
            <w:shd w:val="clear" w:color="auto" w:fill="auto"/>
            <w:vAlign w:val="center"/>
            <w:hideMark/>
          </w:tcPr>
          <w:p w:rsidR="009344F2" w:rsidRPr="00EC126C" w:rsidRDefault="009344F2" w:rsidP="00E10907">
            <w:pPr>
              <w:jc w:val="both"/>
              <w:rPr>
                <w:rFonts w:ascii="Times New Roman" w:hAnsi="Times New Roman"/>
                <w:b/>
                <w:bCs/>
                <w:color w:val="000000"/>
                <w:lang w:eastAsia="fr-FR"/>
              </w:rPr>
            </w:pPr>
            <w:r>
              <w:rPr>
                <w:rFonts w:ascii="Times New Roman" w:hAnsi="Times New Roman"/>
                <w:bCs/>
                <w:color w:val="000000"/>
                <w:lang w:eastAsia="fr-FR"/>
              </w:rPr>
              <w:t>Tranche1 :</w:t>
            </w:r>
            <w:r w:rsidRPr="007220C1">
              <w:rPr>
                <w:rFonts w:ascii="Times New Roman" w:hAnsi="Times New Roman"/>
                <w:bCs/>
                <w:color w:val="000000"/>
                <w:lang w:eastAsia="fr-FR"/>
              </w:rPr>
              <w:t xml:space="preserve"> </w:t>
            </w:r>
            <w:r>
              <w:rPr>
                <w:rFonts w:ascii="Times New Roman" w:hAnsi="Times New Roman"/>
                <w:bCs/>
                <w:color w:val="000000"/>
                <w:lang w:eastAsia="fr-FR"/>
              </w:rPr>
              <w:t>Après signature du contrat, soumission et approbation de la n</w:t>
            </w:r>
            <w:r w:rsidRPr="00EC126C">
              <w:rPr>
                <w:rFonts w:ascii="Times New Roman" w:hAnsi="Times New Roman"/>
                <w:bCs/>
                <w:color w:val="000000"/>
                <w:lang w:eastAsia="fr-FR"/>
              </w:rPr>
              <w:t xml:space="preserve">ote méthodologique assortie d’un plan de travail et d’un chronogramme détaillé </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 xml:space="preserve">02 </w:t>
            </w:r>
            <w:r w:rsidRPr="00EC126C">
              <w:rPr>
                <w:rFonts w:ascii="Times New Roman" w:hAnsi="Times New Roman"/>
                <w:color w:val="000000"/>
                <w:lang w:eastAsia="fr-FR"/>
              </w:rPr>
              <w:t>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20</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gridSpan w:val="2"/>
            <w:shd w:val="clear" w:color="auto" w:fill="auto"/>
            <w:vAlign w:val="center"/>
          </w:tcPr>
          <w:p w:rsidR="009344F2" w:rsidRPr="00EC126C" w:rsidRDefault="009344F2" w:rsidP="00E10907">
            <w:pPr>
              <w:jc w:val="both"/>
              <w:rPr>
                <w:rFonts w:ascii="Times New Roman" w:hAnsi="Times New Roman"/>
                <w:bCs/>
                <w:color w:val="000000"/>
                <w:lang w:eastAsia="fr-FR"/>
              </w:rPr>
            </w:pPr>
            <w:r>
              <w:rPr>
                <w:rFonts w:ascii="Times New Roman" w:hAnsi="Times New Roman"/>
                <w:bCs/>
                <w:color w:val="000000"/>
                <w:lang w:eastAsia="fr-FR"/>
              </w:rPr>
              <w:lastRenderedPageBreak/>
              <w:t>Tranche2 :</w:t>
            </w:r>
            <w:r w:rsidRPr="007220C1">
              <w:rPr>
                <w:rFonts w:ascii="Times New Roman" w:hAnsi="Times New Roman"/>
                <w:bCs/>
                <w:color w:val="000000"/>
                <w:lang w:eastAsia="fr-FR"/>
              </w:rPr>
              <w:t xml:space="preserve"> </w:t>
            </w:r>
            <w:r>
              <w:rPr>
                <w:rFonts w:ascii="Times New Roman" w:hAnsi="Times New Roman"/>
                <w:bCs/>
                <w:color w:val="000000"/>
                <w:lang w:eastAsia="fr-FR"/>
              </w:rPr>
              <w:t>Après approbation du r</w:t>
            </w:r>
            <w:r w:rsidRPr="007220C1">
              <w:rPr>
                <w:rFonts w:ascii="Times New Roman" w:hAnsi="Times New Roman"/>
                <w:bCs/>
                <w:color w:val="000000"/>
                <w:lang w:eastAsia="fr-FR"/>
              </w:rPr>
              <w:t>apport de validation des APD/DAO de renforcement et de construction de PCH en Guinée. Ce rapport sera assorti des données techniques et économiques y compris des plans d’affaires pour la construction des PCH ;</w:t>
            </w:r>
          </w:p>
        </w:tc>
        <w:tc>
          <w:tcPr>
            <w:tcW w:w="1119" w:type="dxa"/>
            <w:shd w:val="clear" w:color="auto" w:fill="auto"/>
            <w:vAlign w:val="center"/>
          </w:tcPr>
          <w:p w:rsidR="009344F2" w:rsidRDefault="009344F2" w:rsidP="00E10907">
            <w:pPr>
              <w:jc w:val="center"/>
              <w:rPr>
                <w:rFonts w:ascii="Times New Roman" w:hAnsi="Times New Roman"/>
                <w:color w:val="000000"/>
                <w:lang w:eastAsia="fr-FR"/>
              </w:rPr>
            </w:pPr>
            <w:r>
              <w:rPr>
                <w:rFonts w:ascii="Times New Roman" w:hAnsi="Times New Roman"/>
                <w:color w:val="000000"/>
                <w:lang w:eastAsia="fr-FR"/>
              </w:rPr>
              <w:t>20 jours</w:t>
            </w:r>
          </w:p>
        </w:tc>
        <w:tc>
          <w:tcPr>
            <w:tcW w:w="1261" w:type="dxa"/>
            <w:shd w:val="clear" w:color="auto" w:fill="auto"/>
            <w:vAlign w:val="center"/>
          </w:tcPr>
          <w:p w:rsidR="009344F2" w:rsidRDefault="009344F2" w:rsidP="00E10907">
            <w:pPr>
              <w:jc w:val="center"/>
              <w:rPr>
                <w:rFonts w:ascii="Times New Roman" w:hAnsi="Times New Roman"/>
                <w:color w:val="000000"/>
                <w:lang w:eastAsia="fr-FR"/>
              </w:rPr>
            </w:pPr>
            <w:r>
              <w:rPr>
                <w:rFonts w:ascii="Times New Roman" w:hAnsi="Times New Roman"/>
                <w:color w:val="000000"/>
                <w:lang w:eastAsia="fr-FR"/>
              </w:rPr>
              <w:t>30%</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gridSpan w:val="2"/>
            <w:shd w:val="clear" w:color="auto" w:fill="auto"/>
            <w:vAlign w:val="center"/>
          </w:tcPr>
          <w:p w:rsidR="009344F2" w:rsidRPr="00E60AB4" w:rsidRDefault="009344F2" w:rsidP="00E10907">
            <w:pPr>
              <w:jc w:val="both"/>
              <w:rPr>
                <w:rFonts w:ascii="Times New Roman" w:hAnsi="Times New Roman"/>
                <w:bCs/>
                <w:color w:val="000000"/>
                <w:lang w:val="fr-CA" w:eastAsia="fr-FR"/>
              </w:rPr>
            </w:pPr>
            <w:r>
              <w:rPr>
                <w:rFonts w:ascii="Times New Roman" w:hAnsi="Times New Roman"/>
                <w:bCs/>
                <w:color w:val="000000"/>
                <w:lang w:eastAsia="fr-FR"/>
              </w:rPr>
              <w:t>Tranche 3 :</w:t>
            </w:r>
            <w:r w:rsidRPr="007220C1">
              <w:rPr>
                <w:rFonts w:ascii="Times New Roman" w:hAnsi="Times New Roman"/>
                <w:bCs/>
                <w:color w:val="000000"/>
                <w:lang w:eastAsia="fr-FR"/>
              </w:rPr>
              <w:t xml:space="preserve"> </w:t>
            </w:r>
            <w:r>
              <w:rPr>
                <w:rFonts w:ascii="Times New Roman" w:hAnsi="Times New Roman"/>
                <w:bCs/>
                <w:color w:val="000000"/>
                <w:lang w:eastAsia="fr-FR"/>
              </w:rPr>
              <w:t>Après la deuxième mission de terrain avec un guide</w:t>
            </w:r>
            <w:r w:rsidRPr="0013626D">
              <w:rPr>
                <w:rFonts w:ascii="Times New Roman" w:hAnsi="Times New Roman"/>
                <w:bCs/>
                <w:color w:val="000000"/>
                <w:lang w:eastAsia="fr-FR"/>
              </w:rPr>
              <w:t xml:space="preserve"> pour la</w:t>
            </w:r>
            <w:r>
              <w:rPr>
                <w:rFonts w:ascii="Times New Roman" w:hAnsi="Times New Roman"/>
                <w:bCs/>
                <w:color w:val="000000"/>
                <w:lang w:eastAsia="fr-FR"/>
              </w:rPr>
              <w:t xml:space="preserve"> construction et exploitation de PCH en Guinée ». </w:t>
            </w:r>
            <w:proofErr w:type="gramStart"/>
            <w:r w:rsidRPr="00AC5CB2">
              <w:rPr>
                <w:rFonts w:ascii="Times New Roman" w:hAnsi="Times New Roman"/>
                <w:bCs/>
                <w:color w:val="000000"/>
                <w:lang w:eastAsia="fr-FR"/>
              </w:rPr>
              <w:t>un</w:t>
            </w:r>
            <w:proofErr w:type="gramEnd"/>
            <w:r w:rsidRPr="00AC5CB2">
              <w:rPr>
                <w:rFonts w:ascii="Times New Roman" w:hAnsi="Times New Roman"/>
                <w:bCs/>
                <w:color w:val="000000"/>
                <w:lang w:eastAsia="fr-FR"/>
              </w:rPr>
              <w:t xml:space="preserve"> guide pour la construction et l’exploitation de PCH en Guinée», présentant les résultats et des recommandations pour les actions futures. Rapport final validé par le PNUD et la partie nationale.</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10 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25</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gridSpan w:val="2"/>
            <w:shd w:val="clear" w:color="auto" w:fill="auto"/>
            <w:vAlign w:val="center"/>
          </w:tcPr>
          <w:p w:rsidR="009344F2" w:rsidRPr="00CA0699" w:rsidRDefault="009344F2" w:rsidP="00E10907">
            <w:pPr>
              <w:jc w:val="both"/>
              <w:rPr>
                <w:rFonts w:ascii="Times New Roman" w:hAnsi="Times New Roman"/>
                <w:bCs/>
                <w:color w:val="000000"/>
                <w:lang w:eastAsia="fr-FR"/>
              </w:rPr>
            </w:pPr>
            <w:r>
              <w:rPr>
                <w:rFonts w:ascii="Times New Roman" w:hAnsi="Times New Roman"/>
                <w:bCs/>
                <w:color w:val="000000"/>
                <w:lang w:eastAsia="fr-FR"/>
              </w:rPr>
              <w:t>Tranche 3 :</w:t>
            </w:r>
            <w:r w:rsidRPr="007220C1">
              <w:rPr>
                <w:rFonts w:ascii="Times New Roman" w:hAnsi="Times New Roman"/>
                <w:bCs/>
                <w:color w:val="000000"/>
                <w:lang w:eastAsia="fr-FR"/>
              </w:rPr>
              <w:t xml:space="preserve"> </w:t>
            </w:r>
            <w:r>
              <w:rPr>
                <w:rFonts w:ascii="Times New Roman" w:hAnsi="Times New Roman"/>
                <w:bCs/>
                <w:color w:val="000000"/>
                <w:lang w:eastAsia="fr-FR"/>
              </w:rPr>
              <w:t xml:space="preserve">Après validation </w:t>
            </w:r>
            <w:r w:rsidRPr="00CA0699">
              <w:rPr>
                <w:rFonts w:ascii="Times New Roman" w:hAnsi="Times New Roman"/>
                <w:bCs/>
                <w:color w:val="000000"/>
                <w:lang w:eastAsia="fr-FR"/>
              </w:rPr>
              <w:t>par le PNUD et le Gouvernement</w:t>
            </w:r>
            <w:r w:rsidRPr="00CA0699" w:rsidDel="00385A5B">
              <w:rPr>
                <w:rFonts w:ascii="Times New Roman" w:hAnsi="Times New Roman"/>
                <w:bCs/>
                <w:color w:val="000000"/>
                <w:lang w:eastAsia="fr-FR"/>
              </w:rPr>
              <w:t xml:space="preserve"> </w:t>
            </w:r>
            <w:r>
              <w:rPr>
                <w:rFonts w:ascii="Times New Roman" w:hAnsi="Times New Roman"/>
                <w:bCs/>
                <w:color w:val="000000"/>
                <w:lang w:eastAsia="fr-FR"/>
              </w:rPr>
              <w:t xml:space="preserve">du guide de </w:t>
            </w:r>
            <w:r w:rsidRPr="00317159">
              <w:rPr>
                <w:rFonts w:ascii="Times New Roman" w:hAnsi="Times New Roman"/>
                <w:bCs/>
                <w:color w:val="000000"/>
                <w:lang w:eastAsia="fr-FR"/>
              </w:rPr>
              <w:t>formulation de modules de formation sur l’évaluation de site, la construction, O&amp;M de PCH.</w:t>
            </w:r>
            <w:r w:rsidRPr="00CA0699">
              <w:rPr>
                <w:rFonts w:ascii="Times New Roman" w:hAnsi="Times New Roman"/>
                <w:bCs/>
                <w:color w:val="000000"/>
                <w:lang w:eastAsia="fr-FR"/>
              </w:rPr>
              <w:t xml:space="preserve"> </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03 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25</w:t>
            </w:r>
          </w:p>
        </w:tc>
      </w:tr>
      <w:tr w:rsidR="009344F2" w:rsidRPr="00570EA0" w:rsidTr="00E10907">
        <w:tblPrEx>
          <w:shd w:val="clear" w:color="auto" w:fill="auto"/>
          <w:tblCellMar>
            <w:left w:w="70" w:type="dxa"/>
            <w:right w:w="70" w:type="dxa"/>
          </w:tblCellMar>
          <w:tblLook w:val="04A0" w:firstRow="1" w:lastRow="0" w:firstColumn="1" w:lastColumn="0" w:noHBand="0" w:noVBand="1"/>
        </w:tblPrEx>
        <w:trPr>
          <w:trHeight w:val="95"/>
        </w:trPr>
        <w:tc>
          <w:tcPr>
            <w:tcW w:w="7367" w:type="dxa"/>
            <w:gridSpan w:val="2"/>
            <w:shd w:val="clear" w:color="auto" w:fill="auto"/>
            <w:vAlign w:val="center"/>
          </w:tcPr>
          <w:p w:rsidR="009344F2" w:rsidRPr="00570EA0" w:rsidRDefault="009344F2" w:rsidP="00E10907">
            <w:pPr>
              <w:ind w:left="466"/>
              <w:jc w:val="both"/>
              <w:rPr>
                <w:rFonts w:ascii="Times New Roman" w:hAnsi="Times New Roman"/>
                <w:b/>
                <w:bCs/>
                <w:color w:val="000000"/>
                <w:lang w:eastAsia="fr-FR"/>
              </w:rPr>
            </w:pPr>
            <w:r w:rsidRPr="00570EA0">
              <w:rPr>
                <w:rFonts w:ascii="Times New Roman" w:hAnsi="Times New Roman"/>
                <w:b/>
                <w:bCs/>
                <w:color w:val="000000"/>
                <w:lang w:eastAsia="fr-FR"/>
              </w:rPr>
              <w:t>Total</w:t>
            </w:r>
          </w:p>
        </w:tc>
        <w:tc>
          <w:tcPr>
            <w:tcW w:w="1119" w:type="dxa"/>
            <w:shd w:val="clear" w:color="auto" w:fill="auto"/>
            <w:vAlign w:val="center"/>
          </w:tcPr>
          <w:p w:rsidR="009344F2" w:rsidRPr="00570EA0" w:rsidRDefault="009344F2" w:rsidP="00E10907">
            <w:pPr>
              <w:jc w:val="center"/>
              <w:rPr>
                <w:rFonts w:ascii="Times New Roman" w:hAnsi="Times New Roman"/>
                <w:b/>
                <w:color w:val="000000"/>
                <w:lang w:eastAsia="fr-FR"/>
              </w:rPr>
            </w:pPr>
            <w:r>
              <w:rPr>
                <w:rFonts w:ascii="Times New Roman" w:hAnsi="Times New Roman"/>
                <w:b/>
                <w:color w:val="000000"/>
                <w:lang w:eastAsia="fr-FR"/>
              </w:rPr>
              <w:t>35</w:t>
            </w:r>
            <w:r w:rsidRPr="00570EA0">
              <w:rPr>
                <w:rFonts w:ascii="Times New Roman" w:hAnsi="Times New Roman"/>
                <w:b/>
                <w:color w:val="000000"/>
                <w:lang w:eastAsia="fr-FR"/>
              </w:rPr>
              <w:t xml:space="preserve"> jours</w:t>
            </w:r>
          </w:p>
        </w:tc>
        <w:tc>
          <w:tcPr>
            <w:tcW w:w="1261" w:type="dxa"/>
            <w:shd w:val="clear" w:color="auto" w:fill="auto"/>
            <w:vAlign w:val="center"/>
          </w:tcPr>
          <w:p w:rsidR="009344F2" w:rsidRPr="00570EA0" w:rsidRDefault="009344F2" w:rsidP="00E10907">
            <w:pPr>
              <w:jc w:val="center"/>
              <w:rPr>
                <w:rFonts w:ascii="Times New Roman" w:hAnsi="Times New Roman"/>
                <w:b/>
                <w:color w:val="000000"/>
                <w:lang w:eastAsia="fr-FR"/>
              </w:rPr>
            </w:pPr>
            <w:r w:rsidRPr="00570EA0">
              <w:rPr>
                <w:rFonts w:ascii="Times New Roman" w:hAnsi="Times New Roman"/>
                <w:b/>
                <w:color w:val="000000"/>
                <w:lang w:eastAsia="fr-FR"/>
              </w:rPr>
              <w:t>100%</w:t>
            </w:r>
          </w:p>
        </w:tc>
      </w:tr>
      <w:tr w:rsidR="009344F2" w:rsidRPr="00707A64" w:rsidTr="00E1090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cantSplit/>
        </w:trPr>
        <w:tc>
          <w:tcPr>
            <w:tcW w:w="9747" w:type="dxa"/>
            <w:gridSpan w:val="4"/>
            <w:shd w:val="clear" w:color="auto" w:fill="00467A"/>
          </w:tcPr>
          <w:p w:rsidR="009344F2" w:rsidRPr="00707A64" w:rsidRDefault="009344F2" w:rsidP="00E10907">
            <w:pPr>
              <w:pStyle w:val="T1"/>
              <w:spacing w:before="0" w:after="0"/>
            </w:pPr>
            <w:r>
              <w:t>XI. Dossiers à fournir</w:t>
            </w:r>
          </w:p>
        </w:tc>
      </w:tr>
      <w:tr w:rsidR="009344F2" w:rsidRPr="00442865" w:rsidTr="00E10907">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555"/>
        </w:trPr>
        <w:tc>
          <w:tcPr>
            <w:tcW w:w="1526" w:type="dxa"/>
          </w:tcPr>
          <w:p w:rsidR="009344F2" w:rsidRPr="00707A64" w:rsidRDefault="009344F2" w:rsidP="00E10907">
            <w:pPr>
              <w:pStyle w:val="P1"/>
            </w:pPr>
          </w:p>
        </w:tc>
        <w:tc>
          <w:tcPr>
            <w:tcW w:w="8221" w:type="dxa"/>
            <w:gridSpan w:val="3"/>
          </w:tcPr>
          <w:p w:rsidR="009344F2" w:rsidRDefault="009344F2" w:rsidP="00E10907">
            <w:pPr>
              <w:pStyle w:val="P1"/>
            </w:pPr>
            <w:r>
              <w:t>Les candidats intéressés devront fournir une offre technique et une offre financière.</w:t>
            </w:r>
          </w:p>
          <w:p w:rsidR="009344F2" w:rsidRDefault="009344F2" w:rsidP="00E10907">
            <w:pPr>
              <w:pStyle w:val="P1"/>
            </w:pPr>
            <w:r>
              <w:t>L’offre technique comprend :</w:t>
            </w:r>
          </w:p>
          <w:p w:rsidR="009344F2" w:rsidRDefault="009344F2" w:rsidP="009344F2">
            <w:pPr>
              <w:pStyle w:val="P1"/>
              <w:numPr>
                <w:ilvl w:val="0"/>
                <w:numId w:val="14"/>
              </w:numPr>
            </w:pPr>
            <w:r>
              <w:t>Une lettre de motivation,</w:t>
            </w:r>
          </w:p>
          <w:p w:rsidR="009344F2" w:rsidRDefault="009344F2" w:rsidP="009344F2">
            <w:pPr>
              <w:pStyle w:val="P1"/>
              <w:numPr>
                <w:ilvl w:val="0"/>
                <w:numId w:val="14"/>
              </w:numPr>
            </w:pPr>
            <w:r>
              <w:t>Une méthodologie de travail assortie d’un plan d’activités,</w:t>
            </w:r>
          </w:p>
          <w:p w:rsidR="009344F2" w:rsidRDefault="009344F2" w:rsidP="009344F2">
            <w:pPr>
              <w:pStyle w:val="P1"/>
              <w:numPr>
                <w:ilvl w:val="0"/>
                <w:numId w:val="14"/>
              </w:numPr>
            </w:pPr>
            <w:r>
              <w:t>Un CV avec copie certifiée des diplômes,</w:t>
            </w:r>
          </w:p>
          <w:p w:rsidR="009344F2" w:rsidRDefault="009344F2" w:rsidP="009344F2">
            <w:pPr>
              <w:pStyle w:val="P1"/>
              <w:numPr>
                <w:ilvl w:val="0"/>
                <w:numId w:val="14"/>
              </w:numPr>
            </w:pPr>
            <w:r>
              <w:t>Une Fiche P 11 dûment remplie</w:t>
            </w:r>
          </w:p>
          <w:p w:rsidR="009344F2" w:rsidRPr="00707A64" w:rsidRDefault="009344F2" w:rsidP="00E10907">
            <w:pPr>
              <w:pStyle w:val="P1"/>
            </w:pPr>
            <w:r>
              <w:t>L’offre financière devra comprendre les coûts unitaires et totaux des honoraires et des DSA.</w:t>
            </w:r>
          </w:p>
        </w:tc>
      </w:tr>
    </w:tbl>
    <w:p w:rsidR="00402EAC" w:rsidRPr="00A331C4" w:rsidRDefault="00402EAC" w:rsidP="009344F2">
      <w:pPr>
        <w:spacing w:line="240" w:lineRule="auto"/>
        <w:jc w:val="both"/>
        <w:rPr>
          <w:rFonts w:ascii="Maiandra GD" w:hAnsi="Maiandra GD"/>
        </w:rPr>
      </w:pPr>
      <w:r>
        <w:rPr>
          <w:rFonts w:ascii="Maiandra GD" w:hAnsi="Maiandra GD"/>
          <w:noProof/>
          <w:lang w:eastAsia="fr-FR"/>
        </w:rPr>
        <mc:AlternateContent>
          <mc:Choice Requires="wps">
            <w:drawing>
              <wp:anchor distT="4294967293" distB="4294967293" distL="114300" distR="114300" simplePos="0" relativeHeight="251663360" behindDoc="0" locked="0" layoutInCell="1" allowOverlap="1" wp14:anchorId="22DC2C4B" wp14:editId="739BF2F0">
                <wp:simplePos x="0" y="0"/>
                <wp:positionH relativeFrom="margin">
                  <wp:posOffset>-143543</wp:posOffset>
                </wp:positionH>
                <wp:positionV relativeFrom="paragraph">
                  <wp:posOffset>269240</wp:posOffset>
                </wp:positionV>
                <wp:extent cx="6141720" cy="22860"/>
                <wp:effectExtent l="19050" t="19050" r="30480" b="3429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2286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5E63" id="Connecteur droit 151"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3pt,21.2pt" to="4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" strokecolor="#339" strokeweight="3pt">
                <v:stroke linestyle="thinThin"/>
                <w10:wrap anchorx="margin"/>
              </v:line>
            </w:pict>
          </mc:Fallback>
        </mc:AlternateContent>
      </w:r>
      <w:bookmarkEnd w:id="1"/>
      <w:bookmarkEnd w:id="2"/>
      <w:bookmarkEnd w:id="3"/>
    </w:p>
    <w:p w:rsidR="00402EAC" w:rsidRPr="00F21484" w:rsidRDefault="00402EAC" w:rsidP="00402EAC">
      <w:pPr>
        <w:pStyle w:val="Paragraphedeliste"/>
        <w:numPr>
          <w:ilvl w:val="0"/>
          <w:numId w:val="3"/>
        </w:numPr>
        <w:tabs>
          <w:tab w:val="left" w:pos="284"/>
        </w:tabs>
        <w:suppressAutoHyphens/>
        <w:spacing w:after="0" w:line="240" w:lineRule="auto"/>
        <w:jc w:val="both"/>
        <w:rPr>
          <w:rFonts w:ascii="Garamond" w:hAnsi="Garamond"/>
          <w:b/>
          <w:sz w:val="28"/>
          <w:szCs w:val="24"/>
        </w:rPr>
      </w:pPr>
      <w:r w:rsidRPr="00F21484">
        <w:rPr>
          <w:rFonts w:ascii="Garamond" w:hAnsi="Garamond"/>
          <w:b/>
          <w:sz w:val="28"/>
          <w:szCs w:val="24"/>
        </w:rPr>
        <w:t>Cadre budgétaire pour l’offre financière</w:t>
      </w:r>
    </w:p>
    <w:p w:rsidR="00402EAC" w:rsidRPr="00F21265" w:rsidRDefault="00402EAC" w:rsidP="00402EAC">
      <w:pPr>
        <w:tabs>
          <w:tab w:val="left" w:pos="284"/>
        </w:tabs>
        <w:suppressAutoHyphens/>
        <w:spacing w:before="240" w:after="0" w:line="240" w:lineRule="auto"/>
        <w:jc w:val="both"/>
        <w:rPr>
          <w:rFonts w:ascii="Garamond" w:hAnsi="Garamond"/>
          <w:sz w:val="24"/>
          <w:szCs w:val="24"/>
        </w:rPr>
      </w:pPr>
      <w:r w:rsidRPr="00F21265">
        <w:rPr>
          <w:rFonts w:ascii="Garamond" w:hAnsi="Garamond"/>
          <w:sz w:val="24"/>
          <w:szCs w:val="24"/>
        </w:rPr>
        <w:t>Les soumissionnaires sont invités à utiliser le cadre budgétaire suivant :</w:t>
      </w:r>
    </w:p>
    <w:p w:rsidR="00402EAC" w:rsidRPr="00F21265" w:rsidRDefault="00402EAC" w:rsidP="00402EAC">
      <w:pPr>
        <w:tabs>
          <w:tab w:val="left" w:pos="284"/>
        </w:tabs>
        <w:suppressAutoHyphens/>
        <w:spacing w:after="0" w:line="240" w:lineRule="auto"/>
        <w:jc w:val="both"/>
        <w:rPr>
          <w:rFonts w:ascii="Garamond" w:hAnsi="Garamond"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4"/>
        <w:gridCol w:w="1558"/>
        <w:gridCol w:w="1134"/>
        <w:gridCol w:w="1558"/>
        <w:gridCol w:w="1842"/>
      </w:tblGrid>
      <w:tr w:rsidR="00402EAC"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N°</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Rubriques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Unité</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Quantité</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Prix Unitaire (GNF)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Montant Total (GNF)</w:t>
            </w:r>
          </w:p>
        </w:tc>
      </w:tr>
      <w:tr w:rsidR="00402EAC" w:rsidRPr="00F21265" w:rsidTr="00E10907">
        <w:tc>
          <w:tcPr>
            <w:tcW w:w="70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w:t>
            </w:r>
          </w:p>
        </w:tc>
        <w:tc>
          <w:tcPr>
            <w:tcW w:w="3085" w:type="dxa"/>
            <w:tcBorders>
              <w:top w:val="single" w:sz="4" w:space="0" w:color="000000"/>
              <w:left w:val="single" w:sz="4" w:space="0" w:color="000000"/>
              <w:bottom w:val="single" w:sz="4" w:space="0" w:color="000000"/>
              <w:right w:val="single" w:sz="4" w:space="0" w:color="000000"/>
            </w:tcBorders>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Honoraires consultants (conception et analyste)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2EAC" w:rsidRPr="00AE73F6" w:rsidRDefault="00402EAC"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Homme/Jour</w:t>
            </w: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39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w:t>
            </w:r>
          </w:p>
        </w:tc>
        <w:tc>
          <w:tcPr>
            <w:tcW w:w="3085" w:type="dxa"/>
            <w:tcBorders>
              <w:top w:val="single" w:sz="4" w:space="0" w:color="000000"/>
              <w:left w:val="single" w:sz="4" w:space="0" w:color="000000"/>
              <w:bottom w:val="single" w:sz="4" w:space="0" w:color="000000"/>
              <w:right w:val="single" w:sz="4" w:space="0" w:color="000000"/>
            </w:tcBorders>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Per diem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02EAC" w:rsidRPr="00AE73F6" w:rsidRDefault="00402EAC" w:rsidP="00E10907">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Jour</w:t>
            </w: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III</w:t>
            </w:r>
          </w:p>
        </w:tc>
        <w:tc>
          <w:tcPr>
            <w:tcW w:w="3085" w:type="dxa"/>
            <w:tcBorders>
              <w:top w:val="single" w:sz="4" w:space="0" w:color="000000"/>
              <w:left w:val="single" w:sz="4" w:space="0" w:color="000000"/>
              <w:bottom w:val="single" w:sz="4" w:space="0" w:color="000000"/>
              <w:right w:val="single" w:sz="4" w:space="0" w:color="000000"/>
            </w:tcBorders>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Logistique</w:t>
            </w: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2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IV</w:t>
            </w:r>
          </w:p>
        </w:tc>
        <w:tc>
          <w:tcPr>
            <w:tcW w:w="3085" w:type="dxa"/>
            <w:tcBorders>
              <w:top w:val="single" w:sz="4" w:space="0" w:color="000000"/>
              <w:left w:val="single" w:sz="4" w:space="0" w:color="000000"/>
              <w:bottom w:val="single" w:sz="4" w:space="0" w:color="000000"/>
              <w:right w:val="single" w:sz="4" w:space="0" w:color="000000"/>
            </w:tcBorders>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Frais divers :</w:t>
            </w: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11"/>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Fournitures</w:t>
            </w: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17"/>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Reprographie</w:t>
            </w: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09"/>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402EAC" w:rsidRPr="00F21265" w:rsidRDefault="00402EAC" w:rsidP="00E10907">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Communication</w:t>
            </w: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r w:rsidR="00402EAC" w:rsidRPr="00F21265" w:rsidTr="00E10907">
        <w:trPr>
          <w:trHeight w:val="408"/>
        </w:trPr>
        <w:tc>
          <w:tcPr>
            <w:tcW w:w="8046" w:type="dxa"/>
            <w:gridSpan w:val="5"/>
            <w:tcBorders>
              <w:top w:val="single" w:sz="4" w:space="0" w:color="000000"/>
              <w:left w:val="single" w:sz="4" w:space="0" w:color="000000"/>
              <w:bottom w:val="single" w:sz="4" w:space="0" w:color="000000"/>
              <w:right w:val="single" w:sz="4" w:space="0" w:color="000000"/>
            </w:tcBorders>
            <w:vAlign w:val="bottom"/>
            <w:hideMark/>
          </w:tcPr>
          <w:p w:rsidR="00402EAC" w:rsidRPr="00F21265" w:rsidRDefault="00402EAC" w:rsidP="00E10907">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402EAC" w:rsidRPr="00F21265" w:rsidRDefault="00402EAC" w:rsidP="00E10907">
            <w:pPr>
              <w:tabs>
                <w:tab w:val="left" w:pos="284"/>
              </w:tabs>
              <w:suppressAutoHyphens/>
              <w:spacing w:after="0" w:line="240" w:lineRule="auto"/>
              <w:jc w:val="both"/>
              <w:rPr>
                <w:rFonts w:ascii="Garamond" w:hAnsi="Garamond" w:cs="Arial"/>
                <w:sz w:val="24"/>
                <w:szCs w:val="24"/>
              </w:rPr>
            </w:pPr>
          </w:p>
        </w:tc>
      </w:tr>
    </w:tbl>
    <w:p w:rsidR="00402EAC" w:rsidRPr="009344F2" w:rsidRDefault="00402EAC" w:rsidP="009344F2">
      <w:pPr>
        <w:pStyle w:val="Paragraphedeliste"/>
        <w:numPr>
          <w:ilvl w:val="0"/>
          <w:numId w:val="3"/>
        </w:numPr>
        <w:tabs>
          <w:tab w:val="left" w:pos="284"/>
        </w:tabs>
        <w:suppressAutoHyphens/>
        <w:spacing w:before="240" w:after="0" w:line="240" w:lineRule="auto"/>
        <w:jc w:val="both"/>
        <w:rPr>
          <w:rFonts w:ascii="Garamond" w:eastAsia="Times New Roman" w:hAnsi="Garamond"/>
          <w:sz w:val="28"/>
          <w:szCs w:val="24"/>
          <w:lang w:eastAsia="fr-FR"/>
        </w:rPr>
      </w:pPr>
      <w:r w:rsidRPr="00AE73F6">
        <w:rPr>
          <w:rFonts w:ascii="Garamond" w:eastAsia="Times New Roman" w:hAnsi="Garamond"/>
          <w:b/>
          <w:sz w:val="28"/>
          <w:szCs w:val="24"/>
          <w:lang w:eastAsia="fr-FR"/>
        </w:rPr>
        <w:t>Calendrier des paiements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7367"/>
        <w:gridCol w:w="1119"/>
        <w:gridCol w:w="1261"/>
        <w:tblGridChange w:id="7">
          <w:tblGrid>
            <w:gridCol w:w="7367"/>
            <w:gridCol w:w="1119"/>
            <w:gridCol w:w="1261"/>
          </w:tblGrid>
        </w:tblGridChange>
      </w:tblGrid>
      <w:tr w:rsidR="009344F2" w:rsidRPr="00EC126C" w:rsidTr="00E10907">
        <w:trPr>
          <w:trHeight w:val="369"/>
        </w:trPr>
        <w:tc>
          <w:tcPr>
            <w:tcW w:w="9747" w:type="dxa"/>
            <w:gridSpan w:val="3"/>
            <w:shd w:val="clear" w:color="auto" w:fill="00467A"/>
            <w:vAlign w:val="center"/>
          </w:tcPr>
          <w:p w:rsidR="009344F2" w:rsidRPr="00EC126C" w:rsidRDefault="009344F2" w:rsidP="00E10907">
            <w:pPr>
              <w:jc w:val="both"/>
              <w:rPr>
                <w:rFonts w:ascii="Times New Roman" w:hAnsi="Times New Roman"/>
                <w:b/>
                <w:bCs/>
              </w:rPr>
            </w:pPr>
            <w:r w:rsidRPr="00EC126C">
              <w:rPr>
                <w:rFonts w:ascii="Times New Roman" w:hAnsi="Times New Roman"/>
                <w:b/>
                <w:bCs/>
              </w:rPr>
              <w:t xml:space="preserve">X. JALONS DE PAIEMENT  </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302"/>
        </w:trPr>
        <w:tc>
          <w:tcPr>
            <w:tcW w:w="7367" w:type="dxa"/>
            <w:shd w:val="clear" w:color="auto" w:fill="auto"/>
            <w:vAlign w:val="center"/>
            <w:hideMark/>
          </w:tcPr>
          <w:p w:rsidR="009344F2" w:rsidRPr="00EC126C" w:rsidRDefault="009344F2" w:rsidP="00E10907">
            <w:pPr>
              <w:jc w:val="both"/>
              <w:rPr>
                <w:rFonts w:ascii="Times New Roman" w:hAnsi="Times New Roman"/>
                <w:b/>
                <w:bCs/>
                <w:color w:val="000000"/>
                <w:lang w:eastAsia="fr-FR"/>
              </w:rPr>
            </w:pPr>
            <w:r w:rsidRPr="00EC126C">
              <w:rPr>
                <w:rFonts w:ascii="Times New Roman" w:hAnsi="Times New Roman"/>
                <w:b/>
                <w:bCs/>
                <w:color w:val="000000"/>
                <w:lang w:eastAsia="fr-FR"/>
              </w:rPr>
              <w:t>Livrables</w:t>
            </w:r>
          </w:p>
        </w:tc>
        <w:tc>
          <w:tcPr>
            <w:tcW w:w="1119" w:type="dxa"/>
            <w:shd w:val="clear" w:color="auto" w:fill="auto"/>
            <w:vAlign w:val="center"/>
            <w:hideMark/>
          </w:tcPr>
          <w:p w:rsidR="009344F2" w:rsidRPr="00EC126C" w:rsidRDefault="009344F2" w:rsidP="00E10907">
            <w:pPr>
              <w:jc w:val="center"/>
              <w:rPr>
                <w:rFonts w:ascii="Times New Roman" w:hAnsi="Times New Roman"/>
                <w:b/>
                <w:bCs/>
                <w:color w:val="000000"/>
                <w:lang w:eastAsia="fr-FR"/>
              </w:rPr>
            </w:pPr>
            <w:r w:rsidRPr="00EC126C">
              <w:rPr>
                <w:rFonts w:ascii="Times New Roman" w:hAnsi="Times New Roman"/>
                <w:b/>
                <w:bCs/>
                <w:color w:val="000000"/>
                <w:lang w:eastAsia="fr-FR"/>
              </w:rPr>
              <w:t xml:space="preserve">Délai </w:t>
            </w:r>
          </w:p>
        </w:tc>
        <w:tc>
          <w:tcPr>
            <w:tcW w:w="1261" w:type="dxa"/>
            <w:shd w:val="clear" w:color="auto" w:fill="auto"/>
            <w:vAlign w:val="center"/>
            <w:hideMark/>
          </w:tcPr>
          <w:p w:rsidR="009344F2" w:rsidRPr="00EC126C" w:rsidRDefault="009344F2" w:rsidP="00E10907">
            <w:pPr>
              <w:jc w:val="center"/>
              <w:rPr>
                <w:rFonts w:ascii="Times New Roman" w:hAnsi="Times New Roman"/>
                <w:b/>
                <w:bCs/>
                <w:color w:val="000000"/>
                <w:lang w:eastAsia="fr-FR"/>
              </w:rPr>
            </w:pPr>
            <w:r w:rsidRPr="00EC126C">
              <w:rPr>
                <w:rFonts w:ascii="Times New Roman" w:hAnsi="Times New Roman"/>
                <w:b/>
                <w:bCs/>
                <w:color w:val="000000"/>
                <w:lang w:eastAsia="fr-FR"/>
              </w:rPr>
              <w:t>%</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shd w:val="clear" w:color="auto" w:fill="auto"/>
            <w:vAlign w:val="center"/>
            <w:hideMark/>
          </w:tcPr>
          <w:p w:rsidR="009344F2" w:rsidRPr="00EC126C" w:rsidRDefault="009344F2" w:rsidP="00E10907">
            <w:pPr>
              <w:jc w:val="both"/>
              <w:rPr>
                <w:rFonts w:ascii="Times New Roman" w:hAnsi="Times New Roman"/>
                <w:b/>
                <w:bCs/>
                <w:color w:val="000000"/>
                <w:lang w:eastAsia="fr-FR"/>
              </w:rPr>
            </w:pPr>
            <w:r>
              <w:rPr>
                <w:rFonts w:ascii="Times New Roman" w:hAnsi="Times New Roman"/>
                <w:bCs/>
                <w:color w:val="000000"/>
                <w:lang w:eastAsia="fr-FR"/>
              </w:rPr>
              <w:t>Tranche1 :</w:t>
            </w:r>
            <w:r w:rsidRPr="007220C1">
              <w:rPr>
                <w:rFonts w:ascii="Times New Roman" w:hAnsi="Times New Roman"/>
                <w:bCs/>
                <w:color w:val="000000"/>
                <w:lang w:eastAsia="fr-FR"/>
              </w:rPr>
              <w:t xml:space="preserve"> </w:t>
            </w:r>
            <w:r>
              <w:rPr>
                <w:rFonts w:ascii="Times New Roman" w:hAnsi="Times New Roman"/>
                <w:bCs/>
                <w:color w:val="000000"/>
                <w:lang w:eastAsia="fr-FR"/>
              </w:rPr>
              <w:t>Après signature du contrat, soumission et approbation de la n</w:t>
            </w:r>
            <w:r w:rsidRPr="00EC126C">
              <w:rPr>
                <w:rFonts w:ascii="Times New Roman" w:hAnsi="Times New Roman"/>
                <w:bCs/>
                <w:color w:val="000000"/>
                <w:lang w:eastAsia="fr-FR"/>
              </w:rPr>
              <w:t xml:space="preserve">ote méthodologique assortie d’un plan de travail et d’un chronogramme détaillé </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 xml:space="preserve">02 </w:t>
            </w:r>
            <w:r w:rsidRPr="00EC126C">
              <w:rPr>
                <w:rFonts w:ascii="Times New Roman" w:hAnsi="Times New Roman"/>
                <w:color w:val="000000"/>
                <w:lang w:eastAsia="fr-FR"/>
              </w:rPr>
              <w:t>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20</w:t>
            </w:r>
          </w:p>
        </w:tc>
      </w:tr>
      <w:tr w:rsidR="009344F2"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shd w:val="clear" w:color="auto" w:fill="auto"/>
            <w:vAlign w:val="center"/>
          </w:tcPr>
          <w:p w:rsidR="009344F2" w:rsidRPr="00EC126C" w:rsidRDefault="009344F2" w:rsidP="00E10907">
            <w:pPr>
              <w:jc w:val="both"/>
              <w:rPr>
                <w:rFonts w:ascii="Times New Roman" w:hAnsi="Times New Roman"/>
                <w:bCs/>
                <w:color w:val="000000"/>
                <w:lang w:eastAsia="fr-FR"/>
              </w:rPr>
            </w:pPr>
            <w:r>
              <w:rPr>
                <w:rFonts w:ascii="Times New Roman" w:hAnsi="Times New Roman"/>
                <w:bCs/>
                <w:color w:val="000000"/>
                <w:lang w:eastAsia="fr-FR"/>
              </w:rPr>
              <w:t>Tranche2 :</w:t>
            </w:r>
            <w:r w:rsidRPr="007220C1">
              <w:rPr>
                <w:rFonts w:ascii="Times New Roman" w:hAnsi="Times New Roman"/>
                <w:bCs/>
                <w:color w:val="000000"/>
                <w:lang w:eastAsia="fr-FR"/>
              </w:rPr>
              <w:t xml:space="preserve"> </w:t>
            </w:r>
            <w:r>
              <w:rPr>
                <w:rFonts w:ascii="Times New Roman" w:hAnsi="Times New Roman"/>
                <w:bCs/>
                <w:color w:val="000000"/>
                <w:lang w:eastAsia="fr-FR"/>
              </w:rPr>
              <w:t>Après approbation du r</w:t>
            </w:r>
            <w:r w:rsidRPr="007220C1">
              <w:rPr>
                <w:rFonts w:ascii="Times New Roman" w:hAnsi="Times New Roman"/>
                <w:bCs/>
                <w:color w:val="000000"/>
                <w:lang w:eastAsia="fr-FR"/>
              </w:rPr>
              <w:t>apport de validation des APD/DAO de renforcement et de construction de PCH en Guinée. Ce rapport sera assorti des données techniques et économiques y compris des plans d’affaires pour la construction des PCH ;</w:t>
            </w:r>
          </w:p>
        </w:tc>
        <w:tc>
          <w:tcPr>
            <w:tcW w:w="1119" w:type="dxa"/>
            <w:shd w:val="clear" w:color="auto" w:fill="auto"/>
            <w:vAlign w:val="center"/>
          </w:tcPr>
          <w:p w:rsidR="009344F2" w:rsidRDefault="009344F2" w:rsidP="00E10907">
            <w:pPr>
              <w:jc w:val="center"/>
              <w:rPr>
                <w:rFonts w:ascii="Times New Roman" w:hAnsi="Times New Roman"/>
                <w:color w:val="000000"/>
                <w:lang w:eastAsia="fr-FR"/>
              </w:rPr>
            </w:pPr>
            <w:r>
              <w:rPr>
                <w:rFonts w:ascii="Times New Roman" w:hAnsi="Times New Roman"/>
                <w:color w:val="000000"/>
                <w:lang w:eastAsia="fr-FR"/>
              </w:rPr>
              <w:t>20 jours</w:t>
            </w:r>
          </w:p>
        </w:tc>
        <w:tc>
          <w:tcPr>
            <w:tcW w:w="1261" w:type="dxa"/>
            <w:shd w:val="clear" w:color="auto" w:fill="auto"/>
            <w:vAlign w:val="center"/>
          </w:tcPr>
          <w:p w:rsidR="009344F2" w:rsidRDefault="009344F2" w:rsidP="00E10907">
            <w:pPr>
              <w:jc w:val="center"/>
              <w:rPr>
                <w:rFonts w:ascii="Times New Roman" w:hAnsi="Times New Roman"/>
                <w:color w:val="000000"/>
                <w:lang w:eastAsia="fr-FR"/>
              </w:rPr>
            </w:pPr>
            <w:r>
              <w:rPr>
                <w:rFonts w:ascii="Times New Roman" w:hAnsi="Times New Roman"/>
                <w:color w:val="000000"/>
                <w:lang w:eastAsia="fr-FR"/>
              </w:rPr>
              <w:t>30%</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shd w:val="clear" w:color="auto" w:fill="auto"/>
            <w:vAlign w:val="center"/>
          </w:tcPr>
          <w:p w:rsidR="009344F2" w:rsidRPr="00E60AB4" w:rsidRDefault="009344F2" w:rsidP="00E10907">
            <w:pPr>
              <w:jc w:val="both"/>
              <w:rPr>
                <w:rFonts w:ascii="Times New Roman" w:hAnsi="Times New Roman"/>
                <w:bCs/>
                <w:color w:val="000000"/>
                <w:lang w:val="fr-CA" w:eastAsia="fr-FR"/>
              </w:rPr>
            </w:pPr>
            <w:r>
              <w:rPr>
                <w:rFonts w:ascii="Times New Roman" w:hAnsi="Times New Roman"/>
                <w:bCs/>
                <w:color w:val="000000"/>
                <w:lang w:eastAsia="fr-FR"/>
              </w:rPr>
              <w:t>Tranche 3 :</w:t>
            </w:r>
            <w:r w:rsidRPr="007220C1">
              <w:rPr>
                <w:rFonts w:ascii="Times New Roman" w:hAnsi="Times New Roman"/>
                <w:bCs/>
                <w:color w:val="000000"/>
                <w:lang w:eastAsia="fr-FR"/>
              </w:rPr>
              <w:t xml:space="preserve"> </w:t>
            </w:r>
            <w:r>
              <w:rPr>
                <w:rFonts w:ascii="Times New Roman" w:hAnsi="Times New Roman"/>
                <w:bCs/>
                <w:color w:val="000000"/>
                <w:lang w:eastAsia="fr-FR"/>
              </w:rPr>
              <w:t>Après la deuxième mission de terrain avec un guide</w:t>
            </w:r>
            <w:r w:rsidRPr="0013626D">
              <w:rPr>
                <w:rFonts w:ascii="Times New Roman" w:hAnsi="Times New Roman"/>
                <w:bCs/>
                <w:color w:val="000000"/>
                <w:lang w:eastAsia="fr-FR"/>
              </w:rPr>
              <w:t xml:space="preserve"> pour la</w:t>
            </w:r>
            <w:r>
              <w:rPr>
                <w:rFonts w:ascii="Times New Roman" w:hAnsi="Times New Roman"/>
                <w:bCs/>
                <w:color w:val="000000"/>
                <w:lang w:eastAsia="fr-FR"/>
              </w:rPr>
              <w:t xml:space="preserve"> construction et exploitation de PCH en Guinée ». </w:t>
            </w:r>
            <w:proofErr w:type="gramStart"/>
            <w:r w:rsidRPr="00AC5CB2">
              <w:rPr>
                <w:rFonts w:ascii="Times New Roman" w:hAnsi="Times New Roman"/>
                <w:bCs/>
                <w:color w:val="000000"/>
                <w:lang w:eastAsia="fr-FR"/>
              </w:rPr>
              <w:t>un</w:t>
            </w:r>
            <w:proofErr w:type="gramEnd"/>
            <w:r w:rsidRPr="00AC5CB2">
              <w:rPr>
                <w:rFonts w:ascii="Times New Roman" w:hAnsi="Times New Roman"/>
                <w:bCs/>
                <w:color w:val="000000"/>
                <w:lang w:eastAsia="fr-FR"/>
              </w:rPr>
              <w:t xml:space="preserve"> guide pour la construction et l’exploitation de PCH en Guinée», présentant les résultats et des recommandations pour les actions futures. Rapport final validé par le PNUD et la partie nationale.</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10 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25</w:t>
            </w:r>
          </w:p>
        </w:tc>
      </w:tr>
      <w:tr w:rsidR="009344F2" w:rsidRPr="00EC126C" w:rsidTr="00E10907">
        <w:tblPrEx>
          <w:shd w:val="clear" w:color="auto" w:fill="auto"/>
          <w:tblCellMar>
            <w:left w:w="70" w:type="dxa"/>
            <w:right w:w="70" w:type="dxa"/>
          </w:tblCellMar>
          <w:tblLook w:val="04A0" w:firstRow="1" w:lastRow="0" w:firstColumn="1" w:lastColumn="0" w:noHBand="0" w:noVBand="1"/>
        </w:tblPrEx>
        <w:trPr>
          <w:trHeight w:val="458"/>
        </w:trPr>
        <w:tc>
          <w:tcPr>
            <w:tcW w:w="7367" w:type="dxa"/>
            <w:shd w:val="clear" w:color="auto" w:fill="auto"/>
            <w:vAlign w:val="center"/>
          </w:tcPr>
          <w:p w:rsidR="009344F2" w:rsidRPr="00CA0699" w:rsidRDefault="009344F2" w:rsidP="00E10907">
            <w:pPr>
              <w:jc w:val="both"/>
              <w:rPr>
                <w:rFonts w:ascii="Times New Roman" w:hAnsi="Times New Roman"/>
                <w:bCs/>
                <w:color w:val="000000"/>
                <w:lang w:eastAsia="fr-FR"/>
              </w:rPr>
            </w:pPr>
            <w:r>
              <w:rPr>
                <w:rFonts w:ascii="Times New Roman" w:hAnsi="Times New Roman"/>
                <w:bCs/>
                <w:color w:val="000000"/>
                <w:lang w:eastAsia="fr-FR"/>
              </w:rPr>
              <w:t>Tranche 3 :</w:t>
            </w:r>
            <w:r w:rsidRPr="007220C1">
              <w:rPr>
                <w:rFonts w:ascii="Times New Roman" w:hAnsi="Times New Roman"/>
                <w:bCs/>
                <w:color w:val="000000"/>
                <w:lang w:eastAsia="fr-FR"/>
              </w:rPr>
              <w:t xml:space="preserve"> </w:t>
            </w:r>
            <w:r>
              <w:rPr>
                <w:rFonts w:ascii="Times New Roman" w:hAnsi="Times New Roman"/>
                <w:bCs/>
                <w:color w:val="000000"/>
                <w:lang w:eastAsia="fr-FR"/>
              </w:rPr>
              <w:t xml:space="preserve">Après validation </w:t>
            </w:r>
            <w:r w:rsidRPr="00CA0699">
              <w:rPr>
                <w:rFonts w:ascii="Times New Roman" w:hAnsi="Times New Roman"/>
                <w:bCs/>
                <w:color w:val="000000"/>
                <w:lang w:eastAsia="fr-FR"/>
              </w:rPr>
              <w:t>par le PNUD et le Gouvernement</w:t>
            </w:r>
            <w:r w:rsidRPr="00CA0699" w:rsidDel="00385A5B">
              <w:rPr>
                <w:rFonts w:ascii="Times New Roman" w:hAnsi="Times New Roman"/>
                <w:bCs/>
                <w:color w:val="000000"/>
                <w:lang w:eastAsia="fr-FR"/>
              </w:rPr>
              <w:t xml:space="preserve"> </w:t>
            </w:r>
            <w:r>
              <w:rPr>
                <w:rFonts w:ascii="Times New Roman" w:hAnsi="Times New Roman"/>
                <w:bCs/>
                <w:color w:val="000000"/>
                <w:lang w:eastAsia="fr-FR"/>
              </w:rPr>
              <w:t xml:space="preserve">du guide de </w:t>
            </w:r>
            <w:r w:rsidRPr="00317159">
              <w:rPr>
                <w:rFonts w:ascii="Times New Roman" w:hAnsi="Times New Roman"/>
                <w:bCs/>
                <w:color w:val="000000"/>
                <w:lang w:eastAsia="fr-FR"/>
              </w:rPr>
              <w:t>formulation de modules de formation sur l’évaluation de site, la construction, O&amp;M de PCH.</w:t>
            </w:r>
            <w:r w:rsidRPr="00CA0699">
              <w:rPr>
                <w:rFonts w:ascii="Times New Roman" w:hAnsi="Times New Roman"/>
                <w:bCs/>
                <w:color w:val="000000"/>
                <w:lang w:eastAsia="fr-FR"/>
              </w:rPr>
              <w:t xml:space="preserve"> </w:t>
            </w:r>
          </w:p>
        </w:tc>
        <w:tc>
          <w:tcPr>
            <w:tcW w:w="1119"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03 jours</w:t>
            </w:r>
          </w:p>
        </w:tc>
        <w:tc>
          <w:tcPr>
            <w:tcW w:w="1261" w:type="dxa"/>
            <w:shd w:val="clear" w:color="auto" w:fill="auto"/>
            <w:vAlign w:val="center"/>
          </w:tcPr>
          <w:p w:rsidR="009344F2" w:rsidRPr="00EC126C" w:rsidRDefault="009344F2" w:rsidP="00E10907">
            <w:pPr>
              <w:jc w:val="center"/>
              <w:rPr>
                <w:rFonts w:ascii="Times New Roman" w:hAnsi="Times New Roman"/>
                <w:color w:val="000000"/>
                <w:lang w:eastAsia="fr-FR"/>
              </w:rPr>
            </w:pPr>
            <w:r>
              <w:rPr>
                <w:rFonts w:ascii="Times New Roman" w:hAnsi="Times New Roman"/>
                <w:color w:val="000000"/>
                <w:lang w:eastAsia="fr-FR"/>
              </w:rPr>
              <w:t>25</w:t>
            </w:r>
          </w:p>
        </w:tc>
      </w:tr>
      <w:tr w:rsidR="009344F2" w:rsidRPr="00570EA0" w:rsidTr="00E10907">
        <w:tblPrEx>
          <w:shd w:val="clear" w:color="auto" w:fill="auto"/>
          <w:tblCellMar>
            <w:left w:w="70" w:type="dxa"/>
            <w:right w:w="70" w:type="dxa"/>
          </w:tblCellMar>
          <w:tblLook w:val="04A0" w:firstRow="1" w:lastRow="0" w:firstColumn="1" w:lastColumn="0" w:noHBand="0" w:noVBand="1"/>
        </w:tblPrEx>
        <w:trPr>
          <w:trHeight w:val="95"/>
        </w:trPr>
        <w:tc>
          <w:tcPr>
            <w:tcW w:w="7367" w:type="dxa"/>
            <w:shd w:val="clear" w:color="auto" w:fill="auto"/>
            <w:vAlign w:val="center"/>
          </w:tcPr>
          <w:p w:rsidR="009344F2" w:rsidRPr="00570EA0" w:rsidRDefault="009344F2" w:rsidP="00E10907">
            <w:pPr>
              <w:ind w:left="466"/>
              <w:jc w:val="both"/>
              <w:rPr>
                <w:rFonts w:ascii="Times New Roman" w:hAnsi="Times New Roman"/>
                <w:b/>
                <w:bCs/>
                <w:color w:val="000000"/>
                <w:lang w:eastAsia="fr-FR"/>
              </w:rPr>
            </w:pPr>
            <w:r w:rsidRPr="00570EA0">
              <w:rPr>
                <w:rFonts w:ascii="Times New Roman" w:hAnsi="Times New Roman"/>
                <w:b/>
                <w:bCs/>
                <w:color w:val="000000"/>
                <w:lang w:eastAsia="fr-FR"/>
              </w:rPr>
              <w:t>Total</w:t>
            </w:r>
          </w:p>
        </w:tc>
        <w:tc>
          <w:tcPr>
            <w:tcW w:w="1119" w:type="dxa"/>
            <w:shd w:val="clear" w:color="auto" w:fill="auto"/>
            <w:vAlign w:val="center"/>
          </w:tcPr>
          <w:p w:rsidR="009344F2" w:rsidRPr="00570EA0" w:rsidRDefault="009344F2" w:rsidP="00E10907">
            <w:pPr>
              <w:jc w:val="center"/>
              <w:rPr>
                <w:rFonts w:ascii="Times New Roman" w:hAnsi="Times New Roman"/>
                <w:b/>
                <w:color w:val="000000"/>
                <w:lang w:eastAsia="fr-FR"/>
              </w:rPr>
            </w:pPr>
            <w:r>
              <w:rPr>
                <w:rFonts w:ascii="Times New Roman" w:hAnsi="Times New Roman"/>
                <w:b/>
                <w:color w:val="000000"/>
                <w:lang w:eastAsia="fr-FR"/>
              </w:rPr>
              <w:t>35</w:t>
            </w:r>
            <w:r w:rsidRPr="00570EA0">
              <w:rPr>
                <w:rFonts w:ascii="Times New Roman" w:hAnsi="Times New Roman"/>
                <w:b/>
                <w:color w:val="000000"/>
                <w:lang w:eastAsia="fr-FR"/>
              </w:rPr>
              <w:t xml:space="preserve"> jours</w:t>
            </w:r>
          </w:p>
        </w:tc>
        <w:tc>
          <w:tcPr>
            <w:tcW w:w="1261" w:type="dxa"/>
            <w:shd w:val="clear" w:color="auto" w:fill="auto"/>
            <w:vAlign w:val="center"/>
          </w:tcPr>
          <w:p w:rsidR="009344F2" w:rsidRPr="00570EA0" w:rsidRDefault="009344F2" w:rsidP="00E10907">
            <w:pPr>
              <w:jc w:val="center"/>
              <w:rPr>
                <w:rFonts w:ascii="Times New Roman" w:hAnsi="Times New Roman"/>
                <w:b/>
                <w:color w:val="000000"/>
                <w:lang w:eastAsia="fr-FR"/>
              </w:rPr>
            </w:pPr>
            <w:r w:rsidRPr="00570EA0">
              <w:rPr>
                <w:rFonts w:ascii="Times New Roman" w:hAnsi="Times New Roman"/>
                <w:b/>
                <w:color w:val="000000"/>
                <w:lang w:eastAsia="fr-FR"/>
              </w:rPr>
              <w:t>100%</w:t>
            </w:r>
          </w:p>
        </w:tc>
      </w:tr>
    </w:tbl>
    <w:p w:rsidR="009344F2" w:rsidRPr="009344F2" w:rsidRDefault="009344F2" w:rsidP="009344F2">
      <w:pPr>
        <w:tabs>
          <w:tab w:val="left" w:pos="284"/>
        </w:tabs>
        <w:suppressAutoHyphens/>
        <w:spacing w:before="240" w:after="0" w:line="240" w:lineRule="auto"/>
        <w:jc w:val="both"/>
        <w:rPr>
          <w:rFonts w:ascii="Garamond" w:eastAsia="Times New Roman" w:hAnsi="Garamond"/>
          <w:sz w:val="28"/>
          <w:szCs w:val="24"/>
          <w:lang w:eastAsia="fr-FR"/>
        </w:rPr>
      </w:pPr>
    </w:p>
    <w:p w:rsidR="00402EAC" w:rsidRPr="00AE73F6" w:rsidRDefault="00402EAC" w:rsidP="00402EAC">
      <w:pPr>
        <w:pStyle w:val="Paragraphedeliste"/>
        <w:numPr>
          <w:ilvl w:val="0"/>
          <w:numId w:val="3"/>
        </w:numPr>
        <w:shd w:val="clear" w:color="auto" w:fill="FFFFFF"/>
        <w:spacing w:after="160"/>
        <w:rPr>
          <w:rFonts w:ascii="Garamond" w:hAnsi="Garamond"/>
          <w:b/>
          <w:sz w:val="28"/>
          <w:szCs w:val="24"/>
        </w:rPr>
      </w:pPr>
      <w:r w:rsidRPr="00AE73F6">
        <w:rPr>
          <w:rFonts w:ascii="Garamond" w:hAnsi="Garamond"/>
          <w:b/>
          <w:sz w:val="28"/>
          <w:szCs w:val="24"/>
        </w:rPr>
        <w:t>Modalités de soumission</w:t>
      </w:r>
    </w:p>
    <w:p w:rsidR="00402EAC" w:rsidRPr="000C6EC9" w:rsidRDefault="00402EAC" w:rsidP="009344F2">
      <w:pPr>
        <w:tabs>
          <w:tab w:val="left" w:pos="1410"/>
        </w:tabs>
        <w:spacing w:line="240" w:lineRule="auto"/>
        <w:jc w:val="center"/>
        <w:rPr>
          <w:rFonts w:ascii="Times New Roman" w:hAnsi="Times New Roman"/>
          <w:b/>
          <w:sz w:val="32"/>
          <w:szCs w:val="32"/>
        </w:rPr>
      </w:pPr>
      <w:r w:rsidRPr="00CE592E">
        <w:rPr>
          <w:rFonts w:ascii="Garamond" w:hAnsi="Garamond"/>
          <w:sz w:val="24"/>
          <w:szCs w:val="24"/>
        </w:rPr>
        <w:t>Les dossiers avec pour objet « </w:t>
      </w:r>
      <w:r w:rsidR="009344F2" w:rsidRPr="009344F2">
        <w:rPr>
          <w:rFonts w:cs="Calibri"/>
          <w:b/>
        </w:rPr>
        <w:t xml:space="preserve">UN CONSULTANT AVEC EXPERTISE INTERNATIONALE EN CONSTRUCTION DE PETITE CENTRALE </w:t>
      </w:r>
      <w:r w:rsidR="009344F2" w:rsidRPr="009344F2">
        <w:rPr>
          <w:rFonts w:cs="Calibri"/>
          <w:b/>
        </w:rPr>
        <w:t>HYDROELECTRIQUE</w:t>
      </w:r>
      <w:r w:rsidR="009344F2" w:rsidRPr="00CE592E">
        <w:rPr>
          <w:rFonts w:ascii="Garamond" w:hAnsi="Garamond"/>
          <w:sz w:val="24"/>
          <w:szCs w:val="24"/>
        </w:rPr>
        <w:t xml:space="preserve"> »</w:t>
      </w:r>
      <w:r w:rsidRPr="00CE592E">
        <w:rPr>
          <w:rFonts w:ascii="Garamond" w:hAnsi="Garamond"/>
          <w:sz w:val="24"/>
          <w:szCs w:val="24"/>
        </w:rPr>
        <w:t xml:space="preserve"> doit être : </w:t>
      </w:r>
    </w:p>
    <w:p w:rsidR="00402EAC" w:rsidRPr="0061505C" w:rsidRDefault="00402EAC" w:rsidP="00402EAC">
      <w:pPr>
        <w:numPr>
          <w:ilvl w:val="0"/>
          <w:numId w:val="4"/>
        </w:numPr>
        <w:spacing w:before="100" w:after="100" w:line="240" w:lineRule="auto"/>
        <w:jc w:val="both"/>
        <w:rPr>
          <w:rFonts w:ascii="Garamond" w:hAnsi="Garamond"/>
          <w:sz w:val="24"/>
          <w:szCs w:val="24"/>
          <w:highlight w:val="yellow"/>
        </w:rPr>
      </w:pPr>
      <w:r w:rsidRPr="00656EAC">
        <w:rPr>
          <w:rFonts w:ascii="Garamond" w:hAnsi="Garamond"/>
          <w:sz w:val="24"/>
          <w:szCs w:val="24"/>
          <w:highlight w:val="yellow"/>
        </w:rPr>
        <w:t xml:space="preserve">Soumis électroniquement à l’adresse suivant : </w:t>
      </w:r>
      <w:hyperlink r:id="rId11" w:history="1">
        <w:r w:rsidRPr="00656EAC">
          <w:rPr>
            <w:rFonts w:ascii="Garamond" w:hAnsi="Garamond"/>
            <w:highlight w:val="yellow"/>
          </w:rPr>
          <w:t>ic.offres.gn@undp.org</w:t>
        </w:r>
      </w:hyperlink>
      <w:r w:rsidRPr="00656EAC">
        <w:rPr>
          <w:rFonts w:ascii="Garamond" w:hAnsi="Garamond"/>
          <w:sz w:val="24"/>
          <w:szCs w:val="24"/>
          <w:highlight w:val="yellow"/>
        </w:rPr>
        <w:t>. Il est important de noter que la taille de chaque envoi ne doit pas dépasser 5 Mo. Chaque partie peut faire l’objet de plusieurs envois.</w:t>
      </w:r>
    </w:p>
    <w:p w:rsidR="00402EAC" w:rsidRPr="00F21484" w:rsidRDefault="00402EAC" w:rsidP="00402EAC">
      <w:pPr>
        <w:spacing w:after="120"/>
        <w:contextualSpacing/>
        <w:jc w:val="center"/>
        <w:rPr>
          <w:rFonts w:ascii="Garamond" w:hAnsi="Garamond"/>
          <w:b/>
          <w:sz w:val="36"/>
          <w:szCs w:val="24"/>
        </w:rPr>
      </w:pPr>
      <w:r w:rsidRPr="00F21484">
        <w:rPr>
          <w:rFonts w:ascii="Garamond" w:hAnsi="Garamond"/>
          <w:b/>
          <w:sz w:val="36"/>
          <w:szCs w:val="24"/>
        </w:rPr>
        <w:t>ANNEXES</w:t>
      </w:r>
    </w:p>
    <w:p w:rsidR="00402EAC" w:rsidRPr="00CE592E" w:rsidRDefault="00402EAC" w:rsidP="00402EAC">
      <w:pPr>
        <w:spacing w:after="120"/>
        <w:contextualSpacing/>
        <w:jc w:val="both"/>
        <w:rPr>
          <w:rFonts w:ascii="Garamond" w:hAnsi="Garamond"/>
          <w:sz w:val="24"/>
          <w:szCs w:val="24"/>
        </w:rPr>
      </w:pPr>
    </w:p>
    <w:p w:rsidR="00402EAC" w:rsidRPr="00CE592E" w:rsidRDefault="00402EAC" w:rsidP="00402EAC">
      <w:pPr>
        <w:spacing w:after="120"/>
        <w:contextualSpacing/>
        <w:jc w:val="both"/>
        <w:rPr>
          <w:rFonts w:ascii="Garamond" w:hAnsi="Garamond"/>
          <w:sz w:val="24"/>
          <w:szCs w:val="24"/>
        </w:rPr>
      </w:pPr>
      <w:r w:rsidRPr="00CE592E">
        <w:rPr>
          <w:rFonts w:ascii="Garamond" w:hAnsi="Garamond"/>
          <w:sz w:val="24"/>
          <w:szCs w:val="24"/>
        </w:rPr>
        <w:t>Annexe 1 - Conditions générales des Contrats Individuels :</w:t>
      </w:r>
    </w:p>
    <w:bookmarkStart w:id="8" w:name="_MON_1440321617"/>
    <w:bookmarkEnd w:id="8"/>
    <w:p w:rsidR="00402EAC" w:rsidRPr="00CE592E" w:rsidRDefault="00402EAC" w:rsidP="00402EAC">
      <w:pPr>
        <w:spacing w:after="120"/>
        <w:contextualSpacing/>
        <w:jc w:val="both"/>
        <w:rPr>
          <w:rFonts w:ascii="Garamond" w:hAnsi="Garamond"/>
          <w:sz w:val="24"/>
          <w:szCs w:val="24"/>
        </w:rPr>
      </w:pPr>
      <w:r w:rsidRPr="00CE592E">
        <w:rPr>
          <w:rFonts w:ascii="Garamond" w:hAnsi="Garamond"/>
          <w:sz w:val="24"/>
          <w:szCs w:val="24"/>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2" o:title=""/>
          </v:shape>
          <o:OLEObject Type="Embed" ProgID="Word.Document.12" ShapeID="_x0000_i1025" DrawAspect="Icon" ObjectID="_1618992901" r:id="rId13">
            <o:FieldCodes>\s</o:FieldCodes>
          </o:OLEObject>
        </w:object>
      </w:r>
      <w:r w:rsidRPr="00CE592E">
        <w:rPr>
          <w:rFonts w:ascii="Garamond" w:hAnsi="Garamond"/>
          <w:sz w:val="24"/>
          <w:szCs w:val="24"/>
        </w:rPr>
        <w:t xml:space="preserve"> </w:t>
      </w:r>
    </w:p>
    <w:p w:rsidR="00402EAC" w:rsidRPr="00CE592E" w:rsidRDefault="00402EAC" w:rsidP="00402EAC">
      <w:pPr>
        <w:spacing w:after="120"/>
        <w:contextualSpacing/>
        <w:jc w:val="both"/>
        <w:rPr>
          <w:rFonts w:ascii="Garamond" w:hAnsi="Garamond"/>
          <w:sz w:val="24"/>
          <w:szCs w:val="24"/>
        </w:rPr>
      </w:pPr>
    </w:p>
    <w:p w:rsidR="00402EAC" w:rsidRPr="00CE592E" w:rsidRDefault="00402EAC" w:rsidP="00402EAC">
      <w:pPr>
        <w:spacing w:after="120"/>
        <w:contextualSpacing/>
        <w:jc w:val="both"/>
        <w:rPr>
          <w:rFonts w:ascii="Garamond" w:hAnsi="Garamond"/>
          <w:sz w:val="24"/>
          <w:szCs w:val="24"/>
        </w:rPr>
      </w:pPr>
      <w:r w:rsidRPr="00CE592E">
        <w:rPr>
          <w:rFonts w:ascii="Garamond" w:hAnsi="Garamond"/>
          <w:sz w:val="24"/>
          <w:szCs w:val="24"/>
        </w:rPr>
        <w:t>Annexe 2 – Tableau des Coûts</w:t>
      </w:r>
    </w:p>
    <w:p w:rsidR="00402EAC" w:rsidRPr="00CE592E" w:rsidRDefault="00402EAC" w:rsidP="00402EAC">
      <w:pPr>
        <w:spacing w:after="120"/>
        <w:contextualSpacing/>
        <w:jc w:val="both"/>
        <w:rPr>
          <w:rFonts w:ascii="Garamond" w:hAnsi="Garamond"/>
          <w:sz w:val="24"/>
          <w:szCs w:val="24"/>
        </w:rPr>
      </w:pPr>
      <w:bookmarkStart w:id="9" w:name="_MON_1440321653"/>
      <w:bookmarkEnd w:id="9"/>
      <w:r>
        <w:rPr>
          <w:rFonts w:ascii="Garamond" w:hAnsi="Garamond"/>
          <w:sz w:val="24"/>
          <w:szCs w:val="24"/>
        </w:rPr>
        <w:object w:dxaOrig="1440" w:dyaOrig="1440">
          <v:shape id="_x0000_s1026" type="#_x0000_t75" style="position:absolute;left:0;text-align:left;margin-left:7.5pt;margin-top:14.45pt;width:69.85pt;height:47.45pt;z-index:251658240">
            <v:imagedata r:id="rId14" o:title=""/>
            <w10:wrap type="square" side="right"/>
          </v:shape>
          <o:OLEObject Type="Embed" ProgID="Word.Document.12" ShapeID="_x0000_s1026" DrawAspect="Icon" ObjectID="_1618992903" r:id="rId15">
            <o:FieldCodes>\s</o:FieldCodes>
          </o:OLEObject>
        </w:object>
      </w:r>
    </w:p>
    <w:p w:rsidR="00402EAC" w:rsidRPr="00CE592E" w:rsidRDefault="00402EAC" w:rsidP="00402EAC">
      <w:pPr>
        <w:spacing w:after="120"/>
        <w:contextualSpacing/>
        <w:jc w:val="both"/>
        <w:rPr>
          <w:rFonts w:ascii="Garamond" w:hAnsi="Garamond"/>
          <w:sz w:val="24"/>
          <w:szCs w:val="24"/>
        </w:rPr>
      </w:pPr>
    </w:p>
    <w:p w:rsidR="00402EAC" w:rsidRPr="00CE592E" w:rsidRDefault="00402EAC" w:rsidP="00402EAC">
      <w:pPr>
        <w:spacing w:after="120"/>
        <w:contextualSpacing/>
        <w:jc w:val="both"/>
        <w:rPr>
          <w:rFonts w:ascii="Garamond" w:hAnsi="Garamond"/>
          <w:sz w:val="24"/>
          <w:szCs w:val="24"/>
        </w:rPr>
      </w:pPr>
    </w:p>
    <w:p w:rsidR="00402EAC" w:rsidRPr="00CE592E" w:rsidRDefault="00402EAC" w:rsidP="00402EAC">
      <w:pPr>
        <w:spacing w:after="120"/>
        <w:contextualSpacing/>
        <w:jc w:val="both"/>
        <w:rPr>
          <w:rFonts w:ascii="Garamond" w:hAnsi="Garamond"/>
          <w:sz w:val="24"/>
          <w:szCs w:val="24"/>
        </w:rPr>
      </w:pPr>
    </w:p>
    <w:p w:rsidR="00402EAC" w:rsidRPr="00CE592E" w:rsidRDefault="00402EAC" w:rsidP="00402EAC">
      <w:pPr>
        <w:spacing w:after="120"/>
        <w:contextualSpacing/>
        <w:jc w:val="both"/>
        <w:rPr>
          <w:rFonts w:ascii="Garamond" w:hAnsi="Garamond"/>
          <w:sz w:val="24"/>
          <w:szCs w:val="24"/>
        </w:rPr>
      </w:pPr>
      <w:r w:rsidRPr="00CE592E">
        <w:rPr>
          <w:rFonts w:ascii="Garamond" w:hAnsi="Garamond"/>
          <w:sz w:val="24"/>
          <w:szCs w:val="24"/>
        </w:rPr>
        <w:t xml:space="preserve">Annexe 3 – P11 (SC &amp; IC) </w:t>
      </w:r>
    </w:p>
    <w:bookmarkStart w:id="10" w:name="_MON_1440321681"/>
    <w:bookmarkEnd w:id="10"/>
    <w:p w:rsidR="00402EAC" w:rsidRPr="00844BE3" w:rsidRDefault="00402EAC" w:rsidP="00402EAC">
      <w:pPr>
        <w:spacing w:after="120"/>
        <w:contextualSpacing/>
        <w:jc w:val="both"/>
        <w:rPr>
          <w:rFonts w:ascii="Garamond" w:hAnsi="Garamond"/>
          <w:sz w:val="24"/>
          <w:szCs w:val="24"/>
        </w:rPr>
      </w:pPr>
      <w:r w:rsidRPr="00CE592E">
        <w:rPr>
          <w:rFonts w:ascii="Garamond" w:hAnsi="Garamond"/>
          <w:sz w:val="24"/>
          <w:szCs w:val="24"/>
        </w:rPr>
        <w:object w:dxaOrig="1531" w:dyaOrig="990">
          <v:shape id="_x0000_i1026" type="#_x0000_t75" style="width:75.75pt;height:49.5pt" o:ole="">
            <v:imagedata r:id="rId16" o:title=""/>
          </v:shape>
          <o:OLEObject Type="Embed" ProgID="Word.Document.8" ShapeID="_x0000_i1026" DrawAspect="Icon" ObjectID="_1618992902" r:id="rId17">
            <o:FieldCodes>\s</o:FieldCodes>
          </o:OLEObject>
        </w:object>
      </w:r>
    </w:p>
    <w:p w:rsidR="00402EAC" w:rsidRPr="00622947" w:rsidRDefault="00402EAC" w:rsidP="00402EAC">
      <w:pPr>
        <w:spacing w:after="120"/>
        <w:contextualSpacing/>
        <w:jc w:val="both"/>
        <w:rPr>
          <w:b/>
          <w:u w:val="single"/>
        </w:rPr>
      </w:pPr>
      <w:r w:rsidRPr="00622947">
        <w:rPr>
          <w:b/>
          <w:u w:val="single"/>
        </w:rPr>
        <w:t>Date limite et lieu de remise des candidatures</w:t>
      </w:r>
    </w:p>
    <w:p w:rsidR="00402EAC" w:rsidRPr="00622947" w:rsidRDefault="00402EAC" w:rsidP="00402EAC">
      <w:pPr>
        <w:pStyle w:val="Retraitcorpsdetexte"/>
        <w:ind w:left="0"/>
        <w:contextualSpacing/>
        <w:jc w:val="both"/>
        <w:rPr>
          <w:rFonts w:ascii="Calibri" w:hAnsi="Calibri" w:cs="Calibri"/>
          <w:sz w:val="22"/>
          <w:szCs w:val="22"/>
        </w:rPr>
      </w:pPr>
      <w:r w:rsidRPr="00622947">
        <w:rPr>
          <w:rFonts w:ascii="Calibri" w:hAnsi="Calibri" w:cs="Calibri"/>
          <w:sz w:val="22"/>
          <w:szCs w:val="22"/>
        </w:rPr>
        <w:t xml:space="preserve">Le dossier complet devra nous </w:t>
      </w:r>
      <w:r>
        <w:rPr>
          <w:rFonts w:ascii="Calibri" w:hAnsi="Calibri" w:cs="Calibri"/>
          <w:sz w:val="22"/>
          <w:szCs w:val="22"/>
        </w:rPr>
        <w:t>parvenir uniquement à l'adresse suivante</w:t>
      </w:r>
      <w:r w:rsidRPr="00622947">
        <w:rPr>
          <w:rFonts w:ascii="Calibri" w:hAnsi="Calibri" w:cs="Calibri"/>
          <w:b/>
          <w:sz w:val="22"/>
          <w:szCs w:val="22"/>
        </w:rPr>
        <w:t xml:space="preserve"> : </w:t>
      </w:r>
      <w:hyperlink r:id="rId18" w:history="1">
        <w:r w:rsidRPr="00622947">
          <w:rPr>
            <w:rStyle w:val="Lienhypertexte"/>
            <w:rFonts w:ascii="Calibri" w:hAnsi="Calibri"/>
            <w:sz w:val="22"/>
            <w:szCs w:val="22"/>
          </w:rPr>
          <w:t>ic.offres.gn@undp.org</w:t>
        </w:r>
      </w:hyperlink>
      <w:r w:rsidRPr="00622947">
        <w:rPr>
          <w:rStyle w:val="Lienhypertexte"/>
          <w:rFonts w:ascii="Calibri" w:hAnsi="Calibri"/>
          <w:sz w:val="22"/>
          <w:szCs w:val="22"/>
        </w:rPr>
        <w:t xml:space="preserve"> </w:t>
      </w:r>
    </w:p>
    <w:p w:rsidR="00402EAC" w:rsidRPr="00622947" w:rsidRDefault="00402EAC" w:rsidP="00402EAC">
      <w:pPr>
        <w:tabs>
          <w:tab w:val="left" w:pos="1410"/>
        </w:tabs>
        <w:spacing w:after="120"/>
        <w:contextualSpacing/>
        <w:jc w:val="both"/>
        <w:rPr>
          <w:rFonts w:cs="Calibri"/>
        </w:rPr>
      </w:pPr>
      <w:r w:rsidRPr="00622947">
        <w:rPr>
          <w:rFonts w:cs="Calibri"/>
        </w:rPr>
        <w:t xml:space="preserve">Au plus tard </w:t>
      </w:r>
      <w:r w:rsidRPr="005C1F3B">
        <w:rPr>
          <w:rFonts w:cs="Calibri"/>
        </w:rPr>
        <w:t xml:space="preserve">: </w:t>
      </w:r>
      <w:r w:rsidRPr="005C1F3B">
        <w:rPr>
          <w:rFonts w:cs="Calibri"/>
          <w:b/>
        </w:rPr>
        <w:t xml:space="preserve">Le </w:t>
      </w:r>
      <w:r w:rsidR="009344F2">
        <w:rPr>
          <w:rFonts w:cs="Calibri"/>
          <w:b/>
        </w:rPr>
        <w:t>30</w:t>
      </w:r>
      <w:r>
        <w:rPr>
          <w:rFonts w:cs="Calibri"/>
          <w:b/>
        </w:rPr>
        <w:t xml:space="preserve"> Mai</w:t>
      </w:r>
      <w:r w:rsidRPr="005C1F3B">
        <w:rPr>
          <w:rFonts w:cs="Calibri"/>
          <w:b/>
        </w:rPr>
        <w:t xml:space="preserve"> </w:t>
      </w:r>
      <w:r>
        <w:rPr>
          <w:rFonts w:cs="Calibri"/>
          <w:b/>
        </w:rPr>
        <w:t>2019 à 16hr00mn</w:t>
      </w:r>
      <w:r w:rsidRPr="005C1F3B">
        <w:rPr>
          <w:rFonts w:cs="Calibri"/>
          <w:b/>
        </w:rPr>
        <w:t xml:space="preserve"> Heure GMT</w:t>
      </w:r>
      <w:r w:rsidRPr="005C1F3B">
        <w:rPr>
          <w:rFonts w:cs="Calibri"/>
        </w:rPr>
        <w:t>.</w:t>
      </w:r>
    </w:p>
    <w:p w:rsidR="00402EAC" w:rsidRPr="007C5EEE" w:rsidRDefault="00402EAC" w:rsidP="00402EAC">
      <w:pPr>
        <w:tabs>
          <w:tab w:val="left" w:pos="1410"/>
        </w:tabs>
        <w:spacing w:after="120"/>
        <w:contextualSpacing/>
        <w:jc w:val="both"/>
        <w:rPr>
          <w:rFonts w:cs="Calibri"/>
        </w:rPr>
      </w:pPr>
      <w:r w:rsidRPr="00622947">
        <w:rPr>
          <w:rFonts w:cs="Calibri"/>
        </w:rPr>
        <w:t>Tout consultant éventuel qui aurait besoin de clarifications à propos du document d'invitation à soumissionner peut en informer par écrit l'entité du PNUD chargée des achats à l'adresse indiquée dans l'invitation à soumissionner ou par e-mail à l'adresse :</w:t>
      </w:r>
      <w:r w:rsidRPr="00622947">
        <w:rPr>
          <w:rFonts w:cs="Arial"/>
        </w:rPr>
        <w:t xml:space="preserve"> </w:t>
      </w:r>
      <w:hyperlink r:id="rId19" w:history="1">
        <w:r w:rsidRPr="00622947">
          <w:rPr>
            <w:rStyle w:val="Lienhypertexte"/>
          </w:rPr>
          <w:t>info.offres.gn@undp.org</w:t>
        </w:r>
      </w:hyperlink>
      <w:r w:rsidRPr="00622947">
        <w:rPr>
          <w:rFonts w:cs="Calibri"/>
        </w:rPr>
        <w:t>.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francs guinéens dépôt ou par email, conformément aux clauses et condition</w:t>
      </w:r>
      <w:r>
        <w:rPr>
          <w:rFonts w:cs="Calibri"/>
        </w:rPr>
        <w:t>s du document de sollicitation.</w:t>
      </w:r>
      <w:r>
        <w:rPr>
          <w:rFonts w:ascii="Times New Roman" w:hAnsi="Times New Roman"/>
          <w:sz w:val="36"/>
          <w:szCs w:val="36"/>
        </w:rPr>
        <w:t xml:space="preserve">   </w:t>
      </w:r>
    </w:p>
    <w:p w:rsidR="00402EAC" w:rsidRPr="00D81699" w:rsidRDefault="00402EAC" w:rsidP="00402EAC">
      <w:pPr>
        <w:pStyle w:val="Paragraphedeliste"/>
        <w:spacing w:line="360" w:lineRule="auto"/>
        <w:ind w:left="0"/>
        <w:rPr>
          <w:rFonts w:ascii="Times New Roman" w:eastAsia="Times New Roman" w:hAnsi="Times New Roman"/>
          <w:snapToGrid w:val="0"/>
        </w:rPr>
      </w:pPr>
    </w:p>
    <w:p w:rsidR="00402EAC" w:rsidRPr="00D81699" w:rsidRDefault="00402EAC" w:rsidP="00402EAC">
      <w:pPr>
        <w:pStyle w:val="Paragraphedeliste"/>
        <w:spacing w:after="0" w:line="360" w:lineRule="auto"/>
        <w:ind w:left="0"/>
        <w:rPr>
          <w:rFonts w:ascii="Times New Roman" w:eastAsia="Times New Roman" w:hAnsi="Times New Roman"/>
          <w:b/>
          <w:snapToGrid w:val="0"/>
        </w:rPr>
      </w:pPr>
    </w:p>
    <w:p w:rsidR="00402EAC" w:rsidRPr="00D81699" w:rsidRDefault="00402EAC" w:rsidP="00402EAC">
      <w:pPr>
        <w:spacing w:after="0" w:line="240" w:lineRule="auto"/>
        <w:rPr>
          <w:rFonts w:ascii="Times New Roman" w:eastAsia="Times New Roman" w:hAnsi="Times New Roman"/>
          <w:lang w:eastAsia="rw-RW"/>
        </w:rPr>
      </w:pPr>
    </w:p>
    <w:p w:rsidR="00402EAC" w:rsidRDefault="00402EAC" w:rsidP="00402EAC"/>
    <w:p w:rsidR="00402EAC" w:rsidRDefault="00402EAC" w:rsidP="00402EAC"/>
    <w:p w:rsidR="00EB7249" w:rsidRDefault="00DF3566"/>
    <w:sectPr w:rsidR="00EB7249" w:rsidSect="00802FBB">
      <w:footerReference w:type="default" r:id="rId20"/>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7" w:rsidRDefault="00DF3566" w:rsidP="001F47B7">
    <w:pPr>
      <w:ind w:left="360"/>
    </w:pPr>
    <w:r w:rsidRPr="002F5AA9">
      <w:rPr>
        <w:i/>
        <w:iCs/>
      </w:rPr>
      <w:t xml:space="preserve">Le PNUD a une tolérance zéro pour la corruption. </w:t>
    </w:r>
  </w:p>
  <w:p w:rsidR="001F47B7" w:rsidRPr="002F5AA9" w:rsidRDefault="00DF3566" w:rsidP="001F47B7">
    <w:pPr>
      <w:ind w:left="360"/>
    </w:pPr>
    <w:r w:rsidRPr="002F5AA9">
      <w:rPr>
        <w:i/>
        <w:iCs/>
      </w:rPr>
      <w:t xml:space="preserve">Les services de recrutement et des achats du PNUD sont gratuits et aucun paiement n’est exigé pour nos services. </w:t>
    </w:r>
  </w:p>
  <w:p w:rsidR="001F47B7" w:rsidRPr="00A27708" w:rsidRDefault="00DF3566" w:rsidP="009C043E">
    <w:pPr>
      <w:pStyle w:val="fvalue"/>
      <w:rPr>
        <w:lang w:val="fr-FR"/>
      </w:rPr>
    </w:pPr>
    <w:r>
      <w:rPr>
        <w:i/>
        <w:iCs/>
        <w:lang w:val="fr-FR"/>
      </w:rPr>
      <w:t>En cas de vi</w:t>
    </w:r>
    <w:r>
      <w:rPr>
        <w:i/>
        <w:iCs/>
        <w:lang w:val="fr-FR"/>
      </w:rPr>
      <w:t xml:space="preserve">olation de ces principes, veuillez nous contacter par le biais de l’adresse email suivante : </w:t>
    </w:r>
    <w:hyperlink r:id="rId1" w:history="1">
      <w:r>
        <w:rPr>
          <w:rStyle w:val="Lienhypertexte"/>
          <w:color w:val="000000"/>
          <w:lang w:val="x-none"/>
        </w:rPr>
        <w:t>jedenoncelacorruption.gn@undp.org</w:t>
      </w:r>
    </w:hyperlink>
    <w:r>
      <w:rPr>
        <w:lang w:val="fr-FR"/>
      </w:rPr>
      <w:t xml:space="preserve">                                                                         </w:t>
    </w:r>
    <w:r>
      <w:rPr>
        <w:lang w:val="fr-FR"/>
      </w:rPr>
      <w:t xml:space="preserve">                          </w:t>
    </w:r>
  </w:p>
  <w:p w:rsidR="001F47B7" w:rsidRDefault="00DF3566" w:rsidP="001F47B7">
    <w:pPr>
      <w:ind w:left="360"/>
      <w:rPr>
        <w:lang w:val="x-none"/>
      </w:rPr>
    </w:pPr>
  </w:p>
  <w:p w:rsidR="00FD503A" w:rsidRPr="001F47B7" w:rsidRDefault="00DF3566" w:rsidP="00E74316">
    <w:pPr>
      <w:pStyle w:val="Pieddepage"/>
      <w:pBdr>
        <w:bottom w:val="single" w:sz="12" w:space="1" w:color="auto"/>
      </w:pBdr>
      <w:rPr>
        <w:lang w:val="x-none"/>
      </w:rPr>
    </w:pPr>
  </w:p>
  <w:p w:rsidR="00FD503A" w:rsidRDefault="00DF3566" w:rsidP="00E74316">
    <w:pPr>
      <w:pStyle w:val="Pieddepage"/>
    </w:pPr>
    <w:r>
      <w:tab/>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Pr>
        <w:b/>
        <w:bCs/>
        <w:noProof/>
        <w:sz w:val="20"/>
        <w:szCs w:val="20"/>
      </w:rPr>
      <w:t>2</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Pr>
        <w:b/>
        <w:bCs/>
        <w:noProof/>
        <w:sz w:val="20"/>
        <w:szCs w:val="20"/>
      </w:rPr>
      <w:t>12</w:t>
    </w:r>
    <w:r w:rsidRPr="00E74316">
      <w:rPr>
        <w:b/>
        <w:bCs/>
        <w:sz w:val="20"/>
        <w:szCs w:val="20"/>
      </w:rPr>
      <w:fldChar w:fldCharType="end"/>
    </w:r>
  </w:p>
  <w:p w:rsidR="00FD503A" w:rsidRDefault="00DF3566">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9A"/>
    <w:multiLevelType w:val="multilevel"/>
    <w:tmpl w:val="F64EB318"/>
    <w:lvl w:ilvl="0">
      <w:start w:val="1"/>
      <w:numFmt w:val="upperRoman"/>
      <w:suff w:val="space"/>
      <w:lvlText w:val="%1."/>
      <w:lvlJc w:val="right"/>
      <w:pPr>
        <w:ind w:left="284" w:firstLine="283"/>
      </w:pPr>
      <w:rPr>
        <w:rFonts w:hint="default"/>
      </w:rPr>
    </w:lvl>
    <w:lvl w:ilvl="1">
      <w:start w:val="2"/>
      <w:numFmt w:val="decimal"/>
      <w:isLgl/>
      <w:lvlText w:val="%1.%2."/>
      <w:lvlJc w:val="left"/>
      <w:pPr>
        <w:ind w:left="957" w:hanging="390"/>
      </w:pPr>
      <w:rPr>
        <w:rFonts w:hint="default"/>
      </w:rPr>
    </w:lvl>
    <w:lvl w:ilvl="2">
      <w:start w:val="1"/>
      <w:numFmt w:val="lowerLetter"/>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5E133E"/>
    <w:multiLevelType w:val="hybridMultilevel"/>
    <w:tmpl w:val="DE34F6E8"/>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1AB3"/>
    <w:multiLevelType w:val="hybridMultilevel"/>
    <w:tmpl w:val="11322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715D3"/>
    <w:multiLevelType w:val="hybridMultilevel"/>
    <w:tmpl w:val="15E44A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3C1DBF"/>
    <w:multiLevelType w:val="hybridMultilevel"/>
    <w:tmpl w:val="D6144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3A012A"/>
    <w:multiLevelType w:val="hybridMultilevel"/>
    <w:tmpl w:val="45400D5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84473"/>
    <w:multiLevelType w:val="hybridMultilevel"/>
    <w:tmpl w:val="66902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187E76"/>
    <w:multiLevelType w:val="hybridMultilevel"/>
    <w:tmpl w:val="B12C8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157201"/>
    <w:multiLevelType w:val="hybridMultilevel"/>
    <w:tmpl w:val="D9D8C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277656"/>
    <w:multiLevelType w:val="hybridMultilevel"/>
    <w:tmpl w:val="32C2C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78A0228"/>
    <w:multiLevelType w:val="hybridMultilevel"/>
    <w:tmpl w:val="AAFC11EA"/>
    <w:lvl w:ilvl="0" w:tplc="74AA03A8">
      <w:start w:val="1"/>
      <w:numFmt w:val="lowerRoman"/>
      <w:lvlText w:val="(%1)"/>
      <w:lvlJc w:val="right"/>
      <w:pPr>
        <w:ind w:left="420" w:hanging="720"/>
      </w:pPr>
      <w:rPr>
        <w:rFonts w:hint="default"/>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12"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F04B2"/>
    <w:multiLevelType w:val="hybridMultilevel"/>
    <w:tmpl w:val="BDB8C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BD7535"/>
    <w:multiLevelType w:val="hybridMultilevel"/>
    <w:tmpl w:val="8AC8A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36B47"/>
    <w:multiLevelType w:val="hybridMultilevel"/>
    <w:tmpl w:val="D0D2C434"/>
    <w:lvl w:ilvl="0" w:tplc="64BAB6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1"/>
  </w:num>
  <w:num w:numId="6">
    <w:abstractNumId w:val="15"/>
  </w:num>
  <w:num w:numId="7">
    <w:abstractNumId w:val="0"/>
  </w:num>
  <w:num w:numId="8">
    <w:abstractNumId w:val="8"/>
  </w:num>
  <w:num w:numId="9">
    <w:abstractNumId w:val="7"/>
  </w:num>
  <w:num w:numId="10">
    <w:abstractNumId w:val="14"/>
  </w:num>
  <w:num w:numId="11">
    <w:abstractNumId w:val="10"/>
  </w:num>
  <w:num w:numId="12">
    <w:abstractNumId w:val="9"/>
  </w:num>
  <w:num w:numId="13">
    <w:abstractNumId w:val="13"/>
  </w:num>
  <w:num w:numId="14">
    <w:abstractNumId w:val="4"/>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AC"/>
    <w:rsid w:val="000B523E"/>
    <w:rsid w:val="00204A4B"/>
    <w:rsid w:val="00402EAC"/>
    <w:rsid w:val="009344F2"/>
    <w:rsid w:val="00DF3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5BF05"/>
  <w15:chartTrackingRefBased/>
  <w15:docId w15:val="{64980938-9830-48F6-8CA3-F7D72B90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EAC"/>
    <w:pPr>
      <w:spacing w:after="200" w:line="276" w:lineRule="auto"/>
    </w:pPr>
    <w:rPr>
      <w:rFonts w:ascii="Calibri" w:eastAsia="Calibri" w:hAnsi="Calibri" w:cs="Times New Roman"/>
    </w:rPr>
  </w:style>
  <w:style w:type="paragraph" w:styleId="Titre2">
    <w:name w:val="heading 2"/>
    <w:basedOn w:val="Normal"/>
    <w:next w:val="Normal"/>
    <w:link w:val="Titre2Car"/>
    <w:uiPriority w:val="9"/>
    <w:unhideWhenUsed/>
    <w:qFormat/>
    <w:rsid w:val="00402EAC"/>
    <w:pPr>
      <w:keepNext/>
      <w:spacing w:before="240" w:after="60" w:line="240" w:lineRule="auto"/>
      <w:outlineLvl w:val="1"/>
    </w:pPr>
    <w:rPr>
      <w:rFonts w:ascii="Calibri Light" w:eastAsia="Times New Roman" w:hAnsi="Calibri Light"/>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2EAC"/>
    <w:rPr>
      <w:rFonts w:ascii="Calibri Light" w:eastAsia="Times New Roman" w:hAnsi="Calibri Light" w:cs="Times New Roman"/>
      <w:b/>
      <w:bCs/>
      <w:i/>
      <w:iCs/>
      <w:sz w:val="28"/>
      <w:szCs w:val="28"/>
      <w:lang w:val="en-US"/>
    </w:rPr>
  </w:style>
  <w:style w:type="paragraph" w:styleId="Pieddepage">
    <w:name w:val="footer"/>
    <w:basedOn w:val="Normal"/>
    <w:link w:val="PieddepageCar"/>
    <w:uiPriority w:val="99"/>
    <w:unhideWhenUsed/>
    <w:rsid w:val="00402E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2EAC"/>
    <w:rPr>
      <w:rFonts w:ascii="Calibri" w:eastAsia="Calibri" w:hAnsi="Calibri" w:cs="Times New Roman"/>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Liste couleur - Accent 11"/>
    <w:basedOn w:val="Normal"/>
    <w:link w:val="ParagraphedelisteCar"/>
    <w:uiPriority w:val="34"/>
    <w:qFormat/>
    <w:rsid w:val="00402EAC"/>
    <w:pPr>
      <w:ind w:left="720"/>
      <w:contextualSpacing/>
    </w:pPr>
  </w:style>
  <w:style w:type="character" w:styleId="Lienhypertexte">
    <w:name w:val="Hyperlink"/>
    <w:uiPriority w:val="99"/>
    <w:unhideWhenUsed/>
    <w:rsid w:val="00402EAC"/>
    <w:rPr>
      <w:color w:val="0000FF"/>
      <w:u w:val="single"/>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
    <w:link w:val="Paragraphedeliste"/>
    <w:uiPriority w:val="34"/>
    <w:qFormat/>
    <w:rsid w:val="00402EAC"/>
    <w:rPr>
      <w:rFonts w:ascii="Calibri" w:eastAsia="Calibri" w:hAnsi="Calibri" w:cs="Times New Roman"/>
    </w:rPr>
  </w:style>
  <w:style w:type="paragraph" w:styleId="Retraitcorpsdetexte">
    <w:name w:val="Body Text Indent"/>
    <w:basedOn w:val="Normal"/>
    <w:link w:val="RetraitcorpsdetexteCar"/>
    <w:rsid w:val="00402EAC"/>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402EAC"/>
    <w:rPr>
      <w:rFonts w:ascii="Times New Roman" w:eastAsia="Times New Roman" w:hAnsi="Times New Roman" w:cs="Times New Roman"/>
      <w:sz w:val="24"/>
      <w:szCs w:val="24"/>
      <w:lang w:eastAsia="rw-RW"/>
    </w:rPr>
  </w:style>
  <w:style w:type="paragraph" w:customStyle="1" w:styleId="fvalue">
    <w:name w:val="fvalue"/>
    <w:basedOn w:val="Normal"/>
    <w:rsid w:val="00402EAC"/>
    <w:pPr>
      <w:spacing w:after="0" w:line="240" w:lineRule="auto"/>
      <w:ind w:right="2250"/>
    </w:pPr>
    <w:rPr>
      <w:rFonts w:eastAsia="Times New Roman" w:cs="Calibri"/>
      <w:sz w:val="24"/>
      <w:szCs w:val="24"/>
      <w:lang w:val="en-US"/>
    </w:rPr>
  </w:style>
  <w:style w:type="paragraph" w:customStyle="1" w:styleId="P1">
    <w:name w:val="P 1"/>
    <w:basedOn w:val="Normal"/>
    <w:link w:val="P1Car"/>
    <w:qFormat/>
    <w:rsid w:val="009344F2"/>
    <w:pPr>
      <w:spacing w:before="120" w:after="120" w:line="240" w:lineRule="auto"/>
      <w:jc w:val="both"/>
    </w:pPr>
    <w:rPr>
      <w:rFonts w:ascii="Times New Roman" w:eastAsia="Times New Roman" w:hAnsi="Times New Roman" w:cs="Times New Roman (Corps CS)"/>
      <w:szCs w:val="24"/>
    </w:rPr>
  </w:style>
  <w:style w:type="character" w:customStyle="1" w:styleId="P1Car">
    <w:name w:val="P 1 Car"/>
    <w:link w:val="P1"/>
    <w:rsid w:val="009344F2"/>
    <w:rPr>
      <w:rFonts w:ascii="Times New Roman" w:eastAsia="Times New Roman" w:hAnsi="Times New Roman" w:cs="Times New Roman (Corps CS)"/>
      <w:szCs w:val="24"/>
    </w:rPr>
  </w:style>
  <w:style w:type="paragraph" w:customStyle="1" w:styleId="T1">
    <w:name w:val="T 1"/>
    <w:basedOn w:val="P1"/>
    <w:qFormat/>
    <w:rsid w:val="009344F2"/>
    <w:rPr>
      <w:b/>
      <w:smallCaps/>
      <w:sz w:val="28"/>
    </w:rPr>
  </w:style>
  <w:style w:type="paragraph" w:styleId="NormalWeb">
    <w:name w:val="Normal (Web)"/>
    <w:basedOn w:val="Normal"/>
    <w:unhideWhenUsed/>
    <w:rsid w:val="009344F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Tableau_des_Co&#251;ts.pdf" TargetMode="External"/><Relationship Id="rId13" Type="http://schemas.openxmlformats.org/officeDocument/2006/relationships/package" Target="embeddings/Microsoft_Word_Document.docx"/><Relationship Id="rId18" Type="http://schemas.openxmlformats.org/officeDocument/2006/relationships/hyperlink" Target="mailto:ic.offres.gn@undp.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offres.gn@undp.org" TargetMode="External"/><Relationship Id="rId12" Type="http://schemas.openxmlformats.org/officeDocument/2006/relationships/image" Target="media/image3.emf"/><Relationship Id="rId17"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ic.offres.gn@undp.org" TargetMode="External"/><Relationship Id="rId11" Type="http://schemas.openxmlformats.org/officeDocument/2006/relationships/hyperlink" Target="mailto:ic.offres.gn@undp.org" TargetMode="External"/><Relationship Id="rId5" Type="http://schemas.openxmlformats.org/officeDocument/2006/relationships/image" Target="media/image1.png"/><Relationship Id="rId15" Type="http://schemas.openxmlformats.org/officeDocument/2006/relationships/package" Target="embeddings/Microsoft_Word_Document1.docx"/><Relationship Id="rId10" Type="http://schemas.openxmlformats.org/officeDocument/2006/relationships/image" Target="media/image2.png"/><Relationship Id="rId19" Type="http://schemas.openxmlformats.org/officeDocument/2006/relationships/hyperlink" Target="mailto:info.offres.gn@undp.org" TargetMode="External"/><Relationship Id="rId4" Type="http://schemas.openxmlformats.org/officeDocument/2006/relationships/webSettings" Target="webSettings.xml"/><Relationship Id="rId9" Type="http://schemas.openxmlformats.org/officeDocument/2006/relationships/hyperlink" Target="http://www.cd.undp.org/hr/Conditions_G&#233;n&#233;rales_IC.pdf" TargetMode="Externa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2830</Words>
  <Characters>15569</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Samory Toure</cp:lastModifiedBy>
  <cp:revision>2</cp:revision>
  <dcterms:created xsi:type="dcterms:W3CDTF">2019-05-10T11:03:00Z</dcterms:created>
  <dcterms:modified xsi:type="dcterms:W3CDTF">2019-05-10T11:28:00Z</dcterms:modified>
</cp:coreProperties>
</file>