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8B" w:rsidRPr="00102B28" w:rsidRDefault="0055578B" w:rsidP="0055578B">
      <w:pPr>
        <w:rPr>
          <w:rFonts w:ascii="Calibri" w:hAnsi="Calibri" w:cs="Calibri"/>
          <w:sz w:val="22"/>
          <w:szCs w:val="22"/>
          <w:lang w:val="fr-FR"/>
        </w:rPr>
      </w:pPr>
    </w:p>
    <w:p w:rsidR="0055578B" w:rsidRDefault="0055578B" w:rsidP="0055578B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55578B" w:rsidRPr="00102B28" w:rsidRDefault="0055578B" w:rsidP="0055578B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  <w:r w:rsidRPr="00102B28">
        <w:rPr>
          <w:rFonts w:ascii="Calibri" w:hAnsi="Calibri" w:cs="Calibri"/>
          <w:b/>
          <w:sz w:val="22"/>
          <w:szCs w:val="22"/>
          <w:lang w:val="fr-FR"/>
        </w:rPr>
        <w:t>Annexe 2</w:t>
      </w:r>
    </w:p>
    <w:p w:rsidR="0055578B" w:rsidRDefault="0055578B" w:rsidP="0055578B">
      <w:pPr>
        <w:jc w:val="right"/>
        <w:rPr>
          <w:rFonts w:ascii="Calibri" w:hAnsi="Calibri" w:cs="Calibri"/>
          <w:b/>
          <w:sz w:val="28"/>
          <w:szCs w:val="28"/>
          <w:lang w:val="fr-FR"/>
        </w:rPr>
      </w:pPr>
    </w:p>
    <w:p w:rsidR="0055578B" w:rsidRPr="00102B28" w:rsidRDefault="0055578B" w:rsidP="0055578B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102B28">
        <w:rPr>
          <w:rFonts w:ascii="Calibri" w:hAnsi="Calibri" w:cs="Calibri"/>
          <w:b/>
          <w:sz w:val="28"/>
          <w:szCs w:val="28"/>
          <w:lang w:val="fr-FR"/>
        </w:rPr>
        <w:t>FORMULAIRE DE SOUMISSION DE L’OFFRE DE PRIX DU FOURNISSEUR</w:t>
      </w:r>
      <w:r w:rsidRPr="00102B28">
        <w:rPr>
          <w:rStyle w:val="Appelnotedebasdep"/>
          <w:rFonts w:ascii="Calibri" w:hAnsi="Calibri" w:cs="Calibri"/>
          <w:b/>
          <w:sz w:val="28"/>
          <w:szCs w:val="28"/>
          <w:lang w:val="fr-FR"/>
        </w:rPr>
        <w:footnoteReference w:id="1"/>
      </w:r>
    </w:p>
    <w:p w:rsidR="0055578B" w:rsidRPr="00102B28" w:rsidRDefault="0055578B" w:rsidP="0055578B">
      <w:pPr>
        <w:jc w:val="center"/>
        <w:rPr>
          <w:rFonts w:ascii="Calibri" w:hAnsi="Calibri" w:cs="Calibri"/>
          <w:b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b/>
          <w:i/>
          <w:sz w:val="22"/>
          <w:szCs w:val="22"/>
          <w:lang w:val="fr-FR"/>
        </w:rPr>
        <w:t>(Le présent formulaire doit être soumis uniquement sur le papier à en-tête officiel du fournisseur</w:t>
      </w:r>
      <w:r w:rsidRPr="00102B28">
        <w:rPr>
          <w:rStyle w:val="Appelnotedebasdep"/>
          <w:rFonts w:ascii="Calibri" w:hAnsi="Calibri" w:cs="Calibri"/>
          <w:b/>
          <w:i/>
          <w:sz w:val="22"/>
          <w:szCs w:val="22"/>
          <w:lang w:val="fr-FR"/>
        </w:rPr>
        <w:footnoteReference w:id="2"/>
      </w:r>
      <w:r w:rsidRPr="00102B28">
        <w:rPr>
          <w:rFonts w:ascii="Calibri" w:hAnsi="Calibri" w:cs="Calibri"/>
          <w:b/>
          <w:i/>
          <w:sz w:val="22"/>
          <w:szCs w:val="22"/>
          <w:lang w:val="fr-FR"/>
        </w:rPr>
        <w:t>)</w:t>
      </w:r>
    </w:p>
    <w:p w:rsidR="0055578B" w:rsidRPr="00102B28" w:rsidRDefault="0055578B" w:rsidP="0055578B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fr-FR"/>
        </w:rPr>
      </w:pPr>
    </w:p>
    <w:p w:rsidR="0055578B" w:rsidRPr="00102B28" w:rsidRDefault="0055578B" w:rsidP="0055578B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:rsidR="0055578B" w:rsidRPr="00102B28" w:rsidRDefault="0055578B" w:rsidP="0055578B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  <w:lang w:val="fr-FR"/>
        </w:rPr>
      </w:pPr>
      <w:r w:rsidRPr="00102B28">
        <w:rPr>
          <w:rFonts w:ascii="Calibri" w:hAnsi="Calibri" w:cs="Calibri"/>
          <w:snapToGrid w:val="0"/>
          <w:sz w:val="22"/>
          <w:szCs w:val="22"/>
          <w:lang w:val="fr-FR"/>
        </w:rPr>
        <w:t>Le fournisseur soussigné accepte par les présentes les conditions générales du PNUD et propose de fournir les articles énumérés ci-dessous conformément aux spécifications et exigences du PNUD, telles qu’indiquées dans la RFQ ayant pour n° de référence : ______</w:t>
      </w:r>
      <w:proofErr w:type="gramStart"/>
      <w:r w:rsidRPr="00102B28">
        <w:rPr>
          <w:rFonts w:ascii="Calibri" w:hAnsi="Calibri" w:cs="Calibri"/>
          <w:snapToGrid w:val="0"/>
          <w:sz w:val="22"/>
          <w:szCs w:val="22"/>
          <w:lang w:val="fr-FR"/>
        </w:rPr>
        <w:t>_:</w:t>
      </w:r>
      <w:proofErr w:type="gramEnd"/>
    </w:p>
    <w:p w:rsidR="0055578B" w:rsidRPr="00102B28" w:rsidRDefault="0055578B" w:rsidP="0055578B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</w:pPr>
    </w:p>
    <w:p w:rsidR="0055578B" w:rsidRPr="00102B28" w:rsidRDefault="0055578B" w:rsidP="0055578B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</w:pPr>
      <w:r w:rsidRPr="00102B28">
        <w:rPr>
          <w:rFonts w:ascii="Calibri" w:hAnsi="Calibri" w:cs="Calibri"/>
          <w:b/>
          <w:snapToGrid w:val="0"/>
          <w:sz w:val="22"/>
          <w:szCs w:val="22"/>
          <w:u w:val="single"/>
          <w:lang w:val="fr-FR"/>
        </w:rPr>
        <w:t>TABLEAU 1 : Offre de fourniture de biens conformes aux spécifications techniques et exigences</w:t>
      </w:r>
    </w:p>
    <w:p w:rsidR="0055578B" w:rsidRPr="00102B28" w:rsidRDefault="0055578B" w:rsidP="0055578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fr-FR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55578B" w:rsidRPr="0087143E" w:rsidTr="008C564B">
        <w:trPr>
          <w:jc w:val="center"/>
        </w:trPr>
        <w:tc>
          <w:tcPr>
            <w:tcW w:w="1170" w:type="dxa"/>
          </w:tcPr>
          <w:p w:rsidR="0055578B" w:rsidRPr="00102B28" w:rsidRDefault="0055578B" w:rsidP="008C564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N° d’article</w:t>
            </w:r>
          </w:p>
        </w:tc>
        <w:tc>
          <w:tcPr>
            <w:tcW w:w="3780" w:type="dxa"/>
          </w:tcPr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Description/Spécifications des biens</w:t>
            </w:r>
          </w:p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</w:tcPr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Quantité</w:t>
            </w:r>
          </w:p>
        </w:tc>
        <w:tc>
          <w:tcPr>
            <w:tcW w:w="1350" w:type="dxa"/>
          </w:tcPr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Date-limite de livraison</w:t>
            </w:r>
          </w:p>
        </w:tc>
        <w:tc>
          <w:tcPr>
            <w:tcW w:w="1170" w:type="dxa"/>
          </w:tcPr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Prix unitaire</w:t>
            </w: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en TND</w:t>
            </w:r>
          </w:p>
        </w:tc>
        <w:tc>
          <w:tcPr>
            <w:tcW w:w="1440" w:type="dxa"/>
          </w:tcPr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55578B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Prix total par article</w:t>
            </w: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en TND</w:t>
            </w:r>
          </w:p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55578B" w:rsidRPr="00102B28" w:rsidTr="008C564B">
        <w:trPr>
          <w:jc w:val="center"/>
        </w:trPr>
        <w:tc>
          <w:tcPr>
            <w:tcW w:w="117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378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7745D">
              <w:rPr>
                <w:rFonts w:ascii="Calibri" w:hAnsi="Calibri" w:cs="Calibri"/>
                <w:sz w:val="22"/>
                <w:szCs w:val="22"/>
                <w:lang w:val="fr-FR"/>
              </w:rPr>
              <w:t>Serveur Type 1</w:t>
            </w:r>
          </w:p>
        </w:tc>
        <w:tc>
          <w:tcPr>
            <w:tcW w:w="108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02</w:t>
            </w:r>
          </w:p>
        </w:tc>
        <w:tc>
          <w:tcPr>
            <w:tcW w:w="135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102B28" w:rsidTr="008C564B">
        <w:trPr>
          <w:jc w:val="center"/>
        </w:trPr>
        <w:tc>
          <w:tcPr>
            <w:tcW w:w="117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2</w:t>
            </w:r>
          </w:p>
        </w:tc>
        <w:tc>
          <w:tcPr>
            <w:tcW w:w="3780" w:type="dxa"/>
          </w:tcPr>
          <w:p w:rsidR="0055578B" w:rsidRPr="0047745D" w:rsidRDefault="0055578B" w:rsidP="008C564B">
            <w:pPr>
              <w:rPr>
                <w:b/>
                <w:sz w:val="28"/>
                <w:szCs w:val="28"/>
                <w:u w:val="single"/>
                <w:lang w:val="fr-FR"/>
              </w:rPr>
            </w:pPr>
            <w:r w:rsidRPr="0047745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Serveur Type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2</w:t>
            </w:r>
          </w:p>
        </w:tc>
        <w:tc>
          <w:tcPr>
            <w:tcW w:w="108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01</w:t>
            </w:r>
          </w:p>
        </w:tc>
        <w:tc>
          <w:tcPr>
            <w:tcW w:w="135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102B28" w:rsidTr="008C564B">
        <w:trPr>
          <w:jc w:val="center"/>
        </w:trPr>
        <w:tc>
          <w:tcPr>
            <w:tcW w:w="1170" w:type="dxa"/>
          </w:tcPr>
          <w:p w:rsidR="0055578B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3</w:t>
            </w:r>
          </w:p>
        </w:tc>
        <w:tc>
          <w:tcPr>
            <w:tcW w:w="378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7745D">
              <w:rPr>
                <w:rFonts w:ascii="Calibri" w:hAnsi="Calibri" w:cs="Calibri"/>
                <w:sz w:val="22"/>
                <w:szCs w:val="22"/>
                <w:lang w:val="fr-FR"/>
              </w:rPr>
              <w:t>Imprimantes multifonctions</w:t>
            </w:r>
          </w:p>
        </w:tc>
        <w:tc>
          <w:tcPr>
            <w:tcW w:w="1080" w:type="dxa"/>
          </w:tcPr>
          <w:p w:rsidR="0055578B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05</w:t>
            </w:r>
          </w:p>
        </w:tc>
        <w:tc>
          <w:tcPr>
            <w:tcW w:w="135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102B28" w:rsidTr="008C564B">
        <w:trPr>
          <w:jc w:val="center"/>
        </w:trPr>
        <w:tc>
          <w:tcPr>
            <w:tcW w:w="1170" w:type="dxa"/>
          </w:tcPr>
          <w:p w:rsidR="0055578B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4</w:t>
            </w:r>
          </w:p>
        </w:tc>
        <w:tc>
          <w:tcPr>
            <w:tcW w:w="378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7745D">
              <w:rPr>
                <w:rFonts w:ascii="Calibri" w:hAnsi="Calibri" w:cs="Calibri"/>
                <w:sz w:val="22"/>
                <w:szCs w:val="22"/>
                <w:lang w:val="fr-FR"/>
              </w:rPr>
              <w:t>Des ordinateurs bureautiques</w:t>
            </w:r>
          </w:p>
        </w:tc>
        <w:tc>
          <w:tcPr>
            <w:tcW w:w="1080" w:type="dxa"/>
          </w:tcPr>
          <w:p w:rsidR="0055578B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05</w:t>
            </w:r>
          </w:p>
        </w:tc>
        <w:tc>
          <w:tcPr>
            <w:tcW w:w="135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102B28" w:rsidTr="008C564B">
        <w:trPr>
          <w:jc w:val="center"/>
        </w:trPr>
        <w:tc>
          <w:tcPr>
            <w:tcW w:w="1170" w:type="dxa"/>
          </w:tcPr>
          <w:p w:rsidR="0055578B" w:rsidRPr="00102B28" w:rsidRDefault="0055578B" w:rsidP="008C564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7380" w:type="dxa"/>
            <w:gridSpan w:val="4"/>
          </w:tcPr>
          <w:p w:rsidR="0055578B" w:rsidRPr="00102B28" w:rsidRDefault="0055578B" w:rsidP="008C564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Prix totaux des biens</w:t>
            </w:r>
            <w:r w:rsidRPr="00102B28">
              <w:rPr>
                <w:rStyle w:val="Appelnotedebasdep"/>
                <w:rFonts w:ascii="Calibri" w:hAnsi="Calibri" w:cs="Calibri"/>
                <w:b/>
                <w:sz w:val="22"/>
                <w:szCs w:val="22"/>
                <w:lang w:val="fr-FR"/>
              </w:rPr>
              <w:footnoteReference w:id="3"/>
            </w:r>
          </w:p>
        </w:tc>
        <w:tc>
          <w:tcPr>
            <w:tcW w:w="144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87143E" w:rsidTr="008C564B">
        <w:trPr>
          <w:jc w:val="center"/>
        </w:trPr>
        <w:tc>
          <w:tcPr>
            <w:tcW w:w="117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380" w:type="dxa"/>
            <w:gridSpan w:val="4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 Ajoutez : autre frais (veuillez préciser)</w:t>
            </w:r>
          </w:p>
        </w:tc>
        <w:tc>
          <w:tcPr>
            <w:tcW w:w="144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87143E" w:rsidTr="008C564B">
        <w:trPr>
          <w:jc w:val="center"/>
        </w:trPr>
        <w:tc>
          <w:tcPr>
            <w:tcW w:w="1170" w:type="dxa"/>
          </w:tcPr>
          <w:p w:rsidR="0055578B" w:rsidRPr="00102B28" w:rsidRDefault="0055578B" w:rsidP="008C564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7380" w:type="dxa"/>
            <w:gridSpan w:val="4"/>
          </w:tcPr>
          <w:p w:rsidR="0055578B" w:rsidRPr="00102B28" w:rsidRDefault="0055578B" w:rsidP="008C564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55578B" w:rsidRPr="00102B28" w:rsidRDefault="0055578B" w:rsidP="008C564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Offre de prix finale, totale et globale</w:t>
            </w: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en HT (devise à préciser)</w:t>
            </w:r>
          </w:p>
          <w:p w:rsidR="0055578B" w:rsidRPr="00102B28" w:rsidRDefault="0055578B" w:rsidP="008C564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87143E" w:rsidTr="008C564B">
        <w:trPr>
          <w:jc w:val="center"/>
        </w:trPr>
        <w:tc>
          <w:tcPr>
            <w:tcW w:w="1170" w:type="dxa"/>
          </w:tcPr>
          <w:p w:rsidR="0055578B" w:rsidRPr="00102B28" w:rsidRDefault="0055578B" w:rsidP="008C564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7380" w:type="dxa"/>
            <w:gridSpan w:val="4"/>
          </w:tcPr>
          <w:p w:rsidR="0055578B" w:rsidRPr="00102B28" w:rsidRDefault="0055578B" w:rsidP="008C564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Offre de prix finale, totale et globale</w:t>
            </w: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en TTC</w:t>
            </w:r>
          </w:p>
        </w:tc>
        <w:tc>
          <w:tcPr>
            <w:tcW w:w="1440" w:type="dxa"/>
          </w:tcPr>
          <w:p w:rsidR="0055578B" w:rsidRPr="00102B28" w:rsidRDefault="0055578B" w:rsidP="008C564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:rsidR="0055578B" w:rsidRPr="00102B28" w:rsidRDefault="0055578B" w:rsidP="0055578B">
      <w:pPr>
        <w:rPr>
          <w:rFonts w:ascii="Calibri" w:hAnsi="Calibri" w:cs="Calibri"/>
          <w:sz w:val="22"/>
          <w:szCs w:val="22"/>
          <w:lang w:val="fr-FR"/>
        </w:rPr>
      </w:pPr>
    </w:p>
    <w:p w:rsidR="0055578B" w:rsidRPr="00102B28" w:rsidRDefault="0055578B" w:rsidP="0055578B">
      <w:pPr>
        <w:rPr>
          <w:rFonts w:ascii="Calibri" w:hAnsi="Calibri" w:cs="Calibri"/>
          <w:sz w:val="22"/>
          <w:szCs w:val="22"/>
          <w:lang w:val="fr-FR"/>
        </w:rPr>
      </w:pPr>
    </w:p>
    <w:p w:rsidR="0055578B" w:rsidRDefault="0055578B" w:rsidP="0055578B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102B28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TABLEAU </w:t>
      </w:r>
      <w:r>
        <w:rPr>
          <w:rFonts w:ascii="Calibri" w:hAnsi="Calibri" w:cs="Calibri"/>
          <w:b/>
          <w:sz w:val="22"/>
          <w:szCs w:val="22"/>
          <w:u w:val="single"/>
          <w:lang w:val="fr-FR"/>
        </w:rPr>
        <w:t>2</w:t>
      </w:r>
      <w:r w:rsidRPr="00102B28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 : Offre de conformité aux autres conditions et exigences connexes </w:t>
      </w:r>
    </w:p>
    <w:p w:rsidR="0055578B" w:rsidRDefault="0055578B" w:rsidP="0055578B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440"/>
        <w:gridCol w:w="2340"/>
      </w:tblGrid>
      <w:tr w:rsidR="0055578B" w:rsidRPr="00102B28" w:rsidTr="008C564B">
        <w:trPr>
          <w:trHeight w:val="383"/>
        </w:trPr>
        <w:tc>
          <w:tcPr>
            <w:tcW w:w="4140" w:type="dxa"/>
            <w:vMerge w:val="restart"/>
          </w:tcPr>
          <w:p w:rsidR="0055578B" w:rsidRPr="00102B28" w:rsidRDefault="0055578B" w:rsidP="008C564B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55578B" w:rsidRPr="00102B28" w:rsidRDefault="0055578B" w:rsidP="008C564B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Autres informations concernant notre offre de prix :</w:t>
            </w:r>
          </w:p>
        </w:tc>
        <w:tc>
          <w:tcPr>
            <w:tcW w:w="5310" w:type="dxa"/>
            <w:gridSpan w:val="3"/>
          </w:tcPr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Vos réponses</w:t>
            </w:r>
          </w:p>
        </w:tc>
      </w:tr>
      <w:tr w:rsidR="0055578B" w:rsidRPr="0087143E" w:rsidTr="008C564B">
        <w:trPr>
          <w:trHeight w:val="382"/>
        </w:trPr>
        <w:tc>
          <w:tcPr>
            <w:tcW w:w="4140" w:type="dxa"/>
            <w:vMerge/>
          </w:tcPr>
          <w:p w:rsidR="0055578B" w:rsidRPr="00102B28" w:rsidRDefault="0055578B" w:rsidP="008C564B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</w:tcPr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Oui, nous nous y conformerons</w:t>
            </w:r>
          </w:p>
        </w:tc>
        <w:tc>
          <w:tcPr>
            <w:tcW w:w="1440" w:type="dxa"/>
          </w:tcPr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Non, nous ne </w:t>
            </w:r>
            <w:proofErr w:type="spellStart"/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pouvons nous</w:t>
            </w:r>
            <w:proofErr w:type="spellEnd"/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 xml:space="preserve"> y conformer</w:t>
            </w:r>
          </w:p>
        </w:tc>
        <w:tc>
          <w:tcPr>
            <w:tcW w:w="2340" w:type="dxa"/>
          </w:tcPr>
          <w:p w:rsidR="0055578B" w:rsidRPr="00102B28" w:rsidRDefault="0055578B" w:rsidP="008C564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Si vous ne pouvez pas vous y conformer, veuillez faire une contre-proposition</w:t>
            </w:r>
          </w:p>
        </w:tc>
      </w:tr>
      <w:tr w:rsidR="0055578B" w:rsidRPr="00102B28" w:rsidTr="008C564B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55578B" w:rsidRPr="00102B28" w:rsidRDefault="0055578B" w:rsidP="008C564B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Délai de livraison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102B28" w:rsidTr="008C564B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55578B" w:rsidRPr="00102B28" w:rsidRDefault="0055578B" w:rsidP="008C564B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Pays d’origine</w:t>
            </w:r>
            <w:r w:rsidRPr="00102B28">
              <w:rPr>
                <w:rStyle w:val="Appelnotedebasdep"/>
                <w:rFonts w:ascii="Calibri" w:hAnsi="Calibri" w:cs="Calibri"/>
                <w:bCs/>
                <w:sz w:val="22"/>
                <w:szCs w:val="22"/>
                <w:lang w:val="fr-FR"/>
              </w:rPr>
              <w:footnoteReference w:id="4"/>
            </w: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87143E" w:rsidTr="008C564B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:rsidR="0055578B" w:rsidRPr="00102B28" w:rsidRDefault="0055578B" w:rsidP="008C564B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lastRenderedPageBreak/>
              <w:t>Exigences en matière de garantie et de service après-vente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87143E" w:rsidTr="008C564B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578B" w:rsidRPr="00102B28" w:rsidRDefault="0055578B" w:rsidP="0055578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Garantie minimum </w:t>
            </w: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tel que spécifié dans l’annexe 1</w:t>
            </w: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 sur les pièces et la main-d’œuvre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87143E" w:rsidTr="008C564B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578B" w:rsidRPr="00102B28" w:rsidRDefault="0055578B" w:rsidP="0055578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Unité de remplacement neuve si l'unité achetée est irréparable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87143E" w:rsidTr="008C564B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:rsidR="0055578B" w:rsidRPr="00102B28" w:rsidRDefault="0055578B" w:rsidP="0055578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Livraison et installation des équipements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87143E" w:rsidTr="008C564B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55578B" w:rsidRPr="00102B28" w:rsidRDefault="0055578B" w:rsidP="008C564B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Validité de l’offre de 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55578B" w:rsidRPr="0087143E" w:rsidTr="008C564B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55578B" w:rsidRPr="00102B28" w:rsidRDefault="0055578B" w:rsidP="008C564B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Totalité des conditions générales du PNUD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8B" w:rsidRPr="00102B28" w:rsidRDefault="0055578B" w:rsidP="008C564B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:rsidR="0055578B" w:rsidRPr="00102B28" w:rsidRDefault="0055578B" w:rsidP="0055578B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:rsidR="0055578B" w:rsidRPr="00102B28" w:rsidRDefault="0055578B" w:rsidP="0055578B">
      <w:pPr>
        <w:ind w:firstLine="720"/>
        <w:jc w:val="both"/>
        <w:rPr>
          <w:rFonts w:ascii="Calibri" w:hAnsi="Calibri" w:cs="Calibri"/>
          <w:sz w:val="22"/>
          <w:szCs w:val="22"/>
          <w:lang w:val="fr-FR"/>
        </w:rPr>
      </w:pPr>
      <w:r w:rsidRPr="00102B28">
        <w:rPr>
          <w:rFonts w:ascii="Calibri" w:hAnsi="Calibri" w:cs="Calibri"/>
          <w:sz w:val="22"/>
          <w:szCs w:val="22"/>
          <w:lang w:val="fr-FR"/>
        </w:rPr>
        <w:t>Toutes les autres informations que nous n’avons pas fournies emportent automatiquement conformité pleine et entière de notre part aux exigences et conditions de la RFQ.</w:t>
      </w:r>
    </w:p>
    <w:p w:rsidR="0055578B" w:rsidRPr="00102B28" w:rsidRDefault="0055578B" w:rsidP="0055578B">
      <w:pPr>
        <w:rPr>
          <w:rFonts w:ascii="Calibri" w:hAnsi="Calibri" w:cs="Calibri"/>
          <w:sz w:val="22"/>
          <w:szCs w:val="22"/>
          <w:lang w:val="fr-FR"/>
        </w:rPr>
      </w:pPr>
    </w:p>
    <w:p w:rsidR="0055578B" w:rsidRPr="00102B28" w:rsidRDefault="0055578B" w:rsidP="0055578B">
      <w:pPr>
        <w:rPr>
          <w:rFonts w:ascii="Calibri" w:hAnsi="Calibri" w:cs="Calibri"/>
          <w:sz w:val="22"/>
          <w:szCs w:val="22"/>
          <w:lang w:val="fr-FR"/>
        </w:rPr>
      </w:pPr>
    </w:p>
    <w:p w:rsidR="0055578B" w:rsidRPr="00102B28" w:rsidRDefault="0055578B" w:rsidP="0055578B">
      <w:pPr>
        <w:rPr>
          <w:rFonts w:ascii="Calibri" w:hAnsi="Calibri" w:cs="Calibri"/>
          <w:sz w:val="22"/>
          <w:szCs w:val="22"/>
          <w:lang w:val="fr-FR"/>
        </w:rPr>
      </w:pPr>
    </w:p>
    <w:p w:rsidR="0055578B" w:rsidRPr="00102B28" w:rsidRDefault="0055578B" w:rsidP="0055578B">
      <w:pPr>
        <w:rPr>
          <w:rFonts w:ascii="Calibri" w:hAnsi="Calibri" w:cs="Calibri"/>
          <w:sz w:val="22"/>
          <w:szCs w:val="22"/>
          <w:lang w:val="fr-FR"/>
        </w:rPr>
      </w:pPr>
    </w:p>
    <w:p w:rsidR="0055578B" w:rsidRPr="00102B28" w:rsidRDefault="0055578B" w:rsidP="0055578B">
      <w:pPr>
        <w:ind w:left="3960"/>
        <w:rPr>
          <w:rFonts w:ascii="Calibri" w:hAnsi="Calibri" w:cs="Calibri"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nom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 xml:space="preserve"> et signature de la personne habilitée par le fournisseur]</w:t>
      </w:r>
    </w:p>
    <w:p w:rsidR="0055578B" w:rsidRPr="00102B28" w:rsidRDefault="0055578B" w:rsidP="0055578B">
      <w:pPr>
        <w:ind w:left="3960"/>
        <w:rPr>
          <w:rFonts w:ascii="Calibri" w:hAnsi="Calibri" w:cs="Calibri"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fonctions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>]</w:t>
      </w:r>
    </w:p>
    <w:p w:rsidR="0055578B" w:rsidRPr="00102B28" w:rsidRDefault="0055578B" w:rsidP="0055578B">
      <w:pPr>
        <w:ind w:left="3960"/>
        <w:rPr>
          <w:rFonts w:ascii="Calibri" w:hAnsi="Calibri" w:cs="Calibri"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i/>
          <w:sz w:val="22"/>
          <w:szCs w:val="22"/>
          <w:lang w:val="fr-FR"/>
        </w:rPr>
        <w:t>[</w:t>
      </w:r>
      <w:proofErr w:type="gramStart"/>
      <w:r w:rsidRPr="00102B28">
        <w:rPr>
          <w:rFonts w:ascii="Calibri" w:hAnsi="Calibri" w:cs="Calibri"/>
          <w:i/>
          <w:sz w:val="22"/>
          <w:szCs w:val="22"/>
          <w:lang w:val="fr-FR"/>
        </w:rPr>
        <w:t>date</w:t>
      </w:r>
      <w:proofErr w:type="gramEnd"/>
      <w:r w:rsidRPr="00102B28">
        <w:rPr>
          <w:rFonts w:ascii="Calibri" w:hAnsi="Calibri" w:cs="Calibri"/>
          <w:i/>
          <w:sz w:val="22"/>
          <w:szCs w:val="22"/>
          <w:lang w:val="fr-FR"/>
        </w:rPr>
        <w:t>]</w:t>
      </w:r>
    </w:p>
    <w:p w:rsidR="0055578B" w:rsidRPr="00102B28" w:rsidRDefault="0055578B" w:rsidP="0055578B">
      <w:pPr>
        <w:rPr>
          <w:rFonts w:ascii="Calibri" w:hAnsi="Calibri" w:cs="Calibri"/>
          <w:b/>
          <w:i/>
          <w:sz w:val="22"/>
          <w:szCs w:val="22"/>
          <w:lang w:val="fr-FR"/>
        </w:rPr>
      </w:pPr>
      <w:r w:rsidRPr="00102B28">
        <w:rPr>
          <w:rFonts w:ascii="Calibri" w:hAnsi="Calibri" w:cs="Calibri"/>
          <w:b/>
          <w:i/>
          <w:sz w:val="22"/>
          <w:szCs w:val="22"/>
          <w:lang w:val="fr-FR"/>
        </w:rPr>
        <w:br w:type="page"/>
      </w:r>
    </w:p>
    <w:p w:rsidR="00756267" w:rsidRDefault="00756267">
      <w:bookmarkStart w:id="0" w:name="_GoBack"/>
      <w:bookmarkEnd w:id="0"/>
    </w:p>
    <w:sectPr w:rsidR="0075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DE" w:rsidRDefault="007635DE" w:rsidP="0055578B">
      <w:r>
        <w:separator/>
      </w:r>
    </w:p>
  </w:endnote>
  <w:endnote w:type="continuationSeparator" w:id="0">
    <w:p w:rsidR="007635DE" w:rsidRDefault="007635DE" w:rsidP="0055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DE" w:rsidRDefault="007635DE" w:rsidP="0055578B">
      <w:r>
        <w:separator/>
      </w:r>
    </w:p>
  </w:footnote>
  <w:footnote w:type="continuationSeparator" w:id="0">
    <w:p w:rsidR="007635DE" w:rsidRDefault="007635DE" w:rsidP="0055578B">
      <w:r>
        <w:continuationSeparator/>
      </w:r>
    </w:p>
  </w:footnote>
  <w:footnote w:id="1">
    <w:p w:rsidR="0055578B" w:rsidRPr="00064E61" w:rsidRDefault="0055578B" w:rsidP="0055578B">
      <w:pPr>
        <w:jc w:val="both"/>
        <w:rPr>
          <w:lang w:val="fr-FR"/>
        </w:rPr>
      </w:pPr>
      <w:r w:rsidRPr="007F5C53">
        <w:rPr>
          <w:rStyle w:val="Appelnotedebasdep"/>
          <w:lang w:val="fr-FR"/>
        </w:rPr>
        <w:footnoteRef/>
      </w:r>
      <w:r w:rsidRPr="00064E61">
        <w:rPr>
          <w:lang w:val="fr-FR"/>
        </w:rPr>
        <w:t xml:space="preserve"> </w:t>
      </w:r>
      <w:r w:rsidRPr="00064E61">
        <w:rPr>
          <w:i/>
          <w:snapToGrid w:val="0"/>
          <w:lang w:val="fr-FR"/>
        </w:rPr>
        <w:t>Ceci sert de guide au fournisseur dans le cadre de la pr</w:t>
      </w:r>
      <w:r>
        <w:rPr>
          <w:i/>
          <w:snapToGrid w:val="0"/>
          <w:lang w:val="fr-FR"/>
        </w:rPr>
        <w:t>é</w:t>
      </w:r>
      <w:r w:rsidRPr="00064E61">
        <w:rPr>
          <w:i/>
          <w:snapToGrid w:val="0"/>
          <w:lang w:val="fr-FR"/>
        </w:rPr>
        <w:t>paration de l’of</w:t>
      </w:r>
      <w:r>
        <w:rPr>
          <w:i/>
          <w:snapToGrid w:val="0"/>
          <w:lang w:val="fr-FR"/>
        </w:rPr>
        <w:t>fre de prix et du barème de prix.</w:t>
      </w:r>
    </w:p>
  </w:footnote>
  <w:footnote w:id="2">
    <w:p w:rsidR="0055578B" w:rsidRPr="00064E61" w:rsidRDefault="0055578B" w:rsidP="0055578B">
      <w:pPr>
        <w:pStyle w:val="Notedebasdepage"/>
        <w:rPr>
          <w:i/>
          <w:lang w:val="fr-FR"/>
        </w:rPr>
      </w:pPr>
      <w:r w:rsidRPr="007F5C53">
        <w:rPr>
          <w:rStyle w:val="Appelnotedebasdep"/>
          <w:i/>
          <w:lang w:val="fr-FR"/>
        </w:rPr>
        <w:footnoteRef/>
      </w:r>
      <w:r w:rsidRPr="00064E61">
        <w:rPr>
          <w:i/>
          <w:lang w:val="fr-FR"/>
        </w:rPr>
        <w:t xml:space="preserve"> Le papier à en-tête officiel </w:t>
      </w:r>
      <w:r>
        <w:rPr>
          <w:i/>
          <w:lang w:val="fr-FR"/>
        </w:rPr>
        <w:t>doit indiquer les coordonnées – adresses, courrier électronique, numéros de téléphone et de fax – aux fins de vérification.</w:t>
      </w:r>
    </w:p>
  </w:footnote>
  <w:footnote w:id="3">
    <w:p w:rsidR="0055578B" w:rsidRPr="00B8279B" w:rsidRDefault="0055578B" w:rsidP="0055578B">
      <w:pPr>
        <w:pStyle w:val="Notedebasdepage"/>
        <w:rPr>
          <w:i/>
          <w:lang w:val="fr-FR"/>
        </w:rPr>
      </w:pPr>
      <w:r w:rsidRPr="007F5C53">
        <w:rPr>
          <w:rStyle w:val="Appelnotedebasdep"/>
          <w:i/>
          <w:lang w:val="fr-FR"/>
        </w:rPr>
        <w:footnoteRef/>
      </w:r>
      <w:r w:rsidRPr="00B8279B">
        <w:rPr>
          <w:i/>
          <w:lang w:val="fr-FR"/>
        </w:rPr>
        <w:t xml:space="preserve"> La tarification des biens doit </w:t>
      </w:r>
      <w:r>
        <w:rPr>
          <w:i/>
          <w:lang w:val="fr-FR"/>
        </w:rPr>
        <w:t>correspondre aux INCOTERMS indiqués dans la RFQ.</w:t>
      </w:r>
    </w:p>
  </w:footnote>
  <w:footnote w:id="4">
    <w:p w:rsidR="0055578B" w:rsidRPr="00DA063C" w:rsidRDefault="0055578B" w:rsidP="0055578B">
      <w:pPr>
        <w:pStyle w:val="Notedebasdepage"/>
        <w:rPr>
          <w:lang w:val="fr-FR"/>
        </w:rPr>
      </w:pPr>
      <w:r w:rsidRPr="007F5C53">
        <w:rPr>
          <w:rStyle w:val="Appelnotedebasdep"/>
          <w:lang w:val="fr-FR"/>
        </w:rPr>
        <w:footnoteRef/>
      </w:r>
      <w:r w:rsidRPr="00DA063C">
        <w:rPr>
          <w:lang w:val="fr-FR"/>
        </w:rPr>
        <w:t xml:space="preserve"> </w:t>
      </w:r>
      <w:r w:rsidRPr="00DA063C">
        <w:rPr>
          <w:i/>
          <w:lang w:val="fr-FR"/>
        </w:rPr>
        <w:t xml:space="preserve">Si le pays d’origine exige une licence d’exportation au titre des biens achetés ou </w:t>
      </w:r>
      <w:r>
        <w:rPr>
          <w:i/>
          <w:lang w:val="fr-FR"/>
        </w:rPr>
        <w:t xml:space="preserve">si </w:t>
      </w:r>
      <w:r w:rsidRPr="00DA063C">
        <w:rPr>
          <w:i/>
          <w:lang w:val="fr-FR"/>
        </w:rPr>
        <w:t>d’autres documents utiles</w:t>
      </w:r>
      <w:r>
        <w:rPr>
          <w:i/>
          <w:lang w:val="fr-FR"/>
        </w:rPr>
        <w:t xml:space="preserve"> sont susceptibles d’être demandés par le pays de destination, le fournisseur doit les fournir au PNUD si le BC/contrat lui est attribué.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8B"/>
    <w:rsid w:val="0055578B"/>
    <w:rsid w:val="00756267"/>
    <w:rsid w:val="007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0AB2-5C3E-40AB-8D93-941D94FE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55578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55578B"/>
  </w:style>
  <w:style w:type="character" w:customStyle="1" w:styleId="NotedebasdepageCar">
    <w:name w:val="Note de bas de page Car"/>
    <w:basedOn w:val="Policepardfaut"/>
    <w:link w:val="Notedebasdepage"/>
    <w:uiPriority w:val="99"/>
    <w:rsid w:val="0055578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Hermassi</dc:creator>
  <cp:keywords/>
  <dc:description/>
  <cp:lastModifiedBy>Myriam Hermassi</cp:lastModifiedBy>
  <cp:revision>1</cp:revision>
  <dcterms:created xsi:type="dcterms:W3CDTF">2019-10-03T12:57:00Z</dcterms:created>
  <dcterms:modified xsi:type="dcterms:W3CDTF">2019-10-03T12:57:00Z</dcterms:modified>
</cp:coreProperties>
</file>