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D9D9" w14:textId="77777777" w:rsidR="006E0DD0" w:rsidRDefault="006E0DD0" w:rsidP="006E0DD0">
      <w:pPr>
        <w:pStyle w:val="Style1"/>
        <w:spacing w:before="0"/>
        <w:ind w:left="360" w:hanging="360"/>
        <w:jc w:val="center"/>
        <w:rPr>
          <w:rFonts w:ascii="Times New Roman" w:hAnsi="Times New Roman"/>
          <w:color w:val="auto"/>
          <w:sz w:val="24"/>
          <w:szCs w:val="24"/>
          <w:lang w:val="fr-FR"/>
        </w:rPr>
      </w:pPr>
    </w:p>
    <w:p w14:paraId="0BE28741" w14:textId="77777777" w:rsidR="00257B62" w:rsidRPr="00257B62" w:rsidRDefault="006E0DD0" w:rsidP="00257B62">
      <w:pPr>
        <w:pStyle w:val="Style1"/>
        <w:spacing w:before="0"/>
        <w:ind w:left="360" w:hanging="360"/>
        <w:jc w:val="right"/>
        <w:rPr>
          <w:rFonts w:ascii="Times New Roman" w:hAnsi="Times New Roman"/>
          <w:color w:val="auto"/>
          <w:sz w:val="24"/>
          <w:szCs w:val="24"/>
          <w:lang w:val="fr-FR"/>
        </w:rPr>
      </w:pPr>
      <w:r w:rsidRPr="00257B62">
        <w:rPr>
          <w:rFonts w:ascii="Arial Narrow" w:hAnsi="Arial Narrow"/>
          <w:b w:val="0"/>
          <w:noProof/>
          <w:sz w:val="24"/>
          <w:szCs w:val="24"/>
        </w:rPr>
        <w:drawing>
          <wp:inline distT="0" distB="0" distL="0" distR="0" wp14:anchorId="7B11773C" wp14:editId="12E9C737">
            <wp:extent cx="1005840" cy="1085215"/>
            <wp:effectExtent l="0" t="0" r="3810" b="635"/>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005840" cy="1085215"/>
                    </a:xfrm>
                    <a:prstGeom prst="rect">
                      <a:avLst/>
                    </a:prstGeom>
                    <a:noFill/>
                  </pic:spPr>
                </pic:pic>
              </a:graphicData>
            </a:graphic>
          </wp:inline>
        </w:drawing>
      </w:r>
    </w:p>
    <w:p w14:paraId="355208AA" w14:textId="0C6B7D4B" w:rsidR="006E0DD0" w:rsidRPr="00257B62" w:rsidRDefault="006E0DD0" w:rsidP="006E0DD0">
      <w:pPr>
        <w:pStyle w:val="Style1"/>
        <w:spacing w:before="0"/>
        <w:ind w:left="360" w:hanging="360"/>
        <w:jc w:val="right"/>
        <w:rPr>
          <w:rFonts w:ascii="Times New Roman" w:hAnsi="Times New Roman"/>
          <w:color w:val="auto"/>
          <w:sz w:val="24"/>
          <w:szCs w:val="24"/>
          <w:lang w:val="fr-FR"/>
        </w:rPr>
      </w:pPr>
    </w:p>
    <w:p w14:paraId="27232964" w14:textId="77777777" w:rsidR="006E0DD0" w:rsidRPr="00257B62" w:rsidRDefault="006E0DD0" w:rsidP="006E0DD0">
      <w:pPr>
        <w:pStyle w:val="Style1"/>
        <w:spacing w:before="0"/>
        <w:ind w:left="360" w:hanging="360"/>
        <w:jc w:val="center"/>
        <w:rPr>
          <w:rFonts w:ascii="Times New Roman" w:hAnsi="Times New Roman"/>
          <w:color w:val="auto"/>
          <w:sz w:val="24"/>
          <w:szCs w:val="24"/>
          <w:lang w:val="fr-FR"/>
        </w:rPr>
      </w:pPr>
    </w:p>
    <w:p w14:paraId="5ACEC992" w14:textId="77777777" w:rsidR="006E0DD0" w:rsidRPr="00257B62" w:rsidRDefault="006E0DD0" w:rsidP="006E0DD0">
      <w:pPr>
        <w:pStyle w:val="Style1"/>
        <w:spacing w:before="0"/>
        <w:ind w:left="360" w:hanging="360"/>
        <w:jc w:val="center"/>
        <w:rPr>
          <w:rFonts w:ascii="Times New Roman" w:hAnsi="Times New Roman"/>
          <w:color w:val="auto"/>
          <w:sz w:val="24"/>
          <w:szCs w:val="24"/>
          <w:lang w:val="fr-FR"/>
        </w:rPr>
      </w:pPr>
    </w:p>
    <w:p w14:paraId="4A17CC51" w14:textId="77777777" w:rsidR="006E0DD0" w:rsidRPr="00257B62" w:rsidRDefault="006E0DD0" w:rsidP="006E0DD0">
      <w:pPr>
        <w:pStyle w:val="Style1"/>
        <w:spacing w:before="0"/>
        <w:ind w:left="360" w:hanging="360"/>
        <w:jc w:val="center"/>
        <w:rPr>
          <w:rFonts w:ascii="Times New Roman" w:hAnsi="Times New Roman"/>
          <w:color w:val="auto"/>
          <w:sz w:val="24"/>
          <w:szCs w:val="24"/>
          <w:lang w:val="fr-FR"/>
        </w:rPr>
      </w:pPr>
    </w:p>
    <w:p w14:paraId="0E0616F2" w14:textId="77777777" w:rsidR="006E0DD0" w:rsidRPr="00257B62" w:rsidRDefault="006E0DD0" w:rsidP="006E0DD0">
      <w:pPr>
        <w:pStyle w:val="Style1"/>
        <w:spacing w:before="0"/>
        <w:ind w:left="360" w:hanging="360"/>
        <w:jc w:val="center"/>
        <w:rPr>
          <w:rFonts w:ascii="Times New Roman" w:hAnsi="Times New Roman"/>
          <w:color w:val="auto"/>
          <w:sz w:val="28"/>
          <w:szCs w:val="28"/>
          <w:lang w:val="fr-FR"/>
        </w:rPr>
      </w:pPr>
      <w:r w:rsidRPr="00257B62">
        <w:rPr>
          <w:rFonts w:ascii="Times New Roman" w:hAnsi="Times New Roman"/>
          <w:color w:val="auto"/>
          <w:sz w:val="28"/>
          <w:szCs w:val="28"/>
          <w:lang w:val="fr-FR"/>
        </w:rPr>
        <w:t xml:space="preserve">Termes de référence pour réaliser l’enregistrement et le doublage des voix off pour le matériel de formation digital de l’UNCDF  </w:t>
      </w:r>
    </w:p>
    <w:p w14:paraId="1AAAFB63" w14:textId="77777777" w:rsidR="006E0DD0" w:rsidRPr="00257B62" w:rsidRDefault="006E0DD0" w:rsidP="006E0DD0">
      <w:pPr>
        <w:pStyle w:val="Style1"/>
        <w:spacing w:before="0"/>
        <w:ind w:left="360" w:hanging="360"/>
        <w:jc w:val="center"/>
        <w:rPr>
          <w:rFonts w:ascii="Times New Roman" w:hAnsi="Times New Roman"/>
          <w:color w:val="auto"/>
          <w:sz w:val="28"/>
          <w:szCs w:val="28"/>
          <w:lang w:val="fr-FR"/>
        </w:rPr>
      </w:pPr>
    </w:p>
    <w:p w14:paraId="2C7AC4A8" w14:textId="77777777" w:rsidR="006E0DD0" w:rsidRPr="00257B62" w:rsidRDefault="006E0DD0" w:rsidP="006E0DD0">
      <w:pPr>
        <w:rPr>
          <w:noProof/>
          <w:lang w:val="fr-FR"/>
        </w:rPr>
      </w:pPr>
    </w:p>
    <w:p w14:paraId="7CD723A4" w14:textId="77777777" w:rsidR="006E0DD0" w:rsidRPr="00257B62" w:rsidRDefault="006E0DD0" w:rsidP="006E0DD0">
      <w:pPr>
        <w:jc w:val="both"/>
        <w:rPr>
          <w:rFonts w:eastAsiaTheme="minorHAnsi"/>
          <w:b/>
          <w:bCs/>
          <w:color w:val="000000"/>
          <w:lang w:val="fr-FR"/>
        </w:rPr>
      </w:pPr>
      <w:r w:rsidRPr="00257B62">
        <w:rPr>
          <w:rFonts w:eastAsiaTheme="minorHAnsi"/>
          <w:b/>
          <w:bCs/>
          <w:color w:val="000000"/>
          <w:lang w:val="fr-FR"/>
        </w:rPr>
        <w:t xml:space="preserve">1- CONTEXTE </w:t>
      </w:r>
    </w:p>
    <w:p w14:paraId="647F36C6" w14:textId="77777777" w:rsidR="006E0DD0" w:rsidRPr="00257B62" w:rsidRDefault="006E0DD0" w:rsidP="006E0DD0">
      <w:pPr>
        <w:jc w:val="both"/>
        <w:rPr>
          <w:rFonts w:eastAsiaTheme="minorHAnsi"/>
          <w:color w:val="000000"/>
          <w:lang w:val="fr-FR"/>
        </w:rPr>
      </w:pPr>
    </w:p>
    <w:p w14:paraId="7F652EDB" w14:textId="77777777" w:rsidR="006E0DD0" w:rsidRPr="00257B62" w:rsidRDefault="006E0DD0" w:rsidP="006E0DD0">
      <w:pPr>
        <w:jc w:val="both"/>
        <w:rPr>
          <w:rFonts w:eastAsiaTheme="minorHAnsi"/>
          <w:color w:val="000000"/>
          <w:lang w:val="fr-FR"/>
        </w:rPr>
      </w:pPr>
      <w:r w:rsidRPr="00257B62">
        <w:rPr>
          <w:rFonts w:eastAsiaTheme="minorHAnsi"/>
          <w:color w:val="000000"/>
          <w:lang w:val="fr-FR"/>
        </w:rPr>
        <w:t xml:space="preserve">United Nations Capital Development </w:t>
      </w:r>
      <w:proofErr w:type="spellStart"/>
      <w:r w:rsidRPr="00257B62">
        <w:rPr>
          <w:rFonts w:eastAsiaTheme="minorHAnsi"/>
          <w:color w:val="000000"/>
          <w:lang w:val="fr-FR"/>
        </w:rPr>
        <w:t>Fund</w:t>
      </w:r>
      <w:proofErr w:type="spellEnd"/>
      <w:r w:rsidRPr="00257B62">
        <w:rPr>
          <w:rFonts w:eastAsiaTheme="minorHAnsi"/>
          <w:color w:val="000000"/>
          <w:lang w:val="fr-FR"/>
        </w:rPr>
        <w:t xml:space="preserve"> (UNCDF) est l’Agence d’Investissement des Nations Unies qui contribue à l'accomplissement des objectifs du millénaire pour le développement dans les pays les moins avancés. Son action est fondée sur des approches innovatrices de gouvernance locale et de microfinance. </w:t>
      </w:r>
    </w:p>
    <w:p w14:paraId="67C37B19" w14:textId="77777777" w:rsidR="006E0DD0" w:rsidRPr="00257B62" w:rsidRDefault="006E0DD0" w:rsidP="006E0DD0">
      <w:pPr>
        <w:jc w:val="both"/>
        <w:rPr>
          <w:rFonts w:eastAsiaTheme="minorHAnsi"/>
          <w:color w:val="000000"/>
          <w:lang w:val="fr-FR"/>
        </w:rPr>
      </w:pPr>
      <w:r w:rsidRPr="00257B62">
        <w:rPr>
          <w:rFonts w:eastAsiaTheme="minorHAnsi"/>
          <w:color w:val="000000"/>
          <w:lang w:val="fr-FR"/>
        </w:rPr>
        <w:t xml:space="preserve">Au Burkina, l’UNCDF accompagne depuis plus d’une trentaine d’années, le Gouvernement burkinabè dans la mise en œuvre de ses priorités de développement, notamment dans le domaine de l’inclusion financière. Actuellement, l’Agence met en œuvre sous l’égide du Gouvernement du Burkina Faso, le Programme d’appui à la résilience économique et climatique des populations du Burkina Faso à travers les innovations financières et digitales (PARI), avec le soutien financier de la coopération luxembourgeoise. L’un des objectifs de ce programme est l’inclusion financière des femmes et jeunes filles et leur formation en éducation financière par les moyens digitaux. Parallèlement, UNCDF met également en œuvre d’autres interventions en partenariat avec UNFPA visant également l’autonomisation économique des femmes et jeunes filles par l’accès au financement et le renforcement de capacités via l’éducation financière. </w:t>
      </w:r>
    </w:p>
    <w:p w14:paraId="51564B84" w14:textId="77777777" w:rsidR="006E0DD0" w:rsidRPr="00257B62" w:rsidRDefault="006E0DD0" w:rsidP="006E0DD0">
      <w:pPr>
        <w:jc w:val="both"/>
        <w:rPr>
          <w:rFonts w:eastAsiaTheme="minorHAnsi"/>
          <w:color w:val="000000"/>
          <w:lang w:val="fr-FR"/>
        </w:rPr>
      </w:pPr>
      <w:r w:rsidRPr="00257B62">
        <w:rPr>
          <w:rFonts w:eastAsiaTheme="minorHAnsi"/>
          <w:color w:val="000000"/>
          <w:lang w:val="fr-FR"/>
        </w:rPr>
        <w:t>Pour contribuer à l’amélioration de l’inclusion financière des groupes Vulnérables, UNCDF a choisi de mutualiser ses efforts avec d’autres partenaires techniques et financiers pour soutenir le gouvernement dans la mise en œuvre de ses priorités notamment à travers la digitalisation des modules d’éducation financière ainsi que des thèmes spécifiques pour le compte des projets déjà en cours.</w:t>
      </w:r>
    </w:p>
    <w:p w14:paraId="769BF432" w14:textId="77777777" w:rsidR="006E0DD0" w:rsidRPr="00257B62" w:rsidRDefault="006E0DD0" w:rsidP="006E0DD0">
      <w:pPr>
        <w:jc w:val="both"/>
        <w:rPr>
          <w:rFonts w:eastAsiaTheme="minorHAnsi"/>
          <w:color w:val="000000"/>
          <w:lang w:val="fr-FR"/>
        </w:rPr>
      </w:pPr>
      <w:r w:rsidRPr="00257B62">
        <w:rPr>
          <w:rFonts w:eastAsiaTheme="minorHAnsi"/>
          <w:color w:val="000000"/>
          <w:lang w:val="fr-FR"/>
        </w:rPr>
        <w:t xml:space="preserve">La digitalisation a permis d’obtenir une série de dessins animés que l’agence souhaite traduire en langues locales. </w:t>
      </w:r>
      <w:r w:rsidRPr="00257B62">
        <w:rPr>
          <w:sz w:val="23"/>
          <w:szCs w:val="23"/>
          <w:lang w:val="fr-FR"/>
        </w:rPr>
        <w:t xml:space="preserve">Ces dessins animés, d’une durée moyenne de 5 minutes, contiennent des messages clés sur différentes thématiques. </w:t>
      </w:r>
      <w:r w:rsidRPr="00257B62">
        <w:rPr>
          <w:rFonts w:eastAsiaTheme="minorHAnsi"/>
          <w:color w:val="000000"/>
          <w:lang w:val="fr-FR"/>
        </w:rPr>
        <w:t>Il s’agira dans un premier temps de traduire les scripts puis enregistrer et procéder au doublage des dessins animés.</w:t>
      </w:r>
    </w:p>
    <w:p w14:paraId="57F41BEC" w14:textId="77777777" w:rsidR="006E0DD0" w:rsidRPr="00257B62" w:rsidRDefault="006E0DD0" w:rsidP="006E0DD0">
      <w:pPr>
        <w:pStyle w:val="NormalWeb"/>
        <w:spacing w:before="0" w:beforeAutospacing="0" w:after="0" w:afterAutospacing="0"/>
        <w:jc w:val="both"/>
        <w:rPr>
          <w:i/>
          <w:noProof/>
          <w:lang w:val="fr-FR"/>
        </w:rPr>
      </w:pPr>
    </w:p>
    <w:p w14:paraId="4AE00D04" w14:textId="77777777" w:rsidR="006E0DD0" w:rsidRPr="00257B62" w:rsidRDefault="006E0DD0" w:rsidP="006E0DD0">
      <w:pPr>
        <w:pStyle w:val="NormalWeb"/>
        <w:spacing w:before="0" w:beforeAutospacing="0" w:after="0" w:afterAutospacing="0"/>
        <w:ind w:left="360"/>
        <w:jc w:val="both"/>
        <w:rPr>
          <w:lang w:val="fr-FR"/>
        </w:rPr>
      </w:pPr>
      <w:r w:rsidRPr="00257B62">
        <w:rPr>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E0DD0" w:rsidRPr="00257B62" w14:paraId="56E8CFE3" w14:textId="77777777" w:rsidTr="00644975">
        <w:tc>
          <w:tcPr>
            <w:tcW w:w="9360" w:type="dxa"/>
            <w:tcBorders>
              <w:top w:val="nil"/>
              <w:left w:val="nil"/>
              <w:bottom w:val="nil"/>
              <w:right w:val="nil"/>
            </w:tcBorders>
            <w:shd w:val="clear" w:color="auto" w:fill="FFFFFF" w:themeFill="background1"/>
          </w:tcPr>
          <w:p w14:paraId="10603BF5" w14:textId="77777777" w:rsidR="006E0DD0" w:rsidRPr="00257B62" w:rsidRDefault="00644975" w:rsidP="006E0DD0">
            <w:pPr>
              <w:jc w:val="both"/>
              <w:rPr>
                <w:rFonts w:cstheme="minorHAnsi"/>
                <w:b/>
                <w:color w:val="000000" w:themeColor="text1"/>
                <w:lang w:val="en-GB"/>
              </w:rPr>
            </w:pPr>
            <w:r w:rsidRPr="00257B62">
              <w:rPr>
                <w:b/>
                <w:lang w:val="fr-FR"/>
              </w:rPr>
              <w:t>2- PORTEE DU TRAVAIL</w:t>
            </w:r>
          </w:p>
        </w:tc>
      </w:tr>
    </w:tbl>
    <w:p w14:paraId="3C7C25E9" w14:textId="77777777" w:rsidR="006E0DD0" w:rsidRPr="00257B62" w:rsidRDefault="006E0DD0" w:rsidP="006E0DD0">
      <w:pPr>
        <w:jc w:val="both"/>
        <w:rPr>
          <w:rFonts w:asciiTheme="minorHAnsi" w:hAnsiTheme="minorHAnsi" w:cstheme="minorHAnsi"/>
          <w:color w:val="000000" w:themeColor="text1"/>
        </w:rPr>
      </w:pPr>
    </w:p>
    <w:p w14:paraId="01C72B73" w14:textId="77777777" w:rsidR="006E0DD0" w:rsidRPr="00257B62" w:rsidRDefault="006E0DD0" w:rsidP="006E0DD0">
      <w:pPr>
        <w:spacing w:before="120"/>
        <w:jc w:val="both"/>
        <w:rPr>
          <w:rFonts w:asciiTheme="minorHAnsi" w:hAnsiTheme="minorHAnsi" w:cstheme="minorHAnsi"/>
          <w:color w:val="000000" w:themeColor="text1"/>
          <w:lang w:val="fr-BE"/>
        </w:rPr>
      </w:pPr>
      <w:r w:rsidRPr="00257B62">
        <w:rPr>
          <w:rFonts w:asciiTheme="minorHAnsi" w:hAnsiTheme="minorHAnsi" w:cstheme="minorHAnsi"/>
          <w:color w:val="000000" w:themeColor="text1"/>
          <w:lang w:val="fr-BE"/>
        </w:rPr>
        <w:lastRenderedPageBreak/>
        <w:t>UNCDF, à travers cet appel à prestataire, a pour objectifs d’identifier et de contractualiser un prestataire de service ayant des compétences dans l’enregistrement et le doublage de voix-off pour la digitalisation du matériel de formation.</w:t>
      </w:r>
    </w:p>
    <w:p w14:paraId="50DA790C" w14:textId="77777777" w:rsidR="006E0DD0" w:rsidRPr="00257B62" w:rsidRDefault="006E0DD0" w:rsidP="006E0DD0">
      <w:pPr>
        <w:pStyle w:val="NormalWeb"/>
        <w:spacing w:before="0" w:beforeAutospacing="0" w:after="0" w:afterAutospacing="0"/>
        <w:rPr>
          <w:lang w:val="fr-FR"/>
        </w:rPr>
      </w:pPr>
    </w:p>
    <w:p w14:paraId="6862A9E2" w14:textId="77777777" w:rsidR="006E0DD0" w:rsidRPr="00257B62" w:rsidRDefault="006E0DD0" w:rsidP="006E0DD0">
      <w:pPr>
        <w:pStyle w:val="NormalWeb"/>
        <w:spacing w:before="0" w:beforeAutospacing="0" w:after="0" w:afterAutospacing="0"/>
        <w:rPr>
          <w:b/>
          <w:lang w:val="fr-FR"/>
        </w:rPr>
      </w:pPr>
    </w:p>
    <w:p w14:paraId="2C1C42DB" w14:textId="77777777" w:rsidR="006E0DD0" w:rsidRPr="00257B62" w:rsidRDefault="006E0DD0" w:rsidP="006E0DD0">
      <w:pPr>
        <w:pStyle w:val="NormalWeb"/>
        <w:spacing w:before="0" w:beforeAutospacing="0" w:after="0" w:afterAutospacing="0"/>
        <w:rPr>
          <w:b/>
          <w:lang w:val="fr-FR"/>
        </w:rPr>
      </w:pPr>
      <w:r w:rsidRPr="00257B62">
        <w:rPr>
          <w:b/>
          <w:lang w:val="fr-FR"/>
        </w:rPr>
        <w:t>3- CAHIER DES CHARGES ET ATTENTES</w:t>
      </w:r>
    </w:p>
    <w:p w14:paraId="533D99C8" w14:textId="77777777" w:rsidR="006E0DD0" w:rsidRPr="00257B62" w:rsidRDefault="006E0DD0" w:rsidP="006E0DD0">
      <w:pPr>
        <w:pStyle w:val="NormalWeb"/>
        <w:spacing w:before="0" w:beforeAutospacing="0" w:after="0" w:afterAutospacing="0"/>
        <w:rPr>
          <w:b/>
          <w:lang w:val="fr-FR"/>
        </w:rPr>
      </w:pPr>
    </w:p>
    <w:p w14:paraId="7D417FC5" w14:textId="77777777" w:rsidR="006E0DD0" w:rsidRPr="00257B62" w:rsidRDefault="006E0DD0" w:rsidP="006E0DD0">
      <w:pPr>
        <w:pStyle w:val="NormalWeb"/>
        <w:spacing w:before="0" w:beforeAutospacing="0" w:after="0" w:afterAutospacing="0"/>
        <w:rPr>
          <w:b/>
          <w:i/>
          <w:lang w:val="fr-FR"/>
        </w:rPr>
      </w:pPr>
      <w:r w:rsidRPr="00257B62">
        <w:rPr>
          <w:b/>
          <w:i/>
          <w:lang w:val="fr-FR"/>
        </w:rPr>
        <w:t>Enregistrement des voix-off</w:t>
      </w:r>
    </w:p>
    <w:p w14:paraId="54CF9AE8" w14:textId="70F610A2"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Le prestataire est chargé de recruter des artistes-interprètes (doubleurs) qui parlent couramment le Mooré,</w:t>
      </w:r>
      <w:r w:rsidR="00F2283F" w:rsidRPr="00257B62">
        <w:rPr>
          <w:lang w:val="fr-FR"/>
        </w:rPr>
        <w:t xml:space="preserve"> l</w:t>
      </w:r>
      <w:r w:rsidRPr="00257B62">
        <w:rPr>
          <w:lang w:val="fr-FR"/>
        </w:rPr>
        <w:t>e Dioula, le Fulfudé, le Gulmatchéma, le Kassena, le Bissa</w:t>
      </w:r>
      <w:r w:rsidR="00D46B33" w:rsidRPr="00257B62">
        <w:rPr>
          <w:lang w:val="fr-FR"/>
        </w:rPr>
        <w:t>,</w:t>
      </w:r>
      <w:r w:rsidR="00D46B33" w:rsidRPr="00257B62">
        <w:rPr>
          <w:bCs/>
          <w:lang w:val="fr-FR"/>
        </w:rPr>
        <w:t xml:space="preserve"> le </w:t>
      </w:r>
      <w:r w:rsidR="00D46B33" w:rsidRPr="00257B62">
        <w:rPr>
          <w:lang w:val="fr-FR"/>
        </w:rPr>
        <w:t>Lobiri</w:t>
      </w:r>
      <w:r w:rsidRPr="00257B62">
        <w:rPr>
          <w:lang w:val="fr-FR"/>
        </w:rPr>
        <w:t xml:space="preserve"> pour prêter leur voix aux personnages des dessins animés. </w:t>
      </w:r>
    </w:p>
    <w:p w14:paraId="3B769750"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Avant de procéder à la sélection finale des artistes-interprètes (doubleurs), le prestataire enregistrera une partie du 1</w:t>
      </w:r>
      <w:r w:rsidRPr="00257B62">
        <w:rPr>
          <w:vertAlign w:val="superscript"/>
          <w:lang w:val="fr-FR"/>
        </w:rPr>
        <w:t>er</w:t>
      </w:r>
      <w:r w:rsidRPr="00257B62">
        <w:rPr>
          <w:lang w:val="fr-FR"/>
        </w:rPr>
        <w:t xml:space="preserve"> script et soumettra à l’UNCDF un échantillon des voix qu’il est probable d’utiliser.  </w:t>
      </w:r>
    </w:p>
    <w:p w14:paraId="4F97BA85"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 xml:space="preserve">UNCDF approuvera les voix qui sont mieux appropriées et donnera du feedback sur le ton, le débit et le style utilisés par les artistes.  </w:t>
      </w:r>
    </w:p>
    <w:p w14:paraId="0ADB4DB9"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Le prestataire est chargé de faire signer un contrat (voir appendice A) par tous les artistes-interprètes (doubleurs) pour autoriser l’UNCDF à utiliser leur voix sur ce projet.</w:t>
      </w:r>
    </w:p>
    <w:p w14:paraId="1A4157AC" w14:textId="383E5C15"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Le prestataire est chargé de l’enregistrement « audio » des voix des artistes-interprètes (doubleurs) en Mooré, Dioula, Fulfudé, Gulmatchéma, le Kassena, le Bissa</w:t>
      </w:r>
      <w:r w:rsidR="00D46B33" w:rsidRPr="00257B62">
        <w:rPr>
          <w:lang w:val="fr-FR"/>
        </w:rPr>
        <w:t xml:space="preserve">, </w:t>
      </w:r>
      <w:r w:rsidR="00D46B33" w:rsidRPr="00257B62">
        <w:rPr>
          <w:bCs/>
          <w:lang w:val="fr-FR"/>
        </w:rPr>
        <w:t xml:space="preserve">le </w:t>
      </w:r>
      <w:r w:rsidR="00D46B33" w:rsidRPr="00257B62">
        <w:rPr>
          <w:lang w:val="fr-FR"/>
        </w:rPr>
        <w:t>Lobiri</w:t>
      </w:r>
      <w:r w:rsidRPr="00257B62">
        <w:rPr>
          <w:lang w:val="fr-FR"/>
        </w:rPr>
        <w:t xml:space="preserve"> en se basant fidèlement sur les scripts en langue française fournis par l’UNCDF.</w:t>
      </w:r>
    </w:p>
    <w:p w14:paraId="57CD346E"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 xml:space="preserve">Au cas où le prestataire relèverait des erreurs ou incohérences de traduction dans les scripts, il doit informer UNCDF avant de procéder à l’enregistrement. </w:t>
      </w:r>
    </w:p>
    <w:p w14:paraId="76613CB8"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Le prestataire doit utiliser le nombre d'artistes-interprètes (doubleurs) nécessaires en fonction des personnages figurant dans les scripts.</w:t>
      </w:r>
    </w:p>
    <w:p w14:paraId="0B635A1B"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 xml:space="preserve">Les mêmes artistes-interprètes doivent faire les voix-off du narrateur dans tous les dessins animés ; l’artiste-interprète qui représente la voix-off de l’agent villageois doit être la même personne dans tous les dessins animés ; même chose pour la voix-off de la présidente du groupe d’épargne pour les scripts pour la création des groupes d'épargne. </w:t>
      </w:r>
    </w:p>
    <w:p w14:paraId="7D8469A3"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UNCDF doit valider la qualité et la précision de chaque piste audio avant que ce soit considéré comme finale.</w:t>
      </w:r>
    </w:p>
    <w:p w14:paraId="5BD59C62"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Le prestataire sera à l’écoute de l’avis de l’UNCDF et fera tous les efforts possibles pour prendre en considération ses suggestions.</w:t>
      </w:r>
    </w:p>
    <w:p w14:paraId="2CDD3358" w14:textId="25C75E81"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Le prestataire est chargé de réenregistrer toutes les pistes qui sont erronées ou qui ne sont pas conformes aux scripts en Mooré, Dioula, Fulfudé, Gulmatchéma, Kassena, le Bissa</w:t>
      </w:r>
      <w:r w:rsidR="00D46B33" w:rsidRPr="00257B62">
        <w:rPr>
          <w:lang w:val="fr-FR"/>
        </w:rPr>
        <w:t xml:space="preserve">, </w:t>
      </w:r>
      <w:r w:rsidR="00D46B33" w:rsidRPr="00257B62">
        <w:rPr>
          <w:bCs/>
          <w:lang w:val="fr-FR"/>
        </w:rPr>
        <w:t xml:space="preserve">le </w:t>
      </w:r>
      <w:r w:rsidR="00D46B33" w:rsidRPr="00257B62">
        <w:rPr>
          <w:lang w:val="fr-FR"/>
        </w:rPr>
        <w:t>Lobiri</w:t>
      </w:r>
      <w:r w:rsidRPr="00257B62">
        <w:rPr>
          <w:lang w:val="fr-FR"/>
        </w:rPr>
        <w:t xml:space="preserve"> validés par l’UNCDF. </w:t>
      </w:r>
    </w:p>
    <w:p w14:paraId="3D078558"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Le prestataire est chargé de gérer le nettoyage et le montage des voix-off conformément aux scripts de narration et en respectant des normes de production audio de qualité.</w:t>
      </w:r>
    </w:p>
    <w:p w14:paraId="64935AA8"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 xml:space="preserve">Le prestataire utilisera un code compréhensible dans le titre des fichiers audio pour faciliter l’identification de chaque piste. </w:t>
      </w:r>
    </w:p>
    <w:p w14:paraId="0409C922"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 xml:space="preserve">Le prestataire utilisera un service en ligne, tel que : </w:t>
      </w:r>
      <w:hyperlink r:id="rId8" w:history="1">
        <w:r w:rsidRPr="00257B62">
          <w:rPr>
            <w:rStyle w:val="Lienhypertexte"/>
            <w:lang w:val="fr-FR"/>
          </w:rPr>
          <w:t>http://www.box.com</w:t>
        </w:r>
      </w:hyperlink>
      <w:r w:rsidRPr="00257B62">
        <w:rPr>
          <w:lang w:val="fr-FR"/>
        </w:rPr>
        <w:t xml:space="preserve"> ; </w:t>
      </w:r>
      <w:hyperlink r:id="rId9" w:history="1">
        <w:r w:rsidRPr="00257B62">
          <w:rPr>
            <w:rStyle w:val="Lienhypertexte"/>
            <w:lang w:val="fr-FR"/>
          </w:rPr>
          <w:t>http://www.dropbox.com</w:t>
        </w:r>
      </w:hyperlink>
      <w:r w:rsidRPr="00257B62">
        <w:rPr>
          <w:lang w:val="fr-FR"/>
        </w:rPr>
        <w:t xml:space="preserve"> ; </w:t>
      </w:r>
      <w:hyperlink r:id="rId10" w:history="1">
        <w:r w:rsidRPr="00257B62">
          <w:rPr>
            <w:rStyle w:val="Lienhypertexte"/>
            <w:lang w:val="fr-FR"/>
          </w:rPr>
          <w:t>http://www.yousendit.com</w:t>
        </w:r>
      </w:hyperlink>
      <w:r w:rsidRPr="00257B62">
        <w:rPr>
          <w:lang w:val="fr-FR"/>
        </w:rPr>
        <w:t xml:space="preserve"> ; </w:t>
      </w:r>
      <w:hyperlink r:id="rId11" w:history="1">
        <w:r w:rsidRPr="00257B62">
          <w:rPr>
            <w:rStyle w:val="Lienhypertexte"/>
            <w:lang w:val="fr-FR"/>
          </w:rPr>
          <w:t>http://www.wetransfer.com</w:t>
        </w:r>
      </w:hyperlink>
      <w:r w:rsidRPr="00257B62">
        <w:rPr>
          <w:lang w:val="fr-FR"/>
        </w:rPr>
        <w:t xml:space="preserve"> ou autre pour envoyer les fichiers audio à l’UNCDF.  </w:t>
      </w:r>
    </w:p>
    <w:p w14:paraId="0675D8A0"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Toutes les voix-off enregistrées dans le cadre de ce projet sont la propriété de l’UNCDF et seront remises à l’UNCDF à la fin du projet avec l’accord signé par tous les artistes.</w:t>
      </w:r>
    </w:p>
    <w:p w14:paraId="7204193C" w14:textId="77777777" w:rsidR="006E0DD0" w:rsidRPr="00257B62" w:rsidRDefault="006E0DD0" w:rsidP="006E0DD0">
      <w:pPr>
        <w:pStyle w:val="NormalWeb"/>
        <w:spacing w:before="0" w:beforeAutospacing="0" w:after="0" w:afterAutospacing="0"/>
        <w:jc w:val="both"/>
        <w:rPr>
          <w:b/>
          <w:lang w:val="fr-FR"/>
        </w:rPr>
      </w:pPr>
    </w:p>
    <w:p w14:paraId="22490BF5" w14:textId="77777777" w:rsidR="006E0DD0" w:rsidRPr="00257B62" w:rsidRDefault="006E0DD0" w:rsidP="006E0DD0">
      <w:pPr>
        <w:pStyle w:val="Default"/>
        <w:jc w:val="both"/>
        <w:rPr>
          <w:sz w:val="23"/>
          <w:szCs w:val="23"/>
          <w:lang w:val="fr-FR"/>
        </w:rPr>
      </w:pPr>
      <w:r w:rsidRPr="00257B62">
        <w:rPr>
          <w:b/>
          <w:bCs/>
          <w:i/>
          <w:iCs/>
          <w:sz w:val="23"/>
          <w:szCs w:val="23"/>
          <w:lang w:val="fr-FR"/>
        </w:rPr>
        <w:lastRenderedPageBreak/>
        <w:t xml:space="preserve">Doublage des voix-off </w:t>
      </w:r>
    </w:p>
    <w:p w14:paraId="675C84E7"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L’UNCDF fournira au prestataire les 19 dessins animés en langue française. Suite à l’enregistrement des voix-off, le prestataire est chargé d’incorporer les voix nouvellement enregistrées pour produire une nouvelle série de dessins animés en Mooré, Dioula, Fulfudé, Gulmatchéma, le Kassena, le Bissa (</w:t>
      </w:r>
      <w:proofErr w:type="spellStart"/>
      <w:r w:rsidRPr="00257B62">
        <w:rPr>
          <w:i/>
          <w:iCs/>
          <w:lang w:val="fr-FR"/>
        </w:rPr>
        <w:t>voice</w:t>
      </w:r>
      <w:proofErr w:type="spellEnd"/>
      <w:r w:rsidRPr="00257B62">
        <w:rPr>
          <w:i/>
          <w:iCs/>
          <w:lang w:val="fr-FR"/>
        </w:rPr>
        <w:t xml:space="preserve"> over </w:t>
      </w:r>
      <w:proofErr w:type="spellStart"/>
      <w:r w:rsidRPr="00257B62">
        <w:rPr>
          <w:i/>
          <w:iCs/>
          <w:lang w:val="fr-FR"/>
        </w:rPr>
        <w:t>dubbing</w:t>
      </w:r>
      <w:proofErr w:type="spellEnd"/>
      <w:r w:rsidRPr="00257B62">
        <w:rPr>
          <w:lang w:val="fr-FR"/>
        </w:rPr>
        <w:t xml:space="preserve">). </w:t>
      </w:r>
    </w:p>
    <w:p w14:paraId="63637605"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 xml:space="preserve">Le doublage des voix-off doit être bien synchronisé avec les actions qui se déroulent dans les dessins animés. Cela peut nécessiter des modifications légères du script – </w:t>
      </w:r>
      <w:r w:rsidRPr="00257B62">
        <w:rPr>
          <w:i/>
          <w:iCs/>
          <w:lang w:val="fr-FR"/>
        </w:rPr>
        <w:t xml:space="preserve">sans pour autant modifier le contenu </w:t>
      </w:r>
      <w:r w:rsidRPr="00257B62">
        <w:rPr>
          <w:lang w:val="fr-FR"/>
        </w:rPr>
        <w:t xml:space="preserve">– à certains endroits sous approbation de l’UNCF. </w:t>
      </w:r>
    </w:p>
    <w:p w14:paraId="79B3916D"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 xml:space="preserve">Le personnel de l’UNCDF sur place au Burkina Faso et/ou un représentant de ses partenaires doit visionner tous les dessins animés et valider la qualité du doublage et la synchronisation des voix-off et des actions avant que ce soit considéré comme finale. </w:t>
      </w:r>
    </w:p>
    <w:p w14:paraId="78DF0D36"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 xml:space="preserve">Le prestataire sera à l’écoute de l’avis de l’UNCDF et fera tous les efforts possibles pour prendre en considération ses suggestions. </w:t>
      </w:r>
    </w:p>
    <w:p w14:paraId="200AD252"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 xml:space="preserve">Le prestataire est chargé de rééditer tous les dessins animés qui sont erronés ou qui ne sont pas bien synchronisés. </w:t>
      </w:r>
    </w:p>
    <w:p w14:paraId="5A335773" w14:textId="77777777"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 xml:space="preserve">Le prestataire utilisera un service en ligne, tel que : http://www.box.com ; http://www.dropbox.com ; http://www.yousendit.com ; http://www.wetransfer.com ou autre pour envoyer les fichiers vidéo à l’UNCDF. </w:t>
      </w:r>
    </w:p>
    <w:p w14:paraId="7EAEB170" w14:textId="57B80CC9" w:rsidR="006E0DD0" w:rsidRPr="00257B62" w:rsidRDefault="006E0DD0" w:rsidP="006E0DD0">
      <w:pPr>
        <w:pStyle w:val="NormalWeb"/>
        <w:numPr>
          <w:ilvl w:val="0"/>
          <w:numId w:val="1"/>
        </w:numPr>
        <w:spacing w:before="0" w:beforeAutospacing="0" w:after="0" w:afterAutospacing="0"/>
        <w:jc w:val="both"/>
        <w:rPr>
          <w:lang w:val="fr-FR"/>
        </w:rPr>
      </w:pPr>
      <w:r w:rsidRPr="00257B62">
        <w:rPr>
          <w:lang w:val="fr-FR"/>
        </w:rPr>
        <w:t>Tous les dessins animés édités en langue Mooré, Dioula, Fulfudé, Gulmatchéma, le Kassena, le Bissa</w:t>
      </w:r>
      <w:r w:rsidR="00812274" w:rsidRPr="00257B62">
        <w:rPr>
          <w:lang w:val="fr-FR"/>
        </w:rPr>
        <w:t>, le Lobiri</w:t>
      </w:r>
      <w:r w:rsidRPr="00257B62">
        <w:rPr>
          <w:lang w:val="fr-FR"/>
        </w:rPr>
        <w:t xml:space="preserve"> dans le cadre de ce projet sont la propriété de l’UNCDF et seront remis à l’UNCDF à la fin du projet. </w:t>
      </w:r>
    </w:p>
    <w:p w14:paraId="0EDA0DA7" w14:textId="77777777" w:rsidR="006E0DD0" w:rsidRPr="00257B62" w:rsidRDefault="006E0DD0" w:rsidP="006E0DD0">
      <w:pPr>
        <w:pStyle w:val="NormalWeb"/>
        <w:spacing w:before="0" w:beforeAutospacing="0" w:after="0" w:afterAutospacing="0"/>
        <w:jc w:val="both"/>
        <w:rPr>
          <w:b/>
          <w:lang w:val="fr-FR"/>
        </w:rPr>
      </w:pPr>
    </w:p>
    <w:p w14:paraId="5E4A6BCD" w14:textId="77777777" w:rsidR="006E0DD0" w:rsidRPr="00257B62" w:rsidRDefault="006E0DD0" w:rsidP="006E0DD0">
      <w:pPr>
        <w:pStyle w:val="NormalWeb"/>
        <w:spacing w:before="0" w:beforeAutospacing="0" w:after="0" w:afterAutospacing="0"/>
        <w:jc w:val="both"/>
        <w:rPr>
          <w:b/>
          <w:lang w:val="fr-FR"/>
        </w:rPr>
      </w:pPr>
      <w:r w:rsidRPr="00257B62">
        <w:rPr>
          <w:b/>
          <w:lang w:val="fr-FR"/>
        </w:rPr>
        <w:t>4- PRESTATIONS LIVRABLES</w:t>
      </w:r>
    </w:p>
    <w:p w14:paraId="681670C9" w14:textId="2D8C4334" w:rsidR="006E0DD0" w:rsidRPr="00257B62" w:rsidRDefault="006E0DD0" w:rsidP="006E0DD0">
      <w:pPr>
        <w:pStyle w:val="NormalWeb"/>
        <w:numPr>
          <w:ilvl w:val="0"/>
          <w:numId w:val="4"/>
        </w:numPr>
        <w:spacing w:before="0" w:beforeAutospacing="0" w:after="0" w:afterAutospacing="0"/>
        <w:jc w:val="both"/>
        <w:rPr>
          <w:lang w:val="fr-FR"/>
        </w:rPr>
      </w:pPr>
      <w:r w:rsidRPr="00257B62">
        <w:rPr>
          <w:lang w:val="fr-FR"/>
        </w:rPr>
        <w:t xml:space="preserve">L’échantillon de voix-off en </w:t>
      </w:r>
      <w:proofErr w:type="spellStart"/>
      <w:r w:rsidRPr="00257B62">
        <w:rPr>
          <w:lang w:val="fr-FR"/>
        </w:rPr>
        <w:t>Mooré</w:t>
      </w:r>
      <w:proofErr w:type="spellEnd"/>
      <w:r w:rsidRPr="00257B62">
        <w:rPr>
          <w:lang w:val="fr-FR"/>
        </w:rPr>
        <w:t xml:space="preserve">, Dioula, </w:t>
      </w:r>
      <w:proofErr w:type="spellStart"/>
      <w:r w:rsidRPr="00257B62">
        <w:rPr>
          <w:lang w:val="fr-FR"/>
        </w:rPr>
        <w:t>Fulfudé</w:t>
      </w:r>
      <w:proofErr w:type="spellEnd"/>
      <w:r w:rsidRPr="00257B62">
        <w:rPr>
          <w:lang w:val="fr-FR"/>
        </w:rPr>
        <w:t xml:space="preserve">, </w:t>
      </w:r>
      <w:proofErr w:type="spellStart"/>
      <w:r w:rsidRPr="00257B62">
        <w:rPr>
          <w:lang w:val="fr-FR"/>
        </w:rPr>
        <w:t>Gulmatchéma</w:t>
      </w:r>
      <w:proofErr w:type="spellEnd"/>
      <w:r w:rsidRPr="00257B62">
        <w:rPr>
          <w:lang w:val="fr-FR"/>
        </w:rPr>
        <w:t xml:space="preserve">, le </w:t>
      </w:r>
      <w:proofErr w:type="spellStart"/>
      <w:r w:rsidRPr="00257B62">
        <w:rPr>
          <w:lang w:val="fr-FR"/>
        </w:rPr>
        <w:t>Kassena</w:t>
      </w:r>
      <w:proofErr w:type="spellEnd"/>
      <w:r w:rsidRPr="00257B62">
        <w:rPr>
          <w:lang w:val="fr-FR"/>
        </w:rPr>
        <w:t>, le Bissa</w:t>
      </w:r>
      <w:r w:rsidR="00D46B33" w:rsidRPr="00257B62">
        <w:rPr>
          <w:lang w:val="fr-FR"/>
        </w:rPr>
        <w:t>,</w:t>
      </w:r>
      <w:r w:rsidR="00257B62">
        <w:rPr>
          <w:lang w:val="fr-FR"/>
        </w:rPr>
        <w:t xml:space="preserve"> </w:t>
      </w:r>
      <w:proofErr w:type="gramStart"/>
      <w:r w:rsidR="00D46B33" w:rsidRPr="00257B62">
        <w:rPr>
          <w:lang w:val="fr-FR"/>
        </w:rPr>
        <w:t xml:space="preserve">le  </w:t>
      </w:r>
      <w:proofErr w:type="spellStart"/>
      <w:r w:rsidR="00D46B33" w:rsidRPr="00257B62">
        <w:rPr>
          <w:lang w:val="fr-FR"/>
        </w:rPr>
        <w:t>Lobiri</w:t>
      </w:r>
      <w:proofErr w:type="spellEnd"/>
      <w:proofErr w:type="gramEnd"/>
      <w:r w:rsidRPr="00257B62">
        <w:rPr>
          <w:lang w:val="fr-FR"/>
        </w:rPr>
        <w:t xml:space="preserve"> pour une partie du premier script.</w:t>
      </w:r>
    </w:p>
    <w:p w14:paraId="3FF1BCA4" w14:textId="159DDFF4" w:rsidR="006E0DD0" w:rsidRPr="00257B62" w:rsidRDefault="006E0DD0" w:rsidP="006E0DD0">
      <w:pPr>
        <w:pStyle w:val="NormalWeb"/>
        <w:numPr>
          <w:ilvl w:val="0"/>
          <w:numId w:val="4"/>
        </w:numPr>
        <w:spacing w:before="0" w:beforeAutospacing="0" w:after="0" w:afterAutospacing="0"/>
        <w:jc w:val="both"/>
        <w:rPr>
          <w:lang w:val="fr-FR"/>
        </w:rPr>
      </w:pPr>
      <w:r w:rsidRPr="00257B62">
        <w:rPr>
          <w:lang w:val="fr-FR"/>
        </w:rPr>
        <w:t>Les contrats signés par tous les artistes pour autoriser Mooré, Dioula, Fulfudé, Gulmatchéma, le Kassena, le Bissa</w:t>
      </w:r>
      <w:r w:rsidR="00D46B33" w:rsidRPr="00257B62">
        <w:rPr>
          <w:lang w:val="fr-FR"/>
        </w:rPr>
        <w:t>, le Lobiri</w:t>
      </w:r>
      <w:r w:rsidRPr="00257B62">
        <w:rPr>
          <w:lang w:val="fr-FR"/>
        </w:rPr>
        <w:t xml:space="preserve"> à utiliser leur voix sur ce projet conformément à l’appendice A.</w:t>
      </w:r>
    </w:p>
    <w:p w14:paraId="37DEAF74" w14:textId="226BDF5F" w:rsidR="006E0DD0" w:rsidRPr="00257B62" w:rsidRDefault="00812274" w:rsidP="006E0DD0">
      <w:pPr>
        <w:pStyle w:val="NormalWeb"/>
        <w:numPr>
          <w:ilvl w:val="0"/>
          <w:numId w:val="4"/>
        </w:numPr>
        <w:spacing w:before="0" w:beforeAutospacing="0" w:after="0" w:afterAutospacing="0"/>
        <w:jc w:val="both"/>
        <w:rPr>
          <w:lang w:val="fr-FR"/>
        </w:rPr>
      </w:pPr>
      <w:r w:rsidRPr="00257B62">
        <w:rPr>
          <w:lang w:val="fr-FR"/>
        </w:rPr>
        <w:t>Les fichiers audios</w:t>
      </w:r>
      <w:r w:rsidR="006E0DD0" w:rsidRPr="00257B62">
        <w:rPr>
          <w:lang w:val="fr-FR"/>
        </w:rPr>
        <w:t xml:space="preserve"> de tous les clips enregistrés aux formats : .mp3 et nommés d’une manière très facile à identifier même par quelqu’un qui ne parle pas les langues Mooré, Dioula, Fulfudé, Gulmatchéma, le Kassena, le Bissa</w:t>
      </w:r>
      <w:r w:rsidR="00D46B33" w:rsidRPr="00257B62">
        <w:rPr>
          <w:lang w:val="fr-FR"/>
        </w:rPr>
        <w:t>, le Lobiri</w:t>
      </w:r>
      <w:r w:rsidR="006E0DD0" w:rsidRPr="00257B62">
        <w:rPr>
          <w:lang w:val="fr-FR"/>
        </w:rPr>
        <w:t xml:space="preserve">. </w:t>
      </w:r>
    </w:p>
    <w:p w14:paraId="74FDC0BE" w14:textId="77777777" w:rsidR="006E0DD0" w:rsidRPr="00257B62" w:rsidRDefault="006E0DD0" w:rsidP="006E0DD0">
      <w:pPr>
        <w:pStyle w:val="NormalWeb"/>
        <w:numPr>
          <w:ilvl w:val="0"/>
          <w:numId w:val="4"/>
        </w:numPr>
        <w:spacing w:before="0" w:beforeAutospacing="0" w:after="0" w:afterAutospacing="0"/>
        <w:jc w:val="both"/>
        <w:rPr>
          <w:b/>
          <w:lang w:val="fr-FR"/>
        </w:rPr>
      </w:pPr>
      <w:r w:rsidRPr="00257B62">
        <w:rPr>
          <w:lang w:val="fr-FR"/>
        </w:rPr>
        <w:t>Un tableau d’identification des Scripts et des Pistes audio (y compris le script complet traduit en Mooré, Dioula, Fulfudé, Gulmatchéma, le Kassena, le Bissa ainsi que la durée de chaque script).</w:t>
      </w:r>
    </w:p>
    <w:p w14:paraId="45D81D6D" w14:textId="77777777" w:rsidR="006E0DD0" w:rsidRPr="00257B62" w:rsidRDefault="006E0DD0" w:rsidP="006E0DD0">
      <w:pPr>
        <w:pStyle w:val="NormalWeb"/>
        <w:numPr>
          <w:ilvl w:val="0"/>
          <w:numId w:val="4"/>
        </w:numPr>
        <w:spacing w:before="0" w:beforeAutospacing="0" w:after="0" w:afterAutospacing="0"/>
        <w:jc w:val="both"/>
        <w:rPr>
          <w:b/>
          <w:lang w:val="fr-FR"/>
        </w:rPr>
      </w:pPr>
      <w:r w:rsidRPr="00257B62">
        <w:rPr>
          <w:lang w:val="fr-FR"/>
        </w:rPr>
        <w:t>Une série de 19 dessins animés édités en langue Mooré, Dioula, Fulfudé, Gulmatchéma, le Kassena, le Bissa à haute définition et aux formats.MPG, 3GP et MP4. </w:t>
      </w:r>
    </w:p>
    <w:p w14:paraId="0EEDC7BA" w14:textId="77777777" w:rsidR="006E0DD0" w:rsidRPr="00257B62" w:rsidRDefault="006E0DD0" w:rsidP="006E0DD0">
      <w:pPr>
        <w:pStyle w:val="NormalWeb"/>
        <w:spacing w:before="0" w:beforeAutospacing="0" w:after="0" w:afterAutospacing="0"/>
        <w:ind w:left="720"/>
        <w:jc w:val="both"/>
        <w:rPr>
          <w:lang w:val="fr-FR"/>
        </w:rPr>
      </w:pPr>
    </w:p>
    <w:p w14:paraId="5313D7FA" w14:textId="77777777" w:rsidR="00E25458" w:rsidRPr="00257B62" w:rsidRDefault="00E25458" w:rsidP="006E0DD0">
      <w:pPr>
        <w:pStyle w:val="NormalWeb"/>
        <w:spacing w:before="0" w:beforeAutospacing="0" w:after="0" w:afterAutospacing="0"/>
        <w:ind w:left="720"/>
        <w:jc w:val="both"/>
        <w:rPr>
          <w:lang w:val="fr-FR"/>
        </w:rPr>
      </w:pPr>
      <w:r w:rsidRPr="00257B62">
        <w:rPr>
          <w:lang w:val="fr-FR"/>
        </w:rPr>
        <w:t xml:space="preserve">Calendrier des livrables </w:t>
      </w:r>
    </w:p>
    <w:p w14:paraId="3B516E82" w14:textId="77777777" w:rsidR="006E0DD0" w:rsidRPr="00257B62" w:rsidRDefault="006E0DD0" w:rsidP="006E0DD0">
      <w:pPr>
        <w:pStyle w:val="NormalWeb"/>
        <w:spacing w:before="0" w:beforeAutospacing="0" w:after="0" w:afterAutospacing="0"/>
        <w:ind w:left="720"/>
        <w:jc w:val="both"/>
        <w:rPr>
          <w:lang w:val="fr-FR"/>
        </w:rPr>
      </w:pPr>
    </w:p>
    <w:tbl>
      <w:tblPr>
        <w:tblStyle w:val="Grilledutableau"/>
        <w:tblW w:w="0" w:type="auto"/>
        <w:tblInd w:w="720" w:type="dxa"/>
        <w:tblLook w:val="04A0" w:firstRow="1" w:lastRow="0" w:firstColumn="1" w:lastColumn="0" w:noHBand="0" w:noVBand="1"/>
      </w:tblPr>
      <w:tblGrid>
        <w:gridCol w:w="2884"/>
        <w:gridCol w:w="2869"/>
        <w:gridCol w:w="2877"/>
      </w:tblGrid>
      <w:tr w:rsidR="00F2283F" w:rsidRPr="00257B62" w14:paraId="6D9E2AB1" w14:textId="77777777" w:rsidTr="00E25458">
        <w:tc>
          <w:tcPr>
            <w:tcW w:w="3116" w:type="dxa"/>
          </w:tcPr>
          <w:p w14:paraId="3E093F27" w14:textId="77777777" w:rsidR="00E25458" w:rsidRPr="00257B62" w:rsidRDefault="00E25458" w:rsidP="006E0DD0">
            <w:pPr>
              <w:pStyle w:val="NormalWeb"/>
              <w:spacing w:before="0" w:beforeAutospacing="0" w:after="0" w:afterAutospacing="0"/>
              <w:jc w:val="both"/>
              <w:rPr>
                <w:b/>
                <w:lang w:val="fr-FR"/>
              </w:rPr>
            </w:pPr>
            <w:r w:rsidRPr="00257B62">
              <w:rPr>
                <w:b/>
                <w:lang w:val="fr-FR"/>
              </w:rPr>
              <w:t>Activité</w:t>
            </w:r>
            <w:r w:rsidR="00A51968" w:rsidRPr="00257B62">
              <w:rPr>
                <w:b/>
                <w:lang w:val="fr-FR"/>
              </w:rPr>
              <w:t>s</w:t>
            </w:r>
          </w:p>
        </w:tc>
        <w:tc>
          <w:tcPr>
            <w:tcW w:w="3117" w:type="dxa"/>
          </w:tcPr>
          <w:p w14:paraId="03C8916A" w14:textId="77777777" w:rsidR="00E25458" w:rsidRPr="00257B62" w:rsidRDefault="00E25458" w:rsidP="006E0DD0">
            <w:pPr>
              <w:pStyle w:val="NormalWeb"/>
              <w:spacing w:before="0" w:beforeAutospacing="0" w:after="0" w:afterAutospacing="0"/>
              <w:jc w:val="both"/>
              <w:rPr>
                <w:b/>
                <w:lang w:val="fr-FR"/>
              </w:rPr>
            </w:pPr>
            <w:r w:rsidRPr="00257B62">
              <w:rPr>
                <w:b/>
                <w:lang w:val="fr-FR"/>
              </w:rPr>
              <w:t xml:space="preserve">Responsables </w:t>
            </w:r>
          </w:p>
        </w:tc>
        <w:tc>
          <w:tcPr>
            <w:tcW w:w="3117" w:type="dxa"/>
          </w:tcPr>
          <w:p w14:paraId="407F459B" w14:textId="77777777" w:rsidR="00E25458" w:rsidRPr="00257B62" w:rsidRDefault="00E25458" w:rsidP="006E0DD0">
            <w:pPr>
              <w:pStyle w:val="NormalWeb"/>
              <w:spacing w:before="0" w:beforeAutospacing="0" w:after="0" w:afterAutospacing="0"/>
              <w:jc w:val="both"/>
              <w:rPr>
                <w:b/>
                <w:lang w:val="fr-FR"/>
              </w:rPr>
            </w:pPr>
            <w:r w:rsidRPr="00257B62">
              <w:rPr>
                <w:b/>
                <w:lang w:val="fr-FR"/>
              </w:rPr>
              <w:t>Date</w:t>
            </w:r>
          </w:p>
        </w:tc>
      </w:tr>
      <w:tr w:rsidR="00F2283F" w:rsidRPr="00257B62" w14:paraId="71A12E2D" w14:textId="77777777" w:rsidTr="00E25458">
        <w:tc>
          <w:tcPr>
            <w:tcW w:w="3116" w:type="dxa"/>
          </w:tcPr>
          <w:p w14:paraId="67D8AAE8" w14:textId="77777777" w:rsidR="00E25458" w:rsidRPr="00257B62" w:rsidRDefault="00E25458" w:rsidP="006E0DD0">
            <w:pPr>
              <w:pStyle w:val="NormalWeb"/>
              <w:spacing w:before="0" w:beforeAutospacing="0" w:after="0" w:afterAutospacing="0"/>
              <w:jc w:val="both"/>
              <w:rPr>
                <w:bCs/>
                <w:lang w:val="fr-FR"/>
              </w:rPr>
            </w:pPr>
            <w:r w:rsidRPr="00257B62">
              <w:rPr>
                <w:bCs/>
                <w:lang w:val="fr-FR"/>
              </w:rPr>
              <w:t>Echantillon</w:t>
            </w:r>
            <w:r w:rsidR="00A51968" w:rsidRPr="00257B62">
              <w:rPr>
                <w:bCs/>
                <w:lang w:val="fr-FR"/>
              </w:rPr>
              <w:t>s</w:t>
            </w:r>
            <w:r w:rsidRPr="00257B62">
              <w:rPr>
                <w:bCs/>
                <w:lang w:val="fr-FR"/>
              </w:rPr>
              <w:t xml:space="preserve"> des voix-off</w:t>
            </w:r>
          </w:p>
        </w:tc>
        <w:tc>
          <w:tcPr>
            <w:tcW w:w="3117" w:type="dxa"/>
          </w:tcPr>
          <w:p w14:paraId="7E21619E" w14:textId="77777777" w:rsidR="00E25458" w:rsidRPr="00257B62" w:rsidRDefault="00E25458" w:rsidP="006E0DD0">
            <w:pPr>
              <w:pStyle w:val="NormalWeb"/>
              <w:spacing w:before="0" w:beforeAutospacing="0" w:after="0" w:afterAutospacing="0"/>
              <w:jc w:val="both"/>
              <w:rPr>
                <w:bCs/>
                <w:lang w:val="fr-FR"/>
              </w:rPr>
            </w:pPr>
            <w:r w:rsidRPr="00257B62">
              <w:rPr>
                <w:bCs/>
                <w:lang w:val="fr-FR"/>
              </w:rPr>
              <w:t>Prestataire</w:t>
            </w:r>
          </w:p>
        </w:tc>
        <w:tc>
          <w:tcPr>
            <w:tcW w:w="3117" w:type="dxa"/>
          </w:tcPr>
          <w:p w14:paraId="61AAD458" w14:textId="77777777" w:rsidR="00E25458" w:rsidRPr="00257B62" w:rsidRDefault="00E25458" w:rsidP="006E0DD0">
            <w:pPr>
              <w:pStyle w:val="NormalWeb"/>
              <w:spacing w:before="0" w:beforeAutospacing="0" w:after="0" w:afterAutospacing="0"/>
              <w:jc w:val="both"/>
              <w:rPr>
                <w:bCs/>
                <w:lang w:val="fr-FR"/>
              </w:rPr>
            </w:pPr>
            <w:r w:rsidRPr="00257B62">
              <w:rPr>
                <w:bCs/>
                <w:lang w:val="fr-FR"/>
              </w:rPr>
              <w:t xml:space="preserve">18 </w:t>
            </w:r>
            <w:r w:rsidR="00145684" w:rsidRPr="00257B62">
              <w:rPr>
                <w:bCs/>
                <w:lang w:val="fr-FR"/>
              </w:rPr>
              <w:t xml:space="preserve">décembre </w:t>
            </w:r>
            <w:r w:rsidRPr="00257B62">
              <w:rPr>
                <w:bCs/>
                <w:lang w:val="fr-FR"/>
              </w:rPr>
              <w:t>2019</w:t>
            </w:r>
          </w:p>
        </w:tc>
      </w:tr>
      <w:tr w:rsidR="00F2283F" w:rsidRPr="00257B62" w14:paraId="46B720E2" w14:textId="77777777" w:rsidTr="00E25458">
        <w:tc>
          <w:tcPr>
            <w:tcW w:w="3116" w:type="dxa"/>
          </w:tcPr>
          <w:p w14:paraId="4F755800" w14:textId="77777777" w:rsidR="00E25458" w:rsidRPr="00257B62" w:rsidRDefault="00E25458" w:rsidP="006E0DD0">
            <w:pPr>
              <w:pStyle w:val="NormalWeb"/>
              <w:spacing w:before="0" w:beforeAutospacing="0" w:after="0" w:afterAutospacing="0"/>
              <w:jc w:val="both"/>
              <w:rPr>
                <w:bCs/>
                <w:lang w:val="fr-FR"/>
              </w:rPr>
            </w:pPr>
            <w:r w:rsidRPr="00257B62">
              <w:rPr>
                <w:bCs/>
                <w:lang w:val="fr-FR"/>
              </w:rPr>
              <w:t xml:space="preserve">Validation des </w:t>
            </w:r>
            <w:r w:rsidR="00A51968" w:rsidRPr="00257B62">
              <w:rPr>
                <w:bCs/>
                <w:lang w:val="fr-FR"/>
              </w:rPr>
              <w:t>échantillons</w:t>
            </w:r>
            <w:r w:rsidRPr="00257B62">
              <w:rPr>
                <w:bCs/>
                <w:lang w:val="fr-FR"/>
              </w:rPr>
              <w:t xml:space="preserve"> des voix</w:t>
            </w:r>
          </w:p>
        </w:tc>
        <w:tc>
          <w:tcPr>
            <w:tcW w:w="3117" w:type="dxa"/>
          </w:tcPr>
          <w:p w14:paraId="63BDE851" w14:textId="77777777" w:rsidR="00E25458" w:rsidRPr="00257B62" w:rsidRDefault="00E25458" w:rsidP="006E0DD0">
            <w:pPr>
              <w:pStyle w:val="NormalWeb"/>
              <w:spacing w:before="0" w:beforeAutospacing="0" w:after="0" w:afterAutospacing="0"/>
              <w:jc w:val="both"/>
              <w:rPr>
                <w:bCs/>
                <w:lang w:val="fr-FR"/>
              </w:rPr>
            </w:pPr>
            <w:r w:rsidRPr="00257B62">
              <w:rPr>
                <w:bCs/>
                <w:lang w:val="fr-FR"/>
              </w:rPr>
              <w:t>UNCDF</w:t>
            </w:r>
          </w:p>
        </w:tc>
        <w:tc>
          <w:tcPr>
            <w:tcW w:w="3117" w:type="dxa"/>
          </w:tcPr>
          <w:p w14:paraId="07864FFC" w14:textId="77777777" w:rsidR="00E25458" w:rsidRPr="00257B62" w:rsidRDefault="00E25458" w:rsidP="006E0DD0">
            <w:pPr>
              <w:pStyle w:val="NormalWeb"/>
              <w:spacing w:before="0" w:beforeAutospacing="0" w:after="0" w:afterAutospacing="0"/>
              <w:jc w:val="both"/>
              <w:rPr>
                <w:bCs/>
                <w:lang w:val="fr-FR"/>
              </w:rPr>
            </w:pPr>
            <w:r w:rsidRPr="00257B62">
              <w:rPr>
                <w:bCs/>
                <w:lang w:val="fr-FR"/>
              </w:rPr>
              <w:t>27 d</w:t>
            </w:r>
            <w:r w:rsidR="00145684" w:rsidRPr="00257B62">
              <w:rPr>
                <w:bCs/>
                <w:lang w:val="fr-FR"/>
              </w:rPr>
              <w:t>écembre</w:t>
            </w:r>
            <w:r w:rsidRPr="00257B62">
              <w:rPr>
                <w:bCs/>
                <w:lang w:val="fr-FR"/>
              </w:rPr>
              <w:t xml:space="preserve"> 2019</w:t>
            </w:r>
          </w:p>
        </w:tc>
      </w:tr>
      <w:tr w:rsidR="00F2283F" w:rsidRPr="00257B62" w14:paraId="38E24474" w14:textId="77777777" w:rsidTr="00E25458">
        <w:tc>
          <w:tcPr>
            <w:tcW w:w="3116" w:type="dxa"/>
          </w:tcPr>
          <w:p w14:paraId="7A7549A0" w14:textId="0E9D2B95" w:rsidR="00E25458" w:rsidRPr="00257B62" w:rsidRDefault="00E25458" w:rsidP="006E0DD0">
            <w:pPr>
              <w:pStyle w:val="NormalWeb"/>
              <w:spacing w:before="0" w:beforeAutospacing="0" w:after="0" w:afterAutospacing="0"/>
              <w:jc w:val="both"/>
              <w:rPr>
                <w:bCs/>
                <w:lang w:val="fr-FR"/>
              </w:rPr>
            </w:pPr>
            <w:r w:rsidRPr="00257B62">
              <w:rPr>
                <w:bCs/>
                <w:lang w:val="fr-FR"/>
              </w:rPr>
              <w:t>Traduction des scripts en Mooré, Dioula, Fulfudé, Gulmatchéma, le Kassena, le Bissa</w:t>
            </w:r>
            <w:r w:rsidR="00D46B33" w:rsidRPr="00257B62">
              <w:rPr>
                <w:bCs/>
                <w:lang w:val="fr-FR"/>
              </w:rPr>
              <w:t xml:space="preserve">, le </w:t>
            </w:r>
            <w:r w:rsidR="00D46B33" w:rsidRPr="00257B62">
              <w:rPr>
                <w:lang w:val="fr-FR"/>
              </w:rPr>
              <w:t>Lobiri</w:t>
            </w:r>
          </w:p>
        </w:tc>
        <w:tc>
          <w:tcPr>
            <w:tcW w:w="3117" w:type="dxa"/>
          </w:tcPr>
          <w:p w14:paraId="009682EE" w14:textId="77777777" w:rsidR="00E25458" w:rsidRPr="00257B62" w:rsidRDefault="00E25458" w:rsidP="006E0DD0">
            <w:pPr>
              <w:pStyle w:val="NormalWeb"/>
              <w:spacing w:before="0" w:beforeAutospacing="0" w:after="0" w:afterAutospacing="0"/>
              <w:jc w:val="both"/>
              <w:rPr>
                <w:bCs/>
                <w:lang w:val="fr-FR"/>
              </w:rPr>
            </w:pPr>
            <w:r w:rsidRPr="00257B62">
              <w:rPr>
                <w:bCs/>
                <w:lang w:val="fr-FR"/>
              </w:rPr>
              <w:t xml:space="preserve">Prestataire </w:t>
            </w:r>
          </w:p>
        </w:tc>
        <w:tc>
          <w:tcPr>
            <w:tcW w:w="3117" w:type="dxa"/>
          </w:tcPr>
          <w:p w14:paraId="2929850E" w14:textId="77777777" w:rsidR="00E25458" w:rsidRPr="00257B62" w:rsidRDefault="00E25458" w:rsidP="006E0DD0">
            <w:pPr>
              <w:pStyle w:val="NormalWeb"/>
              <w:spacing w:before="0" w:beforeAutospacing="0" w:after="0" w:afterAutospacing="0"/>
              <w:jc w:val="both"/>
              <w:rPr>
                <w:bCs/>
                <w:lang w:val="fr-FR"/>
              </w:rPr>
            </w:pPr>
            <w:r w:rsidRPr="00257B62">
              <w:rPr>
                <w:bCs/>
                <w:lang w:val="fr-FR"/>
              </w:rPr>
              <w:t>5 janv</w:t>
            </w:r>
            <w:r w:rsidR="00145684" w:rsidRPr="00257B62">
              <w:rPr>
                <w:bCs/>
                <w:lang w:val="fr-FR"/>
              </w:rPr>
              <w:t>ier</w:t>
            </w:r>
            <w:r w:rsidRPr="00257B62">
              <w:rPr>
                <w:bCs/>
                <w:lang w:val="fr-FR"/>
              </w:rPr>
              <w:t xml:space="preserve"> 2020</w:t>
            </w:r>
          </w:p>
        </w:tc>
      </w:tr>
      <w:tr w:rsidR="00F2283F" w:rsidRPr="00257B62" w14:paraId="664D4DD6" w14:textId="77777777" w:rsidTr="00E25458">
        <w:tc>
          <w:tcPr>
            <w:tcW w:w="3116" w:type="dxa"/>
          </w:tcPr>
          <w:p w14:paraId="5B68D75D" w14:textId="5DE4E9D0" w:rsidR="00E25458" w:rsidRPr="00257B62" w:rsidRDefault="00E25458" w:rsidP="006E0DD0">
            <w:pPr>
              <w:pStyle w:val="NormalWeb"/>
              <w:spacing w:before="0" w:beforeAutospacing="0" w:after="0" w:afterAutospacing="0"/>
              <w:jc w:val="both"/>
              <w:rPr>
                <w:bCs/>
                <w:lang w:val="fr-FR"/>
              </w:rPr>
            </w:pPr>
            <w:r w:rsidRPr="00257B62">
              <w:rPr>
                <w:bCs/>
                <w:lang w:val="fr-FR"/>
              </w:rPr>
              <w:lastRenderedPageBreak/>
              <w:t>Validation des traductions en Mooré, Dioula, Fulfudé, Gulmatchéma, le Kassena, le Bissa</w:t>
            </w:r>
            <w:r w:rsidR="00D46B33" w:rsidRPr="00257B62">
              <w:rPr>
                <w:bCs/>
                <w:lang w:val="fr-FR"/>
              </w:rPr>
              <w:t xml:space="preserve">, le </w:t>
            </w:r>
            <w:r w:rsidR="00D46B33" w:rsidRPr="00257B62">
              <w:rPr>
                <w:lang w:val="fr-FR"/>
              </w:rPr>
              <w:t>Lobiri</w:t>
            </w:r>
          </w:p>
        </w:tc>
        <w:tc>
          <w:tcPr>
            <w:tcW w:w="3117" w:type="dxa"/>
          </w:tcPr>
          <w:p w14:paraId="601AFC60" w14:textId="77777777" w:rsidR="00E25458" w:rsidRPr="00257B62" w:rsidRDefault="00145684" w:rsidP="006E0DD0">
            <w:pPr>
              <w:pStyle w:val="NormalWeb"/>
              <w:spacing w:before="0" w:beforeAutospacing="0" w:after="0" w:afterAutospacing="0"/>
              <w:jc w:val="both"/>
              <w:rPr>
                <w:bCs/>
                <w:lang w:val="fr-FR"/>
              </w:rPr>
            </w:pPr>
            <w:r w:rsidRPr="00257B62">
              <w:rPr>
                <w:bCs/>
                <w:lang w:val="fr-FR"/>
              </w:rPr>
              <w:t>UNCDF</w:t>
            </w:r>
          </w:p>
        </w:tc>
        <w:tc>
          <w:tcPr>
            <w:tcW w:w="3117" w:type="dxa"/>
          </w:tcPr>
          <w:p w14:paraId="0650D6CE" w14:textId="77777777" w:rsidR="00E25458" w:rsidRPr="00257B62" w:rsidRDefault="00145684" w:rsidP="006E0DD0">
            <w:pPr>
              <w:pStyle w:val="NormalWeb"/>
              <w:spacing w:before="0" w:beforeAutospacing="0" w:after="0" w:afterAutospacing="0"/>
              <w:jc w:val="both"/>
              <w:rPr>
                <w:bCs/>
                <w:lang w:val="fr-FR"/>
              </w:rPr>
            </w:pPr>
            <w:r w:rsidRPr="00257B62">
              <w:rPr>
                <w:bCs/>
                <w:lang w:val="fr-FR"/>
              </w:rPr>
              <w:t xml:space="preserve">20 </w:t>
            </w:r>
            <w:r w:rsidR="00A51968" w:rsidRPr="00257B62">
              <w:rPr>
                <w:bCs/>
                <w:lang w:val="fr-FR"/>
              </w:rPr>
              <w:t>j</w:t>
            </w:r>
            <w:r w:rsidRPr="00257B62">
              <w:rPr>
                <w:bCs/>
                <w:lang w:val="fr-FR"/>
              </w:rPr>
              <w:t>anvier 2020</w:t>
            </w:r>
          </w:p>
        </w:tc>
      </w:tr>
      <w:tr w:rsidR="00F2283F" w:rsidRPr="00257B62" w14:paraId="18074CD6" w14:textId="77777777" w:rsidTr="00E25458">
        <w:tc>
          <w:tcPr>
            <w:tcW w:w="3116" w:type="dxa"/>
          </w:tcPr>
          <w:p w14:paraId="3EB00301" w14:textId="137FE2AB" w:rsidR="00E25458" w:rsidRPr="00257B62" w:rsidRDefault="00E25458" w:rsidP="006E0DD0">
            <w:pPr>
              <w:pStyle w:val="NormalWeb"/>
              <w:spacing w:before="0" w:beforeAutospacing="0" w:after="0" w:afterAutospacing="0"/>
              <w:jc w:val="both"/>
              <w:rPr>
                <w:bCs/>
                <w:lang w:val="fr-FR"/>
              </w:rPr>
            </w:pPr>
            <w:r w:rsidRPr="00257B62">
              <w:rPr>
                <w:bCs/>
                <w:lang w:val="fr-FR"/>
              </w:rPr>
              <w:t>Enregistrement des voix off Mooré, Dioula, Fulfudé, Gulmatchéma, le Kassena, le Bissa</w:t>
            </w:r>
            <w:r w:rsidR="00D46B33" w:rsidRPr="00257B62">
              <w:rPr>
                <w:bCs/>
                <w:lang w:val="fr-FR"/>
              </w:rPr>
              <w:t xml:space="preserve">, le </w:t>
            </w:r>
            <w:r w:rsidR="00D46B33" w:rsidRPr="00257B62">
              <w:rPr>
                <w:lang w:val="fr-FR"/>
              </w:rPr>
              <w:t>Lobiri</w:t>
            </w:r>
          </w:p>
        </w:tc>
        <w:tc>
          <w:tcPr>
            <w:tcW w:w="3117" w:type="dxa"/>
          </w:tcPr>
          <w:p w14:paraId="0170054C" w14:textId="77777777" w:rsidR="00E25458" w:rsidRPr="00257B62" w:rsidRDefault="00E25458" w:rsidP="006E0DD0">
            <w:pPr>
              <w:pStyle w:val="NormalWeb"/>
              <w:spacing w:before="0" w:beforeAutospacing="0" w:after="0" w:afterAutospacing="0"/>
              <w:jc w:val="both"/>
              <w:rPr>
                <w:bCs/>
                <w:lang w:val="fr-FR"/>
              </w:rPr>
            </w:pPr>
            <w:r w:rsidRPr="00257B62">
              <w:rPr>
                <w:bCs/>
                <w:lang w:val="fr-FR"/>
              </w:rPr>
              <w:t xml:space="preserve">Prestaire </w:t>
            </w:r>
          </w:p>
        </w:tc>
        <w:tc>
          <w:tcPr>
            <w:tcW w:w="3117" w:type="dxa"/>
          </w:tcPr>
          <w:p w14:paraId="4187F679" w14:textId="77777777" w:rsidR="00E25458" w:rsidRPr="00257B62" w:rsidRDefault="00145684" w:rsidP="006E0DD0">
            <w:pPr>
              <w:pStyle w:val="NormalWeb"/>
              <w:spacing w:before="0" w:beforeAutospacing="0" w:after="0" w:afterAutospacing="0"/>
              <w:jc w:val="both"/>
              <w:rPr>
                <w:bCs/>
                <w:lang w:val="fr-FR"/>
              </w:rPr>
            </w:pPr>
            <w:r w:rsidRPr="00257B62">
              <w:rPr>
                <w:bCs/>
                <w:lang w:val="fr-FR"/>
              </w:rPr>
              <w:t>15 février 2020</w:t>
            </w:r>
          </w:p>
        </w:tc>
      </w:tr>
      <w:tr w:rsidR="00F2283F" w:rsidRPr="00257B62" w14:paraId="70E2F64D" w14:textId="77777777" w:rsidTr="00E25458">
        <w:tc>
          <w:tcPr>
            <w:tcW w:w="3116" w:type="dxa"/>
          </w:tcPr>
          <w:p w14:paraId="6B1B7A9E" w14:textId="3593997D" w:rsidR="00E25458" w:rsidRPr="00257B62" w:rsidRDefault="00145684" w:rsidP="006E0DD0">
            <w:pPr>
              <w:pStyle w:val="NormalWeb"/>
              <w:spacing w:before="0" w:beforeAutospacing="0" w:after="0" w:afterAutospacing="0"/>
              <w:jc w:val="both"/>
              <w:rPr>
                <w:bCs/>
                <w:lang w:val="fr-FR"/>
              </w:rPr>
            </w:pPr>
            <w:r w:rsidRPr="00257B62">
              <w:rPr>
                <w:bCs/>
                <w:lang w:val="fr-FR"/>
              </w:rPr>
              <w:t>Vérification et validation des voix off Mooré, Dioula, Fulfudé, Gulmatchéma, le Kassena, le Bissa</w:t>
            </w:r>
            <w:r w:rsidR="00D46B33" w:rsidRPr="00257B62">
              <w:rPr>
                <w:bCs/>
                <w:lang w:val="fr-FR"/>
              </w:rPr>
              <w:t xml:space="preserve">, le </w:t>
            </w:r>
            <w:r w:rsidR="00D46B33" w:rsidRPr="00257B62">
              <w:rPr>
                <w:lang w:val="fr-FR"/>
              </w:rPr>
              <w:t>Lobiri</w:t>
            </w:r>
          </w:p>
        </w:tc>
        <w:tc>
          <w:tcPr>
            <w:tcW w:w="3117" w:type="dxa"/>
          </w:tcPr>
          <w:p w14:paraId="183BE72D" w14:textId="77777777" w:rsidR="00E25458" w:rsidRPr="00257B62" w:rsidRDefault="00145684" w:rsidP="006E0DD0">
            <w:pPr>
              <w:pStyle w:val="NormalWeb"/>
              <w:spacing w:before="0" w:beforeAutospacing="0" w:after="0" w:afterAutospacing="0"/>
              <w:jc w:val="both"/>
              <w:rPr>
                <w:bCs/>
                <w:lang w:val="fr-FR"/>
              </w:rPr>
            </w:pPr>
            <w:r w:rsidRPr="00257B62">
              <w:rPr>
                <w:bCs/>
                <w:lang w:val="fr-FR"/>
              </w:rPr>
              <w:t>UNCDF</w:t>
            </w:r>
          </w:p>
        </w:tc>
        <w:tc>
          <w:tcPr>
            <w:tcW w:w="3117" w:type="dxa"/>
          </w:tcPr>
          <w:p w14:paraId="4D2072DA" w14:textId="77777777" w:rsidR="00E25458" w:rsidRPr="00257B62" w:rsidRDefault="00145684" w:rsidP="006E0DD0">
            <w:pPr>
              <w:pStyle w:val="NormalWeb"/>
              <w:spacing w:before="0" w:beforeAutospacing="0" w:after="0" w:afterAutospacing="0"/>
              <w:jc w:val="both"/>
              <w:rPr>
                <w:bCs/>
                <w:lang w:val="fr-FR"/>
              </w:rPr>
            </w:pPr>
            <w:r w:rsidRPr="00257B62">
              <w:rPr>
                <w:bCs/>
                <w:lang w:val="fr-FR"/>
              </w:rPr>
              <w:t>25 février 2020</w:t>
            </w:r>
          </w:p>
        </w:tc>
      </w:tr>
      <w:tr w:rsidR="00F2283F" w:rsidRPr="00257B62" w14:paraId="469E18BB" w14:textId="77777777" w:rsidTr="00E25458">
        <w:tc>
          <w:tcPr>
            <w:tcW w:w="3116" w:type="dxa"/>
          </w:tcPr>
          <w:p w14:paraId="4E0FD165" w14:textId="77777777" w:rsidR="00E25458" w:rsidRPr="00257B62" w:rsidRDefault="00145684" w:rsidP="006E0DD0">
            <w:pPr>
              <w:pStyle w:val="NormalWeb"/>
              <w:spacing w:before="0" w:beforeAutospacing="0" w:after="0" w:afterAutospacing="0"/>
              <w:jc w:val="both"/>
              <w:rPr>
                <w:bCs/>
                <w:lang w:val="fr-FR"/>
              </w:rPr>
            </w:pPr>
            <w:r w:rsidRPr="00257B62">
              <w:rPr>
                <w:bCs/>
                <w:lang w:val="fr-FR"/>
              </w:rPr>
              <w:t>Doublage des voix des 19 dessins animés</w:t>
            </w:r>
          </w:p>
        </w:tc>
        <w:tc>
          <w:tcPr>
            <w:tcW w:w="3117" w:type="dxa"/>
          </w:tcPr>
          <w:p w14:paraId="4FE0FF69" w14:textId="77777777" w:rsidR="00E25458" w:rsidRPr="00257B62" w:rsidRDefault="00145684" w:rsidP="006E0DD0">
            <w:pPr>
              <w:pStyle w:val="NormalWeb"/>
              <w:spacing w:before="0" w:beforeAutospacing="0" w:after="0" w:afterAutospacing="0"/>
              <w:jc w:val="both"/>
              <w:rPr>
                <w:bCs/>
                <w:lang w:val="fr-FR"/>
              </w:rPr>
            </w:pPr>
            <w:r w:rsidRPr="00257B62">
              <w:rPr>
                <w:bCs/>
                <w:lang w:val="fr-FR"/>
              </w:rPr>
              <w:t xml:space="preserve">Prestataire </w:t>
            </w:r>
          </w:p>
        </w:tc>
        <w:tc>
          <w:tcPr>
            <w:tcW w:w="3117" w:type="dxa"/>
          </w:tcPr>
          <w:p w14:paraId="05B33252" w14:textId="77777777" w:rsidR="00E25458" w:rsidRPr="00257B62" w:rsidRDefault="00145684" w:rsidP="006E0DD0">
            <w:pPr>
              <w:pStyle w:val="NormalWeb"/>
              <w:spacing w:before="0" w:beforeAutospacing="0" w:after="0" w:afterAutospacing="0"/>
              <w:jc w:val="both"/>
              <w:rPr>
                <w:bCs/>
                <w:lang w:val="fr-FR"/>
              </w:rPr>
            </w:pPr>
            <w:r w:rsidRPr="00257B62">
              <w:rPr>
                <w:bCs/>
                <w:lang w:val="fr-FR"/>
              </w:rPr>
              <w:t>15</w:t>
            </w:r>
            <w:r w:rsidR="00F2283F" w:rsidRPr="00257B62">
              <w:rPr>
                <w:bCs/>
                <w:lang w:val="fr-FR"/>
              </w:rPr>
              <w:t> </w:t>
            </w:r>
            <w:r w:rsidRPr="00257B62">
              <w:rPr>
                <w:bCs/>
                <w:lang w:val="fr-FR"/>
              </w:rPr>
              <w:t>février2020</w:t>
            </w:r>
          </w:p>
        </w:tc>
      </w:tr>
      <w:tr w:rsidR="00145684" w:rsidRPr="00257B62" w14:paraId="4DDB83A1" w14:textId="77777777" w:rsidTr="00E25458">
        <w:tc>
          <w:tcPr>
            <w:tcW w:w="3116" w:type="dxa"/>
          </w:tcPr>
          <w:p w14:paraId="3A278677" w14:textId="77777777" w:rsidR="00145684" w:rsidRPr="00257B62" w:rsidRDefault="00145684" w:rsidP="006E0DD0">
            <w:pPr>
              <w:pStyle w:val="NormalWeb"/>
              <w:spacing w:before="0" w:beforeAutospacing="0" w:after="0" w:afterAutospacing="0"/>
              <w:jc w:val="both"/>
              <w:rPr>
                <w:bCs/>
                <w:lang w:val="fr-FR"/>
              </w:rPr>
            </w:pPr>
            <w:r w:rsidRPr="00257B62">
              <w:rPr>
                <w:bCs/>
                <w:lang w:val="fr-FR"/>
              </w:rPr>
              <w:t xml:space="preserve">Vérification et validation du doublage des 19 dessins animés </w:t>
            </w:r>
          </w:p>
        </w:tc>
        <w:tc>
          <w:tcPr>
            <w:tcW w:w="3117" w:type="dxa"/>
          </w:tcPr>
          <w:p w14:paraId="195E567A" w14:textId="77777777" w:rsidR="00145684" w:rsidRPr="00257B62" w:rsidRDefault="00145684" w:rsidP="006E0DD0">
            <w:pPr>
              <w:pStyle w:val="NormalWeb"/>
              <w:spacing w:before="0" w:beforeAutospacing="0" w:after="0" w:afterAutospacing="0"/>
              <w:jc w:val="both"/>
              <w:rPr>
                <w:bCs/>
                <w:lang w:val="fr-FR"/>
              </w:rPr>
            </w:pPr>
            <w:r w:rsidRPr="00257B62">
              <w:rPr>
                <w:bCs/>
                <w:lang w:val="fr-FR"/>
              </w:rPr>
              <w:t xml:space="preserve">UNCDF </w:t>
            </w:r>
          </w:p>
        </w:tc>
        <w:tc>
          <w:tcPr>
            <w:tcW w:w="3117" w:type="dxa"/>
          </w:tcPr>
          <w:p w14:paraId="53285897" w14:textId="77777777" w:rsidR="00145684" w:rsidRPr="00257B62" w:rsidRDefault="00145684" w:rsidP="006E0DD0">
            <w:pPr>
              <w:pStyle w:val="NormalWeb"/>
              <w:spacing w:before="0" w:beforeAutospacing="0" w:after="0" w:afterAutospacing="0"/>
              <w:jc w:val="both"/>
              <w:rPr>
                <w:bCs/>
                <w:lang w:val="fr-FR"/>
              </w:rPr>
            </w:pPr>
            <w:r w:rsidRPr="00257B62">
              <w:rPr>
                <w:bCs/>
                <w:lang w:val="fr-FR"/>
              </w:rPr>
              <w:t>5 mars 2020</w:t>
            </w:r>
          </w:p>
        </w:tc>
      </w:tr>
      <w:tr w:rsidR="00A51968" w:rsidRPr="00257B62" w14:paraId="34E39148" w14:textId="77777777" w:rsidTr="00E25458">
        <w:tc>
          <w:tcPr>
            <w:tcW w:w="3116" w:type="dxa"/>
          </w:tcPr>
          <w:p w14:paraId="79558B1B" w14:textId="77777777" w:rsidR="00A51968" w:rsidRPr="00257B62" w:rsidRDefault="00A51968" w:rsidP="006E0DD0">
            <w:pPr>
              <w:pStyle w:val="NormalWeb"/>
              <w:spacing w:before="0" w:beforeAutospacing="0" w:after="0" w:afterAutospacing="0"/>
              <w:jc w:val="both"/>
              <w:rPr>
                <w:bCs/>
                <w:lang w:val="fr-FR"/>
              </w:rPr>
            </w:pPr>
            <w:r w:rsidRPr="00257B62">
              <w:rPr>
                <w:bCs/>
                <w:lang w:val="fr-FR"/>
              </w:rPr>
              <w:t xml:space="preserve">Remise des livrables </w:t>
            </w:r>
          </w:p>
        </w:tc>
        <w:tc>
          <w:tcPr>
            <w:tcW w:w="3117" w:type="dxa"/>
          </w:tcPr>
          <w:p w14:paraId="61C67FEB" w14:textId="77777777" w:rsidR="00A51968" w:rsidRPr="00257B62" w:rsidRDefault="00A51968" w:rsidP="006E0DD0">
            <w:pPr>
              <w:pStyle w:val="NormalWeb"/>
              <w:spacing w:before="0" w:beforeAutospacing="0" w:after="0" w:afterAutospacing="0"/>
              <w:jc w:val="both"/>
              <w:rPr>
                <w:bCs/>
                <w:lang w:val="fr-FR"/>
              </w:rPr>
            </w:pPr>
            <w:r w:rsidRPr="00257B62">
              <w:rPr>
                <w:bCs/>
                <w:lang w:val="fr-FR"/>
              </w:rPr>
              <w:t>Prestataire-UNCDF</w:t>
            </w:r>
          </w:p>
        </w:tc>
        <w:tc>
          <w:tcPr>
            <w:tcW w:w="3117" w:type="dxa"/>
          </w:tcPr>
          <w:p w14:paraId="172656FB" w14:textId="77777777" w:rsidR="00A51968" w:rsidRPr="00257B62" w:rsidRDefault="00A51968" w:rsidP="006E0DD0">
            <w:pPr>
              <w:pStyle w:val="NormalWeb"/>
              <w:spacing w:before="0" w:beforeAutospacing="0" w:after="0" w:afterAutospacing="0"/>
              <w:jc w:val="both"/>
              <w:rPr>
                <w:bCs/>
                <w:lang w:val="fr-FR"/>
              </w:rPr>
            </w:pPr>
            <w:r w:rsidRPr="00257B62">
              <w:rPr>
                <w:bCs/>
                <w:lang w:val="fr-FR"/>
              </w:rPr>
              <w:t>10 mars 2020</w:t>
            </w:r>
          </w:p>
        </w:tc>
      </w:tr>
    </w:tbl>
    <w:p w14:paraId="1949568B" w14:textId="77777777" w:rsidR="006E0DD0" w:rsidRPr="00257B62" w:rsidRDefault="006E0DD0" w:rsidP="006E0DD0">
      <w:pPr>
        <w:pStyle w:val="NormalWeb"/>
        <w:spacing w:before="0" w:beforeAutospacing="0" w:after="0" w:afterAutospacing="0"/>
        <w:ind w:left="720"/>
        <w:jc w:val="both"/>
        <w:rPr>
          <w:b/>
          <w:lang w:val="fr-FR"/>
        </w:rPr>
      </w:pPr>
    </w:p>
    <w:p w14:paraId="2D89CEBD" w14:textId="77777777" w:rsidR="006E0DD0" w:rsidRPr="00257B62" w:rsidRDefault="006E0DD0" w:rsidP="006E0DD0">
      <w:pPr>
        <w:pStyle w:val="NormalWeb"/>
        <w:spacing w:before="0" w:beforeAutospacing="0" w:after="0" w:afterAutospacing="0"/>
        <w:ind w:left="720"/>
        <w:rPr>
          <w:b/>
          <w:lang w:val="fr-FR"/>
        </w:rPr>
      </w:pPr>
    </w:p>
    <w:p w14:paraId="1ACD0400" w14:textId="77777777" w:rsidR="006E0DD0" w:rsidRPr="00257B62" w:rsidRDefault="006E0DD0" w:rsidP="006E0DD0">
      <w:pPr>
        <w:pStyle w:val="NormalWeb"/>
        <w:spacing w:before="0" w:beforeAutospacing="0" w:after="0" w:afterAutospacing="0"/>
        <w:rPr>
          <w:b/>
          <w:lang w:val="fr-FR"/>
        </w:rPr>
      </w:pPr>
    </w:p>
    <w:p w14:paraId="461F3796" w14:textId="77777777" w:rsidR="006E0DD0" w:rsidRPr="00257B62" w:rsidRDefault="006E0DD0" w:rsidP="006E0DD0">
      <w:pPr>
        <w:pStyle w:val="NormalWeb"/>
        <w:spacing w:before="0" w:beforeAutospacing="0" w:after="0" w:afterAutospacing="0"/>
        <w:rPr>
          <w:b/>
          <w:lang w:val="fr-FR"/>
        </w:rPr>
      </w:pPr>
      <w:r w:rsidRPr="00257B62">
        <w:rPr>
          <w:b/>
          <w:lang w:val="fr-FR"/>
        </w:rPr>
        <w:t>Conditions générales</w:t>
      </w:r>
    </w:p>
    <w:p w14:paraId="36A44930" w14:textId="77777777" w:rsidR="006E0DD0" w:rsidRPr="00257B62" w:rsidRDefault="006E0DD0" w:rsidP="006E0DD0">
      <w:pPr>
        <w:pStyle w:val="NormalWeb"/>
        <w:numPr>
          <w:ilvl w:val="0"/>
          <w:numId w:val="3"/>
        </w:numPr>
        <w:spacing w:before="0" w:beforeAutospacing="0"/>
        <w:jc w:val="both"/>
        <w:rPr>
          <w:lang w:val="fr-FR"/>
        </w:rPr>
      </w:pPr>
      <w:r w:rsidRPr="00257B62">
        <w:rPr>
          <w:lang w:val="fr-FR"/>
        </w:rPr>
        <w:t>Le prestataire conclura un accord qui est sensiblement le même que le contrat modèle et ses conditions générales présentés en Appendice B.</w:t>
      </w:r>
    </w:p>
    <w:p w14:paraId="57988C28" w14:textId="77777777" w:rsidR="006E0DD0" w:rsidRPr="00257B62" w:rsidRDefault="006E0DD0" w:rsidP="006E0DD0">
      <w:pPr>
        <w:pStyle w:val="NormalWeb"/>
        <w:numPr>
          <w:ilvl w:val="0"/>
          <w:numId w:val="3"/>
        </w:numPr>
        <w:jc w:val="both"/>
        <w:rPr>
          <w:lang w:val="fr-FR"/>
        </w:rPr>
      </w:pPr>
      <w:r w:rsidRPr="00257B62">
        <w:rPr>
          <w:lang w:val="fr-FR"/>
        </w:rPr>
        <w:t>Le prestataire est responsable, à ses propres frais, d’obtenir et de maintenir tous les permis, les licences et les redevances requises en rapport avec la prestation des services en vertu de cet accord.</w:t>
      </w:r>
    </w:p>
    <w:p w14:paraId="1245AC95" w14:textId="77777777" w:rsidR="006E0DD0" w:rsidRPr="00257B62" w:rsidRDefault="006E0DD0" w:rsidP="006E0DD0">
      <w:pPr>
        <w:pStyle w:val="NormalWeb"/>
        <w:numPr>
          <w:ilvl w:val="0"/>
          <w:numId w:val="3"/>
        </w:numPr>
        <w:jc w:val="both"/>
        <w:rPr>
          <w:lang w:val="fr-FR"/>
        </w:rPr>
      </w:pPr>
      <w:r w:rsidRPr="00257B62">
        <w:rPr>
          <w:lang w:val="fr-FR"/>
        </w:rPr>
        <w:t>Le prestataire est responsable, à ses propres frais, d’obtenir et de maintenir toute couverture d'assurance nécessaire selon les normes de l'industrie.</w:t>
      </w:r>
    </w:p>
    <w:p w14:paraId="15FA7FA3" w14:textId="77777777" w:rsidR="006E0DD0" w:rsidRPr="00257B62" w:rsidRDefault="006E0DD0" w:rsidP="006E0DD0">
      <w:pPr>
        <w:pStyle w:val="NormalWeb"/>
        <w:numPr>
          <w:ilvl w:val="0"/>
          <w:numId w:val="3"/>
        </w:numPr>
        <w:spacing w:before="0" w:beforeAutospacing="0" w:after="0" w:afterAutospacing="0"/>
        <w:jc w:val="both"/>
        <w:rPr>
          <w:lang w:val="fr-FR"/>
        </w:rPr>
      </w:pPr>
      <w:r w:rsidRPr="00257B62">
        <w:rPr>
          <w:lang w:val="fr-FR"/>
        </w:rPr>
        <w:t>Le prestataire garantit que toutes les informations ou les documents fournis par l’UNCDF qui ne sont pas destinés au public doivent rester confidentiels.</w:t>
      </w:r>
    </w:p>
    <w:p w14:paraId="45FF49D6" w14:textId="77777777" w:rsidR="006E0DD0" w:rsidRPr="00257B62" w:rsidRDefault="006E0DD0" w:rsidP="006E0DD0">
      <w:pPr>
        <w:pStyle w:val="NormalWeb"/>
        <w:spacing w:before="0" w:beforeAutospacing="0" w:after="0" w:afterAutospacing="0"/>
        <w:jc w:val="both"/>
        <w:rPr>
          <w:b/>
          <w:lang w:val="fr-FR"/>
        </w:rPr>
      </w:pPr>
    </w:p>
    <w:p w14:paraId="6DC0645E" w14:textId="77777777" w:rsidR="006E0DD0" w:rsidRPr="00257B62" w:rsidRDefault="006E0DD0" w:rsidP="006E0DD0">
      <w:pPr>
        <w:pStyle w:val="NormalWeb"/>
        <w:spacing w:before="0" w:beforeAutospacing="0" w:after="0" w:afterAutospacing="0"/>
        <w:rPr>
          <w:b/>
          <w:lang w:val="fr-FR"/>
        </w:rPr>
      </w:pPr>
      <w:r w:rsidRPr="00257B62">
        <w:rPr>
          <w:b/>
          <w:lang w:val="fr-FR"/>
        </w:rPr>
        <w:t>Procédure pour soumettre une candidature</w:t>
      </w:r>
    </w:p>
    <w:p w14:paraId="08D74AE2" w14:textId="77777777" w:rsidR="006E0DD0" w:rsidRPr="00257B62" w:rsidRDefault="006E0DD0" w:rsidP="006E0DD0">
      <w:pPr>
        <w:pStyle w:val="NormalWeb"/>
        <w:spacing w:before="0" w:beforeAutospacing="0" w:after="0" w:afterAutospacing="0"/>
        <w:jc w:val="both"/>
        <w:rPr>
          <w:lang w:val="fr-FR"/>
        </w:rPr>
      </w:pPr>
      <w:r w:rsidRPr="00257B62">
        <w:rPr>
          <w:lang w:val="fr-FR"/>
        </w:rPr>
        <w:t>Le prestataire devra soumettre un dossier à l’UNCDF, au plus tard le 1</w:t>
      </w:r>
      <w:r w:rsidR="00A51968" w:rsidRPr="00257B62">
        <w:rPr>
          <w:lang w:val="fr-FR"/>
        </w:rPr>
        <w:t xml:space="preserve">0 </w:t>
      </w:r>
      <w:r w:rsidRPr="00257B62">
        <w:rPr>
          <w:lang w:val="fr-FR"/>
        </w:rPr>
        <w:t>décembre 2019. Le dossier doit inclure :</w:t>
      </w:r>
    </w:p>
    <w:p w14:paraId="466086C2" w14:textId="77777777" w:rsidR="006E0DD0" w:rsidRPr="00257B62" w:rsidRDefault="006E0DD0" w:rsidP="006E0DD0">
      <w:pPr>
        <w:pStyle w:val="NormalWeb"/>
        <w:numPr>
          <w:ilvl w:val="0"/>
          <w:numId w:val="2"/>
        </w:numPr>
        <w:spacing w:before="0" w:beforeAutospacing="0" w:after="0" w:afterAutospacing="0" w:line="360" w:lineRule="auto"/>
        <w:rPr>
          <w:lang w:val="fr-FR"/>
        </w:rPr>
      </w:pPr>
      <w:r w:rsidRPr="00257B62">
        <w:rPr>
          <w:lang w:val="fr-FR"/>
        </w:rPr>
        <w:t>Une lettre de motivation</w:t>
      </w:r>
    </w:p>
    <w:p w14:paraId="001EA556" w14:textId="77777777" w:rsidR="006E0DD0" w:rsidRPr="00257B62" w:rsidRDefault="006E0DD0" w:rsidP="006E0DD0">
      <w:pPr>
        <w:pStyle w:val="NormalWeb"/>
        <w:numPr>
          <w:ilvl w:val="0"/>
          <w:numId w:val="2"/>
        </w:numPr>
        <w:spacing w:before="0" w:beforeAutospacing="0" w:after="0" w:afterAutospacing="0" w:line="360" w:lineRule="auto"/>
        <w:rPr>
          <w:lang w:val="fr-FR"/>
        </w:rPr>
      </w:pPr>
      <w:r w:rsidRPr="00257B62">
        <w:rPr>
          <w:lang w:val="fr-FR"/>
        </w:rPr>
        <w:t>Une proposition technique et financière (incluant les CV des techniciens)</w:t>
      </w:r>
    </w:p>
    <w:p w14:paraId="32B97416" w14:textId="77777777" w:rsidR="006E0DD0" w:rsidRPr="00257B62" w:rsidRDefault="006E0DD0" w:rsidP="006E0DD0">
      <w:pPr>
        <w:pStyle w:val="NormalWeb"/>
        <w:numPr>
          <w:ilvl w:val="0"/>
          <w:numId w:val="2"/>
        </w:numPr>
        <w:spacing w:before="0" w:beforeAutospacing="0" w:after="0" w:afterAutospacing="0" w:line="360" w:lineRule="auto"/>
        <w:rPr>
          <w:lang w:val="fr-FR"/>
        </w:rPr>
      </w:pPr>
      <w:r w:rsidRPr="00257B62">
        <w:rPr>
          <w:lang w:val="fr-FR"/>
        </w:rPr>
        <w:t xml:space="preserve">Un plan d’exécution incluant un calendrier de mise en œuvre </w:t>
      </w:r>
    </w:p>
    <w:p w14:paraId="0FA75167" w14:textId="77777777" w:rsidR="006E0DD0" w:rsidRPr="00257B62" w:rsidRDefault="006E0DD0" w:rsidP="006E0DD0">
      <w:pPr>
        <w:pStyle w:val="NormalWeb"/>
        <w:numPr>
          <w:ilvl w:val="0"/>
          <w:numId w:val="2"/>
        </w:numPr>
        <w:spacing w:before="0" w:beforeAutospacing="0" w:after="0" w:afterAutospacing="0" w:line="360" w:lineRule="auto"/>
        <w:rPr>
          <w:lang w:val="fr-FR"/>
        </w:rPr>
      </w:pPr>
      <w:r w:rsidRPr="00257B62">
        <w:rPr>
          <w:lang w:val="fr-FR"/>
        </w:rPr>
        <w:t>Un devis estimatif des coûts pour l’enregistrement des voix-off</w:t>
      </w:r>
    </w:p>
    <w:p w14:paraId="20EAA361" w14:textId="77777777" w:rsidR="006E0DD0" w:rsidRPr="00257B62" w:rsidRDefault="006E0DD0" w:rsidP="006E0DD0">
      <w:pPr>
        <w:pStyle w:val="NormalWeb"/>
        <w:numPr>
          <w:ilvl w:val="0"/>
          <w:numId w:val="2"/>
        </w:numPr>
        <w:spacing w:before="0" w:beforeAutospacing="0" w:after="0" w:afterAutospacing="0" w:line="360" w:lineRule="auto"/>
        <w:rPr>
          <w:lang w:val="fr-FR"/>
        </w:rPr>
      </w:pPr>
      <w:r w:rsidRPr="00257B62">
        <w:rPr>
          <w:lang w:val="fr-FR"/>
        </w:rPr>
        <w:t>Un devis estimatif des coûts pour le doublage des voix-off</w:t>
      </w:r>
    </w:p>
    <w:p w14:paraId="648A743D" w14:textId="77777777" w:rsidR="006E0DD0" w:rsidRPr="00257B62" w:rsidRDefault="006E0DD0" w:rsidP="006E0DD0">
      <w:pPr>
        <w:pStyle w:val="NormalWeb"/>
        <w:numPr>
          <w:ilvl w:val="0"/>
          <w:numId w:val="2"/>
        </w:numPr>
        <w:spacing w:before="0" w:beforeAutospacing="0" w:after="0" w:afterAutospacing="0"/>
        <w:rPr>
          <w:lang w:val="fr-FR"/>
        </w:rPr>
      </w:pPr>
      <w:r w:rsidRPr="00257B62">
        <w:rPr>
          <w:lang w:val="fr-FR"/>
        </w:rPr>
        <w:t xml:space="preserve">Deux références </w:t>
      </w:r>
    </w:p>
    <w:p w14:paraId="2E9A2440" w14:textId="78FADA89" w:rsidR="006E0DD0" w:rsidRDefault="006E0DD0" w:rsidP="006E0DD0">
      <w:pPr>
        <w:pStyle w:val="NormalWeb"/>
        <w:spacing w:before="0" w:beforeAutospacing="0" w:after="0" w:afterAutospacing="0"/>
        <w:rPr>
          <w:b/>
          <w:i/>
          <w:lang w:val="fr-FR"/>
        </w:rPr>
      </w:pPr>
    </w:p>
    <w:p w14:paraId="4A9E9FE5" w14:textId="77777777" w:rsidR="00257B62" w:rsidRPr="00257B62" w:rsidRDefault="00257B62" w:rsidP="006E0DD0">
      <w:pPr>
        <w:pStyle w:val="NormalWeb"/>
        <w:spacing w:before="0" w:beforeAutospacing="0" w:after="0" w:afterAutospacing="0"/>
        <w:rPr>
          <w:b/>
          <w:i/>
          <w:lang w:val="fr-FR"/>
        </w:rPr>
      </w:pPr>
    </w:p>
    <w:p w14:paraId="6A6D67CA" w14:textId="77777777" w:rsidR="006E0DD0" w:rsidRPr="00257B62" w:rsidRDefault="00A51968" w:rsidP="006E0DD0">
      <w:pPr>
        <w:pStyle w:val="NormalWeb"/>
        <w:rPr>
          <w:b/>
          <w:i/>
          <w:lang w:val="fr-FR"/>
        </w:rPr>
      </w:pPr>
      <w:r w:rsidRPr="00257B62">
        <w:rPr>
          <w:b/>
          <w:i/>
          <w:lang w:val="fr-FR"/>
        </w:rPr>
        <w:lastRenderedPageBreak/>
        <w:t xml:space="preserve">5- </w:t>
      </w:r>
      <w:r w:rsidRPr="00257B62">
        <w:rPr>
          <w:b/>
          <w:iCs/>
          <w:lang w:val="fr-FR"/>
        </w:rPr>
        <w:t xml:space="preserve">PRESENTATION DE LA </w:t>
      </w:r>
      <w:proofErr w:type="gramStart"/>
      <w:r w:rsidRPr="00257B62">
        <w:rPr>
          <w:b/>
          <w:iCs/>
          <w:lang w:val="fr-FR"/>
        </w:rPr>
        <w:t>CANDIDATURE:</w:t>
      </w:r>
      <w:proofErr w:type="gramEnd"/>
    </w:p>
    <w:p w14:paraId="2CF5DE47" w14:textId="4032757A" w:rsidR="00BA0C03" w:rsidRDefault="006E0DD0" w:rsidP="006E0DD0">
      <w:pPr>
        <w:pStyle w:val="NormalWeb"/>
        <w:ind w:left="360"/>
        <w:jc w:val="both"/>
        <w:rPr>
          <w:lang w:val="fr-FR"/>
        </w:rPr>
      </w:pPr>
      <w:r w:rsidRPr="00257B62">
        <w:rPr>
          <w:lang w:val="fr-FR"/>
        </w:rPr>
        <w:t>•</w:t>
      </w:r>
      <w:r w:rsidRPr="00257B62">
        <w:rPr>
          <w:lang w:val="fr-FR"/>
        </w:rPr>
        <w:tab/>
        <w:t xml:space="preserve">Les demandes </w:t>
      </w:r>
      <w:r w:rsidR="00BA0C03">
        <w:rPr>
          <w:lang w:val="fr-FR"/>
        </w:rPr>
        <w:t xml:space="preserve">de </w:t>
      </w:r>
      <w:proofErr w:type="spellStart"/>
      <w:r w:rsidR="00BA0C03">
        <w:rPr>
          <w:lang w:val="fr-FR"/>
        </w:rPr>
        <w:t>calrifications</w:t>
      </w:r>
      <w:proofErr w:type="spellEnd"/>
      <w:r w:rsidR="00BA0C03">
        <w:rPr>
          <w:lang w:val="fr-FR"/>
        </w:rPr>
        <w:t xml:space="preserve"> </w:t>
      </w:r>
      <w:r w:rsidRPr="00257B62">
        <w:rPr>
          <w:lang w:val="fr-FR"/>
        </w:rPr>
        <w:t>relatives à cet appel à candidatures peuvent être soumises par courrier électronique à l'adresse</w:t>
      </w:r>
      <w:r w:rsidR="00BA0C03">
        <w:rPr>
          <w:lang w:val="fr-FR"/>
        </w:rPr>
        <w:t xml:space="preserve"> : </w:t>
      </w:r>
      <w:r w:rsidRPr="00257B62">
        <w:rPr>
          <w:lang w:val="fr-FR"/>
        </w:rPr>
        <w:t xml:space="preserve"> </w:t>
      </w:r>
      <w:hyperlink r:id="rId12" w:history="1">
        <w:r w:rsidR="00BA0C03" w:rsidRPr="00A263EE">
          <w:rPr>
            <w:rStyle w:val="Lienhypertexte"/>
            <w:lang w:val="fr-FR"/>
          </w:rPr>
          <w:t>konseimbo@gmail.com</w:t>
        </w:r>
      </w:hyperlink>
      <w:r w:rsidR="00BA0C03">
        <w:rPr>
          <w:lang w:val="fr-FR"/>
        </w:rPr>
        <w:t xml:space="preserve">; </w:t>
      </w:r>
      <w:hyperlink r:id="rId13" w:history="1">
        <w:r w:rsidR="00BA0C03" w:rsidRPr="00A263EE">
          <w:rPr>
            <w:rStyle w:val="Lienhypertexte"/>
            <w:lang w:val="fr-FR"/>
          </w:rPr>
          <w:t>salfo.ouedraogo@uncdf.org</w:t>
        </w:r>
      </w:hyperlink>
      <w:r w:rsidR="00BA0C03">
        <w:rPr>
          <w:lang w:val="fr-FR"/>
        </w:rPr>
        <w:t xml:space="preserve"> </w:t>
      </w:r>
    </w:p>
    <w:p w14:paraId="36B14DC5" w14:textId="4945B61C" w:rsidR="006E0DD0" w:rsidRPr="00257B62" w:rsidRDefault="006E0DD0" w:rsidP="006E0DD0">
      <w:pPr>
        <w:pStyle w:val="NormalWeb"/>
        <w:ind w:left="360"/>
        <w:jc w:val="both"/>
        <w:rPr>
          <w:lang w:val="fr-FR"/>
        </w:rPr>
      </w:pPr>
      <w:r w:rsidRPr="00257B62">
        <w:rPr>
          <w:lang w:val="fr-FR"/>
        </w:rPr>
        <w:t>•</w:t>
      </w:r>
      <w:r w:rsidRPr="00257B62">
        <w:rPr>
          <w:lang w:val="fr-FR"/>
        </w:rPr>
        <w:tab/>
        <w:t>Veuillez inclure dans l'objet du courrier électronique : « Traduction et enregistrement de voix-</w:t>
      </w:r>
      <w:proofErr w:type="gramStart"/>
      <w:r w:rsidRPr="00257B62">
        <w:rPr>
          <w:lang w:val="fr-FR"/>
        </w:rPr>
        <w:t>off»</w:t>
      </w:r>
      <w:proofErr w:type="gramEnd"/>
    </w:p>
    <w:p w14:paraId="4B015D33" w14:textId="77777777" w:rsidR="006E0DD0" w:rsidRPr="00257B62" w:rsidRDefault="00A51968" w:rsidP="00A51968">
      <w:pPr>
        <w:spacing w:before="100" w:beforeAutospacing="1" w:after="100" w:afterAutospacing="1"/>
        <w:rPr>
          <w:rFonts w:eastAsia="Times New Roman"/>
          <w:b/>
          <w:bCs/>
          <w:lang w:eastAsia="fr-FR"/>
        </w:rPr>
      </w:pPr>
      <w:r w:rsidRPr="00257B62">
        <w:rPr>
          <w:rFonts w:eastAsia="Times New Roman"/>
          <w:b/>
          <w:bCs/>
          <w:lang w:eastAsia="fr-FR"/>
        </w:rPr>
        <w:t>6</w:t>
      </w:r>
      <w:r w:rsidR="006E0DD0" w:rsidRPr="00257B62">
        <w:rPr>
          <w:rFonts w:eastAsia="Times New Roman"/>
          <w:b/>
          <w:bCs/>
          <w:lang w:eastAsia="fr-FR"/>
        </w:rPr>
        <w:t>- EVALUATION DES OFFRES</w:t>
      </w:r>
    </w:p>
    <w:p w14:paraId="0E61572E" w14:textId="77777777" w:rsidR="006E0DD0" w:rsidRPr="00257B62" w:rsidRDefault="006E0DD0" w:rsidP="006E0DD0">
      <w:pPr>
        <w:numPr>
          <w:ilvl w:val="0"/>
          <w:numId w:val="6"/>
        </w:numPr>
        <w:spacing w:before="100" w:beforeAutospacing="1" w:after="100" w:afterAutospacing="1"/>
        <w:rPr>
          <w:rFonts w:eastAsia="Times New Roman"/>
          <w:lang w:eastAsia="fr-FR"/>
        </w:rPr>
      </w:pPr>
      <w:r w:rsidRPr="00257B62">
        <w:rPr>
          <w:rFonts w:eastAsia="Times New Roman"/>
          <w:i/>
          <w:iCs/>
          <w:lang w:eastAsia="fr-FR"/>
        </w:rPr>
        <w:t>Les propositions techniques</w:t>
      </w:r>
    </w:p>
    <w:p w14:paraId="475A3788" w14:textId="77777777" w:rsidR="006E0DD0" w:rsidRPr="00257B62" w:rsidRDefault="006E0DD0" w:rsidP="006E0DD0">
      <w:pPr>
        <w:spacing w:before="100" w:beforeAutospacing="1" w:after="100" w:afterAutospacing="1"/>
        <w:rPr>
          <w:rFonts w:eastAsia="Times New Roman"/>
          <w:lang w:val="fr-FR" w:eastAsia="fr-FR"/>
        </w:rPr>
      </w:pPr>
      <w:r w:rsidRPr="00257B62">
        <w:rPr>
          <w:rFonts w:eastAsia="Times New Roman"/>
          <w:lang w:val="fr-FR" w:eastAsia="fr-FR"/>
        </w:rPr>
        <w:t>Elles sont évaluées sur des critères suivants en rapport avec les termes de référence sur 100 points.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4"/>
        <w:gridCol w:w="6594"/>
        <w:gridCol w:w="1242"/>
      </w:tblGrid>
      <w:tr w:rsidR="006E0DD0" w:rsidRPr="00257B62" w14:paraId="2A041429" w14:textId="77777777" w:rsidTr="00812274">
        <w:trPr>
          <w:tblCellSpacing w:w="0" w:type="dxa"/>
        </w:trPr>
        <w:tc>
          <w:tcPr>
            <w:tcW w:w="810" w:type="pct"/>
            <w:shd w:val="clear" w:color="auto" w:fill="BFBFBF" w:themeFill="background1" w:themeFillShade="BF"/>
          </w:tcPr>
          <w:p w14:paraId="6B11429B" w14:textId="77777777" w:rsidR="006E0DD0" w:rsidRPr="00257B62" w:rsidRDefault="006E0DD0" w:rsidP="00CB7994">
            <w:pPr>
              <w:spacing w:before="100" w:beforeAutospacing="1" w:after="100" w:afterAutospacing="1"/>
              <w:rPr>
                <w:rFonts w:eastAsia="Times New Roman"/>
                <w:b/>
                <w:bCs/>
                <w:i/>
                <w:iCs/>
                <w:sz w:val="28"/>
                <w:szCs w:val="28"/>
                <w:lang w:eastAsia="fr-FR"/>
              </w:rPr>
            </w:pPr>
            <w:r w:rsidRPr="00257B62">
              <w:rPr>
                <w:b/>
                <w:bCs/>
                <w:sz w:val="28"/>
                <w:szCs w:val="28"/>
              </w:rPr>
              <w:t>Critères</w:t>
            </w:r>
          </w:p>
        </w:tc>
        <w:tc>
          <w:tcPr>
            <w:tcW w:w="3526" w:type="pct"/>
            <w:shd w:val="clear" w:color="auto" w:fill="BFBFBF" w:themeFill="background1" w:themeFillShade="BF"/>
            <w:hideMark/>
          </w:tcPr>
          <w:p w14:paraId="10352B39" w14:textId="77777777" w:rsidR="006E0DD0" w:rsidRPr="00257B62" w:rsidRDefault="006E0DD0" w:rsidP="00CB7994">
            <w:pPr>
              <w:spacing w:before="100" w:beforeAutospacing="1" w:after="100" w:afterAutospacing="1"/>
              <w:rPr>
                <w:rFonts w:eastAsia="Times New Roman"/>
                <w:sz w:val="28"/>
                <w:szCs w:val="28"/>
                <w:lang w:eastAsia="fr-FR"/>
              </w:rPr>
            </w:pPr>
            <w:r w:rsidRPr="00257B62">
              <w:rPr>
                <w:b/>
                <w:bCs/>
                <w:sz w:val="28"/>
                <w:szCs w:val="28"/>
              </w:rPr>
              <w:t>Eléments clefs</w:t>
            </w:r>
          </w:p>
        </w:tc>
        <w:tc>
          <w:tcPr>
            <w:tcW w:w="664" w:type="pct"/>
            <w:shd w:val="clear" w:color="auto" w:fill="BFBFBF" w:themeFill="background1" w:themeFillShade="BF"/>
            <w:hideMark/>
          </w:tcPr>
          <w:p w14:paraId="62C7E75F" w14:textId="77777777" w:rsidR="006E0DD0" w:rsidRPr="00257B62" w:rsidRDefault="006E0DD0" w:rsidP="00CB7994">
            <w:pPr>
              <w:spacing w:before="100" w:beforeAutospacing="1" w:after="100" w:afterAutospacing="1"/>
              <w:rPr>
                <w:rFonts w:eastAsia="Times New Roman"/>
                <w:sz w:val="28"/>
                <w:szCs w:val="28"/>
                <w:lang w:eastAsia="fr-FR"/>
              </w:rPr>
            </w:pPr>
            <w:r w:rsidRPr="00257B62">
              <w:rPr>
                <w:b/>
                <w:bCs/>
                <w:sz w:val="28"/>
                <w:szCs w:val="28"/>
              </w:rPr>
              <w:t>Points</w:t>
            </w:r>
          </w:p>
        </w:tc>
      </w:tr>
      <w:tr w:rsidR="006E0DD0" w:rsidRPr="00257B62" w14:paraId="5217C8CB" w14:textId="77777777" w:rsidTr="006E0DD0">
        <w:trPr>
          <w:tblCellSpacing w:w="0" w:type="dxa"/>
        </w:trPr>
        <w:tc>
          <w:tcPr>
            <w:tcW w:w="810" w:type="pct"/>
            <w:vMerge w:val="restart"/>
          </w:tcPr>
          <w:p w14:paraId="79862AE7" w14:textId="67D56DD1" w:rsidR="006E0DD0" w:rsidRPr="00257B62" w:rsidRDefault="006E0DD0" w:rsidP="00CB7994">
            <w:pPr>
              <w:spacing w:before="100" w:beforeAutospacing="1" w:after="100" w:afterAutospacing="1"/>
              <w:rPr>
                <w:b/>
                <w:bCs/>
              </w:rPr>
            </w:pPr>
            <w:r w:rsidRPr="00257B62">
              <w:rPr>
                <w:rFonts w:asciiTheme="minorHAnsi" w:hAnsiTheme="minorHAnsi" w:cstheme="minorHAnsi"/>
                <w:b/>
                <w:bCs/>
                <w:color w:val="000000" w:themeColor="text1"/>
              </w:rPr>
              <w:t xml:space="preserve">Expertise du </w:t>
            </w:r>
            <w:r w:rsidR="00D46B33" w:rsidRPr="00257B62">
              <w:rPr>
                <w:rFonts w:asciiTheme="minorHAnsi" w:hAnsiTheme="minorHAnsi" w:cstheme="minorHAnsi"/>
                <w:b/>
                <w:bCs/>
                <w:color w:val="000000" w:themeColor="text1"/>
              </w:rPr>
              <w:t>prestataire</w:t>
            </w:r>
          </w:p>
        </w:tc>
        <w:tc>
          <w:tcPr>
            <w:tcW w:w="3526" w:type="pct"/>
            <w:vAlign w:val="center"/>
          </w:tcPr>
          <w:p w14:paraId="2B28E119" w14:textId="51D3544C" w:rsidR="006E0DD0" w:rsidRPr="00257B62" w:rsidRDefault="006E0DD0" w:rsidP="00CB7994">
            <w:pPr>
              <w:spacing w:before="100" w:beforeAutospacing="1" w:after="100" w:afterAutospacing="1"/>
              <w:rPr>
                <w:rFonts w:eastAsia="Times New Roman"/>
                <w:lang w:val="fr-FR" w:eastAsia="fr-FR"/>
              </w:rPr>
            </w:pPr>
            <w:r w:rsidRPr="00257B62">
              <w:rPr>
                <w:lang w:val="fr-FR"/>
              </w:rPr>
              <w:t xml:space="preserve">Avoir réalisé une </w:t>
            </w:r>
            <w:r w:rsidR="00257B62" w:rsidRPr="00257B62">
              <w:rPr>
                <w:lang w:val="fr-FR"/>
              </w:rPr>
              <w:t>prestation</w:t>
            </w:r>
            <w:r w:rsidRPr="00257B62">
              <w:rPr>
                <w:lang w:val="fr-FR"/>
              </w:rPr>
              <w:t xml:space="preserve"> similaire </w:t>
            </w:r>
          </w:p>
        </w:tc>
        <w:tc>
          <w:tcPr>
            <w:tcW w:w="664" w:type="pct"/>
            <w:vAlign w:val="center"/>
          </w:tcPr>
          <w:p w14:paraId="5A503540" w14:textId="77777777" w:rsidR="006E0DD0" w:rsidRPr="00257B62" w:rsidRDefault="006E0DD0" w:rsidP="00CB7994">
            <w:pPr>
              <w:spacing w:before="100" w:beforeAutospacing="1" w:after="100" w:afterAutospacing="1"/>
              <w:rPr>
                <w:rFonts w:eastAsia="Times New Roman"/>
                <w:i/>
                <w:iCs/>
                <w:lang w:eastAsia="fr-FR"/>
              </w:rPr>
            </w:pPr>
            <w:r w:rsidRPr="00257B62">
              <w:rPr>
                <w:rFonts w:eastAsia="Times New Roman"/>
                <w:i/>
                <w:iCs/>
                <w:lang w:eastAsia="fr-FR"/>
              </w:rPr>
              <w:t>10</w:t>
            </w:r>
          </w:p>
        </w:tc>
      </w:tr>
      <w:tr w:rsidR="006E0DD0" w:rsidRPr="00257B62" w14:paraId="7D12DD47" w14:textId="77777777" w:rsidTr="006E0DD0">
        <w:trPr>
          <w:tblCellSpacing w:w="0" w:type="dxa"/>
        </w:trPr>
        <w:tc>
          <w:tcPr>
            <w:tcW w:w="810" w:type="pct"/>
            <w:vMerge/>
          </w:tcPr>
          <w:p w14:paraId="757EE6D7" w14:textId="77777777" w:rsidR="006E0DD0" w:rsidRPr="00257B62" w:rsidRDefault="006E0DD0" w:rsidP="00CB7994">
            <w:pPr>
              <w:spacing w:before="100" w:beforeAutospacing="1" w:after="100" w:afterAutospacing="1"/>
              <w:rPr>
                <w:rFonts w:asciiTheme="minorHAnsi" w:hAnsiTheme="minorHAnsi" w:cstheme="minorHAnsi"/>
                <w:color w:val="000000" w:themeColor="text1"/>
              </w:rPr>
            </w:pPr>
          </w:p>
        </w:tc>
        <w:tc>
          <w:tcPr>
            <w:tcW w:w="3526" w:type="pct"/>
            <w:vAlign w:val="center"/>
          </w:tcPr>
          <w:p w14:paraId="206AB0CE" w14:textId="77777777" w:rsidR="006E0DD0" w:rsidRPr="00257B62" w:rsidRDefault="006E0DD0" w:rsidP="00CB7994">
            <w:pPr>
              <w:spacing w:before="100" w:beforeAutospacing="1" w:after="100" w:afterAutospacing="1"/>
              <w:rPr>
                <w:lang w:val="fr-FR"/>
              </w:rPr>
            </w:pPr>
            <w:r w:rsidRPr="00257B62">
              <w:rPr>
                <w:lang w:val="fr-FR"/>
              </w:rPr>
              <w:t>Une expérience d’au moins deux</w:t>
            </w:r>
            <w:r w:rsidR="00644975" w:rsidRPr="00257B62">
              <w:rPr>
                <w:lang w:val="fr-FR"/>
              </w:rPr>
              <w:t xml:space="preserve"> (</w:t>
            </w:r>
            <w:r w:rsidRPr="00257B62">
              <w:rPr>
                <w:lang w:val="fr-FR"/>
              </w:rPr>
              <w:t>02) ans dans le domaine audiovisuel</w:t>
            </w:r>
          </w:p>
        </w:tc>
        <w:tc>
          <w:tcPr>
            <w:tcW w:w="664" w:type="pct"/>
            <w:vAlign w:val="center"/>
          </w:tcPr>
          <w:p w14:paraId="380D9B7D" w14:textId="77777777" w:rsidR="006E0DD0" w:rsidRPr="00257B62" w:rsidRDefault="006E0DD0" w:rsidP="00CB7994">
            <w:pPr>
              <w:spacing w:before="100" w:beforeAutospacing="1" w:after="100" w:afterAutospacing="1"/>
              <w:rPr>
                <w:rFonts w:eastAsia="Times New Roman"/>
                <w:i/>
                <w:iCs/>
                <w:lang w:eastAsia="fr-FR"/>
              </w:rPr>
            </w:pPr>
            <w:r w:rsidRPr="00257B62">
              <w:rPr>
                <w:rFonts w:eastAsia="Times New Roman"/>
                <w:i/>
                <w:iCs/>
                <w:lang w:eastAsia="fr-FR"/>
              </w:rPr>
              <w:t>10</w:t>
            </w:r>
          </w:p>
        </w:tc>
      </w:tr>
      <w:tr w:rsidR="006E0DD0" w:rsidRPr="00257B62" w14:paraId="046E9387" w14:textId="77777777" w:rsidTr="006E0DD0">
        <w:trPr>
          <w:tblCellSpacing w:w="0" w:type="dxa"/>
        </w:trPr>
        <w:tc>
          <w:tcPr>
            <w:tcW w:w="810" w:type="pct"/>
            <w:vMerge/>
          </w:tcPr>
          <w:p w14:paraId="57BFE8F3" w14:textId="77777777" w:rsidR="006E0DD0" w:rsidRPr="00257B62" w:rsidRDefault="006E0DD0" w:rsidP="00CB7994">
            <w:pPr>
              <w:spacing w:before="100" w:beforeAutospacing="1" w:after="100" w:afterAutospacing="1"/>
            </w:pPr>
          </w:p>
        </w:tc>
        <w:tc>
          <w:tcPr>
            <w:tcW w:w="3526" w:type="pct"/>
            <w:vAlign w:val="center"/>
          </w:tcPr>
          <w:p w14:paraId="78588B5D" w14:textId="77777777" w:rsidR="006E0DD0" w:rsidRPr="00257B62" w:rsidRDefault="006E0DD0" w:rsidP="00CB7994">
            <w:pPr>
              <w:spacing w:before="100" w:beforeAutospacing="1" w:after="100" w:afterAutospacing="1"/>
              <w:rPr>
                <w:rFonts w:eastAsia="Times New Roman"/>
                <w:lang w:val="fr-FR" w:eastAsia="fr-FR"/>
              </w:rPr>
            </w:pPr>
            <w:r w:rsidRPr="00257B62">
              <w:rPr>
                <w:lang w:val="fr-FR"/>
              </w:rPr>
              <w:t>Une expérience d’au moins deux (02) ans dans le domaine d</w:t>
            </w:r>
            <w:r w:rsidR="00644975" w:rsidRPr="00257B62">
              <w:rPr>
                <w:lang w:val="fr-FR"/>
              </w:rPr>
              <w:t xml:space="preserve">e la </w:t>
            </w:r>
            <w:r w:rsidRPr="00257B62">
              <w:rPr>
                <w:lang w:val="fr-FR"/>
              </w:rPr>
              <w:t>traduction en langues locales</w:t>
            </w:r>
          </w:p>
        </w:tc>
        <w:tc>
          <w:tcPr>
            <w:tcW w:w="664" w:type="pct"/>
            <w:vAlign w:val="center"/>
          </w:tcPr>
          <w:p w14:paraId="77E76DDC" w14:textId="77777777" w:rsidR="006E0DD0" w:rsidRPr="00257B62" w:rsidRDefault="006E0DD0" w:rsidP="00CB7994">
            <w:pPr>
              <w:spacing w:before="100" w:beforeAutospacing="1" w:after="100" w:afterAutospacing="1"/>
              <w:rPr>
                <w:rFonts w:eastAsia="Times New Roman"/>
                <w:i/>
                <w:iCs/>
                <w:lang w:eastAsia="fr-FR"/>
              </w:rPr>
            </w:pPr>
            <w:r w:rsidRPr="00257B62">
              <w:rPr>
                <w:rFonts w:eastAsia="Times New Roman"/>
                <w:i/>
                <w:iCs/>
                <w:lang w:eastAsia="fr-FR"/>
              </w:rPr>
              <w:t>10</w:t>
            </w:r>
          </w:p>
        </w:tc>
      </w:tr>
      <w:tr w:rsidR="006E0DD0" w:rsidRPr="00257B62" w14:paraId="4663E5D5" w14:textId="77777777" w:rsidTr="006E0DD0">
        <w:trPr>
          <w:tblCellSpacing w:w="0" w:type="dxa"/>
        </w:trPr>
        <w:tc>
          <w:tcPr>
            <w:tcW w:w="810" w:type="pct"/>
            <w:vMerge/>
          </w:tcPr>
          <w:p w14:paraId="211E463C" w14:textId="77777777" w:rsidR="006E0DD0" w:rsidRPr="00257B62" w:rsidRDefault="006E0DD0" w:rsidP="00CB7994">
            <w:pPr>
              <w:spacing w:before="100" w:beforeAutospacing="1" w:after="100" w:afterAutospacing="1"/>
            </w:pPr>
          </w:p>
        </w:tc>
        <w:tc>
          <w:tcPr>
            <w:tcW w:w="3526" w:type="pct"/>
            <w:vAlign w:val="center"/>
          </w:tcPr>
          <w:p w14:paraId="21793B5F" w14:textId="77777777" w:rsidR="006E0DD0" w:rsidRPr="00257B62" w:rsidRDefault="006E0DD0" w:rsidP="00CB7994">
            <w:pPr>
              <w:spacing w:before="100" w:beforeAutospacing="1" w:after="100" w:afterAutospacing="1"/>
              <w:rPr>
                <w:lang w:val="fr-FR"/>
              </w:rPr>
            </w:pPr>
            <w:r w:rsidRPr="00257B62">
              <w:rPr>
                <w:lang w:val="fr-FR"/>
              </w:rPr>
              <w:t xml:space="preserve"> </w:t>
            </w:r>
            <w:proofErr w:type="gramStart"/>
            <w:r w:rsidRPr="00257B62">
              <w:rPr>
                <w:lang w:val="fr-FR"/>
              </w:rPr>
              <w:t>une</w:t>
            </w:r>
            <w:proofErr w:type="gramEnd"/>
            <w:r w:rsidRPr="00257B62">
              <w:rPr>
                <w:lang w:val="fr-FR"/>
              </w:rPr>
              <w:t xml:space="preserve"> expérience d’au moins deux (02) dans le domaine de l’enregist</w:t>
            </w:r>
            <w:r w:rsidR="00644975" w:rsidRPr="00257B62">
              <w:rPr>
                <w:lang w:val="fr-FR"/>
              </w:rPr>
              <w:t>re</w:t>
            </w:r>
            <w:r w:rsidRPr="00257B62">
              <w:rPr>
                <w:lang w:val="fr-FR"/>
              </w:rPr>
              <w:t>ment de voix-off</w:t>
            </w:r>
          </w:p>
        </w:tc>
        <w:tc>
          <w:tcPr>
            <w:tcW w:w="664" w:type="pct"/>
            <w:vAlign w:val="center"/>
          </w:tcPr>
          <w:p w14:paraId="42E7819B" w14:textId="77777777" w:rsidR="006E0DD0" w:rsidRPr="00257B62" w:rsidRDefault="006E0DD0" w:rsidP="00CB7994">
            <w:pPr>
              <w:spacing w:before="100" w:beforeAutospacing="1" w:after="100" w:afterAutospacing="1"/>
              <w:rPr>
                <w:rFonts w:eastAsia="Times New Roman"/>
                <w:i/>
                <w:iCs/>
                <w:lang w:eastAsia="fr-FR"/>
              </w:rPr>
            </w:pPr>
            <w:r w:rsidRPr="00257B62">
              <w:rPr>
                <w:rFonts w:eastAsia="Times New Roman"/>
                <w:i/>
                <w:iCs/>
                <w:lang w:eastAsia="fr-FR"/>
              </w:rPr>
              <w:t>10</w:t>
            </w:r>
          </w:p>
        </w:tc>
      </w:tr>
      <w:tr w:rsidR="006E0DD0" w:rsidRPr="00257B62" w14:paraId="2CD37B81" w14:textId="77777777" w:rsidTr="006E0DD0">
        <w:trPr>
          <w:tblCellSpacing w:w="0" w:type="dxa"/>
        </w:trPr>
        <w:tc>
          <w:tcPr>
            <w:tcW w:w="810" w:type="pct"/>
            <w:vMerge/>
          </w:tcPr>
          <w:p w14:paraId="01750402" w14:textId="77777777" w:rsidR="006E0DD0" w:rsidRPr="00257B62" w:rsidRDefault="006E0DD0" w:rsidP="00CB7994">
            <w:pPr>
              <w:spacing w:before="100" w:beforeAutospacing="1" w:after="100" w:afterAutospacing="1"/>
            </w:pPr>
          </w:p>
        </w:tc>
        <w:tc>
          <w:tcPr>
            <w:tcW w:w="3526" w:type="pct"/>
            <w:vAlign w:val="center"/>
          </w:tcPr>
          <w:p w14:paraId="01277C39" w14:textId="77777777" w:rsidR="006E0DD0" w:rsidRPr="00257B62" w:rsidRDefault="006E0DD0" w:rsidP="00CB7994">
            <w:pPr>
              <w:spacing w:before="100" w:beforeAutospacing="1" w:after="100" w:afterAutospacing="1"/>
              <w:rPr>
                <w:rFonts w:eastAsia="Times New Roman"/>
                <w:lang w:val="fr-FR" w:eastAsia="fr-FR"/>
              </w:rPr>
            </w:pPr>
            <w:r w:rsidRPr="00257B62">
              <w:rPr>
                <w:lang w:val="fr-FR"/>
              </w:rPr>
              <w:t xml:space="preserve">Une expérience d’au moins deux (02) dans le domaine du doublage de voix-off </w:t>
            </w:r>
          </w:p>
        </w:tc>
        <w:tc>
          <w:tcPr>
            <w:tcW w:w="664" w:type="pct"/>
            <w:vAlign w:val="center"/>
          </w:tcPr>
          <w:p w14:paraId="62D552B9" w14:textId="77777777" w:rsidR="006E0DD0" w:rsidRPr="00257B62" w:rsidRDefault="006E0DD0" w:rsidP="00CB7994">
            <w:pPr>
              <w:spacing w:before="100" w:beforeAutospacing="1" w:after="100" w:afterAutospacing="1"/>
              <w:rPr>
                <w:rFonts w:eastAsia="Times New Roman"/>
                <w:i/>
                <w:iCs/>
                <w:lang w:eastAsia="fr-FR"/>
              </w:rPr>
            </w:pPr>
            <w:r w:rsidRPr="00257B62">
              <w:rPr>
                <w:rFonts w:eastAsia="Times New Roman"/>
                <w:i/>
                <w:iCs/>
                <w:lang w:eastAsia="fr-FR"/>
              </w:rPr>
              <w:t>10</w:t>
            </w:r>
          </w:p>
        </w:tc>
      </w:tr>
      <w:tr w:rsidR="006E0DD0" w:rsidRPr="00257B62" w:rsidDel="005671EE" w14:paraId="5E5B0ED8" w14:textId="77777777" w:rsidTr="006E0DD0">
        <w:trPr>
          <w:tblCellSpacing w:w="0" w:type="dxa"/>
        </w:trPr>
        <w:tc>
          <w:tcPr>
            <w:tcW w:w="810" w:type="pct"/>
            <w:vMerge/>
          </w:tcPr>
          <w:p w14:paraId="4835CB7F" w14:textId="77777777" w:rsidR="006E0DD0" w:rsidRPr="00257B62" w:rsidDel="005671EE" w:rsidRDefault="006E0DD0" w:rsidP="00CB7994">
            <w:pPr>
              <w:spacing w:before="100" w:beforeAutospacing="1" w:after="100" w:afterAutospacing="1"/>
              <w:rPr>
                <w:rFonts w:eastAsia="Times New Roman"/>
                <w:lang w:val="fr-FR" w:eastAsia="fr-FR"/>
              </w:rPr>
            </w:pPr>
          </w:p>
        </w:tc>
        <w:tc>
          <w:tcPr>
            <w:tcW w:w="3526" w:type="pct"/>
          </w:tcPr>
          <w:p w14:paraId="52CC937D" w14:textId="77777777" w:rsidR="006E0DD0" w:rsidRPr="00257B62" w:rsidDel="005671EE" w:rsidRDefault="006E0DD0" w:rsidP="00CB7994">
            <w:pPr>
              <w:spacing w:before="100" w:beforeAutospacing="1" w:after="100" w:afterAutospacing="1"/>
              <w:rPr>
                <w:rFonts w:eastAsia="Times New Roman"/>
                <w:lang w:val="fr-FR" w:eastAsia="fr-FR"/>
              </w:rPr>
            </w:pPr>
            <w:r w:rsidRPr="00257B62">
              <w:rPr>
                <w:rFonts w:eastAsia="Times New Roman"/>
                <w:lang w:val="fr-FR" w:eastAsia="fr-FR"/>
              </w:rPr>
              <w:t xml:space="preserve"> Personnel requis pour le nettoyage et le doublage des pistes audio</w:t>
            </w:r>
          </w:p>
        </w:tc>
        <w:tc>
          <w:tcPr>
            <w:tcW w:w="664" w:type="pct"/>
            <w:vAlign w:val="center"/>
          </w:tcPr>
          <w:p w14:paraId="0D42FFC6" w14:textId="77777777" w:rsidR="006E0DD0" w:rsidRPr="00257B62" w:rsidDel="005671EE" w:rsidRDefault="006E0DD0" w:rsidP="00CB7994">
            <w:pPr>
              <w:spacing w:before="100" w:beforeAutospacing="1" w:after="100" w:afterAutospacing="1"/>
              <w:rPr>
                <w:rFonts w:eastAsia="Times New Roman"/>
                <w:i/>
                <w:iCs/>
                <w:lang w:eastAsia="fr-FR"/>
              </w:rPr>
            </w:pPr>
            <w:r w:rsidRPr="00257B62">
              <w:rPr>
                <w:rFonts w:eastAsia="Times New Roman"/>
                <w:i/>
                <w:iCs/>
                <w:lang w:eastAsia="fr-FR"/>
              </w:rPr>
              <w:t>10</w:t>
            </w:r>
          </w:p>
        </w:tc>
      </w:tr>
      <w:tr w:rsidR="006E0DD0" w:rsidRPr="00257B62" w:rsidDel="005671EE" w14:paraId="53E4C502" w14:textId="77777777" w:rsidTr="007F3B54">
        <w:trPr>
          <w:tblCellSpacing w:w="0" w:type="dxa"/>
        </w:trPr>
        <w:tc>
          <w:tcPr>
            <w:tcW w:w="810" w:type="pct"/>
            <w:vMerge/>
          </w:tcPr>
          <w:p w14:paraId="66554BFC" w14:textId="77777777" w:rsidR="006E0DD0" w:rsidRPr="00257B62" w:rsidDel="005671EE" w:rsidRDefault="006E0DD0" w:rsidP="00CB7994">
            <w:pPr>
              <w:spacing w:before="100" w:beforeAutospacing="1" w:after="100" w:afterAutospacing="1"/>
              <w:rPr>
                <w:rFonts w:eastAsia="Times New Roman"/>
                <w:lang w:val="fr-FR" w:eastAsia="fr-FR"/>
              </w:rPr>
            </w:pPr>
          </w:p>
        </w:tc>
        <w:tc>
          <w:tcPr>
            <w:tcW w:w="3526" w:type="pct"/>
            <w:shd w:val="clear" w:color="auto" w:fill="BFBFBF" w:themeFill="background1" w:themeFillShade="BF"/>
            <w:vAlign w:val="center"/>
          </w:tcPr>
          <w:p w14:paraId="7150E261" w14:textId="77777777" w:rsidR="006E0DD0" w:rsidRPr="00257B62" w:rsidDel="005671EE" w:rsidRDefault="006E0DD0" w:rsidP="007F3B54">
            <w:pPr>
              <w:spacing w:before="100" w:beforeAutospacing="1" w:after="100" w:afterAutospacing="1"/>
              <w:jc w:val="center"/>
              <w:rPr>
                <w:rFonts w:eastAsia="Times New Roman"/>
                <w:lang w:val="fr-FR" w:eastAsia="fr-FR"/>
              </w:rPr>
            </w:pPr>
            <w:r w:rsidRPr="00257B62">
              <w:rPr>
                <w:rFonts w:eastAsia="Times New Roman"/>
                <w:lang w:val="fr-FR" w:eastAsia="fr-FR"/>
              </w:rPr>
              <w:t>Sous total</w:t>
            </w:r>
          </w:p>
        </w:tc>
        <w:tc>
          <w:tcPr>
            <w:tcW w:w="664" w:type="pct"/>
            <w:shd w:val="clear" w:color="auto" w:fill="BFBFBF" w:themeFill="background1" w:themeFillShade="BF"/>
            <w:vAlign w:val="center"/>
          </w:tcPr>
          <w:p w14:paraId="4709894A" w14:textId="58728A54" w:rsidR="006E0DD0" w:rsidRPr="00257B62" w:rsidDel="005671EE" w:rsidRDefault="009D78E1" w:rsidP="00CB7994">
            <w:pPr>
              <w:spacing w:before="100" w:beforeAutospacing="1" w:after="100" w:afterAutospacing="1"/>
              <w:rPr>
                <w:rFonts w:eastAsia="Times New Roman"/>
                <w:b/>
                <w:bCs/>
                <w:u w:val="single"/>
                <w:lang w:eastAsia="fr-FR"/>
              </w:rPr>
            </w:pPr>
            <w:r>
              <w:rPr>
                <w:rFonts w:eastAsia="Times New Roman"/>
                <w:b/>
                <w:bCs/>
                <w:u w:val="single"/>
                <w:lang w:eastAsia="fr-FR"/>
              </w:rPr>
              <w:t>6</w:t>
            </w:r>
            <w:bookmarkStart w:id="0" w:name="_GoBack"/>
            <w:bookmarkEnd w:id="0"/>
            <w:r w:rsidR="006E0DD0" w:rsidRPr="00257B62">
              <w:rPr>
                <w:rFonts w:eastAsia="Times New Roman"/>
                <w:b/>
                <w:bCs/>
                <w:u w:val="single"/>
                <w:lang w:eastAsia="fr-FR"/>
              </w:rPr>
              <w:t>0</w:t>
            </w:r>
          </w:p>
        </w:tc>
      </w:tr>
      <w:tr w:rsidR="006E0DD0" w:rsidRPr="00257B62" w14:paraId="56F5B902" w14:textId="77777777" w:rsidTr="006E0DD0">
        <w:trPr>
          <w:tblCellSpacing w:w="0" w:type="dxa"/>
        </w:trPr>
        <w:tc>
          <w:tcPr>
            <w:tcW w:w="810" w:type="pct"/>
            <w:vMerge w:val="restart"/>
            <w:vAlign w:val="center"/>
          </w:tcPr>
          <w:p w14:paraId="0A66B180" w14:textId="77777777" w:rsidR="006E0DD0" w:rsidRPr="00257B62" w:rsidRDefault="006E0DD0" w:rsidP="00CB7994">
            <w:pPr>
              <w:spacing w:before="100" w:beforeAutospacing="1" w:after="100" w:afterAutospacing="1"/>
              <w:rPr>
                <w:b/>
                <w:bCs/>
              </w:rPr>
            </w:pPr>
            <w:r w:rsidRPr="00257B62">
              <w:rPr>
                <w:rFonts w:eastAsia="Times New Roman"/>
                <w:b/>
                <w:bCs/>
                <w:lang w:eastAsia="fr-FR"/>
              </w:rPr>
              <w:t>Methodologies de travail</w:t>
            </w:r>
          </w:p>
        </w:tc>
        <w:tc>
          <w:tcPr>
            <w:tcW w:w="3526" w:type="pct"/>
          </w:tcPr>
          <w:p w14:paraId="20B431D3" w14:textId="77777777" w:rsidR="006E0DD0" w:rsidRPr="00257B62" w:rsidRDefault="006E0DD0" w:rsidP="00CB7994">
            <w:pPr>
              <w:spacing w:before="100" w:beforeAutospacing="1" w:after="100" w:afterAutospacing="1"/>
              <w:rPr>
                <w:rFonts w:eastAsia="Times New Roman"/>
                <w:lang w:eastAsia="fr-FR"/>
              </w:rPr>
            </w:pPr>
            <w:r w:rsidRPr="00257B62">
              <w:t>Compréhension des TDRs</w:t>
            </w:r>
          </w:p>
        </w:tc>
        <w:tc>
          <w:tcPr>
            <w:tcW w:w="664" w:type="pct"/>
          </w:tcPr>
          <w:p w14:paraId="3BE83994" w14:textId="77777777" w:rsidR="006E0DD0" w:rsidRPr="00257B62" w:rsidRDefault="006E0DD0" w:rsidP="00CB7994">
            <w:pPr>
              <w:spacing w:before="100" w:beforeAutospacing="1" w:after="100" w:afterAutospacing="1"/>
              <w:rPr>
                <w:rFonts w:eastAsia="Times New Roman"/>
                <w:i/>
                <w:iCs/>
                <w:lang w:eastAsia="fr-FR"/>
              </w:rPr>
            </w:pPr>
            <w:r w:rsidRPr="00257B62">
              <w:rPr>
                <w:i/>
                <w:iCs/>
              </w:rPr>
              <w:t>10</w:t>
            </w:r>
          </w:p>
        </w:tc>
      </w:tr>
      <w:tr w:rsidR="006E0DD0" w:rsidRPr="00257B62" w14:paraId="288D4488" w14:textId="77777777" w:rsidTr="006E0DD0">
        <w:trPr>
          <w:tblCellSpacing w:w="0" w:type="dxa"/>
        </w:trPr>
        <w:tc>
          <w:tcPr>
            <w:tcW w:w="810" w:type="pct"/>
            <w:vMerge/>
          </w:tcPr>
          <w:p w14:paraId="2BC75E31" w14:textId="77777777" w:rsidR="006E0DD0" w:rsidRPr="00257B62" w:rsidRDefault="006E0DD0" w:rsidP="00CB7994">
            <w:pPr>
              <w:spacing w:before="100" w:beforeAutospacing="1" w:after="100" w:afterAutospacing="1"/>
            </w:pPr>
          </w:p>
        </w:tc>
        <w:tc>
          <w:tcPr>
            <w:tcW w:w="3526" w:type="pct"/>
          </w:tcPr>
          <w:p w14:paraId="1A7536D3" w14:textId="77777777" w:rsidR="006E0DD0" w:rsidRPr="00257B62" w:rsidRDefault="006E0DD0" w:rsidP="00CB7994">
            <w:pPr>
              <w:spacing w:before="100" w:beforeAutospacing="1" w:after="100" w:afterAutospacing="1"/>
              <w:rPr>
                <w:rFonts w:eastAsia="Times New Roman"/>
                <w:lang w:eastAsia="fr-FR"/>
              </w:rPr>
            </w:pPr>
            <w:r w:rsidRPr="00257B62">
              <w:t>Approche technique et méthodologie</w:t>
            </w:r>
          </w:p>
        </w:tc>
        <w:tc>
          <w:tcPr>
            <w:tcW w:w="664" w:type="pct"/>
          </w:tcPr>
          <w:p w14:paraId="1DC4F8E6" w14:textId="4A8CA8B1" w:rsidR="006E0DD0" w:rsidRPr="00257B62" w:rsidRDefault="009D78E1" w:rsidP="00CB7994">
            <w:pPr>
              <w:spacing w:before="100" w:beforeAutospacing="1" w:after="100" w:afterAutospacing="1"/>
              <w:rPr>
                <w:rFonts w:eastAsia="Times New Roman"/>
                <w:i/>
                <w:iCs/>
                <w:lang w:eastAsia="fr-FR"/>
              </w:rPr>
            </w:pPr>
            <w:r>
              <w:rPr>
                <w:i/>
                <w:iCs/>
              </w:rPr>
              <w:t>2</w:t>
            </w:r>
            <w:r w:rsidR="006E0DD0" w:rsidRPr="00257B62">
              <w:rPr>
                <w:i/>
                <w:iCs/>
              </w:rPr>
              <w:t>0</w:t>
            </w:r>
          </w:p>
        </w:tc>
      </w:tr>
      <w:tr w:rsidR="006E0DD0" w:rsidRPr="00257B62" w14:paraId="3B31139C" w14:textId="77777777" w:rsidTr="006E0DD0">
        <w:trPr>
          <w:tblCellSpacing w:w="0" w:type="dxa"/>
        </w:trPr>
        <w:tc>
          <w:tcPr>
            <w:tcW w:w="810" w:type="pct"/>
            <w:vMerge/>
          </w:tcPr>
          <w:p w14:paraId="4E8AD8FE" w14:textId="77777777" w:rsidR="006E0DD0" w:rsidRPr="00257B62" w:rsidRDefault="006E0DD0" w:rsidP="00CB7994">
            <w:pPr>
              <w:spacing w:before="100" w:beforeAutospacing="1" w:after="100" w:afterAutospacing="1"/>
            </w:pPr>
          </w:p>
        </w:tc>
        <w:tc>
          <w:tcPr>
            <w:tcW w:w="3526" w:type="pct"/>
          </w:tcPr>
          <w:p w14:paraId="3FB35BF8" w14:textId="77777777" w:rsidR="006E0DD0" w:rsidRPr="00257B62" w:rsidRDefault="006E0DD0" w:rsidP="00CB7994">
            <w:pPr>
              <w:spacing w:before="100" w:beforeAutospacing="1" w:after="100" w:afterAutospacing="1"/>
              <w:rPr>
                <w:rFonts w:eastAsia="Times New Roman"/>
                <w:lang w:eastAsia="fr-FR"/>
              </w:rPr>
            </w:pPr>
            <w:r w:rsidRPr="00257B62">
              <w:t>Plan de travail</w:t>
            </w:r>
          </w:p>
        </w:tc>
        <w:tc>
          <w:tcPr>
            <w:tcW w:w="664" w:type="pct"/>
          </w:tcPr>
          <w:p w14:paraId="5EDC0ECF" w14:textId="77777777" w:rsidR="006E0DD0" w:rsidRPr="00257B62" w:rsidRDefault="006E0DD0" w:rsidP="00CB7994">
            <w:pPr>
              <w:spacing w:before="100" w:beforeAutospacing="1" w:after="100" w:afterAutospacing="1"/>
              <w:rPr>
                <w:rFonts w:eastAsia="Times New Roman"/>
                <w:i/>
                <w:iCs/>
                <w:lang w:eastAsia="fr-FR"/>
              </w:rPr>
            </w:pPr>
            <w:r w:rsidRPr="00257B62">
              <w:rPr>
                <w:i/>
                <w:iCs/>
              </w:rPr>
              <w:t>10</w:t>
            </w:r>
          </w:p>
        </w:tc>
      </w:tr>
      <w:tr w:rsidR="006E0DD0" w:rsidRPr="00257B62" w14:paraId="4C7AA069" w14:textId="77777777" w:rsidTr="007F3B54">
        <w:trPr>
          <w:tblCellSpacing w:w="0" w:type="dxa"/>
        </w:trPr>
        <w:tc>
          <w:tcPr>
            <w:tcW w:w="810" w:type="pct"/>
            <w:vMerge/>
          </w:tcPr>
          <w:p w14:paraId="64CA1D8A" w14:textId="77777777" w:rsidR="006E0DD0" w:rsidRPr="00257B62" w:rsidRDefault="006E0DD0" w:rsidP="00CB7994">
            <w:pPr>
              <w:spacing w:before="100" w:beforeAutospacing="1" w:after="100" w:afterAutospacing="1"/>
            </w:pPr>
          </w:p>
        </w:tc>
        <w:tc>
          <w:tcPr>
            <w:tcW w:w="3526" w:type="pct"/>
            <w:shd w:val="clear" w:color="auto" w:fill="BFBFBF" w:themeFill="background1" w:themeFillShade="BF"/>
          </w:tcPr>
          <w:p w14:paraId="38DC171E" w14:textId="48F938B3" w:rsidR="006E0DD0" w:rsidRPr="00257B62" w:rsidRDefault="006E0DD0" w:rsidP="007F3B54">
            <w:pPr>
              <w:spacing w:before="100" w:beforeAutospacing="1" w:after="100" w:afterAutospacing="1"/>
              <w:jc w:val="center"/>
            </w:pPr>
            <w:r w:rsidRPr="00257B62">
              <w:t>Sous total</w:t>
            </w:r>
          </w:p>
        </w:tc>
        <w:tc>
          <w:tcPr>
            <w:tcW w:w="664" w:type="pct"/>
            <w:shd w:val="clear" w:color="auto" w:fill="BFBFBF" w:themeFill="background1" w:themeFillShade="BF"/>
          </w:tcPr>
          <w:p w14:paraId="6E6FA786" w14:textId="06C4F986" w:rsidR="006E0DD0" w:rsidRPr="00257B62" w:rsidRDefault="009D78E1" w:rsidP="00CB7994">
            <w:pPr>
              <w:spacing w:before="100" w:beforeAutospacing="1" w:after="100" w:afterAutospacing="1"/>
              <w:rPr>
                <w:b/>
                <w:bCs/>
                <w:u w:val="single"/>
              </w:rPr>
            </w:pPr>
            <w:r>
              <w:rPr>
                <w:b/>
                <w:bCs/>
                <w:u w:val="single"/>
              </w:rPr>
              <w:t>4</w:t>
            </w:r>
            <w:r w:rsidR="006E0DD0" w:rsidRPr="00257B62">
              <w:rPr>
                <w:b/>
                <w:bCs/>
                <w:u w:val="single"/>
              </w:rPr>
              <w:t>0</w:t>
            </w:r>
          </w:p>
        </w:tc>
      </w:tr>
      <w:tr w:rsidR="006E0DD0" w:rsidRPr="00257B62" w14:paraId="3469DD6E" w14:textId="77777777" w:rsidTr="006E0DD0">
        <w:trPr>
          <w:tblCellSpacing w:w="0" w:type="dxa"/>
        </w:trPr>
        <w:tc>
          <w:tcPr>
            <w:tcW w:w="810" w:type="pct"/>
          </w:tcPr>
          <w:p w14:paraId="1768C92B" w14:textId="77777777" w:rsidR="006E0DD0" w:rsidRPr="00257B62" w:rsidRDefault="006E0DD0" w:rsidP="00CB7994">
            <w:pPr>
              <w:spacing w:before="100" w:beforeAutospacing="1" w:after="100" w:afterAutospacing="1"/>
            </w:pPr>
            <w:r w:rsidRPr="00257B62">
              <w:t xml:space="preserve">Total </w:t>
            </w:r>
          </w:p>
        </w:tc>
        <w:tc>
          <w:tcPr>
            <w:tcW w:w="3526" w:type="pct"/>
          </w:tcPr>
          <w:p w14:paraId="29FA351D" w14:textId="77777777" w:rsidR="006E0DD0" w:rsidRPr="00257B62" w:rsidRDefault="006E0DD0" w:rsidP="00CB7994">
            <w:pPr>
              <w:spacing w:before="100" w:beforeAutospacing="1" w:after="100" w:afterAutospacing="1"/>
            </w:pPr>
          </w:p>
        </w:tc>
        <w:tc>
          <w:tcPr>
            <w:tcW w:w="664" w:type="pct"/>
          </w:tcPr>
          <w:p w14:paraId="7ED45FBD" w14:textId="77777777" w:rsidR="006E0DD0" w:rsidRPr="00257B62" w:rsidRDefault="006E0DD0" w:rsidP="00CB7994">
            <w:pPr>
              <w:spacing w:before="100" w:beforeAutospacing="1" w:after="100" w:afterAutospacing="1"/>
              <w:rPr>
                <w:b/>
                <w:bCs/>
                <w:u w:val="single"/>
              </w:rPr>
            </w:pPr>
            <w:r w:rsidRPr="00257B62">
              <w:rPr>
                <w:b/>
                <w:bCs/>
                <w:u w:val="single"/>
              </w:rPr>
              <w:t>100</w:t>
            </w:r>
          </w:p>
        </w:tc>
      </w:tr>
    </w:tbl>
    <w:p w14:paraId="5C60A3E5" w14:textId="77777777" w:rsidR="006E0DD0" w:rsidRPr="00257B62" w:rsidRDefault="00A51968" w:rsidP="00A51968">
      <w:pPr>
        <w:spacing w:before="100" w:beforeAutospacing="1" w:after="100" w:afterAutospacing="1"/>
        <w:ind w:left="360"/>
        <w:rPr>
          <w:rFonts w:eastAsia="Times New Roman"/>
          <w:lang w:eastAsia="fr-FR"/>
        </w:rPr>
      </w:pPr>
      <w:r w:rsidRPr="00257B62">
        <w:rPr>
          <w:rFonts w:eastAsia="Times New Roman"/>
          <w:i/>
          <w:iCs/>
          <w:lang w:eastAsia="fr-FR"/>
        </w:rPr>
        <w:t xml:space="preserve">2. </w:t>
      </w:r>
      <w:r w:rsidR="006E0DD0" w:rsidRPr="00257B62">
        <w:rPr>
          <w:rFonts w:eastAsia="Times New Roman"/>
          <w:i/>
          <w:iCs/>
          <w:lang w:eastAsia="fr-FR"/>
        </w:rPr>
        <w:t xml:space="preserve">Les propositions </w:t>
      </w:r>
      <w:proofErr w:type="spellStart"/>
      <w:r w:rsidR="006E0DD0" w:rsidRPr="00257B62">
        <w:rPr>
          <w:rFonts w:eastAsia="Times New Roman"/>
          <w:i/>
          <w:iCs/>
          <w:lang w:eastAsia="fr-FR"/>
        </w:rPr>
        <w:t>financières</w:t>
      </w:r>
      <w:proofErr w:type="spellEnd"/>
    </w:p>
    <w:p w14:paraId="027C675B" w14:textId="77777777" w:rsidR="006E0DD0" w:rsidRPr="00257B62" w:rsidRDefault="006E0DD0" w:rsidP="006E0DD0">
      <w:pPr>
        <w:spacing w:before="100" w:beforeAutospacing="1" w:after="100" w:afterAutospacing="1"/>
        <w:rPr>
          <w:rFonts w:eastAsia="Times New Roman"/>
          <w:lang w:val="fr-FR" w:eastAsia="fr-FR"/>
        </w:rPr>
      </w:pPr>
      <w:r w:rsidRPr="00257B62">
        <w:rPr>
          <w:rFonts w:eastAsia="Times New Roman"/>
          <w:lang w:val="fr-FR" w:eastAsia="fr-FR"/>
        </w:rPr>
        <w:t>Le prestataire fait sa proposition financière suivant le Tableau des coûts.</w:t>
      </w:r>
    </w:p>
    <w:p w14:paraId="7995B565" w14:textId="77777777" w:rsidR="006E0DD0" w:rsidRPr="00257B62" w:rsidRDefault="006E0DD0" w:rsidP="006E0DD0">
      <w:pPr>
        <w:spacing w:before="100" w:beforeAutospacing="1" w:after="100" w:afterAutospacing="1"/>
        <w:rPr>
          <w:rFonts w:eastAsia="Times New Roman"/>
          <w:lang w:val="fr-FR" w:eastAsia="fr-FR"/>
        </w:rPr>
      </w:pPr>
      <w:r w:rsidRPr="00257B62">
        <w:rPr>
          <w:rFonts w:eastAsia="Times New Roman"/>
          <w:lang w:val="fr-FR" w:eastAsia="fr-FR"/>
        </w:rPr>
        <w:t>Les offres financières seront comparées et une note financière sera calculée pour chaque proposition sur la base de la formule :</w:t>
      </w:r>
    </w:p>
    <w:p w14:paraId="7F5CCB64" w14:textId="77777777" w:rsidR="006E0DD0" w:rsidRPr="00257B62" w:rsidRDefault="006E0DD0" w:rsidP="006E0DD0">
      <w:pPr>
        <w:spacing w:before="100" w:beforeAutospacing="1" w:after="100" w:afterAutospacing="1"/>
        <w:rPr>
          <w:rFonts w:eastAsia="Times New Roman"/>
          <w:lang w:val="fr-FR" w:eastAsia="fr-FR"/>
        </w:rPr>
      </w:pPr>
      <w:r w:rsidRPr="00257B62">
        <w:rPr>
          <w:rFonts w:eastAsia="Times New Roman"/>
          <w:b/>
          <w:bCs/>
          <w:i/>
          <w:iCs/>
          <w:lang w:val="fr-FR" w:eastAsia="fr-FR"/>
        </w:rPr>
        <w:t xml:space="preserve">Note financière = [(Offre financière la moins </w:t>
      </w:r>
      <w:proofErr w:type="spellStart"/>
      <w:r w:rsidRPr="00257B62">
        <w:rPr>
          <w:rFonts w:eastAsia="Times New Roman"/>
          <w:b/>
          <w:bCs/>
          <w:i/>
          <w:iCs/>
          <w:lang w:val="fr-FR" w:eastAsia="fr-FR"/>
        </w:rPr>
        <w:t>disante</w:t>
      </w:r>
      <w:proofErr w:type="spellEnd"/>
      <w:r w:rsidRPr="00257B62">
        <w:rPr>
          <w:rFonts w:eastAsia="Times New Roman"/>
          <w:b/>
          <w:bCs/>
          <w:i/>
          <w:iCs/>
          <w:lang w:val="fr-FR" w:eastAsia="fr-FR"/>
        </w:rPr>
        <w:t>) / Offre financière de A] x</w:t>
      </w:r>
      <w:r w:rsidR="00F2283F" w:rsidRPr="00257B62">
        <w:rPr>
          <w:rFonts w:eastAsia="Times New Roman"/>
          <w:b/>
          <w:bCs/>
          <w:i/>
          <w:iCs/>
          <w:lang w:val="fr-FR" w:eastAsia="fr-FR"/>
        </w:rPr>
        <w:t> </w:t>
      </w:r>
      <w:r w:rsidRPr="00257B62">
        <w:rPr>
          <w:rFonts w:eastAsia="Times New Roman"/>
          <w:b/>
          <w:bCs/>
          <w:i/>
          <w:iCs/>
          <w:lang w:val="fr-FR" w:eastAsia="fr-FR"/>
        </w:rPr>
        <w:t>30</w:t>
      </w:r>
    </w:p>
    <w:p w14:paraId="25F3BB3C" w14:textId="77777777" w:rsidR="006E0DD0" w:rsidRPr="00257B62" w:rsidRDefault="006E0DD0" w:rsidP="006E0DD0">
      <w:pPr>
        <w:spacing w:before="100" w:beforeAutospacing="1" w:after="100" w:afterAutospacing="1"/>
        <w:rPr>
          <w:rFonts w:eastAsia="Times New Roman"/>
          <w:lang w:val="fr-FR" w:eastAsia="fr-FR"/>
        </w:rPr>
      </w:pPr>
      <w:r w:rsidRPr="00257B62">
        <w:rPr>
          <w:rFonts w:eastAsia="Times New Roman"/>
          <w:b/>
          <w:bCs/>
          <w:lang w:val="fr-FR" w:eastAsia="fr-FR"/>
        </w:rPr>
        <w:t>NB : Seuls les prestataires ayant obtenu une note technique d’au moins 70</w:t>
      </w:r>
      <w:r w:rsidR="00F2283F" w:rsidRPr="00257B62">
        <w:rPr>
          <w:rFonts w:eastAsia="Times New Roman"/>
          <w:b/>
          <w:bCs/>
          <w:lang w:val="fr-FR" w:eastAsia="fr-FR"/>
        </w:rPr>
        <w:t> </w:t>
      </w:r>
      <w:r w:rsidRPr="00257B62">
        <w:rPr>
          <w:rFonts w:eastAsia="Times New Roman"/>
          <w:b/>
          <w:bCs/>
          <w:lang w:val="fr-FR" w:eastAsia="fr-FR"/>
        </w:rPr>
        <w:t>points/100, verront leurs offres financières ouvertes. Cette note technique sera pondérée à 70</w:t>
      </w:r>
      <w:r w:rsidR="00F2283F" w:rsidRPr="00257B62">
        <w:rPr>
          <w:rFonts w:eastAsia="Times New Roman"/>
          <w:b/>
          <w:bCs/>
          <w:lang w:val="fr-FR" w:eastAsia="fr-FR"/>
        </w:rPr>
        <w:t> %</w:t>
      </w:r>
      <w:r w:rsidRPr="00257B62">
        <w:rPr>
          <w:rFonts w:eastAsia="Times New Roman"/>
          <w:b/>
          <w:bCs/>
          <w:lang w:val="fr-FR" w:eastAsia="fr-FR"/>
        </w:rPr>
        <w:t xml:space="preserve"> et la note financière pondérée à 30</w:t>
      </w:r>
      <w:r w:rsidR="00F2283F" w:rsidRPr="00257B62">
        <w:rPr>
          <w:rFonts w:eastAsia="Times New Roman"/>
          <w:b/>
          <w:bCs/>
          <w:lang w:val="fr-FR" w:eastAsia="fr-FR"/>
        </w:rPr>
        <w:t> %</w:t>
      </w:r>
      <w:r w:rsidRPr="00257B62">
        <w:rPr>
          <w:rFonts w:eastAsia="Times New Roman"/>
          <w:b/>
          <w:bCs/>
          <w:lang w:val="fr-FR" w:eastAsia="fr-FR"/>
        </w:rPr>
        <w:t>.</w:t>
      </w:r>
    </w:p>
    <w:p w14:paraId="1262A2AC" w14:textId="77777777" w:rsidR="006E0DD0" w:rsidRPr="00257B62" w:rsidRDefault="00A51968" w:rsidP="006E0DD0">
      <w:pPr>
        <w:spacing w:before="100" w:beforeAutospacing="1" w:after="100" w:afterAutospacing="1"/>
        <w:rPr>
          <w:rFonts w:eastAsia="Times New Roman"/>
          <w:lang w:val="fr-FR" w:eastAsia="fr-FR"/>
        </w:rPr>
      </w:pPr>
      <w:r w:rsidRPr="00257B62">
        <w:rPr>
          <w:rFonts w:eastAsia="Times New Roman"/>
          <w:b/>
          <w:bCs/>
          <w:lang w:val="fr-FR" w:eastAsia="fr-FR"/>
        </w:rPr>
        <w:lastRenderedPageBreak/>
        <w:t>7</w:t>
      </w:r>
      <w:r w:rsidR="006E0DD0" w:rsidRPr="00257B62">
        <w:rPr>
          <w:rFonts w:eastAsia="Times New Roman"/>
          <w:b/>
          <w:bCs/>
          <w:lang w:val="fr-FR" w:eastAsia="fr-FR"/>
        </w:rPr>
        <w:t xml:space="preserve">- DUREE DU CONTRAT </w:t>
      </w:r>
    </w:p>
    <w:p w14:paraId="6D076AF6" w14:textId="77777777" w:rsidR="006E0DD0" w:rsidRPr="00257B62" w:rsidRDefault="006E0DD0" w:rsidP="00644975">
      <w:pPr>
        <w:pStyle w:val="NormalWeb"/>
        <w:spacing w:before="0" w:beforeAutospacing="0"/>
        <w:jc w:val="both"/>
        <w:rPr>
          <w:lang w:val="fr-FR"/>
        </w:rPr>
      </w:pPr>
      <w:r w:rsidRPr="00257B62">
        <w:rPr>
          <w:lang w:val="fr-FR"/>
        </w:rPr>
        <w:t xml:space="preserve">Le prestataire devrait signer un accord de prestation de service avec UNCDF. Les candidats ne connaissant pas les accords de UNCDF sont invités à demander un échantillon à </w:t>
      </w:r>
      <w:hyperlink r:id="rId14" w:history="1">
        <w:r w:rsidRPr="00257B62">
          <w:rPr>
            <w:lang w:val="fr-FR"/>
          </w:rPr>
          <w:t>digital.info@uncdf.org</w:t>
        </w:r>
      </w:hyperlink>
      <w:r w:rsidRPr="00257B62">
        <w:rPr>
          <w:lang w:val="fr-FR"/>
        </w:rPr>
        <w:t xml:space="preserve"> avant de soumettre leur candidature. </w:t>
      </w:r>
    </w:p>
    <w:p w14:paraId="509F4E56" w14:textId="77777777" w:rsidR="006E0DD0" w:rsidRPr="00257B62" w:rsidRDefault="00A51968" w:rsidP="006E0DD0">
      <w:pPr>
        <w:pStyle w:val="NormalWeb"/>
        <w:rPr>
          <w:b/>
          <w:iCs/>
          <w:lang w:val="fr-FR"/>
        </w:rPr>
      </w:pPr>
      <w:r w:rsidRPr="00257B62">
        <w:rPr>
          <w:b/>
          <w:iCs/>
          <w:lang w:val="fr-FR"/>
        </w:rPr>
        <w:t xml:space="preserve">8- </w:t>
      </w:r>
      <w:r w:rsidR="006E0DD0" w:rsidRPr="00257B62">
        <w:rPr>
          <w:b/>
          <w:iCs/>
          <w:lang w:val="fr-FR"/>
        </w:rPr>
        <w:t>Calendrier</w:t>
      </w:r>
    </w:p>
    <w:p w14:paraId="0A8D1389" w14:textId="77777777" w:rsidR="006E0DD0" w:rsidRPr="00257B62" w:rsidRDefault="006E0DD0" w:rsidP="006E0DD0">
      <w:pPr>
        <w:pStyle w:val="NormalWeb"/>
        <w:spacing w:before="0" w:beforeAutospacing="0" w:after="0" w:afterAutospacing="0"/>
        <w:rPr>
          <w:bCs/>
          <w:iCs/>
          <w:lang w:val="fr-FR"/>
        </w:rPr>
      </w:pPr>
      <w:r w:rsidRPr="00257B62">
        <w:rPr>
          <w:bCs/>
          <w:iCs/>
          <w:lang w:val="fr-FR"/>
        </w:rPr>
        <w:t xml:space="preserve">Le prestataire doit soumettre tous les livrables au plus tard le </w:t>
      </w:r>
      <w:r w:rsidR="00A51968" w:rsidRPr="00257B62">
        <w:rPr>
          <w:bCs/>
          <w:iCs/>
          <w:lang w:val="fr-FR"/>
        </w:rPr>
        <w:t>10</w:t>
      </w:r>
      <w:r w:rsidRPr="00257B62">
        <w:rPr>
          <w:bCs/>
          <w:iCs/>
          <w:lang w:val="fr-FR"/>
        </w:rPr>
        <w:t xml:space="preserve"> </w:t>
      </w:r>
      <w:r w:rsidR="00A51968" w:rsidRPr="00257B62">
        <w:rPr>
          <w:bCs/>
          <w:iCs/>
          <w:lang w:val="fr-FR"/>
        </w:rPr>
        <w:t>mars</w:t>
      </w:r>
      <w:r w:rsidRPr="00257B62">
        <w:rPr>
          <w:bCs/>
          <w:iCs/>
          <w:lang w:val="fr-FR"/>
        </w:rPr>
        <w:t xml:space="preserve"> 2020.</w:t>
      </w:r>
    </w:p>
    <w:p w14:paraId="61331D86" w14:textId="77777777" w:rsidR="006E0DD0" w:rsidRPr="00257B62" w:rsidRDefault="006E0DD0" w:rsidP="006E0DD0">
      <w:pPr>
        <w:contextualSpacing/>
        <w:rPr>
          <w:rFonts w:asciiTheme="minorHAnsi" w:hAnsiTheme="minorHAnsi" w:cs="Calibri"/>
          <w:u w:val="single"/>
          <w:lang w:val="fr-FR"/>
        </w:rPr>
      </w:pPr>
    </w:p>
    <w:p w14:paraId="010084B6" w14:textId="77777777" w:rsidR="006E0DD0" w:rsidRPr="00257B62" w:rsidRDefault="006E0DD0" w:rsidP="006E0DD0">
      <w:pPr>
        <w:pStyle w:val="NormalWeb"/>
        <w:spacing w:before="0" w:beforeAutospacing="0" w:after="0" w:afterAutospacing="0"/>
        <w:rPr>
          <w:color w:val="0000FF"/>
          <w:lang w:val="fr-FR"/>
        </w:rPr>
      </w:pPr>
      <w:r w:rsidRPr="00257B62">
        <w:rPr>
          <w:color w:val="0000FF"/>
          <w:lang w:val="fr-FR"/>
        </w:rPr>
        <w:t xml:space="preserve"> </w:t>
      </w:r>
    </w:p>
    <w:p w14:paraId="0BEFE43B" w14:textId="77777777" w:rsidR="006E0DD0" w:rsidRPr="00257B62" w:rsidRDefault="006E0DD0" w:rsidP="006E0DD0">
      <w:pPr>
        <w:pStyle w:val="NormalWeb"/>
        <w:spacing w:before="0" w:beforeAutospacing="0" w:after="0" w:afterAutospacing="0" w:line="360" w:lineRule="auto"/>
        <w:rPr>
          <w:lang w:val="fr-FR"/>
        </w:rPr>
        <w:sectPr w:rsidR="006E0DD0" w:rsidRPr="00257B62" w:rsidSect="00751477">
          <w:headerReference w:type="even" r:id="rId15"/>
          <w:headerReference w:type="default" r:id="rId16"/>
          <w:footerReference w:type="even" r:id="rId17"/>
          <w:footerReference w:type="default" r:id="rId18"/>
          <w:headerReference w:type="first" r:id="rId19"/>
          <w:footerReference w:type="first" r:id="rId20"/>
          <w:pgSz w:w="12240" w:h="15840"/>
          <w:pgMar w:top="1296" w:right="1440" w:bottom="1296" w:left="1440" w:header="720" w:footer="720" w:gutter="0"/>
          <w:cols w:space="720"/>
          <w:docGrid w:linePitch="360"/>
        </w:sectPr>
      </w:pPr>
    </w:p>
    <w:p w14:paraId="0D136210" w14:textId="77777777" w:rsidR="006E0DD0" w:rsidRPr="00257B62" w:rsidRDefault="006E0DD0" w:rsidP="006E0DD0">
      <w:pPr>
        <w:pStyle w:val="NormalWeb"/>
        <w:spacing w:before="0" w:beforeAutospacing="0" w:after="0" w:afterAutospacing="0" w:line="360" w:lineRule="auto"/>
        <w:jc w:val="center"/>
        <w:rPr>
          <w:b/>
          <w:lang w:val="fr-FR"/>
        </w:rPr>
      </w:pPr>
      <w:r w:rsidRPr="00257B62">
        <w:rPr>
          <w:b/>
          <w:lang w:val="fr-FR"/>
        </w:rPr>
        <w:lastRenderedPageBreak/>
        <w:t>Appendice A</w:t>
      </w:r>
    </w:p>
    <w:p w14:paraId="3BA5A863" w14:textId="77777777" w:rsidR="006E0DD0" w:rsidRPr="00257B62" w:rsidRDefault="006E0DD0" w:rsidP="006E0DD0">
      <w:pPr>
        <w:pStyle w:val="NormalWeb"/>
        <w:spacing w:before="0" w:beforeAutospacing="0" w:after="0" w:afterAutospacing="0" w:line="360" w:lineRule="auto"/>
        <w:jc w:val="center"/>
        <w:rPr>
          <w:b/>
          <w:lang w:val="fr-FR"/>
        </w:rPr>
      </w:pPr>
    </w:p>
    <w:p w14:paraId="5D39B25F" w14:textId="77777777" w:rsidR="006E0DD0" w:rsidRPr="00257B62" w:rsidRDefault="006E0DD0" w:rsidP="006E0DD0">
      <w:pPr>
        <w:pStyle w:val="NormalWeb"/>
        <w:spacing w:before="0" w:beforeAutospacing="0" w:after="0" w:afterAutospacing="0" w:line="360" w:lineRule="auto"/>
        <w:jc w:val="center"/>
        <w:rPr>
          <w:b/>
          <w:i/>
          <w:lang w:val="fr-FR"/>
        </w:rPr>
      </w:pPr>
      <w:r w:rsidRPr="00257B62">
        <w:rPr>
          <w:b/>
          <w:i/>
          <w:lang w:val="fr-FR"/>
        </w:rPr>
        <w:t xml:space="preserve">Epargner pour le Changement – </w:t>
      </w:r>
      <w:r w:rsidRPr="00257B62">
        <w:rPr>
          <w:b/>
          <w:lang w:val="fr-FR"/>
        </w:rPr>
        <w:t>Doublage des voix</w:t>
      </w:r>
    </w:p>
    <w:p w14:paraId="097CC4ED" w14:textId="77777777" w:rsidR="006E0DD0" w:rsidRPr="00257B62" w:rsidRDefault="006E0DD0" w:rsidP="006E0DD0">
      <w:pPr>
        <w:jc w:val="center"/>
        <w:rPr>
          <w:b/>
          <w:lang w:val="fr-FR"/>
        </w:rPr>
      </w:pPr>
      <w:r w:rsidRPr="00257B62">
        <w:rPr>
          <w:b/>
          <w:lang w:val="fr-FR"/>
        </w:rPr>
        <w:t xml:space="preserve">Consentement des Artistes-interprètes </w:t>
      </w:r>
    </w:p>
    <w:p w14:paraId="129B667B" w14:textId="77777777" w:rsidR="006E0DD0" w:rsidRPr="00257B62" w:rsidRDefault="006E0DD0" w:rsidP="006E0DD0">
      <w:pPr>
        <w:rPr>
          <w:b/>
          <w:lang w:val="fr-FR"/>
        </w:rPr>
      </w:pPr>
    </w:p>
    <w:p w14:paraId="6EB740DE" w14:textId="77777777" w:rsidR="006E0DD0" w:rsidRPr="00257B62" w:rsidRDefault="006E0DD0" w:rsidP="006E0DD0">
      <w:pPr>
        <w:rPr>
          <w:rFonts w:ascii="Garamond" w:hAnsi="Garamond"/>
          <w:lang w:val="fr-FR"/>
        </w:rPr>
      </w:pPr>
      <w:r w:rsidRPr="00257B62">
        <w:rPr>
          <w:rFonts w:ascii="Garamond" w:hAnsi="Garamond"/>
          <w:lang w:val="fr-FR"/>
        </w:rPr>
        <w:t>Je soussigné, _________________________________ demeurant et domicilié à ___________________________________ et détenteur de la carte d’identifié numéro : _______________ :</w:t>
      </w:r>
    </w:p>
    <w:p w14:paraId="074069BB" w14:textId="77777777" w:rsidR="006E0DD0" w:rsidRPr="00257B62" w:rsidRDefault="006E0DD0" w:rsidP="006E0DD0">
      <w:pPr>
        <w:pStyle w:val="Paragraphedeliste"/>
        <w:numPr>
          <w:ilvl w:val="0"/>
          <w:numId w:val="5"/>
        </w:numPr>
        <w:rPr>
          <w:rFonts w:ascii="Garamond" w:hAnsi="Garamond"/>
          <w:sz w:val="24"/>
          <w:lang w:val="fr-FR"/>
        </w:rPr>
      </w:pPr>
      <w:proofErr w:type="gramStart"/>
      <w:r w:rsidRPr="00257B62">
        <w:rPr>
          <w:rFonts w:ascii="Garamond" w:hAnsi="Garamond"/>
          <w:sz w:val="24"/>
          <w:lang w:val="fr-FR"/>
        </w:rPr>
        <w:t>accepte</w:t>
      </w:r>
      <w:proofErr w:type="gramEnd"/>
      <w:r w:rsidRPr="00257B62">
        <w:rPr>
          <w:rFonts w:ascii="Garamond" w:hAnsi="Garamond"/>
          <w:sz w:val="24"/>
          <w:lang w:val="fr-FR"/>
        </w:rPr>
        <w:t xml:space="preserve"> de collaborer avec la ..... </w:t>
      </w:r>
      <w:proofErr w:type="gramStart"/>
      <w:r w:rsidRPr="00257B62">
        <w:rPr>
          <w:rFonts w:ascii="Garamond" w:hAnsi="Garamond"/>
          <w:sz w:val="24"/>
          <w:lang w:val="fr-FR"/>
        </w:rPr>
        <w:t>à</w:t>
      </w:r>
      <w:proofErr w:type="gramEnd"/>
      <w:r w:rsidRPr="00257B62">
        <w:rPr>
          <w:rFonts w:ascii="Garamond" w:hAnsi="Garamond"/>
          <w:sz w:val="24"/>
          <w:lang w:val="fr-FR"/>
        </w:rPr>
        <w:t xml:space="preserve"> titre de Doubleur ou d’Artiste-Interprète dans le cadre du doublage de 10 dessins animés sur la création des groupes d’épargne </w:t>
      </w:r>
      <w:r w:rsidRPr="00257B62">
        <w:rPr>
          <w:rFonts w:ascii="Garamond" w:hAnsi="Garamond"/>
          <w:i/>
          <w:sz w:val="24"/>
          <w:lang w:val="fr-FR"/>
        </w:rPr>
        <w:t>Epargner pour le Changement.</w:t>
      </w:r>
      <w:r w:rsidRPr="00257B62">
        <w:rPr>
          <w:rFonts w:ascii="Garamond" w:hAnsi="Garamond"/>
          <w:sz w:val="24"/>
          <w:lang w:val="fr-FR"/>
        </w:rPr>
        <w:t xml:space="preserve"> </w:t>
      </w:r>
    </w:p>
    <w:p w14:paraId="4D24DFC2" w14:textId="77777777" w:rsidR="006E0DD0" w:rsidRPr="00257B62" w:rsidRDefault="006E0DD0" w:rsidP="006E0DD0">
      <w:pPr>
        <w:pStyle w:val="Paragraphedeliste"/>
        <w:numPr>
          <w:ilvl w:val="0"/>
          <w:numId w:val="5"/>
        </w:numPr>
        <w:rPr>
          <w:rFonts w:ascii="Garamond" w:hAnsi="Garamond"/>
          <w:sz w:val="24"/>
          <w:lang w:val="fr-FR"/>
        </w:rPr>
      </w:pPr>
      <w:r w:rsidRPr="00257B62">
        <w:rPr>
          <w:rFonts w:ascii="Garamond" w:hAnsi="Garamond"/>
          <w:sz w:val="24"/>
          <w:lang w:val="fr-FR"/>
        </w:rPr>
        <w:t>Confirme que je parle couramment Dioula et suis habilité à travailler comme Artiste-Interprète de langue Dioula.</w:t>
      </w:r>
    </w:p>
    <w:p w14:paraId="1AA8F17E" w14:textId="77777777" w:rsidR="006E0DD0" w:rsidRPr="00257B62" w:rsidRDefault="006E0DD0" w:rsidP="006E0DD0">
      <w:pPr>
        <w:pStyle w:val="Paragraphedeliste"/>
        <w:numPr>
          <w:ilvl w:val="0"/>
          <w:numId w:val="5"/>
        </w:numPr>
        <w:rPr>
          <w:rFonts w:ascii="Garamond" w:hAnsi="Garamond"/>
          <w:sz w:val="24"/>
          <w:lang w:val="fr-FR"/>
        </w:rPr>
      </w:pPr>
      <w:r w:rsidRPr="00257B62">
        <w:rPr>
          <w:rFonts w:ascii="Garamond" w:hAnsi="Garamond"/>
          <w:sz w:val="24"/>
          <w:lang w:val="fr-FR"/>
        </w:rPr>
        <w:t>Reconnais que je dois bien lire tous les scripts et bien me préparer à dire fidèlement ce qui est écrit dans les scripts en Dioula lors de l’enregistrement de ma voix en studio.</w:t>
      </w:r>
    </w:p>
    <w:p w14:paraId="5E452458" w14:textId="77777777" w:rsidR="006E0DD0" w:rsidRPr="00257B62" w:rsidRDefault="006E0DD0" w:rsidP="006E0DD0">
      <w:pPr>
        <w:pStyle w:val="Paragraphedeliste"/>
        <w:numPr>
          <w:ilvl w:val="0"/>
          <w:numId w:val="5"/>
        </w:numPr>
        <w:rPr>
          <w:rFonts w:ascii="Garamond" w:hAnsi="Garamond"/>
          <w:sz w:val="24"/>
          <w:lang w:val="fr-FR"/>
        </w:rPr>
      </w:pPr>
      <w:r w:rsidRPr="00257B62">
        <w:rPr>
          <w:rFonts w:ascii="Garamond" w:hAnsi="Garamond"/>
          <w:sz w:val="24"/>
          <w:lang w:val="fr-FR"/>
        </w:rPr>
        <w:t xml:space="preserve">Accepte d’être au studio pour prêter ma voix à l’enregistrement des scripts du ………. </w:t>
      </w:r>
      <w:proofErr w:type="gramStart"/>
      <w:r w:rsidRPr="00257B62">
        <w:rPr>
          <w:rFonts w:ascii="Garamond" w:hAnsi="Garamond"/>
          <w:sz w:val="24"/>
          <w:lang w:val="fr-FR"/>
        </w:rPr>
        <w:t>au</w:t>
      </w:r>
      <w:proofErr w:type="gramEnd"/>
      <w:r w:rsidRPr="00257B62">
        <w:rPr>
          <w:rFonts w:ascii="Garamond" w:hAnsi="Garamond"/>
          <w:sz w:val="24"/>
          <w:lang w:val="fr-FR"/>
        </w:rPr>
        <w:t xml:space="preserve"> …… de … à…</w:t>
      </w:r>
    </w:p>
    <w:p w14:paraId="1D903F4E" w14:textId="77777777" w:rsidR="006E0DD0" w:rsidRPr="00257B62" w:rsidRDefault="006E0DD0" w:rsidP="006E0DD0">
      <w:pPr>
        <w:pStyle w:val="Paragraphedeliste"/>
        <w:numPr>
          <w:ilvl w:val="0"/>
          <w:numId w:val="5"/>
        </w:numPr>
        <w:rPr>
          <w:rFonts w:ascii="Garamond" w:hAnsi="Garamond"/>
          <w:sz w:val="24"/>
          <w:lang w:val="fr-FR"/>
        </w:rPr>
      </w:pPr>
      <w:r w:rsidRPr="00257B62">
        <w:rPr>
          <w:rFonts w:ascii="Garamond" w:hAnsi="Garamond"/>
          <w:sz w:val="24"/>
          <w:lang w:val="fr-FR"/>
        </w:rPr>
        <w:t>M’engage professionnellement à fournir un travail de qualité du début à la fin.</w:t>
      </w:r>
    </w:p>
    <w:p w14:paraId="41D94610" w14:textId="77777777" w:rsidR="006E0DD0" w:rsidRPr="00257B62" w:rsidRDefault="006E0DD0" w:rsidP="006E0DD0">
      <w:pPr>
        <w:pStyle w:val="Paragraphedeliste"/>
        <w:numPr>
          <w:ilvl w:val="0"/>
          <w:numId w:val="5"/>
        </w:numPr>
        <w:rPr>
          <w:rFonts w:ascii="Garamond" w:hAnsi="Garamond"/>
          <w:sz w:val="24"/>
          <w:lang w:val="fr-FR"/>
        </w:rPr>
      </w:pPr>
      <w:r w:rsidRPr="00257B62">
        <w:rPr>
          <w:rFonts w:ascii="Garamond" w:hAnsi="Garamond"/>
          <w:sz w:val="24"/>
          <w:lang w:val="fr-FR"/>
        </w:rPr>
        <w:t>Accepte de modifier ma voix pour me mettre dans la peau de différents personnages tout en restant consistant.</w:t>
      </w:r>
    </w:p>
    <w:p w14:paraId="4761AC87" w14:textId="77777777" w:rsidR="006E0DD0" w:rsidRPr="00257B62" w:rsidRDefault="006E0DD0" w:rsidP="006E0DD0">
      <w:pPr>
        <w:pStyle w:val="Paragraphedeliste"/>
        <w:numPr>
          <w:ilvl w:val="0"/>
          <w:numId w:val="5"/>
        </w:numPr>
        <w:rPr>
          <w:rFonts w:ascii="Garamond" w:hAnsi="Garamond"/>
          <w:sz w:val="24"/>
          <w:lang w:val="fr-FR"/>
        </w:rPr>
      </w:pPr>
      <w:r w:rsidRPr="00257B62">
        <w:rPr>
          <w:rFonts w:ascii="Garamond" w:hAnsi="Garamond"/>
          <w:sz w:val="24"/>
          <w:lang w:val="fr-FR"/>
        </w:rPr>
        <w:t xml:space="preserve">Renonce à tous mes droits et accepte entièrement que ma voix-off soit utilisée dans les bandes dessinées </w:t>
      </w:r>
      <w:r w:rsidRPr="00257B62">
        <w:rPr>
          <w:rFonts w:ascii="Garamond" w:hAnsi="Garamond"/>
          <w:i/>
          <w:sz w:val="24"/>
          <w:lang w:val="fr-FR"/>
        </w:rPr>
        <w:t>Epargner pour le Changement</w:t>
      </w:r>
      <w:r w:rsidRPr="00257B62">
        <w:rPr>
          <w:rFonts w:ascii="Garamond" w:hAnsi="Garamond"/>
          <w:sz w:val="24"/>
          <w:lang w:val="fr-FR"/>
        </w:rPr>
        <w:t>.</w:t>
      </w:r>
    </w:p>
    <w:p w14:paraId="09249349" w14:textId="77777777" w:rsidR="006E0DD0" w:rsidRPr="00257B62" w:rsidRDefault="006E0DD0" w:rsidP="006E0DD0">
      <w:pPr>
        <w:pStyle w:val="Paragraphedeliste"/>
        <w:numPr>
          <w:ilvl w:val="0"/>
          <w:numId w:val="5"/>
        </w:numPr>
        <w:rPr>
          <w:rFonts w:ascii="Garamond" w:hAnsi="Garamond"/>
          <w:sz w:val="24"/>
          <w:lang w:val="fr-FR"/>
        </w:rPr>
      </w:pPr>
      <w:r w:rsidRPr="00257B62">
        <w:rPr>
          <w:rFonts w:ascii="Garamond" w:hAnsi="Garamond"/>
          <w:sz w:val="24"/>
          <w:lang w:val="fr-FR"/>
        </w:rPr>
        <w:t>Reconnais que ce contrat m’engage auprès de la</w:t>
      </w:r>
      <w:proofErr w:type="gramStart"/>
      <w:r w:rsidRPr="00257B62">
        <w:rPr>
          <w:rFonts w:ascii="Garamond" w:hAnsi="Garamond"/>
          <w:sz w:val="24"/>
          <w:lang w:val="fr-FR"/>
        </w:rPr>
        <w:t xml:space="preserve"> ....</w:t>
      </w:r>
      <w:proofErr w:type="gramEnd"/>
      <w:r w:rsidRPr="00257B62">
        <w:rPr>
          <w:rFonts w:ascii="Garamond" w:hAnsi="Garamond"/>
          <w:sz w:val="24"/>
          <w:lang w:val="fr-FR"/>
        </w:rPr>
        <w:t xml:space="preserve">. </w:t>
      </w:r>
      <w:proofErr w:type="gramStart"/>
      <w:r w:rsidRPr="00257B62">
        <w:rPr>
          <w:rFonts w:ascii="Garamond" w:hAnsi="Garamond"/>
          <w:sz w:val="24"/>
          <w:lang w:val="fr-FR"/>
        </w:rPr>
        <w:t>et</w:t>
      </w:r>
      <w:proofErr w:type="gramEnd"/>
      <w:r w:rsidRPr="00257B62">
        <w:rPr>
          <w:rFonts w:ascii="Garamond" w:hAnsi="Garamond"/>
          <w:sz w:val="24"/>
          <w:lang w:val="fr-FR"/>
        </w:rPr>
        <w:t xml:space="preserve"> ne constitue en aucun cas un contrat entre des tiers ou ses clients/commanditaires et moi.</w:t>
      </w:r>
    </w:p>
    <w:p w14:paraId="5B32FBA2" w14:textId="77777777" w:rsidR="006E0DD0" w:rsidRPr="00257B62" w:rsidRDefault="006E0DD0" w:rsidP="006E0DD0">
      <w:pPr>
        <w:pStyle w:val="Paragraphedeliste"/>
        <w:numPr>
          <w:ilvl w:val="0"/>
          <w:numId w:val="5"/>
        </w:numPr>
        <w:rPr>
          <w:rFonts w:ascii="Garamond" w:hAnsi="Garamond"/>
          <w:sz w:val="24"/>
          <w:lang w:val="fr-FR"/>
        </w:rPr>
      </w:pPr>
      <w:r w:rsidRPr="00257B62">
        <w:rPr>
          <w:rFonts w:ascii="Garamond" w:hAnsi="Garamond"/>
          <w:sz w:val="24"/>
          <w:lang w:val="fr-FR"/>
        </w:rPr>
        <w:t xml:space="preserve">Reconnais que ce contrat ne me lie d’aucune manière au commanditaire des services de doublage pour les dessins animés </w:t>
      </w:r>
      <w:r w:rsidRPr="00257B62">
        <w:rPr>
          <w:rFonts w:ascii="Garamond" w:hAnsi="Garamond"/>
          <w:i/>
          <w:sz w:val="24"/>
          <w:lang w:val="fr-FR"/>
        </w:rPr>
        <w:t xml:space="preserve">Epargner pour le Changement </w:t>
      </w:r>
      <w:r w:rsidRPr="00257B62">
        <w:rPr>
          <w:rFonts w:ascii="Garamond" w:hAnsi="Garamond"/>
          <w:sz w:val="24"/>
          <w:lang w:val="fr-FR"/>
        </w:rPr>
        <w:t>et par conséquent je n’ai aucun droit d’obliger ou de contraindre légalement le commanditaire de quelque manière que ce soit</w:t>
      </w:r>
      <w:r w:rsidRPr="00257B62">
        <w:rPr>
          <w:rFonts w:ascii="Garamond" w:hAnsi="Garamond"/>
          <w:i/>
          <w:sz w:val="24"/>
          <w:lang w:val="fr-FR"/>
        </w:rPr>
        <w:t>.</w:t>
      </w:r>
    </w:p>
    <w:p w14:paraId="4DEC64D2" w14:textId="77777777" w:rsidR="006E0DD0" w:rsidRPr="00257B62" w:rsidRDefault="006E0DD0" w:rsidP="006E0DD0">
      <w:pPr>
        <w:pStyle w:val="Paragraphedeliste"/>
        <w:numPr>
          <w:ilvl w:val="0"/>
          <w:numId w:val="5"/>
        </w:numPr>
        <w:rPr>
          <w:rFonts w:ascii="Garamond" w:hAnsi="Garamond"/>
          <w:sz w:val="24"/>
          <w:lang w:val="fr-FR"/>
        </w:rPr>
      </w:pPr>
      <w:r w:rsidRPr="00257B62">
        <w:rPr>
          <w:rFonts w:ascii="Garamond" w:hAnsi="Garamond"/>
          <w:sz w:val="24"/>
          <w:lang w:val="fr-FR"/>
        </w:rPr>
        <w:t>Autorise la</w:t>
      </w:r>
      <w:proofErr w:type="gramStart"/>
      <w:r w:rsidRPr="00257B62">
        <w:rPr>
          <w:rFonts w:ascii="Garamond" w:hAnsi="Garamond"/>
          <w:sz w:val="24"/>
          <w:lang w:val="fr-FR"/>
        </w:rPr>
        <w:t xml:space="preserve"> ....</w:t>
      </w:r>
      <w:proofErr w:type="gramEnd"/>
      <w:r w:rsidRPr="00257B62">
        <w:rPr>
          <w:rFonts w:ascii="Garamond" w:hAnsi="Garamond"/>
          <w:sz w:val="24"/>
          <w:lang w:val="fr-FR"/>
        </w:rPr>
        <w:t xml:space="preserve">. </w:t>
      </w:r>
      <w:proofErr w:type="gramStart"/>
      <w:r w:rsidRPr="00257B62">
        <w:rPr>
          <w:rFonts w:ascii="Garamond" w:hAnsi="Garamond"/>
          <w:sz w:val="24"/>
          <w:lang w:val="fr-FR"/>
        </w:rPr>
        <w:t>à</w:t>
      </w:r>
      <w:proofErr w:type="gramEnd"/>
      <w:r w:rsidRPr="00257B62">
        <w:rPr>
          <w:rFonts w:ascii="Garamond" w:hAnsi="Garamond"/>
          <w:sz w:val="24"/>
          <w:lang w:val="fr-FR"/>
        </w:rPr>
        <w:t xml:space="preserve"> transférer l’enregistrement audio de ma voix au commanditaire et à lister mon nom parmi les artistes-interprètes des dessins animés </w:t>
      </w:r>
      <w:r w:rsidRPr="00257B62">
        <w:rPr>
          <w:rFonts w:ascii="Garamond" w:hAnsi="Garamond"/>
          <w:i/>
          <w:sz w:val="24"/>
          <w:lang w:val="fr-FR"/>
        </w:rPr>
        <w:t xml:space="preserve">Epargner pour le Changement. </w:t>
      </w:r>
    </w:p>
    <w:p w14:paraId="00E4A682" w14:textId="77777777" w:rsidR="006E0DD0" w:rsidRPr="00257B62" w:rsidRDefault="006E0DD0" w:rsidP="006E0DD0">
      <w:pPr>
        <w:rPr>
          <w:rFonts w:ascii="Garamond" w:hAnsi="Garamond"/>
          <w:lang w:val="fr-FR"/>
        </w:rPr>
      </w:pPr>
    </w:p>
    <w:p w14:paraId="5ED47103" w14:textId="77777777" w:rsidR="006E0DD0" w:rsidRPr="00257B62" w:rsidRDefault="006E0DD0" w:rsidP="006E0DD0">
      <w:pPr>
        <w:rPr>
          <w:rFonts w:ascii="Garamond" w:hAnsi="Garamond"/>
          <w:lang w:val="fr-FR"/>
        </w:rPr>
      </w:pPr>
      <w:r w:rsidRPr="00257B62">
        <w:rPr>
          <w:rFonts w:ascii="Garamond" w:hAnsi="Garamond"/>
          <w:lang w:val="fr-FR"/>
        </w:rPr>
        <w:t>En contrepartie de mes services professionnels, la</w:t>
      </w:r>
      <w:proofErr w:type="gramStart"/>
      <w:r w:rsidRPr="00257B62">
        <w:rPr>
          <w:rFonts w:ascii="Garamond" w:hAnsi="Garamond"/>
          <w:lang w:val="fr-FR"/>
        </w:rPr>
        <w:t xml:space="preserve"> ....</w:t>
      </w:r>
      <w:proofErr w:type="gramEnd"/>
      <w:r w:rsidRPr="00257B62">
        <w:rPr>
          <w:rFonts w:ascii="Garamond" w:hAnsi="Garamond"/>
          <w:lang w:val="fr-FR"/>
        </w:rPr>
        <w:t xml:space="preserve">. </w:t>
      </w:r>
      <w:proofErr w:type="gramStart"/>
      <w:r w:rsidRPr="00257B62">
        <w:rPr>
          <w:rFonts w:ascii="Garamond" w:hAnsi="Garamond"/>
          <w:lang w:val="fr-FR"/>
        </w:rPr>
        <w:t>s’engage</w:t>
      </w:r>
      <w:proofErr w:type="gramEnd"/>
      <w:r w:rsidRPr="00257B62">
        <w:rPr>
          <w:rFonts w:ascii="Garamond" w:hAnsi="Garamond"/>
          <w:lang w:val="fr-FR"/>
        </w:rPr>
        <w:t xml:space="preserve"> à me verser la somme de :…… FCFA conformément au calendrier de paiement suivant : </w:t>
      </w:r>
    </w:p>
    <w:p w14:paraId="17006B3E" w14:textId="77777777" w:rsidR="006E0DD0" w:rsidRPr="00257B62" w:rsidRDefault="006E0DD0" w:rsidP="006E0DD0">
      <w:pPr>
        <w:rPr>
          <w:rFonts w:ascii="Garamond" w:hAnsi="Garamond"/>
          <w:lang w:val="fr-FR"/>
        </w:rPr>
      </w:pPr>
    </w:p>
    <w:p w14:paraId="061EDEBA" w14:textId="77777777" w:rsidR="006E0DD0" w:rsidRPr="00257B62" w:rsidRDefault="006E0DD0" w:rsidP="006E0DD0">
      <w:pPr>
        <w:pStyle w:val="Paragraphedeliste"/>
        <w:numPr>
          <w:ilvl w:val="0"/>
          <w:numId w:val="5"/>
        </w:numPr>
        <w:rPr>
          <w:rFonts w:ascii="Garamond" w:hAnsi="Garamond"/>
          <w:sz w:val="24"/>
          <w:lang w:val="fr-FR"/>
        </w:rPr>
      </w:pPr>
      <w:r w:rsidRPr="00257B62">
        <w:rPr>
          <w:rFonts w:ascii="Garamond" w:hAnsi="Garamond"/>
          <w:sz w:val="24"/>
          <w:lang w:val="fr-FR"/>
        </w:rPr>
        <w:t>… FCFA à la fin de la première journée d’enregistrement, et</w:t>
      </w:r>
    </w:p>
    <w:p w14:paraId="695337B2" w14:textId="77777777" w:rsidR="006E0DD0" w:rsidRPr="00257B62" w:rsidRDefault="006E0DD0" w:rsidP="006E0DD0">
      <w:pPr>
        <w:pStyle w:val="Paragraphedeliste"/>
        <w:numPr>
          <w:ilvl w:val="0"/>
          <w:numId w:val="5"/>
        </w:numPr>
        <w:rPr>
          <w:rFonts w:ascii="Garamond" w:hAnsi="Garamond"/>
          <w:sz w:val="24"/>
          <w:lang w:val="fr-FR"/>
        </w:rPr>
      </w:pPr>
      <w:proofErr w:type="gramStart"/>
      <w:r w:rsidRPr="00257B62">
        <w:rPr>
          <w:rFonts w:ascii="Garamond" w:hAnsi="Garamond"/>
          <w:sz w:val="24"/>
          <w:lang w:val="fr-FR"/>
        </w:rPr>
        <w:t>le</w:t>
      </w:r>
      <w:proofErr w:type="gramEnd"/>
      <w:r w:rsidRPr="00257B62">
        <w:rPr>
          <w:rFonts w:ascii="Garamond" w:hAnsi="Garamond"/>
          <w:sz w:val="24"/>
          <w:lang w:val="fr-FR"/>
        </w:rPr>
        <w:t xml:space="preserve"> solde, à la validation des pistes audio finales par le commanditaire.</w:t>
      </w:r>
    </w:p>
    <w:p w14:paraId="388C955C" w14:textId="77777777" w:rsidR="006E0DD0" w:rsidRPr="00257B62" w:rsidRDefault="006E0DD0" w:rsidP="006E0DD0">
      <w:pPr>
        <w:jc w:val="both"/>
        <w:rPr>
          <w:lang w:val="fr-FR"/>
        </w:rPr>
      </w:pPr>
      <w:r w:rsidRPr="00257B62">
        <w:rPr>
          <w:lang w:val="fr-FR"/>
        </w:rPr>
        <w:t xml:space="preserve">                   </w:t>
      </w:r>
    </w:p>
    <w:p w14:paraId="044AC145" w14:textId="77777777" w:rsidR="006E0DD0" w:rsidRPr="00B807B4" w:rsidRDefault="006E0DD0" w:rsidP="006E0DD0">
      <w:pPr>
        <w:jc w:val="both"/>
        <w:rPr>
          <w:rFonts w:ascii="Garamond" w:hAnsi="Garamond"/>
          <w:b/>
          <w:lang w:val="fr-FR"/>
        </w:rPr>
      </w:pPr>
      <w:r w:rsidRPr="00257B62">
        <w:rPr>
          <w:rFonts w:ascii="Garamond" w:hAnsi="Garamond"/>
          <w:lang w:val="fr-FR"/>
        </w:rPr>
        <w:t>Fait en trois (3) exemplaires à Ouagadougou, le ………………………</w:t>
      </w:r>
      <w:proofErr w:type="gramStart"/>
      <w:r w:rsidRPr="00257B62">
        <w:rPr>
          <w:rFonts w:ascii="Garamond" w:hAnsi="Garamond"/>
          <w:lang w:val="fr-FR"/>
        </w:rPr>
        <w:t>…….</w:t>
      </w:r>
      <w:proofErr w:type="gramEnd"/>
      <w:r w:rsidRPr="00257B62">
        <w:rPr>
          <w:rFonts w:ascii="Garamond" w:hAnsi="Garamond"/>
          <w:lang w:val="fr-FR"/>
        </w:rPr>
        <w:t>.</w:t>
      </w:r>
    </w:p>
    <w:p w14:paraId="42E5152F" w14:textId="77777777" w:rsidR="006E0DD0" w:rsidRDefault="006E0DD0" w:rsidP="006E0DD0">
      <w:pPr>
        <w:rPr>
          <w:b/>
          <w:lang w:val="fr-FR"/>
        </w:rPr>
      </w:pPr>
    </w:p>
    <w:p w14:paraId="696A90DA" w14:textId="77777777" w:rsidR="006E0DD0" w:rsidRDefault="006E0DD0" w:rsidP="006E0DD0">
      <w:pPr>
        <w:rPr>
          <w:b/>
          <w:lang w:val="fr-FR"/>
        </w:rPr>
      </w:pPr>
    </w:p>
    <w:tbl>
      <w:tblPr>
        <w:tblW w:w="0" w:type="auto"/>
        <w:tblBorders>
          <w:insideH w:val="single" w:sz="4" w:space="0" w:color="auto"/>
        </w:tblBorders>
        <w:tblLook w:val="04A0" w:firstRow="1" w:lastRow="0" w:firstColumn="1" w:lastColumn="0" w:noHBand="0" w:noVBand="1"/>
      </w:tblPr>
      <w:tblGrid>
        <w:gridCol w:w="3766"/>
        <w:gridCol w:w="2282"/>
        <w:gridCol w:w="3024"/>
      </w:tblGrid>
      <w:tr w:rsidR="006E0DD0" w:rsidRPr="00257B62" w14:paraId="76279C9B" w14:textId="77777777" w:rsidTr="00CB7994">
        <w:tc>
          <w:tcPr>
            <w:tcW w:w="3978" w:type="dxa"/>
            <w:shd w:val="clear" w:color="auto" w:fill="auto"/>
          </w:tcPr>
          <w:p w14:paraId="3843E0CD" w14:textId="77777777" w:rsidR="006E0DD0" w:rsidRPr="00130A9A" w:rsidRDefault="006E0DD0" w:rsidP="00CB7994">
            <w:pPr>
              <w:rPr>
                <w:b/>
                <w:lang w:val="fr-FR"/>
              </w:rPr>
            </w:pPr>
          </w:p>
        </w:tc>
        <w:tc>
          <w:tcPr>
            <w:tcW w:w="2406" w:type="dxa"/>
            <w:tcBorders>
              <w:top w:val="nil"/>
              <w:bottom w:val="nil"/>
            </w:tcBorders>
            <w:shd w:val="clear" w:color="auto" w:fill="auto"/>
          </w:tcPr>
          <w:p w14:paraId="1F13D7A4" w14:textId="77777777" w:rsidR="006E0DD0" w:rsidRPr="00130A9A" w:rsidRDefault="006E0DD0" w:rsidP="00CB7994">
            <w:pPr>
              <w:rPr>
                <w:b/>
                <w:lang w:val="fr-FR"/>
              </w:rPr>
            </w:pPr>
          </w:p>
        </w:tc>
        <w:tc>
          <w:tcPr>
            <w:tcW w:w="3192" w:type="dxa"/>
            <w:shd w:val="clear" w:color="auto" w:fill="auto"/>
          </w:tcPr>
          <w:p w14:paraId="574466C6" w14:textId="77777777" w:rsidR="006E0DD0" w:rsidRPr="00130A9A" w:rsidRDefault="006E0DD0" w:rsidP="00CB7994">
            <w:pPr>
              <w:rPr>
                <w:b/>
                <w:lang w:val="fr-FR"/>
              </w:rPr>
            </w:pPr>
          </w:p>
        </w:tc>
      </w:tr>
      <w:tr w:rsidR="006E0DD0" w:rsidRPr="00257B62" w14:paraId="645B7B12" w14:textId="77777777" w:rsidTr="00CB7994">
        <w:tc>
          <w:tcPr>
            <w:tcW w:w="3978" w:type="dxa"/>
            <w:shd w:val="clear" w:color="auto" w:fill="auto"/>
          </w:tcPr>
          <w:p w14:paraId="68AFEEFA" w14:textId="77777777" w:rsidR="006E0DD0" w:rsidRPr="00130A9A" w:rsidRDefault="006E0DD0" w:rsidP="00CB7994">
            <w:pPr>
              <w:jc w:val="center"/>
              <w:rPr>
                <w:rFonts w:ascii="Garamond" w:hAnsi="Garamond"/>
                <w:lang w:val="fr-FR"/>
              </w:rPr>
            </w:pPr>
          </w:p>
        </w:tc>
        <w:tc>
          <w:tcPr>
            <w:tcW w:w="2406" w:type="dxa"/>
            <w:tcBorders>
              <w:top w:val="nil"/>
            </w:tcBorders>
            <w:shd w:val="clear" w:color="auto" w:fill="auto"/>
          </w:tcPr>
          <w:p w14:paraId="406FD2A6" w14:textId="77777777" w:rsidR="006E0DD0" w:rsidRPr="00130A9A" w:rsidRDefault="006E0DD0" w:rsidP="00CB7994">
            <w:pPr>
              <w:rPr>
                <w:rFonts w:ascii="Garamond" w:hAnsi="Garamond"/>
                <w:b/>
                <w:lang w:val="fr-FR"/>
              </w:rPr>
            </w:pPr>
          </w:p>
        </w:tc>
        <w:tc>
          <w:tcPr>
            <w:tcW w:w="3192" w:type="dxa"/>
            <w:shd w:val="clear" w:color="auto" w:fill="auto"/>
          </w:tcPr>
          <w:p w14:paraId="1CF0FE60" w14:textId="77777777" w:rsidR="006E0DD0" w:rsidRPr="00130A9A" w:rsidRDefault="006E0DD0" w:rsidP="00CB7994">
            <w:pPr>
              <w:rPr>
                <w:rFonts w:ascii="Garamond" w:hAnsi="Garamond"/>
                <w:b/>
                <w:lang w:val="fr-FR"/>
              </w:rPr>
            </w:pPr>
          </w:p>
        </w:tc>
      </w:tr>
    </w:tbl>
    <w:p w14:paraId="248D4558" w14:textId="77777777" w:rsidR="006E0DD0" w:rsidRDefault="006E0DD0" w:rsidP="006E0DD0">
      <w:pPr>
        <w:rPr>
          <w:b/>
          <w:lang w:val="fr-FR"/>
        </w:rPr>
      </w:pPr>
    </w:p>
    <w:p w14:paraId="5AAA18B5" w14:textId="77777777" w:rsidR="006E0DD0" w:rsidRDefault="006E0DD0" w:rsidP="006E0DD0">
      <w:pPr>
        <w:jc w:val="center"/>
        <w:rPr>
          <w:b/>
          <w:lang w:val="fr-FR"/>
        </w:rPr>
      </w:pPr>
    </w:p>
    <w:p w14:paraId="4A82CC7E" w14:textId="77777777" w:rsidR="006E0DD0" w:rsidRPr="00CB5B62" w:rsidRDefault="006E0DD0" w:rsidP="006E0DD0">
      <w:pPr>
        <w:spacing w:after="200" w:line="276" w:lineRule="auto"/>
        <w:rPr>
          <w:lang w:val="fr-FR"/>
        </w:rPr>
      </w:pPr>
    </w:p>
    <w:p w14:paraId="16EBD777" w14:textId="77777777" w:rsidR="00150F2E" w:rsidRPr="00257B62" w:rsidRDefault="00150F2E">
      <w:pPr>
        <w:rPr>
          <w:lang w:val="fr-FR"/>
        </w:rPr>
      </w:pPr>
    </w:p>
    <w:sectPr w:rsidR="00150F2E" w:rsidRPr="00257B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A6B8" w14:textId="77777777" w:rsidR="00045A0E" w:rsidRDefault="00045A0E" w:rsidP="00644975">
      <w:r>
        <w:separator/>
      </w:r>
    </w:p>
  </w:endnote>
  <w:endnote w:type="continuationSeparator" w:id="0">
    <w:p w14:paraId="173B5BE6" w14:textId="77777777" w:rsidR="00045A0E" w:rsidRDefault="00045A0E" w:rsidP="0064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9A49" w14:textId="77777777" w:rsidR="00E613B8" w:rsidRDefault="00045A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0E99" w14:textId="77777777" w:rsidR="00FB6577" w:rsidRPr="00FB6577" w:rsidRDefault="006C44BC">
    <w:pPr>
      <w:pStyle w:val="Pieddepage"/>
      <w:jc w:val="right"/>
      <w:rPr>
        <w:sz w:val="16"/>
        <w:szCs w:val="16"/>
      </w:rPr>
    </w:pPr>
    <w:r w:rsidRPr="00FB6577">
      <w:rPr>
        <w:sz w:val="16"/>
        <w:szCs w:val="16"/>
      </w:rPr>
      <w:t xml:space="preserve">Page </w:t>
    </w:r>
    <w:r w:rsidRPr="00FB6577">
      <w:rPr>
        <w:b/>
        <w:sz w:val="16"/>
        <w:szCs w:val="16"/>
      </w:rPr>
      <w:fldChar w:fldCharType="begin"/>
    </w:r>
    <w:r w:rsidRPr="00FB6577">
      <w:rPr>
        <w:b/>
        <w:sz w:val="16"/>
        <w:szCs w:val="16"/>
      </w:rPr>
      <w:instrText xml:space="preserve"> PAGE </w:instrText>
    </w:r>
    <w:r w:rsidRPr="00FB6577">
      <w:rPr>
        <w:b/>
        <w:sz w:val="16"/>
        <w:szCs w:val="16"/>
      </w:rPr>
      <w:fldChar w:fldCharType="separate"/>
    </w:r>
    <w:r>
      <w:rPr>
        <w:b/>
        <w:noProof/>
        <w:sz w:val="16"/>
        <w:szCs w:val="16"/>
      </w:rPr>
      <w:t>15</w:t>
    </w:r>
    <w:r w:rsidRPr="00FB6577">
      <w:rPr>
        <w:b/>
        <w:sz w:val="16"/>
        <w:szCs w:val="16"/>
      </w:rPr>
      <w:fldChar w:fldCharType="end"/>
    </w:r>
    <w:r w:rsidRPr="00FB6577">
      <w:rPr>
        <w:sz w:val="16"/>
        <w:szCs w:val="16"/>
      </w:rPr>
      <w:t xml:space="preserve"> of </w:t>
    </w:r>
    <w:r w:rsidRPr="00FB6577">
      <w:rPr>
        <w:b/>
        <w:sz w:val="16"/>
        <w:szCs w:val="16"/>
      </w:rPr>
      <w:fldChar w:fldCharType="begin"/>
    </w:r>
    <w:r w:rsidRPr="00FB6577">
      <w:rPr>
        <w:b/>
        <w:sz w:val="16"/>
        <w:szCs w:val="16"/>
      </w:rPr>
      <w:instrText xml:space="preserve"> NUMPAGES  </w:instrText>
    </w:r>
    <w:r w:rsidRPr="00FB6577">
      <w:rPr>
        <w:b/>
        <w:sz w:val="16"/>
        <w:szCs w:val="16"/>
      </w:rPr>
      <w:fldChar w:fldCharType="separate"/>
    </w:r>
    <w:r>
      <w:rPr>
        <w:b/>
        <w:noProof/>
        <w:sz w:val="16"/>
        <w:szCs w:val="16"/>
      </w:rPr>
      <w:t>12</w:t>
    </w:r>
    <w:r w:rsidRPr="00FB6577">
      <w:rPr>
        <w:b/>
        <w:sz w:val="16"/>
        <w:szCs w:val="16"/>
      </w:rPr>
      <w:fldChar w:fldCharType="end"/>
    </w:r>
  </w:p>
  <w:p w14:paraId="426AD434" w14:textId="77777777" w:rsidR="00FB6577" w:rsidRPr="00425DDF" w:rsidRDefault="006C44BC" w:rsidP="00FB6577">
    <w:pPr>
      <w:pStyle w:val="Pieddepage"/>
      <w:rPr>
        <w:sz w:val="16"/>
        <w:szCs w:val="16"/>
      </w:rPr>
    </w:pPr>
    <w:r>
      <w:rPr>
        <w:sz w:val="16"/>
        <w:szCs w:val="16"/>
      </w:rPr>
      <w:tab/>
    </w:r>
    <w:r w:rsidRPr="00425DDF">
      <w:rPr>
        <w:sz w:val="16"/>
        <w:szCs w:val="16"/>
      </w:rPr>
      <w:tab/>
    </w:r>
  </w:p>
  <w:p w14:paraId="175BB9D1" w14:textId="77777777" w:rsidR="00D053C5" w:rsidRDefault="00045A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1C7E" w14:textId="77777777" w:rsidR="00E613B8" w:rsidRDefault="00045A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17B7" w14:textId="77777777" w:rsidR="00045A0E" w:rsidRDefault="00045A0E" w:rsidP="00644975">
      <w:r>
        <w:separator/>
      </w:r>
    </w:p>
  </w:footnote>
  <w:footnote w:type="continuationSeparator" w:id="0">
    <w:p w14:paraId="2ECE0739" w14:textId="77777777" w:rsidR="00045A0E" w:rsidRDefault="00045A0E" w:rsidP="0064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C0C0" w14:textId="77777777" w:rsidR="00E613B8" w:rsidRDefault="00045A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C6F8" w14:textId="77777777" w:rsidR="00E613B8" w:rsidRDefault="00045A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65C6" w14:textId="77777777" w:rsidR="00E613B8" w:rsidRDefault="00045A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6415C"/>
    <w:multiLevelType w:val="hybridMultilevel"/>
    <w:tmpl w:val="7116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F0484"/>
    <w:multiLevelType w:val="hybridMultilevel"/>
    <w:tmpl w:val="D000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203B8"/>
    <w:multiLevelType w:val="hybridMultilevel"/>
    <w:tmpl w:val="A1FA7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E1605"/>
    <w:multiLevelType w:val="hybridMultilevel"/>
    <w:tmpl w:val="C5B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30F94"/>
    <w:multiLevelType w:val="hybridMultilevel"/>
    <w:tmpl w:val="8D00B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167F02"/>
    <w:multiLevelType w:val="multilevel"/>
    <w:tmpl w:val="733A1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A018E5"/>
    <w:multiLevelType w:val="multilevel"/>
    <w:tmpl w:val="66B6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D0"/>
    <w:rsid w:val="00045A0E"/>
    <w:rsid w:val="00145684"/>
    <w:rsid w:val="00150F2E"/>
    <w:rsid w:val="00257B62"/>
    <w:rsid w:val="00644975"/>
    <w:rsid w:val="006C44BC"/>
    <w:rsid w:val="006E0DD0"/>
    <w:rsid w:val="007F3B54"/>
    <w:rsid w:val="00812274"/>
    <w:rsid w:val="009D56E9"/>
    <w:rsid w:val="009D78E1"/>
    <w:rsid w:val="00A13266"/>
    <w:rsid w:val="00A51968"/>
    <w:rsid w:val="00A53B47"/>
    <w:rsid w:val="00BA0C03"/>
    <w:rsid w:val="00D46B33"/>
    <w:rsid w:val="00E25458"/>
    <w:rsid w:val="00F2283F"/>
    <w:rsid w:val="00FB7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303C"/>
  <w15:chartTrackingRefBased/>
  <w15:docId w15:val="{7FD13E48-857D-4F66-B9E4-1E2A1942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DD0"/>
    <w:pPr>
      <w:spacing w:after="0" w:line="240" w:lineRule="auto"/>
    </w:pPr>
    <w:rPr>
      <w:rFonts w:ascii="Times New Roman" w:eastAsia="Calibri" w:hAnsi="Times New Roman" w:cs="Times New Roman"/>
      <w:sz w:val="24"/>
      <w:szCs w:val="24"/>
      <w:lang w:val="en-US"/>
    </w:rPr>
  </w:style>
  <w:style w:type="paragraph" w:styleId="Titre3">
    <w:name w:val="heading 3"/>
    <w:basedOn w:val="Normal"/>
    <w:next w:val="Normal"/>
    <w:link w:val="Titre3Car"/>
    <w:uiPriority w:val="9"/>
    <w:semiHidden/>
    <w:unhideWhenUsed/>
    <w:qFormat/>
    <w:rsid w:val="006E0DD0"/>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1,Medium Grid 1 - Accent 21,Table/Figure Heading,Listeafsnit,Paragraphe de liste1,Tableau Adere,LIST,Premier,Bullet List,FooterText,Table bullet,b1,Colorful List - Accent 11,Number_1,Numbered paragraph,L"/>
    <w:basedOn w:val="Normal"/>
    <w:link w:val="ParagraphedelisteCar"/>
    <w:uiPriority w:val="34"/>
    <w:qFormat/>
    <w:rsid w:val="006E0DD0"/>
    <w:rPr>
      <w:rFonts w:ascii="Wingdings" w:eastAsia="Times New Roman" w:hAnsi="Wingdings"/>
      <w:sz w:val="22"/>
      <w:lang w:val="es-ES"/>
    </w:rPr>
  </w:style>
  <w:style w:type="character" w:customStyle="1" w:styleId="ParagraphedelisteCar">
    <w:name w:val="Paragraphe de liste Car"/>
    <w:aliases w:val="Bullets Car,List Paragraph1 Car,Medium Grid 1 - Accent 21 Car,Table/Figure Heading Car,Listeafsnit Car,Paragraphe de liste1 Car,Tableau Adere Car,LIST Car,Premier Car,Bullet List Car,FooterText Car,Table bullet Car,b1 Car,L Car"/>
    <w:link w:val="Paragraphedeliste"/>
    <w:uiPriority w:val="34"/>
    <w:qFormat/>
    <w:rsid w:val="006E0DD0"/>
    <w:rPr>
      <w:rFonts w:ascii="Wingdings" w:eastAsia="Times New Roman" w:hAnsi="Wingdings" w:cs="Times New Roman"/>
      <w:szCs w:val="24"/>
      <w:lang w:val="es-ES"/>
    </w:rPr>
  </w:style>
  <w:style w:type="paragraph" w:customStyle="1" w:styleId="Style1">
    <w:name w:val="Style1"/>
    <w:basedOn w:val="Titre3"/>
    <w:link w:val="Style1Char"/>
    <w:rsid w:val="006E0DD0"/>
    <w:pPr>
      <w:spacing w:before="200"/>
    </w:pPr>
    <w:rPr>
      <w:rFonts w:ascii="Cambria" w:eastAsia="Times New Roman" w:hAnsi="Cambria" w:cs="Times New Roman"/>
      <w:b/>
      <w:bCs/>
      <w:color w:val="4F81BD"/>
      <w:sz w:val="20"/>
      <w:szCs w:val="20"/>
      <w:lang w:val="es-ES"/>
    </w:rPr>
  </w:style>
  <w:style w:type="character" w:customStyle="1" w:styleId="Style1Char">
    <w:name w:val="Style1 Char"/>
    <w:basedOn w:val="Titre3Car"/>
    <w:link w:val="Style1"/>
    <w:rsid w:val="006E0DD0"/>
    <w:rPr>
      <w:rFonts w:ascii="Cambria" w:eastAsia="Times New Roman" w:hAnsi="Cambria" w:cs="Times New Roman"/>
      <w:b/>
      <w:bCs/>
      <w:color w:val="4F81BD"/>
      <w:sz w:val="20"/>
      <w:szCs w:val="20"/>
      <w:lang w:val="es-ES"/>
    </w:rPr>
  </w:style>
  <w:style w:type="paragraph" w:styleId="NormalWeb">
    <w:name w:val="Normal (Web)"/>
    <w:basedOn w:val="Normal"/>
    <w:uiPriority w:val="99"/>
    <w:unhideWhenUsed/>
    <w:rsid w:val="006E0DD0"/>
    <w:pPr>
      <w:spacing w:before="100" w:beforeAutospacing="1" w:after="100" w:afterAutospacing="1"/>
    </w:pPr>
  </w:style>
  <w:style w:type="paragraph" w:styleId="Pieddepage">
    <w:name w:val="footer"/>
    <w:basedOn w:val="Normal"/>
    <w:link w:val="PieddepageCar"/>
    <w:uiPriority w:val="99"/>
    <w:unhideWhenUsed/>
    <w:rsid w:val="006E0DD0"/>
    <w:pPr>
      <w:tabs>
        <w:tab w:val="center" w:pos="4680"/>
        <w:tab w:val="right" w:pos="9360"/>
      </w:tabs>
    </w:pPr>
    <w:rPr>
      <w:snapToGrid w:val="0"/>
      <w:sz w:val="20"/>
      <w:szCs w:val="20"/>
    </w:rPr>
  </w:style>
  <w:style w:type="character" w:customStyle="1" w:styleId="PieddepageCar">
    <w:name w:val="Pied de page Car"/>
    <w:basedOn w:val="Policepardfaut"/>
    <w:link w:val="Pieddepage"/>
    <w:uiPriority w:val="99"/>
    <w:rsid w:val="006E0DD0"/>
    <w:rPr>
      <w:rFonts w:ascii="Times New Roman" w:eastAsia="Calibri" w:hAnsi="Times New Roman" w:cs="Times New Roman"/>
      <w:snapToGrid w:val="0"/>
      <w:sz w:val="20"/>
      <w:szCs w:val="20"/>
      <w:lang w:val="en-US"/>
    </w:rPr>
  </w:style>
  <w:style w:type="character" w:styleId="Lienhypertexte">
    <w:name w:val="Hyperlink"/>
    <w:uiPriority w:val="99"/>
    <w:unhideWhenUsed/>
    <w:qFormat/>
    <w:rsid w:val="006E0DD0"/>
    <w:rPr>
      <w:color w:val="0000FF"/>
      <w:u w:val="single"/>
    </w:rPr>
  </w:style>
  <w:style w:type="paragraph" w:customStyle="1" w:styleId="Default">
    <w:name w:val="Default"/>
    <w:rsid w:val="006E0DD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En-tte">
    <w:name w:val="header"/>
    <w:basedOn w:val="Normal"/>
    <w:link w:val="En-tteCar"/>
    <w:uiPriority w:val="99"/>
    <w:unhideWhenUsed/>
    <w:rsid w:val="006E0DD0"/>
    <w:pPr>
      <w:tabs>
        <w:tab w:val="center" w:pos="4536"/>
        <w:tab w:val="right" w:pos="9072"/>
      </w:tabs>
    </w:pPr>
  </w:style>
  <w:style w:type="character" w:customStyle="1" w:styleId="En-tteCar">
    <w:name w:val="En-tête Car"/>
    <w:basedOn w:val="Policepardfaut"/>
    <w:link w:val="En-tte"/>
    <w:uiPriority w:val="99"/>
    <w:rsid w:val="006E0DD0"/>
    <w:rPr>
      <w:rFonts w:ascii="Times New Roman" w:eastAsia="Calibri" w:hAnsi="Times New Roman" w:cs="Times New Roman"/>
      <w:sz w:val="24"/>
      <w:szCs w:val="24"/>
      <w:lang w:val="en-US"/>
    </w:rPr>
  </w:style>
  <w:style w:type="character" w:styleId="Marquedecommentaire">
    <w:name w:val="annotation reference"/>
    <w:basedOn w:val="Policepardfaut"/>
    <w:uiPriority w:val="99"/>
    <w:semiHidden/>
    <w:unhideWhenUsed/>
    <w:rsid w:val="006E0DD0"/>
    <w:rPr>
      <w:sz w:val="16"/>
      <w:szCs w:val="16"/>
    </w:rPr>
  </w:style>
  <w:style w:type="paragraph" w:styleId="Commentaire">
    <w:name w:val="annotation text"/>
    <w:basedOn w:val="Normal"/>
    <w:link w:val="CommentaireCar"/>
    <w:uiPriority w:val="99"/>
    <w:semiHidden/>
    <w:unhideWhenUsed/>
    <w:rsid w:val="006E0DD0"/>
    <w:rPr>
      <w:sz w:val="20"/>
      <w:szCs w:val="20"/>
    </w:rPr>
  </w:style>
  <w:style w:type="character" w:customStyle="1" w:styleId="CommentaireCar">
    <w:name w:val="Commentaire Car"/>
    <w:basedOn w:val="Policepardfaut"/>
    <w:link w:val="Commentaire"/>
    <w:uiPriority w:val="99"/>
    <w:semiHidden/>
    <w:rsid w:val="006E0DD0"/>
    <w:rPr>
      <w:rFonts w:ascii="Times New Roman" w:eastAsia="Calibri" w:hAnsi="Times New Roman" w:cs="Times New Roman"/>
      <w:sz w:val="20"/>
      <w:szCs w:val="20"/>
      <w:lang w:val="en-US"/>
    </w:rPr>
  </w:style>
  <w:style w:type="character" w:customStyle="1" w:styleId="Titre3Car">
    <w:name w:val="Titre 3 Car"/>
    <w:basedOn w:val="Policepardfaut"/>
    <w:link w:val="Titre3"/>
    <w:uiPriority w:val="9"/>
    <w:semiHidden/>
    <w:rsid w:val="006E0DD0"/>
    <w:rPr>
      <w:rFonts w:asciiTheme="majorHAnsi" w:eastAsiaTheme="majorEastAsia" w:hAnsiTheme="majorHAnsi" w:cstheme="majorBidi"/>
      <w:color w:val="1F3763" w:themeColor="accent1" w:themeShade="7F"/>
      <w:sz w:val="24"/>
      <w:szCs w:val="24"/>
      <w:lang w:val="en-US"/>
    </w:rPr>
  </w:style>
  <w:style w:type="paragraph" w:styleId="Textedebulles">
    <w:name w:val="Balloon Text"/>
    <w:basedOn w:val="Normal"/>
    <w:link w:val="TextedebullesCar"/>
    <w:uiPriority w:val="99"/>
    <w:semiHidden/>
    <w:unhideWhenUsed/>
    <w:rsid w:val="006E0D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DD0"/>
    <w:rPr>
      <w:rFonts w:ascii="Segoe UI" w:eastAsia="Calibri" w:hAnsi="Segoe UI" w:cs="Segoe UI"/>
      <w:sz w:val="18"/>
      <w:szCs w:val="18"/>
      <w:lang w:val="en-US"/>
    </w:rPr>
  </w:style>
  <w:style w:type="table" w:styleId="Grilledutableau">
    <w:name w:val="Table Grid"/>
    <w:basedOn w:val="TableauNormal"/>
    <w:uiPriority w:val="39"/>
    <w:rsid w:val="00E25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A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x.com" TargetMode="External"/><Relationship Id="rId13" Type="http://schemas.openxmlformats.org/officeDocument/2006/relationships/hyperlink" Target="mailto:salfo.ouedraogo@uncdf.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konseimbo@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transfe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yousendi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ropbox.com" TargetMode="External"/><Relationship Id="rId14" Type="http://schemas.openxmlformats.org/officeDocument/2006/relationships/hyperlink" Target="mailto:digital.info@uncdf.org"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Konsiembo C. Dimitri</dc:creator>
  <cp:keywords/>
  <dc:description/>
  <cp:lastModifiedBy>Aminata Gueye-Cisse</cp:lastModifiedBy>
  <cp:revision>2</cp:revision>
  <cp:lastPrinted>2019-11-26T08:46:00Z</cp:lastPrinted>
  <dcterms:created xsi:type="dcterms:W3CDTF">2019-11-26T08:47:00Z</dcterms:created>
  <dcterms:modified xsi:type="dcterms:W3CDTF">2019-11-26T08:47:00Z</dcterms:modified>
</cp:coreProperties>
</file>