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8F" w:rsidRPr="00D43E8F" w:rsidRDefault="00D43E8F" w:rsidP="00D43E8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D43E8F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Annex 2 / </w:t>
      </w:r>
      <w:r w:rsidRPr="00D43E8F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Приложение</w:t>
      </w:r>
      <w:r w:rsidRPr="00D43E8F">
        <w:rPr>
          <w:rFonts w:ascii="Calibri" w:eastAsia="Times New Roman" w:hAnsi="Calibri" w:cs="Calibri"/>
          <w:b/>
          <w:bCs/>
          <w:color w:val="0000FF"/>
          <w:sz w:val="20"/>
          <w:szCs w:val="20"/>
          <w:lang w:val="en-US"/>
        </w:rPr>
        <w:t xml:space="preserve"> 2</w:t>
      </w:r>
    </w:p>
    <w:p w:rsidR="00D43E8F" w:rsidRDefault="00D43E8F" w:rsidP="00D43E8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bookmarkStart w:id="0" w:name="_GoBack"/>
      <w:bookmarkEnd w:id="0"/>
    </w:p>
    <w:p w:rsidR="00D43E8F" w:rsidRPr="00D43E8F" w:rsidRDefault="00D43E8F" w:rsidP="00D43E8F">
      <w:pPr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val="en-US"/>
        </w:rPr>
      </w:pPr>
      <w:r w:rsidRPr="00D43E8F">
        <w:rPr>
          <w:rFonts w:ascii="Calibri" w:eastAsia="Times New Roman" w:hAnsi="Calibri" w:cs="Calibri"/>
          <w:b/>
          <w:sz w:val="20"/>
          <w:szCs w:val="20"/>
          <w:lang w:val="en-US"/>
        </w:rPr>
        <w:t>LOT</w:t>
      </w:r>
      <w:r w:rsidRPr="00D43E8F">
        <w:rPr>
          <w:rFonts w:ascii="Calibri" w:eastAsia="Times New Roman" w:hAnsi="Calibri" w:cs="Calibri"/>
          <w:b/>
          <w:sz w:val="20"/>
          <w:szCs w:val="20"/>
        </w:rPr>
        <w:t xml:space="preserve"> #2-</w:t>
      </w:r>
      <w:proofErr w:type="spellStart"/>
      <w:r w:rsidRPr="00D43E8F">
        <w:rPr>
          <w:rFonts w:ascii="Calibri" w:eastAsia="Times New Roman" w:hAnsi="Calibri" w:cs="Calibri"/>
          <w:b/>
          <w:sz w:val="20"/>
          <w:szCs w:val="20"/>
          <w:lang w:val="en-US"/>
        </w:rPr>
        <w:t>Isfana</w:t>
      </w:r>
      <w:proofErr w:type="spellEnd"/>
      <w:r w:rsidRPr="00D43E8F">
        <w:rPr>
          <w:rFonts w:ascii="Calibri" w:eastAsia="Times New Roman" w:hAnsi="Calibri" w:cs="Calibri"/>
          <w:b/>
          <w:sz w:val="20"/>
          <w:szCs w:val="20"/>
        </w:rPr>
        <w:t>/</w:t>
      </w:r>
      <w:r w:rsidRPr="00D43E8F">
        <w:rPr>
          <w:rFonts w:ascii="Calibri" w:eastAsia="Times New Roman" w:hAnsi="Calibri" w:cs="Calibri"/>
          <w:b/>
          <w:color w:val="0000FF"/>
          <w:sz w:val="20"/>
          <w:szCs w:val="20"/>
        </w:rPr>
        <w:t>ЛОТ №2-Исфана</w:t>
      </w:r>
    </w:p>
    <w:p w:rsidR="00D43E8F" w:rsidRPr="00D43E8F" w:rsidRDefault="00D43E8F" w:rsidP="00D43E8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327"/>
        <w:gridCol w:w="852"/>
        <w:gridCol w:w="1169"/>
        <w:gridCol w:w="1217"/>
        <w:gridCol w:w="1212"/>
      </w:tblGrid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LOT #2: </w:t>
            </w:r>
            <w:r w:rsidRPr="00D43E8F">
              <w:rPr>
                <w:rFonts w:ascii="Calibri" w:eastAsia="Times New Roman" w:hAnsi="Calibri" w:cs="Calibri"/>
                <w:b/>
                <w:lang w:val="en-US"/>
              </w:rPr>
              <w:t>Bill of Quantities</w:t>
            </w:r>
          </w:p>
        </w:tc>
      </w:tr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Facility Name: </w:t>
            </w:r>
            <w:r w:rsidRPr="00D43E8F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  <w:t xml:space="preserve">Youth Center </w:t>
            </w:r>
          </w:p>
        </w:tc>
      </w:tr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Facility address: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  <w:t>isfana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  <w:t xml:space="preserve"> City</w:t>
            </w:r>
          </w:p>
        </w:tc>
      </w:tr>
      <w:tr w:rsidR="00D43E8F" w:rsidRPr="00D43E8F" w:rsidTr="00F3329E">
        <w:trPr>
          <w:trHeight w:val="312"/>
        </w:trPr>
        <w:tc>
          <w:tcPr>
            <w:tcW w:w="68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gridSpan w:val="2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Cost without VAT in USD</w:t>
            </w:r>
          </w:p>
        </w:tc>
      </w:tr>
      <w:tr w:rsidR="00D43E8F" w:rsidRPr="00D43E8F" w:rsidTr="00F3329E">
        <w:trPr>
          <w:trHeight w:val="636"/>
        </w:trPr>
        <w:tc>
          <w:tcPr>
            <w:tcW w:w="68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553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Description of works</w:t>
            </w:r>
          </w:p>
        </w:tc>
        <w:tc>
          <w:tcPr>
            <w:tcW w:w="852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18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Unit Price, USD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Total,   </w:t>
            </w:r>
            <w:proofErr w:type="gramEnd"/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       USD</w:t>
            </w:r>
          </w:p>
        </w:tc>
      </w:tr>
      <w:tr w:rsidR="00D43E8F" w:rsidRPr="00D43E8F" w:rsidTr="00F3329E">
        <w:trPr>
          <w:trHeight w:val="342"/>
        </w:trPr>
        <w:tc>
          <w:tcPr>
            <w:tcW w:w="68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3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D43E8F" w:rsidRPr="00D43E8F" w:rsidTr="00F3329E">
        <w:trPr>
          <w:trHeight w:val="303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en-US"/>
              </w:rPr>
              <w:t>1. General construction works</w:t>
            </w:r>
          </w:p>
        </w:tc>
      </w:tr>
      <w:tr w:rsidR="00D43E8F" w:rsidRPr="00D43E8F" w:rsidTr="00F3329E">
        <w:trPr>
          <w:trHeight w:val="342"/>
        </w:trPr>
        <w:tc>
          <w:tcPr>
            <w:tcW w:w="68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  <w:t>Digging works: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Excavation of soil to dump using excavators with a bucket with a capacity of 0.5 m3, soil group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36,38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Hand excavation in trenches up to 2 m deep without fastenings with slopes,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Filling by hand of trenches, pit hollows and other pits,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37,40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Watering the fill soil to be compacted (unit for measuring the volume of compacted soil)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37,40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24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Foundations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foundations with reinforcing steel AIII with a diameter of 12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reinforced concrete continuous foundations with a sole 60 cm wide and foundation walls 40 cm wide. Heavy concrete, grade B 12.5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22,71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free lengths of reinforcing bars from foundations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Horizontal cement with liquid glass waterproofing of walls and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foundations,  mortar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grade M50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13,60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Lateral coating bitumen waterproofing in 2 coats on concrete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Walls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Brickwork of exterior simple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walls  380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mm thick, cement-lime mortar brand not lower than M50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7857,00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wall masonry and other structures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Construction of reinforced concrete monolith cores of heavy concrete, grade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3,34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Construction of reinforced concrete lintels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over  openings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of heavy concrete, grade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1,78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reinforced concrete bond beam from heavy concrete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reinforced concrete monolithic cores, lintels and bond beams from reinforcing steel AIII, d12 - 0.2353 t, d14 - 0.01128 t, d16 - 0.071 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0,316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reinforced concrete monolithic cores, lintels and bond beams from reinforcing steel AI, d6 - 0.08146 t, d8 - 0.024 t, d12 - 0.0298 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0,1352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of embedded parts up to 20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0,091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Coating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Brickwork of exterior simple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walls  380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mm thick, cement-lime mortar brand not lower than M50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7857,00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wall masonry and other structures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Construction of reinforced concrete monolith cores of heavy concrete, grade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3,34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Construction of reinforced concrete lintels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over  openings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of heavy concrete, grade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1,78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reinforced concrete bond beam from heavy concrete B15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reinforced concrete monolithic cores, lintels and bond beams from reinforcing steel AIII, d12 - 0.2353 t, d14 - 0.01128 t, d16 - 0.071 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0,316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5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Reinforcement of reinforced concrete monolithic cores, lintels and bond beams from reinforcing steel AI, d6 - 0.08146 t, d8 - 0.024 t, d12 - 0.0298 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0,1352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of embedded parts up to 20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0,091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Roof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a roofing from corrugated sheets 0.7 mm thick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109,62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wall gutters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24,36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Partitions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continuous foundations for partitions made of heavy concrete, grade B12.5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2,335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Reinforcement of foundations of a partition made of reinforcing steel AIII, d10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0,0262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Arrangement of free lengths of reinforcing bars from foundations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0,0179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Partitions masonry of reinforced brick with a wall 120 mm thick with cement-lime mortar of grade not lower than M50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1094,0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Strengthening openings and securing partitions with steel elements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0,00091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Floors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Gravel compaction of soil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58,34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6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Laying floor beams with a section of 100x50 on brick columns, with a bay of 1000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strip floorings 36 mm thick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concrete base courses 80 mm thick of concrete M150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cement mortar screeds 20 mm thick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Construction of surface </w:t>
            </w:r>
            <w:proofErr w:type="spell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waterproofer</w:t>
            </w:r>
            <w:proofErr w:type="spell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with roll materials on the </w:t>
            </w:r>
            <w:proofErr w:type="spell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Bituminol</w:t>
            </w:r>
            <w:proofErr w:type="spell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compound (first coat)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cement mortar screeds 20 mm thick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coatings on cement mortar from ceramic tiles for single-color floors with dye-stuff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plinths made of ceramic tiles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Doors and windows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door units in the external and internal doorways in stone walls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2,34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Installation of door units in the external and internal doorways in partitions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5,46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Hardware for door units of entrance single-leaf doors to the premises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Hardware for door units of entrance double-</w:t>
            </w:r>
            <w:proofErr w:type="gram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leaf  doors</w:t>
            </w:r>
            <w:proofErr w:type="gram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to the premises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window units made of PVC profiles: turn window (pivoted window, turn-pivoted window) two-fold windows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7,65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window units made of PVC profiles: turn window (pivoted window, turn-pivoted window) single-sashed windows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Installation of PVC window sills up to 0.51 m thick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5,95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Interior decoration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Construction of Armstrong suspended ceilings on a galvanized siding frame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58,34</w:t>
            </w:r>
          </w:p>
        </w:tc>
        <w:tc>
          <w:tcPr>
            <w:tcW w:w="1247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Simple plastering of wall surfaces with cement-lime or cement mortar on stone and concrete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139,53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Plastering flat surfaces of window and door jambs on concrete and stone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Improved painting with polyvinyl acetate aqueous emulsion </w:t>
            </w:r>
            <w:proofErr w:type="gram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compositions  on</w:t>
            </w:r>
            <w:proofErr w:type="gram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wall plaster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87,00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Panel 1.0 m. Improved oil painting on wall stucco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41,80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Smooth facing of walls, pillars, pilasters and slopes (without cornice, plinth and corner tiles) without installing toilet set tiles on cement mortar on brick and concrete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Improved oil painting on wood of </w:t>
            </w:r>
            <w:proofErr w:type="gram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filling  doorway</w:t>
            </w:r>
            <w:proofErr w:type="gram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openings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18,72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Improved oil painting on floor wood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12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Exterior finishing works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Basement Exterior facing of wall concrete surface with ceramic individual tiles on cement mortar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Insulation with 50 mm thick basalt plates with glue and dowel fastening of the cold surfaces of the external walls (expansion dowels with a metal core 10x150 mm, 478 pcs)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93,30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Arrangement of frame on flat and curved surfaces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  reinforcing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facade mesh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High-quality cement-lime mortar plastering on smooth stone walls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High-quality cement-lime mortar plastering on stone of flat slopes 200 mm wide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32,30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Perchlorovinyl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painting of facades from scaffolding on prepared surface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lining on the facades (external window sills, belts, balconies, etc.) including drainpipes with the manufacture of pipe elements with the installation and dismantling of scaffolding (per 1 m2 of facades)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106,80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9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Miscellaneous works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28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Porch and ramp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Construction of a monolithic reinforced concrete porch and ramp on a welded mesh with a diameter of 4-5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embedded parts weighing up to 4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0,00846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(SARY-TASH) Facing steps with porcelain tiles up to 15 mm thick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11,72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porch fencing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0,1193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Priming metal surfaces in one coat with GF-021 primer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Painting of metal primed surfaces with PF-115 enamel (2 coats)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Porch canopy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trussed rafters and secondary trusses from bent welded and round pipes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0,108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beams from channel No. 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0,05154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anchor bolts during concreting onto supporting structures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Priming metal surfaces in one coat with GF-021 primer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7,24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Painting of metal primed surfaces with PF-115 enamel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7,24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74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Blind area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Construction of bases and coatings from sand-gravel or crushed-stone and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sand  mixtures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of continuous grading S-4 and S-6, single-layer 15 cm thick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36,60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Construction of concrete blind area 100 mm thick and 1000 mm wide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Sub-total: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44"/>
        </w:trPr>
        <w:tc>
          <w:tcPr>
            <w:tcW w:w="10746" w:type="dxa"/>
            <w:gridSpan w:val="6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2. Engineering works</w:t>
            </w: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Heating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split system AC units with a wall-mounted indoor unit with power up to 5 kW - wall-mounted air conditioner, N = 2 kW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Dantex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an electric convector N = 2 kW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Dantex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Ventilation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axial fans N = 0.042 kW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  louvered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steel slit regulating grating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ventialtors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(P) number 150 size 150x150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1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Plumbing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water pipelines from low-pressure polyethylene pressure pipes of medium type with an outer diameter of 15 mm as a set (including: ball valve d = 15 mm -2 pcs; bends d = 15 mm - 2 pcs; fastenings - 0.2 kg; tee d = 15 mm - 2 pcs; coupling d = 15 mm - 1 pc)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mixers with flexible inserts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2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Hot water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water supply pipelines from multilayer metal-polymer pipes with a diameter of 15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"Ariston" electric water heaters as a set N = 1.0 kW, V = 20 l (including: ball valve d = 15 mm -2 pcs; elbow d = 15 mm - 1 pc; fastenings - 0.1 kg; tee d = 15 mm - 1 pc)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Sewerage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sewerage pipelines from high density polyethylene pipes with a diameter of 100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sewerage pipelines from high density polyethylene pipes with a diameter of 50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single washbasins with hot and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cold water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feed as a set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0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toilet bowls with a directly connected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tank  as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 set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polyethylene fittings for bends, tees, inspection eyes (bend d = 100 mm - 5 pcs; bend d = 50 mm - 1 pc; tee d = 100 - 1 pc; inspection eye d = 100 mm - 1 pc)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parts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4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Installation of electrical equipment and electric lighting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ShchMP-4-036 control unit mounted on the wall, height and width up to 600х600 mm, height - up to 1700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 single, double, triple-pole automatic breaker installed on a wall-mounted structure for current, VA47-29 one-phase socket 16А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single-phase meters on a ready-made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base,  Automatic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system for commercial accounting of power consumption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a single, double, triple-pole automatic breaker installed on a wall-mounted structure for current, VA47-29 one-phase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socket  6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a single, double, triple-pole automatic breaker installed on a wall-mounted structure for current, VA47-29 one-phase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socket  3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an automatic differential switch AD12 two-phase socket 10A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Laying the cable in the laid pipes VVG ng (power cable of PVC-insulated conductor, of PVC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elastron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coat, lack of serving on coat, fire-resistant) with a section of 3x1.5 mm2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light fixtures with fluorescent lamps separately mounted on suspensions (rods) with 2 lamps in the light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fixture  (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semiconductor illuminating lamp - 2x36, fluorescent lamp 36 W T-8)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light fixtures for incandescent lamps, ceiling mounted with screws for rooms with normal environmental </w:t>
            </w: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conditions, single-lamp (PSH-200 lamp - 1 pc; PSH-100 - 2 pcs; GLS -200 incandescent lamp - 3 pcs)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recessed single-key switches with hidden wiring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recessed receptacles (two-socket) with hidden wiring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Pulling the power wires through the laid pipes for electrical installations up to 450 V with copper conductors, flat ones with a separation base of the PPV brand, 3x1.5 mm2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Pulling the power wires through the laid pipes for electrical installations up to 450 V with copper conductors, flat ones with a separation base of the PPV brand, 3x2.5 mm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  З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Pipe laying in accordance with established structures, in finished channels, along the base of the floor, diameter up to 25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69,00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3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Fire alarm system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the fire alarm reception, control and starting instruments. Hub: base unit for 10 rays (for 6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zones,  Granite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-6A type)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fire alarm automatic smoke, photoelectric, radioisotope, light detector in normal execution (IP-212 "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Danko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fire alarm automatic thermal electro-contact, magnetic contact detector in normal execution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IP 103-5 / 4 pcs)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fire alarm automatic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tmanual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detector IPR-514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fire alarm automatic smoke, photoelectric, radioisotope, light detector in normal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execution  (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IPDL-52)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wire in boxes, flame retardant low smoke (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FRLS)  (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A), section 2x0.5 mm2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plastic cable duct   up to 40 mm wide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Installing an MLT Resistor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BP-12/5 uninterruptible power supply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Light-and-sound annunciator device "Mayak-12-KPM"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Installation of an acidic stationary battery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  type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: S-1, SK-1 12V, 4.5 Ah installed in a special cabinet K710000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72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Septic tank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04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Digging works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Excavation of soil to dump using excavators with a bucket with a capacity of 0.5 m3, soil group 2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97,80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Excavation with loading into dump trucks by excavators with a bucket with a capacity of 0.5 m3,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Transportation of grade I cargo by dump trucks with a carrying capacity of 10 tons working outside the quarry to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 distance of 5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65,62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Hand excavation in trenches up to 2 m deep without fastenings with slopes, soil group 2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Backfilling of trenches and pits with the movement of soil up to 5 m with bulldozers with a capacity of 59 (80) kW (hp),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Filling by hand of trenches, pit hollows and other pits, soil group 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6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Soil compaction by pneumatic rammers, soil group 1,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Watering the fill soil to be compacted (unit for measuring the volume of compacted soil is 1m3)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Concrete and reinforced concrete works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concrete preparation using heavy concrete, grade B7.5, aggregate size 20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1,428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Construction of reinforced concrete walls and flat bottoms with a thickness of more than 150 mm of rectangular </w:t>
            </w: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structures (reinforcement A-III d10mm - 0.494 t and A-I d = 6 mm - 0.0984 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Construction of reinforced concrete floors without beams up to 200 mm thick (reinforcement A-III d10mm - 0.147 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supports made of slabs and rings with a diameter of up to 1000 mm (unit of measurement is 1m3 of a prefabricated structure)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Hatch installation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Arrangement of a vent stack from steel longitudinally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electrowelded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bevelled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pipes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from steel of grades BSt2kp-BSt4kp and BSt2ps-BSt4ps with an outer diameter of 108 mm, wall thickness - 3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97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Metal structures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 step-ladder (fence of staircases, flights of stairs)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4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Priming metal surfaces in two coats with primer GF-021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1,35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Painting of metal primed surfaces with PF-115 enamel (in 2 coats)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1,35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Waterproofing</w:t>
            </w:r>
          </w:p>
        </w:tc>
        <w:tc>
          <w:tcPr>
            <w:tcW w:w="852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Plaster insulation of a horizontal concrete surface, ("Aquatron-6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"  dry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waterproofing coating adhesive elastic material  - 0.137 t)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Plaster insulation of a vertical concrete surface, ("Aquatron-6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"  dry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waterproofing coating adhesive elastic material  -  0.4175 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25,30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Miscellaneous works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lang w:val="en-US"/>
              </w:rPr>
              <w:t>Water resistance test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lang w:val="en-US"/>
              </w:rPr>
              <w:t>15,00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External networks of water supply and sewerage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Digging works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Excavation of soil to dump using excavators with a bucket with a capacity of 0.5 m3, soil group 2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Hand excavation in trenches up to 2 m deep without fastenings with slopes,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Backfilling of trenches and pits with the movement of soil up to 5 m with bulldozers with a capacity of 59 (80) kW (hp),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Filling by hand of trenches, pit hollows and other pits,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Soil compaction by pneumatic rammers, soil group 1,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Watering the fill soil to be compacted (unit for measuring the volume of compacted soil is 1m3)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Plumbing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pressure pipelines from polyethylene pipes of high pressure of heavy type with a diameter of 15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15,15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gate valves or check valves made of cast iron with a diameter of 15 mm, valve (through coupled valves 15KCH18P for water pressure 1.6 MPa)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polyethylene fittings for bends, elbows, nozzles, transition pieces, diameter 16 mm (measurement unit for 1 fitting)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fitting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Tap-in into existing networks of steel pipes, steel tap nozzles (junction pipes) with a diameter of 50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cutting-in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Sewerage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pressure-free pipelines from high-density polyethylene pipes with sleeves with a diameter of 100 mm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32,64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polyethylene fittings for bends with a diameter of 100 mm (unit of measurement for 1 fitting)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fitting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External networks and power supply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0.4 kV overhead line transfer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reinforced concrete supports for HV line 0.38, 6-10 kV with traverses without single-rack attachments (Racks SV. 110-3.5)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Manual suspension of bare wires of HV lines 0.38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kV  (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aluminum lines of grade A, cross section 25 mm2)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Cable line 0.4 kV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Excavation and backfilling trenches with a depth of 1.4 m for pipelines with a diameter of 300-600 mm by single-bucket excavators with a bucket with a capacity of 0.65 m3, soil group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Cable laying up to 35kV of grade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VVG  with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 section of 2x16 mm2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9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Covering a cable with a brick laid in a trench, one cable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Coating the cable with a brick laid in a trench, each subsequent 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Dismantling of wires of HV Line 0.38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kV  of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3 wires, support (3 wires)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Dismantling the wires of HV Line 0.38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kV  of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one additional wire, support (3 wires)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Site improvements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Construction of reinforced concrete trays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Hand excavation in trenches up to 2 m deep without fastenings with slopes, soil group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Manual leveling soil in situ, soil group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3,05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spillway structures from the carriageway: from longitudinal trays of precast concrete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1,08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Asbestos-cement pipe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Hand excavation in trenches up to 2 m deep without fastenings with slopes, soil group 3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Filling by hand of trenches, pit hollows and other pits, soil group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(leveling the ground at the site manually) </w:t>
            </w: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Filling by hand of trenches, pit hollows and other pits, soil group 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(arrangement of a pugged clay pillow-block) </w:t>
            </w: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Lateral insulation of walls and foundations with clay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Laying pipelines from asbestos-cement sewer pipes with a diameter of 300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(construction of headwalls) Construction of concrete headwalls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(headwalls) Lateral bitumen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coating  waterproofing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in 2 coats on the levelled surface of quarry stone masonry, brick, concrete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Tiled flooring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Arrangement of bases and coatings from sand-gravel or crushed-stone sand mixtures of continuous grading S-4 and S-6, single-layer 15 cm thick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(40 mm thick) Construction of the underlying and leveling layers of the bases: from sand, 100 m3 of the base material </w:t>
            </w:r>
            <w:proofErr w:type="gram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 dense</w:t>
            </w:r>
            <w:proofErr w:type="gram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mass)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5,32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Arrangment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of concrete slabs with filling joints with sand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Concrete side stones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concrete side stones: for other types of concrete coatings of grade 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52,60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Wall-mounted fire rack with fire-fighting implements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Construction of a wall-mounted fire rack as a set with </w:t>
            </w:r>
            <w:proofErr w:type="spellStart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with</w:t>
            </w:r>
            <w:proofErr w:type="spellEnd"/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pole installation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Wood enamel painting with wall surface preparation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4,54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Installation of a metal box for sand 0.5 m3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Crowbar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176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Spade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mm thick construction felt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Salvage hook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Fire extinguisher OP-2-1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1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Sub-total: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423"/>
        </w:trPr>
        <w:tc>
          <w:tcPr>
            <w:tcW w:w="10746" w:type="dxa"/>
            <w:gridSpan w:val="6"/>
            <w:vMerge w:val="restart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Notes</w:t>
            </w:r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: The cost of construction works should include the cost of materials and equipment, as well as transportation costs. Materials and equipment are accepted </w:t>
            </w:r>
            <w:proofErr w:type="gramStart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 the basis of</w:t>
            </w:r>
            <w:proofErr w:type="gramEnd"/>
            <w:r w:rsidRPr="00D43E8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design estimates and are shown in the specification of materials and equipment.</w:t>
            </w:r>
          </w:p>
        </w:tc>
      </w:tr>
      <w:tr w:rsidR="00D43E8F" w:rsidRPr="00D43E8F" w:rsidTr="00F3329E">
        <w:trPr>
          <w:trHeight w:val="423"/>
        </w:trPr>
        <w:tc>
          <w:tcPr>
            <w:tcW w:w="10746" w:type="dxa"/>
            <w:gridSpan w:val="6"/>
            <w:vMerge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963"/>
        </w:trPr>
        <w:tc>
          <w:tcPr>
            <w:tcW w:w="10746" w:type="dxa"/>
            <w:gridSpan w:val="6"/>
            <w:vMerge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D43E8F" w:rsidRPr="00D43E8F" w:rsidRDefault="00D43E8F" w:rsidP="00D43E8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:rsidR="00D43E8F" w:rsidRPr="00D43E8F" w:rsidRDefault="00D43E8F" w:rsidP="00D43E8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393"/>
        <w:gridCol w:w="889"/>
        <w:gridCol w:w="916"/>
        <w:gridCol w:w="1295"/>
        <w:gridCol w:w="1265"/>
      </w:tblGrid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</w:rPr>
            </w:pPr>
            <w:r w:rsidRPr="00D43E8F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  <w:t>ЛОТ</w:t>
            </w:r>
            <w:r w:rsidRPr="00D43E8F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en-US"/>
              </w:rPr>
              <w:t xml:space="preserve"> №2: </w:t>
            </w:r>
            <w:r w:rsidRPr="00D43E8F">
              <w:rPr>
                <w:rFonts w:ascii="Calibri" w:eastAsia="Times New Roman" w:hAnsi="Calibri" w:cs="Calibri"/>
                <w:b/>
                <w:color w:val="0000FF"/>
              </w:rPr>
              <w:t xml:space="preserve">Ведомость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color w:val="0000FF"/>
              </w:rPr>
              <w:t>обьемов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color w:val="0000FF"/>
              </w:rPr>
              <w:t xml:space="preserve"> работ</w:t>
            </w:r>
          </w:p>
        </w:tc>
      </w:tr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объекта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>Молодежный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>центр</w:t>
            </w:r>
            <w:proofErr w:type="spellEnd"/>
          </w:p>
        </w:tc>
      </w:tr>
      <w:tr w:rsidR="00D43E8F" w:rsidRPr="00D43E8F" w:rsidTr="00F3329E">
        <w:trPr>
          <w:trHeight w:val="312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Адрес объекта: </w:t>
            </w:r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г.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</w:rPr>
              <w:t>Исфана</w:t>
            </w:r>
            <w:proofErr w:type="spellEnd"/>
          </w:p>
        </w:tc>
      </w:tr>
      <w:tr w:rsidR="00D43E8F" w:rsidRPr="00D43E8F" w:rsidTr="00F3329E">
        <w:trPr>
          <w:trHeight w:val="312"/>
        </w:trPr>
        <w:tc>
          <w:tcPr>
            <w:tcW w:w="71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Стоимость без НДС, доллар США</w:t>
            </w:r>
          </w:p>
        </w:tc>
      </w:tr>
      <w:tr w:rsidR="00D43E8F" w:rsidRPr="00D43E8F" w:rsidTr="00F3329E">
        <w:trPr>
          <w:trHeight w:val="867"/>
        </w:trPr>
        <w:tc>
          <w:tcPr>
            <w:tcW w:w="71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 xml:space="preserve">№, </w:t>
            </w: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56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9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Ед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изм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.</w:t>
            </w:r>
          </w:p>
        </w:tc>
        <w:tc>
          <w:tcPr>
            <w:tcW w:w="919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Кол-тво</w:t>
            </w:r>
            <w:proofErr w:type="spellEnd"/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 xml:space="preserve">Расценка за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ед-цу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., доллар США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Сумма</w:t>
            </w: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доллар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 xml:space="preserve"> США</w:t>
            </w:r>
          </w:p>
        </w:tc>
      </w:tr>
      <w:tr w:rsidR="00D43E8F" w:rsidRPr="00D43E8F" w:rsidTr="00F3329E">
        <w:trPr>
          <w:trHeight w:val="342"/>
        </w:trPr>
        <w:tc>
          <w:tcPr>
            <w:tcW w:w="710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5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val="en-US"/>
              </w:rPr>
              <w:t>6</w:t>
            </w:r>
          </w:p>
        </w:tc>
      </w:tr>
      <w:tr w:rsidR="00D43E8F" w:rsidRPr="00D43E8F" w:rsidTr="00F3329E">
        <w:trPr>
          <w:trHeight w:val="303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 xml:space="preserve">1.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>Общестроительные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>работы</w:t>
            </w:r>
            <w:proofErr w:type="spellEnd"/>
          </w:p>
        </w:tc>
      </w:tr>
      <w:tr w:rsidR="00D43E8F" w:rsidRPr="00D43E8F" w:rsidTr="00F3329E">
        <w:trPr>
          <w:trHeight w:val="236"/>
        </w:trPr>
        <w:tc>
          <w:tcPr>
            <w:tcW w:w="10746" w:type="dxa"/>
            <w:gridSpan w:val="6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>Земляные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Разработка грунта в отвал экскаваторами с ковшом вместимостью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0,5 м3,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36,38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37,40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Полив водой уплотняемого грунта насыпей (ед. измерения объема уплотненного грунта)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37,40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Фундаменты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Армирование фундаментов из арматурной стали А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III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диаметром 12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0,22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ленточных фундаментов железобетонных при ширине подошвы 60 см и стен фундаментов 40 см.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Бетон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тяжелый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из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класса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В 12.5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22,71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Устройство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выпусков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из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фундаментов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Гидроизоляция стен, фундаментов горизонтальная цементная с жидким стеклом, марка раствора М50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13,60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Гидроизоляция боковая обмазочная битумная в 2 слоя по бетону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Кладка стен кирпичных наружных простых при толщине стен 380 мм цементно-известковом растворе марки не ниже М50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7857,00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Армирование кладки стен и других конструкций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железобетонных монолитных сердечников из тяжелого бетона класса В15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3,34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железобетонных перемычек над проемами из тяжелого бетона В15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1,78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железобетонного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сейсмопояса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из тяжелого бетона В15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Армирование железобетонных монолитных сердечников, перемычек и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сейсмопояса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из арматурной стали А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III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12 - 0.2353 т,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14 - 0.01128 т,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16 - 0.071 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0,316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Армирование железобетонных монолитных сердечников, перемычек и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сейсмопояса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из арматурной стали А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6 - 0.08146 т,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8 - 0.024 т,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12 - 0.0298 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0,1352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Укладка закладных деталей до 20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0,091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04"/>
        </w:trPr>
        <w:tc>
          <w:tcPr>
            <w:tcW w:w="71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  <w:t>Покрытие</w:t>
            </w:r>
          </w:p>
        </w:tc>
        <w:tc>
          <w:tcPr>
            <w:tcW w:w="89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18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Изготовление и монтаж стропильных и подстропильных ферм из гнуто сварных и круглых труб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0,976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связей и распорок из одиночных и парных уголков, гнуто сварных профилей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0,528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прогонов из гнутых профилей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1,125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117,0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огрунтованных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поверхностей эмалью ПФ-115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117,0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 фермам двойного настила из фанеры толщиной 25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119,0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Утепление покрытий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изовером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толщиной 100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5,94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пароизоляционного слоя (1 слой) из пленки полиэтиленовой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59,40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гидроизоляционного слоя (1 слой) из пленки полиэтиленовой толщиной 0.55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59,40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Кровля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кровельного покрытия из профилированного листа толщиной 0.7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109,62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Устройство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желобов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настенных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24,36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Перегородки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ленточных фундаментов под перегородки из тяжёлого бетона класса В12.5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2,335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Армирование фундаментов перегородки из арматурной стали А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III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0,0262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выпусков арматурных из фундаментов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0,0179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Кладка перегородок кирпичных армированных при толщине стен 120 мм цементно-известковом растворе марки не ниже М50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1094,0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33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Усиление проемов и крепление перегородок стальными элементами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0,00091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1"/>
        </w:trPr>
        <w:tc>
          <w:tcPr>
            <w:tcW w:w="71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  <w:t>Полы</w:t>
            </w:r>
          </w:p>
        </w:tc>
        <w:tc>
          <w:tcPr>
            <w:tcW w:w="89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34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Уплотнение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гравием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58,34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Укладка лаг сечением 100х50 по кирпичным столбикам, пролет 1000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покрытий дощатых толщиной 36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подстилающих слоев бетонных М150 толщиной 80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гидроизоляции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оклеечной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рулонными материалами на мастике "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Битуминоль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" (первый слой)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плинтусов из плиток керамических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Двери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окна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дверных блоков в наружных и внутренних дверных проемах в каменных стенах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2,34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дверных блоков в наружных и внутренних дверных проемах в перегородках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5,46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Скобяные изделия для дверных блоков входных дверей в помещение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однопольных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Скобяные изделия для блоков входных дверей в помещение двупольных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оконных блоков из ПВХ профилей: поворотных (откидных, поворотно-откидных) двухстворчатых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7,65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оконных блоков из ПВХ профилей: поворотных (откидных, поворотно-откидных) одностворчатых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подоконных досок из ПВХ толщиной до 0,51 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5,95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  <w:lang w:val="en-US"/>
              </w:rPr>
              <w:t>Внутренняя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  <w:lang w:val="en-US"/>
              </w:rPr>
              <w:t>отделка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подвесных потолков типа "Армстронг" по каркасу из оцинкованного профиля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58,34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Оштукатуривание поверхностей цементно-известковым или цементным раствором по камню и бетону простое стен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139,53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Окраска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поливинилацетатными водоэмульсионными составами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улучшенная по штукатурке стен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87,00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Панель 1.0 м. Улучшенная окраска масляными составами по штукатурке стен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41,80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 по кирпичу и бетону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Улучшенная окраска масляными составами по дереву заполнений проемов дверных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18,72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Улучшенная окраска масляными составами по дереву полов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55,46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Наружные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отделочные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Цоколь. Наружная облицовка по бетонной поверхности керамическими отдельными плитками на цементном растворе стен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27,00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Утепление базальтовыми плитами толщиной 50 мм с креплением на клее и дюбелями холодных поверхностей наружных стен (Дюбели распорные с металлическим стержнем 10х150 мм, 478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93,30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каркаса на плоских и криволинейных поверхностях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из сетки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армирующей фасадной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Высококачественная штукатурка цементно-известковым раствором по камню стен гладких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Высококачественная штукатурка цементно-известковым раствором по камню откосов при ширине до 200 мм плоских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32,30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95,50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обделок на фасадах (наружные подоконники, пояски, балконы и др.) включая водосточные трубы с изготовлением элементов труб с установкой и разборкой лесов (на 1 м2 фасадов)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106,80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Разные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Крыльцо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пандус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65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монолитного железобетонного крыльца и пандуса по сетке сварной диаметром 4-5 мм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закладных деталей весом до 4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0,00846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(САРЫ-ТАШ) Облицовка ступеней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керамогранитными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плитками толщиной до 15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11,72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Монтаж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ограждений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крыльца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0,1193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огрунтованных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поверхностей эмалью ПФ-115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( за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2 раза 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Козырек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крыльца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стропильных и подстропильных ферм из гнуто сварных профилей и круглых труб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0,108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Монтаж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балок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из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швеллера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0,05154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анкерных болтов при бетонировании на поддерживающие конструкции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7,24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огрунтованных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поверхностей эмалью ПФ-115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7,24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Отмостка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оснований и покрытий из песчано-гравийных или щебеночно-песчаных смесей непрерывной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гранулометрии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С-4 и С-6, однослойных толщиной 15 см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36,60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отмостки бетонных толщиной 100 мм шириной 1000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Итого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  <w:t>Инженерные работы</w:t>
            </w: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  <w:t>Отопление</w:t>
            </w:r>
          </w:p>
        </w:tc>
        <w:tc>
          <w:tcPr>
            <w:tcW w:w="896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78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сплит-систем с внутренним блоком настенного типа мощностью до 5 кВт - настенный кондиционер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N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=2 кВт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Dantex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79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электрического конвектора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N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=2 кВт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Dantex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вентиляторов осевых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N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=0.042 кВт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решеток жалюзийных стальных щелевых регулирующих (Р) номер 150 размер 150х150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Водопровод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 15 мм в комплекте (в комплекте: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шаравой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кран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=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15  мм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-2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отводы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мм - 2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крепления - 0.2 кг; тройник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мм - 2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муфта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мм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смесителей с гибкими вставками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Горячий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водопровод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трубопроводов водоснабжения из многослойных метало-полимерных труб диаметром 15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 электрических водонагревателей "Аристон" в комплекте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N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=1.0 кВт,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V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=20 л (в комплекте: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шаравой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кран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 мм -2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угольник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мм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крепления - 0.1 кг; тройник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=15 мм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Канализация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100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умывальников одиночных с подводкой холодной и горячей воды в комплекте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унитазов с бачком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непосредственно присоединенным в комплекте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полиэтиленовых фасонных частей отводов, тройников, прочисток (отвод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=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100  мм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- 5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отвод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=50 мм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тройник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=100 - 1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прочистка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=100 мм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частей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Монтаж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электрооборудования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электроосвещения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блок управления ЩМП-4-036, устанавливаемый на стене, высота и ширина, мм, до 600х600, высотой до 1700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автомата одно-, двух-, трехполюсный, устанавливаемый на конструкции на стене на ток, ВА47-29 1Р 16А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счетчиков, устанавливаемые на готовом основании однофазные АСКУЭ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автомата одно-, двух-, трехполюсный, устанавливаемый на конструкции на стене на ток, ВА47-29 1Р 6А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автомата одно-, двух-, трехполюсный, устанавливаемый на конструкции на стене на ток, ВА47-29 1Р 3А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выключателя автоматического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дифференциальный  АД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12 2Р  10А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Прокладка кабель в проложенных трубах ВВГ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нг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сечением 3х1.5 мм2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светильников с люминесцентными лампами отдельно устанавливаемый на подвесах (штангах) с количеством ламп в светильнике 2 (ЛПО - 2х36, лампа люминесцентная 36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вт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Т-8)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светильников для ламп накаливания потолочный с креплением винтами для помещений с нормальными условиями среды одноламповый (светильник ПСХ-200 - 1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, ПСХ-100 - 2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; лампы накаливания ЛОН-200 - 3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выключателей одноклавишных утопленного типа при скрытой проводке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розеток штепсельных (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двухгнездная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 утопленного типа при скрытой проводке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Затягивание проводов силовых в проложенные трубы для электрических установок на напряжение до 450 В с медными жилами плоские с разделительным основанием марки ППВ, 3х1.5 мм2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Затягивание проводов силовых в проложенные трубы для электрических установок на напряжение до 450 В с медными жилами плоские с разделительным основанием марки ППВ, 3х2.5 мм2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труб по установленным конструкциям, в готовых бороздах, по основанию пола, диаметр до 25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69,00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i/>
                <w:color w:val="0000FF"/>
                <w:sz w:val="20"/>
                <w:szCs w:val="20"/>
              </w:rPr>
              <w:t>Пожарная сигнализация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106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прибора ПС приемно-контрольные, пусковые. Концентратор: блок базовый на 10 лучей (на 6 зон, тип Гранит-6А)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извещателя ПС автоматические: дымовой, фотоэлектрический, радиоизотопный, световой в нормальном исполнении (ИП-212 "Данко")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извещателя ПС автоматические: тепловой электро-контактный,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магнитоконтактный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в нормальном исполнении (ИП 103-5/4,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извещателя ПС автоматические: пожарный ручной ИПР-514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извещателя ПС автоматические: дымовой, фотоэлектрический, радиоизотопный, световой в нормальном исполнении (ИПДЛ-52)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провода в коробах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КСПнг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(А), сечение 2х0.5 мм2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50,00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кабельного канала пластмассового шириной до 40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50,00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Установка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резистора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МЛТ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источника бесперебойного питания БП-12/5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Устройства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опевещателя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светозвукового "Маяк-12-КМП"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аккумулятора, кислотный стационарный тип: С-1, СК-1 12В, 4.5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Ач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установленный в специальный шкаф К710000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Септик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Земляные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Разработка грунта в отвал экскаваторами с ковшом вместимостью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0,5 м3,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97,80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Разработка грунта с погрузкой в автомобили-самосвалы экскаваторами с ковшом вместимостью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0,5 м3,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Перевозка грузов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класса автомобилями-самосвалами грузоподъемностью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10 т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работающих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вне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карьера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на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расстояние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до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км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65,62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59 (80)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кВт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л.с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.), 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92,00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Полив водой уплотняемого грунта насыпей, (единица измерения 1м3 уплотненного грунта)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103,00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Бетонные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железобетонные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бетонной подготовки из тяжелого бетона класса В7.5,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крпность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заполнителя 20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1,428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железобетонных стен и плоских днищ при толщине более 150 мм прямоугольных сооружений (арматура А-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III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10мм - 0.494 т и А-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=6 мм - 0.0984 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железобетонных перекрытий без балочных толщиной до 200 мм (арматура А-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III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d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10мм - 0.147 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опор из плит и колец диаметром до 1000 мм (единица измерения 1м3 сборной конструкции)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129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Установка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люка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вентиляционного стояка из стальных труб электросварных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прямошовные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со снятой фаской из стали БСт2кп-БСт4кп и БСт2пс-БСт4пс с наружным диаметром 108 мм толщина стенки 3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М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еталлические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конструкции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Монтаж стремянки (ограждение лестничных проемов, лестничные марши)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45,50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Огрунтовка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металлических поверхностей за два раза грунтовкой ГФ-021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1,35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огрунтованных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поверхностей эмалью ПФ-115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( за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2 раза 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1,35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Гидроизоляция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Штукатурная изоляция горизонтальной бетонной поверхности, (смесь сухая гидроизоляционная обмазочная эластичная "Акватрон-6" - 0.137 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Штукатурная изоляция вертикальная бетонной поверхности, (смесь сухая гидроизоляционная обмазочная эластичная "Акватрон-6" - 0.4175 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25,30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Разные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137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Испытание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емкостей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на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водонепроницаемость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Наружные сети водопровода и канализации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Земляные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Разработка грунта в отвал экскаваторами с ковшом вместимостью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0,5 м3,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59 (80)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кВт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л.с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.), 2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29,00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142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29,00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Полив водой уплотняемого грунта насыпей (единица измерения 1м3 уплотненного грунта)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Водопровод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Укладка трубопроводов напорных из полиэтиленовых труб высокого давления тяжелого типа диаметром 15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15,15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задвижек или клапанов обратных чугунных диаметром 15 мм, задвижка (Вентили проходные муфтовые 15КЧ18П для воды давлением 1.6 МПа)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полиэтиленовых фасонных частей отводов, колен, патрубков, переходов, диаметр 16 мм (единица измерения на 1 фасонных частей)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фасон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Врезка в существующие сети из стальных труб стальных штуцеров (патрубков) диаметром 50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врезка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Канализация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Укладка безнапорных трубопроводов из полиэтиленовых труб высокой плотности с гильзами, диаметром 100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32,64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149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полиэтиленовых фасонных частей отводов диаметром 100 мм (единица измерения на 1 фасонных частей)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фасон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Наружные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сети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Перенос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воздушной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линии0.4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железобетонных опор ВЛ 0,38, 6-10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 траверсами без приставок одностоечных (Стойки СВ. 110-3,5)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Подвеска неизолированных проводов ВЛ 0,38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вручную (линии алюминиевые марки А, сечением 25 мм2)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Кабельная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линия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0.4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Рытье и засыпка траншей глубиной 1,4 м для трубопроводов диаметром 300-600 мм одноковшовыми экскаваторами с ковшом вместимостью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0,65 м3,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группа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грунтов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Прокладка кабеля до 35кВ марки ВВГ сечением 2х16 мм2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Покрытие кабеля кирпичом, проложенного в траншее, одного кабеля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Покрытие кабеля кирпичом, проложенного в траншее, каждого последующего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Демонтаж проводов ВЛ 0,38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3-х проводов, опора (3 провода)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опора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Демонтаж проводов ВЛ 0,38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кВ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одного дополнительного провода, опора (3 провода)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опора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Благоустройство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Устройство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железобетонных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лотков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159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Разравнивание грунта на месте вручную, группа грунтов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3,05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водосбросных сооружений с проезжей части: из продольных лотков из сборного бетона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1,08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Асбестоцементная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Засыпка вручную траншей, пазух котлованов и ям, группа грунтов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163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(разравнивание грунта на месте вручную)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br/>
              <w:t>Засыпка вручную траншей, пазух котлованов и ям, группа грунтов 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0,64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164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(устройство подушки из мятой глины) 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br/>
              <w:t>Боковая изоляция стен, фундаментов глиной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Укладка трубопроводов из асбестоцементных канализационных труб диаметром 300 мм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lastRenderedPageBreak/>
              <w:t>166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(устройство оголовков) Устройство оголовков бетонных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(оголовков) Гидроизоляция боковая обмазочная битумная в 2 слоя по выравненной поверхности бутовой кладки, кирпичу, бетону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Плиточное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покрытие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Устройство оснований и покрытий из песчано-гравийных или щебеночно-песчаных смесей непрерывной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гранулометрии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С-4 и С-6, однослойных толщиной 15 см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169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(толщиной 40 мм) Устройство подстилающих и выравнивающих слоев оснований: из песка, 100 м3 материала основания (в плотном теле)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5,32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бетонных плитных тротуаров с заполнением швов: песком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133,00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Бетонные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бортовые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камни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Установка бортовых камней бетонных: при других видах покрытий из бетона марки 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52,60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Пожарный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щит</w:t>
            </w:r>
            <w:proofErr w:type="spellEnd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43E8F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val="en-US"/>
              </w:rPr>
              <w:t>инвентарем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Устройство пожарного щита в комплекте с установкой столбов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Окраска эмалевыми составами по дереву с подготовкой поверхности стен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4,54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Установка ящика для песка </w:t>
            </w:r>
            <w:proofErr w:type="gram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металлический  0</w:t>
            </w:r>
            <w:proofErr w:type="gram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,5м3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Лом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Лопата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Войлок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строительный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толщиной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Багор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179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Топор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180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Огнетушитель</w:t>
            </w:r>
            <w:proofErr w:type="spellEnd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 xml:space="preserve"> ОП-2-1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Итого</w:t>
            </w:r>
            <w:proofErr w:type="spellEnd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</w:p>
        </w:tc>
      </w:tr>
      <w:tr w:rsidR="00D43E8F" w:rsidRPr="00D43E8F" w:rsidTr="00F3329E">
        <w:trPr>
          <w:trHeight w:val="2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8F" w:rsidRPr="00D43E8F" w:rsidRDefault="00D43E8F" w:rsidP="00D4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</w:pP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/>
              </w:rPr>
              <w:t> </w:t>
            </w:r>
          </w:p>
        </w:tc>
      </w:tr>
      <w:tr w:rsidR="00D43E8F" w:rsidRPr="00D43E8F" w:rsidTr="00F3329E">
        <w:trPr>
          <w:trHeight w:val="423"/>
        </w:trPr>
        <w:tc>
          <w:tcPr>
            <w:tcW w:w="10746" w:type="dxa"/>
            <w:gridSpan w:val="6"/>
            <w:vMerge w:val="restart"/>
            <w:shd w:val="clear" w:color="auto" w:fill="auto"/>
            <w:hideMark/>
          </w:tcPr>
          <w:p w:rsidR="00D43E8F" w:rsidRPr="00D43E8F" w:rsidRDefault="00D43E8F" w:rsidP="00D43E8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D43E8F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</w:rPr>
              <w:t>Примечания</w:t>
            </w:r>
            <w:r w:rsidRPr="00D43E8F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  <w:t>:</w:t>
            </w:r>
            <w:r w:rsidRPr="00D43E8F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В стоимость строительных работ включить стоимость материалов и оборудования, а также транспортные расходы. Материалы и оборудования приняты на основании проектно-сметной документации и приведены в спецификации материалов и оборудований. </w:t>
            </w:r>
          </w:p>
        </w:tc>
      </w:tr>
    </w:tbl>
    <w:p w:rsidR="00D43E8F" w:rsidRDefault="00D43E8F"/>
    <w:sectPr w:rsidR="00D43E8F" w:rsidSect="00D4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F"/>
    <w:rsid w:val="00D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1A2A"/>
  <w15:chartTrackingRefBased/>
  <w15:docId w15:val="{C0481C48-628B-45CE-A91A-A146278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0">
    <w:name w:val="heading 2"/>
    <w:basedOn w:val="a"/>
    <w:next w:val="a"/>
    <w:link w:val="21"/>
    <w:unhideWhenUsed/>
    <w:qFormat/>
    <w:rsid w:val="00D43E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43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nhideWhenUsed/>
    <w:qFormat/>
    <w:rsid w:val="00D43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D43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D43E8F"/>
    <w:pPr>
      <w:keepNext/>
      <w:spacing w:after="0" w:line="240" w:lineRule="auto"/>
      <w:ind w:left="252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3E8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43E8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43E8F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8F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1">
    <w:name w:val="Заголовок 2 Знак"/>
    <w:basedOn w:val="a0"/>
    <w:link w:val="20"/>
    <w:rsid w:val="00D43E8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43E8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D43E8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43E8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D43E8F"/>
    <w:rPr>
      <w:rFonts w:ascii="Times New Roman" w:eastAsia="Times New Roman" w:hAnsi="Times New Roman" w:cs="Times New Roman"/>
      <w:b/>
      <w:color w:val="0000FF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D43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43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43E8F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43E8F"/>
  </w:style>
  <w:style w:type="paragraph" w:styleId="a3">
    <w:name w:val="Document Map"/>
    <w:basedOn w:val="a"/>
    <w:link w:val="a4"/>
    <w:uiPriority w:val="99"/>
    <w:semiHidden/>
    <w:rsid w:val="00D43E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8F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5">
    <w:name w:val="header"/>
    <w:basedOn w:val="a"/>
    <w:link w:val="a6"/>
    <w:uiPriority w:val="99"/>
    <w:rsid w:val="00D43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43E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D43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D43E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semiHidden/>
    <w:rsid w:val="00D43E8F"/>
  </w:style>
  <w:style w:type="character" w:styleId="aa">
    <w:name w:val="Hyperlink"/>
    <w:uiPriority w:val="99"/>
    <w:unhideWhenUsed/>
    <w:rsid w:val="00D43E8F"/>
    <w:rPr>
      <w:color w:val="0000FF"/>
      <w:u w:val="single"/>
    </w:rPr>
  </w:style>
  <w:style w:type="character" w:styleId="ab">
    <w:name w:val="Strong"/>
    <w:uiPriority w:val="99"/>
    <w:qFormat/>
    <w:rsid w:val="00D43E8F"/>
    <w:rPr>
      <w:b/>
      <w:bCs/>
    </w:rPr>
  </w:style>
  <w:style w:type="paragraph" w:customStyle="1" w:styleId="ColorfulList-Accent11">
    <w:name w:val="Colorful List - Accent 11"/>
    <w:basedOn w:val="a"/>
    <w:qFormat/>
    <w:rsid w:val="00D43E8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ac">
    <w:name w:val="Body Text Indent"/>
    <w:basedOn w:val="a"/>
    <w:link w:val="ad"/>
    <w:uiPriority w:val="99"/>
    <w:unhideWhenUsed/>
    <w:rsid w:val="00D43E8F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E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3"/>
    <w:uiPriority w:val="99"/>
    <w:unhideWhenUsed/>
    <w:rsid w:val="00D43E8F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3E8F"/>
    <w:rPr>
      <w:rFonts w:ascii="Times New Roman" w:eastAsia="Times New Roman" w:hAnsi="Times New Roman" w:cs="Times New Roman"/>
      <w:spacing w:val="-3"/>
      <w:sz w:val="20"/>
      <w:szCs w:val="20"/>
      <w:lang w:val="en-GB" w:eastAsia="x-none"/>
    </w:rPr>
  </w:style>
  <w:style w:type="paragraph" w:styleId="ae">
    <w:name w:val="Block Text"/>
    <w:basedOn w:val="a"/>
    <w:uiPriority w:val="99"/>
    <w:unhideWhenUsed/>
    <w:rsid w:val="00D43E8F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annotation reference"/>
    <w:uiPriority w:val="99"/>
    <w:unhideWhenUsed/>
    <w:rsid w:val="00D43E8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rsid w:val="00D43E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unhideWhenUsed/>
    <w:rsid w:val="00D43E8F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uiPriority w:val="99"/>
    <w:rsid w:val="00D43E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43E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3E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ankNormal">
    <w:name w:val="BankNormal"/>
    <w:basedOn w:val="a"/>
    <w:uiPriority w:val="99"/>
    <w:rsid w:val="00D43E8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a"/>
    <w:uiPriority w:val="99"/>
    <w:rsid w:val="00D43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Outline">
    <w:name w:val="Outline"/>
    <w:basedOn w:val="a"/>
    <w:uiPriority w:val="99"/>
    <w:rsid w:val="00D43E8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a"/>
    <w:uiPriority w:val="99"/>
    <w:rsid w:val="00D43E8F"/>
    <w:pPr>
      <w:keepNext/>
      <w:tabs>
        <w:tab w:val="num" w:pos="360"/>
      </w:tabs>
      <w:ind w:left="360" w:hanging="360"/>
    </w:pPr>
  </w:style>
  <w:style w:type="paragraph" w:styleId="af6">
    <w:name w:val="Body Text"/>
    <w:basedOn w:val="a"/>
    <w:link w:val="af7"/>
    <w:uiPriority w:val="99"/>
    <w:unhideWhenUsed/>
    <w:rsid w:val="00D43E8F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D43E8F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styleId="af8">
    <w:name w:val="Normal (Web)"/>
    <w:basedOn w:val="a"/>
    <w:uiPriority w:val="99"/>
    <w:rsid w:val="00D43E8F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D43E8F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E8F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UNDPConditionShort">
    <w:name w:val="UNDP Condition Short"/>
    <w:basedOn w:val="a"/>
    <w:uiPriority w:val="99"/>
    <w:rsid w:val="00D43E8F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  <w:lang w:val="en-US"/>
    </w:rPr>
  </w:style>
  <w:style w:type="character" w:styleId="af9">
    <w:name w:val="footnote reference"/>
    <w:rsid w:val="00D43E8F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D43E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List Paragraph"/>
    <w:basedOn w:val="a"/>
    <w:link w:val="afd"/>
    <w:uiPriority w:val="34"/>
    <w:qFormat/>
    <w:rsid w:val="00D43E8F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afe">
    <w:name w:val="Table Grid"/>
    <w:basedOn w:val="a1"/>
    <w:uiPriority w:val="59"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D43E8F"/>
    <w:rPr>
      <w:color w:val="800080"/>
      <w:u w:val="single"/>
    </w:rPr>
  </w:style>
  <w:style w:type="character" w:styleId="aff0">
    <w:name w:val="Placeholder Text"/>
    <w:uiPriority w:val="99"/>
    <w:rsid w:val="00D43E8F"/>
    <w:rPr>
      <w:color w:val="808080"/>
    </w:rPr>
  </w:style>
  <w:style w:type="character" w:customStyle="1" w:styleId="Style1">
    <w:name w:val="Style1"/>
    <w:rsid w:val="00D43E8F"/>
    <w:rPr>
      <w:color w:val="FF0000"/>
    </w:rPr>
  </w:style>
  <w:style w:type="character" w:customStyle="1" w:styleId="Style2">
    <w:name w:val="Style2"/>
    <w:rsid w:val="00D43E8F"/>
    <w:rPr>
      <w:color w:val="auto"/>
    </w:rPr>
  </w:style>
  <w:style w:type="character" w:customStyle="1" w:styleId="Style3">
    <w:name w:val="Style3"/>
    <w:basedOn w:val="a0"/>
    <w:rsid w:val="00D43E8F"/>
  </w:style>
  <w:style w:type="character" w:customStyle="1" w:styleId="Style4">
    <w:name w:val="Style4"/>
    <w:basedOn w:val="a0"/>
    <w:rsid w:val="00D43E8F"/>
  </w:style>
  <w:style w:type="character" w:customStyle="1" w:styleId="Style5">
    <w:name w:val="Style5"/>
    <w:basedOn w:val="a0"/>
    <w:rsid w:val="00D43E8F"/>
  </w:style>
  <w:style w:type="paragraph" w:styleId="aff1">
    <w:name w:val="endnote text"/>
    <w:basedOn w:val="a"/>
    <w:link w:val="aff2"/>
    <w:uiPriority w:val="99"/>
    <w:semiHidden/>
    <w:unhideWhenUsed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D43E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endnote reference"/>
    <w:uiPriority w:val="99"/>
    <w:semiHidden/>
    <w:unhideWhenUsed/>
    <w:rsid w:val="00D43E8F"/>
    <w:rPr>
      <w:vertAlign w:val="superscript"/>
    </w:rPr>
  </w:style>
  <w:style w:type="character" w:customStyle="1" w:styleId="hps">
    <w:name w:val="hps"/>
    <w:rsid w:val="00D43E8F"/>
  </w:style>
  <w:style w:type="paragraph" w:customStyle="1" w:styleId="CharChar">
    <w:name w:val=" Char Char Знак Знак Знак"/>
    <w:basedOn w:val="a"/>
    <w:rsid w:val="00D43E8F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afd">
    <w:name w:val="Абзац списка Знак"/>
    <w:link w:val="afc"/>
    <w:uiPriority w:val="34"/>
    <w:locked/>
    <w:rsid w:val="00D43E8F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aff4">
    <w:name w:val="No Spacing"/>
    <w:uiPriority w:val="1"/>
    <w:qFormat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E8F"/>
    <w:pPr>
      <w:autoSpaceDE w:val="0"/>
      <w:autoSpaceDN w:val="0"/>
      <w:adjustRightInd w:val="0"/>
      <w:spacing w:after="0" w:line="240" w:lineRule="auto"/>
    </w:pPr>
    <w:rPr>
      <w:rFonts w:ascii="MS Gothic" w:eastAsia="MS Gothic" w:hAnsi="Times New Roman" w:cs="MS Gothic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4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D43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font8">
    <w:name w:val="font8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font9">
    <w:name w:val="font9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font11">
    <w:name w:val="font11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font12">
    <w:name w:val="font12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060"/>
      <w:sz w:val="20"/>
      <w:szCs w:val="20"/>
      <w:lang w:eastAsia="ru-RU"/>
    </w:rPr>
  </w:style>
  <w:style w:type="paragraph" w:customStyle="1" w:styleId="font13">
    <w:name w:val="font13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0"/>
      <w:szCs w:val="20"/>
      <w:lang w:eastAsia="ru-RU"/>
    </w:rPr>
  </w:style>
  <w:style w:type="paragraph" w:customStyle="1" w:styleId="xl66">
    <w:name w:val="xl66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69">
    <w:name w:val="xl6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80">
    <w:name w:val="xl80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1">
    <w:name w:val="xl8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2">
    <w:name w:val="xl82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43E8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43E8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D43E8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43E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43E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02">
    <w:name w:val="xl102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03">
    <w:name w:val="xl103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43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5">
    <w:name w:val="xl105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09">
    <w:name w:val="xl10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10">
    <w:name w:val="xl110"/>
    <w:basedOn w:val="a"/>
    <w:rsid w:val="00D43E8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11">
    <w:name w:val="xl111"/>
    <w:basedOn w:val="a"/>
    <w:rsid w:val="00D43E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060"/>
      <w:sz w:val="20"/>
      <w:szCs w:val="20"/>
      <w:lang w:eastAsia="ru-RU"/>
    </w:rPr>
  </w:style>
  <w:style w:type="paragraph" w:customStyle="1" w:styleId="xl117">
    <w:name w:val="xl11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19">
    <w:name w:val="xl119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20">
    <w:name w:val="xl120"/>
    <w:basedOn w:val="a"/>
    <w:rsid w:val="00D43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21">
    <w:name w:val="xl121"/>
    <w:basedOn w:val="a"/>
    <w:rsid w:val="00D43E8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22">
    <w:name w:val="xl122"/>
    <w:basedOn w:val="a"/>
    <w:rsid w:val="00D43E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D43E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43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D43E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43E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43E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43E8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43E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43E8F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43E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35">
    <w:name w:val="xl135"/>
    <w:basedOn w:val="a"/>
    <w:rsid w:val="00D43E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36">
    <w:name w:val="xl136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43E8F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43E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D43E8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D43E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D43E8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D43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D43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0"/>
      <w:szCs w:val="20"/>
      <w:lang w:eastAsia="ru-RU"/>
    </w:rPr>
  </w:style>
  <w:style w:type="paragraph" w:customStyle="1" w:styleId="font15">
    <w:name w:val="font15"/>
    <w:basedOn w:val="a"/>
    <w:rsid w:val="00D43E8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lang w:eastAsia="ru-RU"/>
    </w:rPr>
  </w:style>
  <w:style w:type="table" w:customStyle="1" w:styleId="24">
    <w:name w:val="Сетка таблицы2"/>
    <w:basedOn w:val="a1"/>
    <w:next w:val="afe"/>
    <w:uiPriority w:val="59"/>
    <w:rsid w:val="00D43E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43E8F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D4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4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Emphasis"/>
    <w:uiPriority w:val="20"/>
    <w:qFormat/>
    <w:rsid w:val="00D43E8F"/>
    <w:rPr>
      <w:i/>
      <w:iCs/>
    </w:rPr>
  </w:style>
  <w:style w:type="character" w:customStyle="1" w:styleId="fontstyle01">
    <w:name w:val="fontstyle01"/>
    <w:rsid w:val="00D43E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2">
    <w:name w:val="Сетка таблицы1"/>
    <w:basedOn w:val="a1"/>
    <w:next w:val="afe"/>
    <w:uiPriority w:val="39"/>
    <w:rsid w:val="00D43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D43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a"/>
    <w:autoRedefine/>
    <w:rsid w:val="00D43E8F"/>
    <w:pPr>
      <w:keepNext/>
      <w:suppressAutoHyphens/>
      <w:snapToGrid w:val="0"/>
      <w:spacing w:after="0" w:line="240" w:lineRule="auto"/>
      <w:outlineLvl w:val="0"/>
    </w:pPr>
    <w:rPr>
      <w:rFonts w:ascii="Calibri" w:eastAsia="Times New Roman" w:hAnsi="Calibri" w:cs="Calibri"/>
    </w:rPr>
  </w:style>
  <w:style w:type="character" w:customStyle="1" w:styleId="shorttext">
    <w:name w:val="short_text"/>
    <w:rsid w:val="00D43E8F"/>
  </w:style>
  <w:style w:type="character" w:customStyle="1" w:styleId="spec-key">
    <w:name w:val="spec-key"/>
    <w:rsid w:val="00D43E8F"/>
  </w:style>
  <w:style w:type="paragraph" w:styleId="HTML">
    <w:name w:val="HTML Preformatted"/>
    <w:basedOn w:val="a"/>
    <w:link w:val="HTML0"/>
    <w:uiPriority w:val="99"/>
    <w:unhideWhenUsed/>
    <w:rsid w:val="00D4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rsid w:val="00D43E8F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_"/>
    <w:link w:val="42"/>
    <w:rsid w:val="00D43E8F"/>
    <w:rPr>
      <w:rFonts w:ascii="Arial" w:eastAsia="Arial" w:hAnsi="Arial" w:cs="Arial"/>
      <w:b/>
      <w:bCs/>
      <w:shd w:val="clear" w:color="auto" w:fill="FFFFFF"/>
    </w:rPr>
  </w:style>
  <w:style w:type="character" w:customStyle="1" w:styleId="410pt">
    <w:name w:val="Основной текст (4) + 10 pt"/>
    <w:rsid w:val="00D43E8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5">
    <w:name w:val="Основной текст (2)_"/>
    <w:link w:val="26"/>
    <w:rsid w:val="00D43E8F"/>
    <w:rPr>
      <w:rFonts w:ascii="Arial" w:eastAsia="Arial" w:hAnsi="Arial" w:cs="Arial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43E8F"/>
    <w:pPr>
      <w:widowControl w:val="0"/>
      <w:shd w:val="clear" w:color="auto" w:fill="FFFFFF"/>
      <w:spacing w:after="1020" w:line="230" w:lineRule="exact"/>
      <w:ind w:hanging="720"/>
    </w:pPr>
    <w:rPr>
      <w:rFonts w:ascii="Arial" w:eastAsia="Arial" w:hAnsi="Arial" w:cs="Arial"/>
      <w:b/>
      <w:bCs/>
    </w:rPr>
  </w:style>
  <w:style w:type="paragraph" w:customStyle="1" w:styleId="42">
    <w:name w:val="Основной текст (4)"/>
    <w:basedOn w:val="a"/>
    <w:link w:val="41"/>
    <w:rsid w:val="00D43E8F"/>
    <w:pPr>
      <w:widowControl w:val="0"/>
      <w:shd w:val="clear" w:color="auto" w:fill="FFFFFF"/>
      <w:spacing w:before="102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6">
    <w:name w:val="Основной текст (2)"/>
    <w:basedOn w:val="a"/>
    <w:link w:val="25"/>
    <w:rsid w:val="00D43E8F"/>
    <w:pPr>
      <w:widowControl w:val="0"/>
      <w:shd w:val="clear" w:color="auto" w:fill="FFFFFF"/>
      <w:spacing w:before="300" w:after="180" w:line="230" w:lineRule="exact"/>
      <w:ind w:hanging="560"/>
      <w:jc w:val="both"/>
    </w:pPr>
    <w:rPr>
      <w:rFonts w:ascii="Arial" w:eastAsia="Arial" w:hAnsi="Arial" w:cs="Arial"/>
    </w:rPr>
  </w:style>
  <w:style w:type="character" w:customStyle="1" w:styleId="13">
    <w:name w:val="Заголовок №1_"/>
    <w:link w:val="14"/>
    <w:rsid w:val="00D43E8F"/>
    <w:rPr>
      <w:rFonts w:ascii="Arial" w:eastAsia="Arial" w:hAnsi="Arial" w:cs="Arial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D43E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14">
    <w:name w:val="Заголовок №1"/>
    <w:basedOn w:val="a"/>
    <w:link w:val="13"/>
    <w:rsid w:val="00D43E8F"/>
    <w:pPr>
      <w:widowControl w:val="0"/>
      <w:shd w:val="clear" w:color="auto" w:fill="FFFFFF"/>
      <w:spacing w:after="780" w:line="230" w:lineRule="exact"/>
      <w:outlineLvl w:val="0"/>
    </w:pPr>
    <w:rPr>
      <w:rFonts w:ascii="Arial" w:eastAsia="Arial" w:hAnsi="Arial" w:cs="Arial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D43E8F"/>
  </w:style>
  <w:style w:type="paragraph" w:styleId="aff6">
    <w:name w:val="Revision"/>
    <w:hidden/>
    <w:uiPriority w:val="99"/>
    <w:semiHidden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D43E8F"/>
  </w:style>
  <w:style w:type="table" w:customStyle="1" w:styleId="111">
    <w:name w:val="Сетка таблицы11"/>
    <w:basedOn w:val="a1"/>
    <w:next w:val="afe"/>
    <w:uiPriority w:val="59"/>
    <w:rsid w:val="00D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43E8F"/>
  </w:style>
  <w:style w:type="paragraph" w:styleId="aff7">
    <w:name w:val="Subtitle"/>
    <w:basedOn w:val="a"/>
    <w:next w:val="a"/>
    <w:link w:val="aff8"/>
    <w:uiPriority w:val="11"/>
    <w:qFormat/>
    <w:rsid w:val="00D43E8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uiPriority w:val="11"/>
    <w:rsid w:val="00D43E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9">
    <w:name w:val="Пункт"/>
    <w:basedOn w:val="a"/>
    <w:rsid w:val="00D43E8F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qFormat/>
    <w:rsid w:val="00D43E8F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Times New Roman" w:hAnsi="Gill Sans MT" w:cs="Times New Roman"/>
      <w:kern w:val="28"/>
      <w:sz w:val="24"/>
      <w:szCs w:val="16"/>
      <w:lang w:val="en-US"/>
    </w:rPr>
  </w:style>
  <w:style w:type="paragraph" w:styleId="29">
    <w:name w:val="toc 2"/>
    <w:basedOn w:val="a"/>
    <w:next w:val="a"/>
    <w:autoRedefine/>
    <w:uiPriority w:val="39"/>
    <w:qFormat/>
    <w:rsid w:val="00D43E8F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8"/>
      <w:sz w:val="18"/>
      <w:szCs w:val="24"/>
      <w:lang w:val="en-US"/>
    </w:rPr>
  </w:style>
  <w:style w:type="paragraph" w:styleId="36">
    <w:name w:val="toc 3"/>
    <w:basedOn w:val="a"/>
    <w:next w:val="a"/>
    <w:autoRedefine/>
    <w:uiPriority w:val="39"/>
    <w:qFormat/>
    <w:rsid w:val="00D43E8F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8"/>
      <w:sz w:val="18"/>
      <w:szCs w:val="18"/>
      <w:lang w:val="en-US"/>
    </w:rPr>
  </w:style>
  <w:style w:type="paragraph" w:styleId="affa">
    <w:name w:val="caption"/>
    <w:basedOn w:val="a"/>
    <w:next w:val="a"/>
    <w:qFormat/>
    <w:rsid w:val="00D43E8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F81BD"/>
      <w:kern w:val="28"/>
      <w:sz w:val="18"/>
      <w:szCs w:val="18"/>
      <w:lang w:val="en-US"/>
    </w:rPr>
  </w:style>
  <w:style w:type="paragraph" w:styleId="2">
    <w:name w:val="List Bullet 2"/>
    <w:basedOn w:val="a"/>
    <w:unhideWhenUsed/>
    <w:qFormat/>
    <w:rsid w:val="00D43E8F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val="en-US" w:eastAsia="ja-JP"/>
    </w:rPr>
  </w:style>
  <w:style w:type="paragraph" w:styleId="affb">
    <w:name w:val="Title"/>
    <w:basedOn w:val="a"/>
    <w:link w:val="affc"/>
    <w:autoRedefine/>
    <w:uiPriority w:val="10"/>
    <w:qFormat/>
    <w:rsid w:val="00D43E8F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Times New Roman" w:hAnsi="Verdana" w:cs="Times New Roman"/>
      <w:bCs/>
      <w:color w:val="000080"/>
      <w:kern w:val="28"/>
      <w:sz w:val="28"/>
      <w:szCs w:val="18"/>
      <w:u w:val="single"/>
      <w:lang w:val="en-US"/>
    </w:rPr>
  </w:style>
  <w:style w:type="character" w:customStyle="1" w:styleId="affc">
    <w:name w:val="Заголовок Знак"/>
    <w:basedOn w:val="a0"/>
    <w:link w:val="affb"/>
    <w:uiPriority w:val="10"/>
    <w:rsid w:val="00D43E8F"/>
    <w:rPr>
      <w:rFonts w:ascii="Verdana" w:eastAsia="Times New Roman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D43E8F"/>
    <w:pPr>
      <w:keepLines/>
      <w:widowControl w:val="0"/>
      <w:overflowPunct w:val="0"/>
      <w:adjustRightInd w:val="0"/>
      <w:spacing w:before="480"/>
      <w:outlineLvl w:val="9"/>
    </w:pPr>
    <w:rPr>
      <w:rFonts w:ascii="Cambria" w:hAnsi="Cambria"/>
      <w:color w:val="365F91"/>
      <w:szCs w:val="28"/>
    </w:rPr>
  </w:style>
  <w:style w:type="paragraph" w:customStyle="1" w:styleId="TableHeading">
    <w:name w:val="Table Heading"/>
    <w:basedOn w:val="a"/>
    <w:autoRedefine/>
    <w:qFormat/>
    <w:rsid w:val="00D43E8F"/>
    <w:pPr>
      <w:widowControl w:val="0"/>
      <w:overflowPunct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val="en-US"/>
    </w:rPr>
  </w:style>
  <w:style w:type="paragraph" w:customStyle="1" w:styleId="TableText">
    <w:name w:val="Table Text"/>
    <w:basedOn w:val="TableHeading"/>
    <w:autoRedefine/>
    <w:qFormat/>
    <w:rsid w:val="00D43E8F"/>
    <w:pPr>
      <w:ind w:left="237" w:hanging="237"/>
    </w:pPr>
  </w:style>
  <w:style w:type="character" w:customStyle="1" w:styleId="IntenseEmphasis1">
    <w:name w:val="Intense Emphasis1"/>
    <w:uiPriority w:val="21"/>
    <w:qFormat/>
    <w:rsid w:val="00D43E8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D43E8F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uiPriority w:val="33"/>
    <w:qFormat/>
    <w:rsid w:val="00D43E8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D43E8F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customStyle="1" w:styleId="-11">
    <w:name w:val="Цветной список - Акцент 11"/>
    <w:basedOn w:val="a1"/>
    <w:next w:val="-1"/>
    <w:uiPriority w:val="72"/>
    <w:rsid w:val="00D43E8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link w:val="Split"/>
    <w:rsid w:val="00D43E8F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a"/>
    <w:rsid w:val="00D43E8F"/>
    <w:pPr>
      <w:tabs>
        <w:tab w:val="left" w:pos="360"/>
      </w:tabs>
      <w:spacing w:after="20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a"/>
    <w:rsid w:val="00D43E8F"/>
    <w:pPr>
      <w:spacing w:after="20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2a">
    <w:name w:val="Body Text 2"/>
    <w:basedOn w:val="a"/>
    <w:link w:val="2b"/>
    <w:uiPriority w:val="99"/>
    <w:unhideWhenUsed/>
    <w:rsid w:val="00D43E8F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2b">
    <w:name w:val="Основной текст 2 Знак"/>
    <w:basedOn w:val="a0"/>
    <w:link w:val="2a"/>
    <w:uiPriority w:val="99"/>
    <w:rsid w:val="00D43E8F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16">
    <w:name w:val="Гиперссылка1"/>
    <w:uiPriority w:val="99"/>
    <w:unhideWhenUsed/>
    <w:rsid w:val="00D43E8F"/>
    <w:rPr>
      <w:color w:val="0000FF"/>
      <w:u w:val="single"/>
    </w:rPr>
  </w:style>
  <w:style w:type="character" w:customStyle="1" w:styleId="17">
    <w:name w:val="Просмотренная гиперссылка1"/>
    <w:uiPriority w:val="99"/>
    <w:semiHidden/>
    <w:unhideWhenUsed/>
    <w:rsid w:val="00D43E8F"/>
    <w:rPr>
      <w:color w:val="800080"/>
      <w:u w:val="single"/>
    </w:rPr>
  </w:style>
  <w:style w:type="paragraph" w:customStyle="1" w:styleId="Section3-Heading1">
    <w:name w:val="Section 3 - Heading 1"/>
    <w:basedOn w:val="a"/>
    <w:rsid w:val="00D43E8F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paragraph" w:customStyle="1" w:styleId="Sub-ClauseText">
    <w:name w:val="Sub-Clause Text"/>
    <w:basedOn w:val="a"/>
    <w:rsid w:val="00D43E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18">
    <w:name w:val="index 1"/>
    <w:basedOn w:val="a"/>
    <w:next w:val="a"/>
    <w:semiHidden/>
    <w:rsid w:val="00D43E8F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index heading"/>
    <w:basedOn w:val="a"/>
    <w:next w:val="18"/>
    <w:uiPriority w:val="99"/>
    <w:rsid w:val="00D43E8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ffe">
    <w:name w:val="Date"/>
    <w:basedOn w:val="a"/>
    <w:next w:val="a"/>
    <w:link w:val="afff"/>
    <w:uiPriority w:val="99"/>
    <w:rsid w:val="00D4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">
    <w:name w:val="Дата Знак"/>
    <w:basedOn w:val="a0"/>
    <w:link w:val="affe"/>
    <w:uiPriority w:val="99"/>
    <w:rsid w:val="00D43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8">
    <w:name w:val="p28"/>
    <w:basedOn w:val="a"/>
    <w:rsid w:val="00D43E8F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customStyle="1" w:styleId="1111">
    <w:name w:val="Сетка таблицы111"/>
    <w:basedOn w:val="a1"/>
    <w:next w:val="afe"/>
    <w:rsid w:val="00D43E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sRight">
    <w:name w:val="Columns Right"/>
    <w:basedOn w:val="a"/>
    <w:link w:val="ColumnsRightChar"/>
    <w:rsid w:val="00D43E8F"/>
    <w:pPr>
      <w:widowControl w:val="0"/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D43E8F"/>
    <w:pPr>
      <w:numPr>
        <w:ilvl w:val="0"/>
      </w:numPr>
      <w:tabs>
        <w:tab w:val="clear" w:pos="432"/>
        <w:tab w:val="num" w:pos="405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D43E8F"/>
    <w:pPr>
      <w:numPr>
        <w:ilvl w:val="2"/>
      </w:numPr>
      <w:tabs>
        <w:tab w:val="clear" w:pos="720"/>
        <w:tab w:val="num" w:pos="405"/>
      </w:tabs>
      <w:ind w:left="2160" w:hanging="180"/>
    </w:pPr>
  </w:style>
  <w:style w:type="character" w:customStyle="1" w:styleId="ColumnsRightChar">
    <w:name w:val="Columns Right Char"/>
    <w:link w:val="ColumnsRight"/>
    <w:rsid w:val="00D43E8F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a"/>
    <w:rsid w:val="00D43E8F"/>
    <w:pPr>
      <w:spacing w:before="100" w:beforeAutospacing="1" w:after="120" w:line="312" w:lineRule="atLeast"/>
      <w:jc w:val="righ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uthor">
    <w:name w:val="author"/>
    <w:basedOn w:val="a"/>
    <w:rsid w:val="00D43E8F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-1">
    <w:name w:val="Colorful List Accent 1"/>
    <w:basedOn w:val="a1"/>
    <w:uiPriority w:val="72"/>
    <w:rsid w:val="00D43E8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rsid w:val="00D43E8F"/>
  </w:style>
  <w:style w:type="character" w:customStyle="1" w:styleId="bannerproductname">
    <w:name w:val="banner_productname"/>
    <w:rsid w:val="00D43E8F"/>
  </w:style>
  <w:style w:type="table" w:customStyle="1" w:styleId="210">
    <w:name w:val="Сетка таблицы21"/>
    <w:basedOn w:val="a1"/>
    <w:next w:val="afe"/>
    <w:uiPriority w:val="39"/>
    <w:rsid w:val="00D43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D43E8F"/>
  </w:style>
  <w:style w:type="character" w:customStyle="1" w:styleId="FootnoteCharacters">
    <w:name w:val="Footnote Characters"/>
    <w:rsid w:val="00D43E8F"/>
  </w:style>
  <w:style w:type="character" w:customStyle="1" w:styleId="tagtrans">
    <w:name w:val="tag_trans"/>
    <w:rsid w:val="00D43E8F"/>
  </w:style>
  <w:style w:type="numbering" w:customStyle="1" w:styleId="43">
    <w:name w:val="Нет списка4"/>
    <w:next w:val="a2"/>
    <w:uiPriority w:val="99"/>
    <w:semiHidden/>
    <w:unhideWhenUsed/>
    <w:rsid w:val="00D43E8F"/>
  </w:style>
  <w:style w:type="numbering" w:customStyle="1" w:styleId="51">
    <w:name w:val="Нет списка5"/>
    <w:next w:val="a2"/>
    <w:uiPriority w:val="99"/>
    <w:semiHidden/>
    <w:unhideWhenUsed/>
    <w:rsid w:val="00D43E8F"/>
  </w:style>
  <w:style w:type="table" w:customStyle="1" w:styleId="310">
    <w:name w:val="Сетка таблицы31"/>
    <w:basedOn w:val="a1"/>
    <w:next w:val="afe"/>
    <w:uiPriority w:val="59"/>
    <w:rsid w:val="00D4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43E8F"/>
  </w:style>
  <w:style w:type="character" w:customStyle="1" w:styleId="n-product-specvalue-inner3">
    <w:name w:val="n-product-spec__value-inner3"/>
    <w:rsid w:val="00D43E8F"/>
    <w:rPr>
      <w:vanish w:val="0"/>
      <w:webHidden w:val="0"/>
      <w:specVanish w:val="0"/>
    </w:rPr>
  </w:style>
  <w:style w:type="character" w:customStyle="1" w:styleId="delimitor">
    <w:name w:val="delimitor"/>
    <w:rsid w:val="00D43E8F"/>
  </w:style>
  <w:style w:type="character" w:customStyle="1" w:styleId="n-product-specname-inner">
    <w:name w:val="n-product-spec__name-inner"/>
    <w:rsid w:val="00D43E8F"/>
  </w:style>
  <w:style w:type="character" w:customStyle="1" w:styleId="n-product-specvalue-inner">
    <w:name w:val="n-product-spec__value-inner"/>
    <w:rsid w:val="00D43E8F"/>
  </w:style>
  <w:style w:type="numbering" w:customStyle="1" w:styleId="71">
    <w:name w:val="Нет списка7"/>
    <w:next w:val="a2"/>
    <w:uiPriority w:val="99"/>
    <w:semiHidden/>
    <w:unhideWhenUsed/>
    <w:rsid w:val="00D43E8F"/>
  </w:style>
  <w:style w:type="character" w:customStyle="1" w:styleId="tlid-translation">
    <w:name w:val="tlid-translation"/>
    <w:rsid w:val="00D43E8F"/>
  </w:style>
  <w:style w:type="character" w:customStyle="1" w:styleId="a-size-base">
    <w:name w:val="a-size-base"/>
    <w:rsid w:val="00D43E8F"/>
  </w:style>
  <w:style w:type="character" w:customStyle="1" w:styleId="linkinner">
    <w:name w:val="link__inner"/>
    <w:rsid w:val="00D43E8F"/>
  </w:style>
  <w:style w:type="character" w:customStyle="1" w:styleId="afff0">
    <w:name w:val="Основной текст + Не полужирный"/>
    <w:aliases w:val="Интервал 0 pt"/>
    <w:rsid w:val="00D43E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prouctname">
    <w:name w:val="prouct_name"/>
    <w:rsid w:val="00D43E8F"/>
  </w:style>
  <w:style w:type="character" w:customStyle="1" w:styleId="19">
    <w:name w:val="Неразрешенное упоминание1"/>
    <w:uiPriority w:val="99"/>
    <w:semiHidden/>
    <w:unhideWhenUsed/>
    <w:rsid w:val="00D43E8F"/>
    <w:rPr>
      <w:color w:val="605E5C"/>
      <w:shd w:val="clear" w:color="auto" w:fill="E1DFDD"/>
    </w:rPr>
  </w:style>
  <w:style w:type="paragraph" w:customStyle="1" w:styleId="CharChar0">
    <w:name w:val="Char Char Знак Знак Знак"/>
    <w:basedOn w:val="a"/>
    <w:uiPriority w:val="99"/>
    <w:rsid w:val="00D43E8F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FontStyle33">
    <w:name w:val="Font Style33"/>
    <w:uiPriority w:val="99"/>
    <w:rsid w:val="00D43E8F"/>
    <w:rPr>
      <w:rFonts w:ascii="Calibri" w:hAnsi="Calibri" w:cs="Calibri"/>
      <w:color w:val="000000"/>
      <w:sz w:val="18"/>
      <w:szCs w:val="18"/>
    </w:rPr>
  </w:style>
  <w:style w:type="character" w:customStyle="1" w:styleId="2c">
    <w:name w:val="Основной текст (2) + Курсив"/>
    <w:rsid w:val="00D43E8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numbering" w:customStyle="1" w:styleId="120">
    <w:name w:val="Нет списка12"/>
    <w:next w:val="a2"/>
    <w:uiPriority w:val="99"/>
    <w:semiHidden/>
    <w:unhideWhenUsed/>
    <w:rsid w:val="00D43E8F"/>
  </w:style>
  <w:style w:type="numbering" w:customStyle="1" w:styleId="130">
    <w:name w:val="Нет списка13"/>
    <w:next w:val="a2"/>
    <w:uiPriority w:val="99"/>
    <w:semiHidden/>
    <w:unhideWhenUsed/>
    <w:rsid w:val="00D43E8F"/>
  </w:style>
  <w:style w:type="character" w:customStyle="1" w:styleId="valuetext">
    <w:name w:val="value__text"/>
    <w:rsid w:val="00D43E8F"/>
  </w:style>
  <w:style w:type="character" w:customStyle="1" w:styleId="2d">
    <w:name w:val="Неразрешенное упоминание2"/>
    <w:uiPriority w:val="99"/>
    <w:semiHidden/>
    <w:unhideWhenUsed/>
    <w:rsid w:val="00D43E8F"/>
    <w:rPr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D43E8F"/>
    <w:rPr>
      <w:color w:val="605E5C"/>
      <w:shd w:val="clear" w:color="auto" w:fill="E1DFDD"/>
    </w:rPr>
  </w:style>
  <w:style w:type="character" w:customStyle="1" w:styleId="38">
    <w:name w:val="Неразрешенное упоминание3"/>
    <w:uiPriority w:val="99"/>
    <w:semiHidden/>
    <w:unhideWhenUsed/>
    <w:rsid w:val="00D43E8F"/>
    <w:rPr>
      <w:color w:val="605E5C"/>
      <w:shd w:val="clear" w:color="auto" w:fill="E1DFDD"/>
    </w:rPr>
  </w:style>
  <w:style w:type="character" w:styleId="afff1">
    <w:name w:val="Unresolved Mention"/>
    <w:uiPriority w:val="99"/>
    <w:semiHidden/>
    <w:unhideWhenUsed/>
    <w:rsid w:val="00D4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5850</Words>
  <Characters>34402</Characters>
  <Application>Microsoft Office Word</Application>
  <DocSecurity>0</DocSecurity>
  <Lines>661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Anarkul Ozgen</dc:creator>
  <cp:keywords/>
  <dc:description/>
  <cp:lastModifiedBy>Anarkul Ozgen</cp:lastModifiedBy>
  <cp:revision>1</cp:revision>
  <dcterms:created xsi:type="dcterms:W3CDTF">2019-11-29T04:52:00Z</dcterms:created>
  <dcterms:modified xsi:type="dcterms:W3CDTF">2019-11-29T04:54:00Z</dcterms:modified>
</cp:coreProperties>
</file>