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33AE73C0" w14:textId="77777777" w:rsidR="00FF085C" w:rsidRDefault="00FF085C" w:rsidP="00FF085C">
      <w:pPr>
        <w:tabs>
          <w:tab w:val="left" w:pos="9270"/>
        </w:tabs>
        <w:spacing w:after="0" w:line="240" w:lineRule="auto"/>
        <w:jc w:val="both"/>
        <w:rPr>
          <w:rFonts w:ascii="Arial" w:eastAsia="Times New Roman" w:hAnsi="Arial" w:cs="Arial"/>
          <w:i/>
          <w:sz w:val="20"/>
          <w:szCs w:val="20"/>
          <w:lang w:eastAsia="en-PH"/>
        </w:rPr>
      </w:pPr>
      <w:r>
        <w:rPr>
          <w:rFonts w:ascii="Arial" w:eastAsia="Times New Roman" w:hAnsi="Arial" w:cs="Arial"/>
          <w:i/>
          <w:sz w:val="20"/>
          <w:szCs w:val="20"/>
          <w:lang w:eastAsia="en-PH"/>
        </w:rPr>
        <w:t>Resident Representative</w:t>
      </w:r>
    </w:p>
    <w:p w14:paraId="469B57C1" w14:textId="77777777" w:rsidR="00FF085C" w:rsidRDefault="00FF085C" w:rsidP="00FF085C">
      <w:pPr>
        <w:tabs>
          <w:tab w:val="left" w:pos="9270"/>
        </w:tabs>
        <w:spacing w:after="0" w:line="240" w:lineRule="auto"/>
        <w:jc w:val="both"/>
        <w:rPr>
          <w:rFonts w:ascii="Arial" w:eastAsia="Times New Roman" w:hAnsi="Arial" w:cs="Arial"/>
          <w:i/>
          <w:sz w:val="20"/>
          <w:szCs w:val="20"/>
          <w:lang w:eastAsia="en-PH"/>
        </w:rPr>
      </w:pPr>
      <w:r>
        <w:rPr>
          <w:rFonts w:ascii="Arial" w:eastAsia="Times New Roman" w:hAnsi="Arial" w:cs="Arial"/>
          <w:i/>
          <w:sz w:val="20"/>
          <w:szCs w:val="20"/>
          <w:lang w:eastAsia="en-PH"/>
        </w:rPr>
        <w:t>United Nations Development Programme</w:t>
      </w:r>
    </w:p>
    <w:p w14:paraId="50825A22" w14:textId="77777777" w:rsidR="00FF085C" w:rsidRDefault="00FF085C" w:rsidP="00FF085C">
      <w:pPr>
        <w:tabs>
          <w:tab w:val="left" w:pos="9270"/>
        </w:tabs>
        <w:spacing w:after="0" w:line="240" w:lineRule="auto"/>
        <w:jc w:val="both"/>
        <w:rPr>
          <w:rFonts w:ascii="Arial" w:eastAsia="Times New Roman" w:hAnsi="Arial" w:cs="Arial"/>
          <w:i/>
          <w:sz w:val="20"/>
          <w:szCs w:val="20"/>
          <w:lang w:eastAsia="en-PH"/>
        </w:rPr>
      </w:pPr>
      <w:r>
        <w:rPr>
          <w:rFonts w:ascii="Arial" w:eastAsia="Times New Roman" w:hAnsi="Arial" w:cs="Arial"/>
          <w:i/>
          <w:sz w:val="20"/>
          <w:szCs w:val="20"/>
          <w:lang w:eastAsia="en-PH"/>
        </w:rPr>
        <w:t>12th Floor, United Nations Building</w:t>
      </w:r>
    </w:p>
    <w:p w14:paraId="33C8AE15" w14:textId="77777777" w:rsidR="00FF085C" w:rsidRDefault="00FF085C" w:rsidP="00FF085C">
      <w:pPr>
        <w:tabs>
          <w:tab w:val="left" w:pos="9270"/>
        </w:tabs>
        <w:spacing w:after="0" w:line="240" w:lineRule="auto"/>
        <w:jc w:val="both"/>
        <w:rPr>
          <w:rFonts w:ascii="Arial" w:eastAsia="Times New Roman" w:hAnsi="Arial" w:cs="Arial"/>
          <w:i/>
          <w:sz w:val="20"/>
          <w:szCs w:val="20"/>
          <w:lang w:eastAsia="en-PH"/>
        </w:rPr>
      </w:pPr>
      <w:proofErr w:type="spellStart"/>
      <w:r>
        <w:rPr>
          <w:rFonts w:ascii="Arial" w:eastAsia="Times New Roman" w:hAnsi="Arial" w:cs="Arial"/>
          <w:i/>
          <w:sz w:val="20"/>
          <w:szCs w:val="20"/>
          <w:lang w:eastAsia="en-PH"/>
        </w:rPr>
        <w:t>Rajdamnern</w:t>
      </w:r>
      <w:proofErr w:type="spellEnd"/>
      <w:r>
        <w:rPr>
          <w:rFonts w:ascii="Arial" w:eastAsia="Times New Roman" w:hAnsi="Arial" w:cs="Arial"/>
          <w:i/>
          <w:sz w:val="20"/>
          <w:szCs w:val="20"/>
          <w:lang w:eastAsia="en-PH"/>
        </w:rPr>
        <w:t xml:space="preserve"> </w:t>
      </w:r>
      <w:proofErr w:type="spellStart"/>
      <w:r>
        <w:rPr>
          <w:rFonts w:ascii="Arial" w:eastAsia="Times New Roman" w:hAnsi="Arial" w:cs="Arial"/>
          <w:i/>
          <w:sz w:val="20"/>
          <w:szCs w:val="20"/>
          <w:lang w:eastAsia="en-PH"/>
        </w:rPr>
        <w:t>Nok</w:t>
      </w:r>
      <w:proofErr w:type="spellEnd"/>
      <w:r>
        <w:rPr>
          <w:rFonts w:ascii="Arial" w:eastAsia="Times New Roman" w:hAnsi="Arial" w:cs="Arial"/>
          <w:i/>
          <w:sz w:val="20"/>
          <w:szCs w:val="20"/>
          <w:lang w:eastAsia="en-PH"/>
        </w:rPr>
        <w:t xml:space="preserve"> Avenue, 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2BA35B60" w14:textId="64CC9D67" w:rsidR="00D0425F" w:rsidRDefault="00D62E27" w:rsidP="00FF085C">
      <w:pPr>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w:t>
      </w:r>
      <w:r w:rsidR="00FF085C">
        <w:rPr>
          <w:rFonts w:ascii="Arial" w:eastAsia="Times New Roman" w:hAnsi="Arial" w:cs="Arial"/>
          <w:color w:val="000000"/>
          <w:sz w:val="20"/>
          <w:szCs w:val="20"/>
          <w:lang w:eastAsia="en-PH"/>
        </w:rPr>
        <w:t xml:space="preserve"> </w:t>
      </w:r>
      <w:r w:rsidR="00FF085C" w:rsidRPr="00FF085C">
        <w:rPr>
          <w:rFonts w:ascii="Arial" w:eastAsia="Times New Roman" w:hAnsi="Arial" w:cs="Arial"/>
          <w:color w:val="000000"/>
          <w:sz w:val="20"/>
          <w:szCs w:val="20"/>
          <w:lang w:eastAsia="en-PH"/>
        </w:rPr>
        <w:t>Technical Advisor to BIOFIN Thailand Phase 2</w:t>
      </w:r>
      <w:r w:rsidRPr="00D0425F">
        <w:rPr>
          <w:rFonts w:ascii="Arial" w:eastAsia="Times New Roman" w:hAnsi="Arial" w:cs="Arial"/>
          <w:color w:val="000000"/>
          <w:sz w:val="20"/>
          <w:szCs w:val="20"/>
          <w:lang w:eastAsia="en-PH"/>
        </w:rPr>
        <w:t xml:space="preserve"> under</w:t>
      </w:r>
      <w:r w:rsidR="00FF085C">
        <w:rPr>
          <w:rFonts w:ascii="Arial" w:eastAsia="Times New Roman" w:hAnsi="Arial" w:cs="Arial"/>
          <w:color w:val="000000"/>
          <w:sz w:val="20"/>
          <w:szCs w:val="20"/>
          <w:lang w:eastAsia="en-PH"/>
        </w:rPr>
        <w:t xml:space="preserve"> the  </w:t>
      </w:r>
      <w:r w:rsidR="00FF085C" w:rsidRPr="00FF085C">
        <w:rPr>
          <w:rFonts w:ascii="Arial" w:eastAsia="Times New Roman" w:hAnsi="Arial" w:cs="Arial"/>
          <w:color w:val="000000"/>
          <w:sz w:val="20"/>
          <w:szCs w:val="20"/>
          <w:lang w:eastAsia="en-PH"/>
        </w:rPr>
        <w:t>UNDP / Biodiversity Finance Initiative - BIOFIN</w:t>
      </w: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3AF668B0"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w:t>
      </w:r>
      <w:r w:rsidR="00233791">
        <w:rPr>
          <w:rFonts w:ascii="Arial" w:eastAsia="Times New Roman" w:hAnsi="Arial" w:cs="Arial"/>
          <w:color w:val="000000"/>
          <w:sz w:val="20"/>
          <w:szCs w:val="20"/>
          <w:lang w:eastAsia="en-PH"/>
        </w:rPr>
        <w:t>tire duration of the assignment</w:t>
      </w:r>
      <w:proofErr w:type="gramStart"/>
      <w:r w:rsidR="00233791">
        <w:rPr>
          <w:rFonts w:ascii="Arial" w:eastAsia="Times New Roman" w:hAnsi="Arial" w:cs="Arial"/>
          <w:color w:val="00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653"/>
        <w:gridCol w:w="1251"/>
        <w:gridCol w:w="2950"/>
        <w:gridCol w:w="1219"/>
        <w:gridCol w:w="1225"/>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190A1BD0" w:rsidR="00D62E27" w:rsidRPr="00834567" w:rsidRDefault="00D62E27" w:rsidP="00396C6B">
            <w:pPr>
              <w:tabs>
                <w:tab w:val="left" w:pos="1890"/>
              </w:tabs>
              <w:jc w:val="center"/>
              <w:rPr>
                <w:rFonts w:ascii="Arial" w:eastAsiaTheme="minorEastAsia" w:hAnsi="Arial"/>
                <w:b/>
                <w:sz w:val="20"/>
                <w:szCs w:val="25"/>
                <w:lang w:val="en-US" w:eastAsia="zh-CN" w:bidi="th-TH"/>
              </w:rPr>
            </w:pPr>
            <w:r w:rsidRPr="000F482B">
              <w:rPr>
                <w:rFonts w:ascii="Arial" w:hAnsi="Arial" w:cs="Arial"/>
                <w:b/>
                <w:sz w:val="20"/>
                <w:szCs w:val="20"/>
              </w:rPr>
              <w:t>UNDP Business Unit / Name of Institution/Company</w:t>
            </w:r>
            <w:r w:rsidR="00834567">
              <w:rPr>
                <w:rFonts w:ascii="Arial" w:hAnsi="Arial"/>
                <w:b/>
                <w:sz w:val="20"/>
                <w:szCs w:val="25"/>
                <w:lang w:bidi="th-TH"/>
              </w:rPr>
              <w:t>/Contact Email</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94"/>
        <w:gridCol w:w="1499"/>
        <w:gridCol w:w="1928"/>
        <w:gridCol w:w="1432"/>
        <w:gridCol w:w="1445"/>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33D9C9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r w:rsidR="00834567">
              <w:rPr>
                <w:rFonts w:ascii="Arial" w:hAnsi="Arial" w:cs="Arial"/>
                <w:b/>
                <w:sz w:val="20"/>
                <w:szCs w:val="20"/>
              </w:rPr>
              <w:t>/Contact Email</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w:t>
      </w:r>
      <w:proofErr w:type="gramStart"/>
      <w:r w:rsidRPr="00135365">
        <w:rPr>
          <w:rFonts w:ascii="Arial" w:hAnsi="Arial" w:cs="Arial"/>
          <w:sz w:val="20"/>
          <w:szCs w:val="20"/>
          <w:lang w:val="en-US"/>
        </w:rPr>
        <w:t>no expectations nor</w:t>
      </w:r>
      <w:proofErr w:type="gramEnd"/>
      <w:r w:rsidRPr="00135365">
        <w:rPr>
          <w:rFonts w:ascii="Arial" w:hAnsi="Arial" w:cs="Arial"/>
          <w:sz w:val="20"/>
          <w:szCs w:val="20"/>
          <w:lang w:val="en-US"/>
        </w:rPr>
        <w:t xml:space="preserve">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0ABE1C03"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834567">
              <w:rPr>
                <w:rFonts w:ascii="Arial" w:hAnsi="Arial" w:cs="Arial"/>
                <w:b/>
                <w:sz w:val="20"/>
                <w:szCs w:val="20"/>
              </w:rPr>
              <w:t>/Contact Email</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w:t>
      </w:r>
      <w:proofErr w:type="gramStart"/>
      <w:r w:rsidRPr="00135365">
        <w:rPr>
          <w:rFonts w:ascii="Arial" w:eastAsia="Times New Roman" w:hAnsi="Arial" w:cs="Arial"/>
          <w:sz w:val="20"/>
          <w:szCs w:val="20"/>
          <w:lang w:val="en-GB"/>
        </w:rPr>
        <w:t>give</w:t>
      </w:r>
      <w:proofErr w:type="gramEnd"/>
      <w:r w:rsidRPr="00135365">
        <w:rPr>
          <w:rFonts w:ascii="Arial" w:eastAsia="Times New Roman" w:hAnsi="Arial" w:cs="Arial"/>
          <w:sz w:val="20"/>
          <w:szCs w:val="20"/>
          <w:lang w:val="en-GB"/>
        </w:rPr>
        <w:t xml:space="preser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1A1AFD22"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2124"/>
        <w:gridCol w:w="3073"/>
      </w:tblGrid>
      <w:tr w:rsidR="00D62E27" w:rsidRPr="000F482B" w14:paraId="1BFBAD0A" w14:textId="77777777" w:rsidTr="00233791">
        <w:tc>
          <w:tcPr>
            <w:tcW w:w="344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212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233791" w:rsidRPr="000F482B" w14:paraId="21FA2334" w14:textId="77777777" w:rsidTr="00233791">
        <w:tc>
          <w:tcPr>
            <w:tcW w:w="3443" w:type="dxa"/>
          </w:tcPr>
          <w:p w14:paraId="664492A7" w14:textId="49F748AE" w:rsidR="00233791" w:rsidRPr="00EC29A6" w:rsidRDefault="00233791" w:rsidP="00233791">
            <w:pPr>
              <w:spacing w:after="0" w:line="240" w:lineRule="auto"/>
              <w:rPr>
                <w:rFonts w:ascii="Arial" w:eastAsia="Calibri" w:hAnsi="Arial" w:cs="Arial"/>
                <w:snapToGrid w:val="0"/>
                <w:sz w:val="20"/>
                <w:szCs w:val="20"/>
              </w:rPr>
            </w:pPr>
            <w:r w:rsidRPr="00EC29A6">
              <w:rPr>
                <w:rFonts w:asciiTheme="majorHAnsi" w:hAnsiTheme="majorHAnsi" w:cs="Arial"/>
                <w:u w:val="single"/>
                <w:lang w:eastAsia="da-DK" w:bidi="th-TH"/>
              </w:rPr>
              <w:t>Deliverable 1</w:t>
            </w:r>
            <w:r w:rsidRPr="00EC29A6">
              <w:rPr>
                <w:rFonts w:asciiTheme="majorHAnsi" w:hAnsiTheme="majorHAnsi" w:cs="Arial"/>
                <w:lang w:eastAsia="da-DK" w:bidi="th-TH"/>
              </w:rPr>
              <w:t xml:space="preserve">: Submission of the result framework with roadmap for implementing the conservation license plate schemes and the Local Government Unit budgeting for biodiversity: </w:t>
            </w:r>
          </w:p>
        </w:tc>
        <w:tc>
          <w:tcPr>
            <w:tcW w:w="2124" w:type="dxa"/>
          </w:tcPr>
          <w:p w14:paraId="6FBAEBB4" w14:textId="77777777" w:rsidR="00233791" w:rsidRPr="00EC29A6" w:rsidRDefault="00233791" w:rsidP="00396C6B">
            <w:pPr>
              <w:spacing w:after="0" w:line="240" w:lineRule="auto"/>
              <w:rPr>
                <w:rFonts w:ascii="Arial" w:eastAsia="Calibri" w:hAnsi="Arial" w:cs="Arial"/>
                <w:snapToGrid w:val="0"/>
                <w:sz w:val="20"/>
                <w:szCs w:val="20"/>
              </w:rPr>
            </w:pPr>
          </w:p>
          <w:p w14:paraId="70F14CD4" w14:textId="2EAC1354"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10% of total contract amount)</w:t>
            </w:r>
          </w:p>
        </w:tc>
        <w:tc>
          <w:tcPr>
            <w:tcW w:w="3073" w:type="dxa"/>
          </w:tcPr>
          <w:p w14:paraId="741D4557" w14:textId="77777777" w:rsidR="00233791" w:rsidRPr="000F482B" w:rsidRDefault="00233791" w:rsidP="00396C6B">
            <w:pPr>
              <w:spacing w:after="0" w:line="240" w:lineRule="auto"/>
              <w:rPr>
                <w:rFonts w:ascii="Arial" w:eastAsia="Calibri" w:hAnsi="Arial" w:cs="Arial"/>
                <w:snapToGrid w:val="0"/>
                <w:sz w:val="20"/>
                <w:szCs w:val="20"/>
              </w:rPr>
            </w:pPr>
          </w:p>
        </w:tc>
      </w:tr>
      <w:tr w:rsidR="00233791" w:rsidRPr="000F482B" w14:paraId="1158044D" w14:textId="77777777" w:rsidTr="00233791">
        <w:tc>
          <w:tcPr>
            <w:tcW w:w="3443" w:type="dxa"/>
          </w:tcPr>
          <w:p w14:paraId="14253A77" w14:textId="25A4613E" w:rsidR="00233791" w:rsidRPr="00EC29A6" w:rsidRDefault="00233791" w:rsidP="00233791">
            <w:pPr>
              <w:spacing w:after="0" w:line="240" w:lineRule="auto"/>
              <w:rPr>
                <w:rFonts w:ascii="Arial" w:eastAsia="Calibri" w:hAnsi="Arial" w:cs="Arial"/>
                <w:snapToGrid w:val="0"/>
                <w:sz w:val="20"/>
                <w:szCs w:val="20"/>
              </w:rPr>
            </w:pPr>
            <w:r w:rsidRPr="00EC29A6">
              <w:rPr>
                <w:rFonts w:asciiTheme="majorHAnsi" w:hAnsiTheme="majorHAnsi" w:cs="Arial"/>
                <w:u w:val="single"/>
                <w:lang w:eastAsia="da-DK" w:bidi="th-TH"/>
              </w:rPr>
              <w:t>Deliverable 2</w:t>
            </w:r>
            <w:r w:rsidRPr="00EC29A6">
              <w:rPr>
                <w:rFonts w:asciiTheme="majorHAnsi" w:hAnsiTheme="majorHAnsi" w:cs="Arial"/>
                <w:lang w:eastAsia="da-DK" w:bidi="th-TH"/>
              </w:rPr>
              <w:t xml:space="preserve">:  Completion of </w:t>
            </w:r>
            <w:r w:rsidRPr="00EC29A6">
              <w:rPr>
                <w:rFonts w:asciiTheme="majorHAnsi" w:hAnsiTheme="majorHAnsi" w:cstheme="minorHAnsi"/>
                <w:bCs/>
              </w:rPr>
              <w:t xml:space="preserve">the Monitoring and Evaluation system </w:t>
            </w:r>
            <w:r w:rsidRPr="00EC29A6">
              <w:rPr>
                <w:rFonts w:asciiTheme="majorHAnsi" w:hAnsiTheme="majorHAnsi" w:cstheme="minorHAnsi"/>
                <w:bCs/>
              </w:rPr>
              <w:lastRenderedPageBreak/>
              <w:t>for BIOFIN Thailand</w:t>
            </w:r>
            <w:r w:rsidRPr="00EC29A6">
              <w:rPr>
                <w:rFonts w:asciiTheme="majorHAnsi" w:hAnsiTheme="majorHAnsi" w:cs="Times New Roman"/>
                <w:bCs/>
              </w:rPr>
              <w:t xml:space="preserve">: </w:t>
            </w:r>
          </w:p>
        </w:tc>
        <w:tc>
          <w:tcPr>
            <w:tcW w:w="2124" w:type="dxa"/>
          </w:tcPr>
          <w:p w14:paraId="7340A006" w14:textId="2E335440"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lastRenderedPageBreak/>
              <w:t>8% of total contract amount</w:t>
            </w:r>
          </w:p>
        </w:tc>
        <w:tc>
          <w:tcPr>
            <w:tcW w:w="3073" w:type="dxa"/>
          </w:tcPr>
          <w:p w14:paraId="1147FA3F" w14:textId="77777777" w:rsidR="00233791" w:rsidRPr="000F482B" w:rsidRDefault="00233791" w:rsidP="00396C6B">
            <w:pPr>
              <w:spacing w:after="0" w:line="240" w:lineRule="auto"/>
              <w:rPr>
                <w:rFonts w:ascii="Arial" w:eastAsia="Calibri" w:hAnsi="Arial" w:cs="Arial"/>
                <w:snapToGrid w:val="0"/>
                <w:sz w:val="20"/>
                <w:szCs w:val="20"/>
              </w:rPr>
            </w:pPr>
          </w:p>
        </w:tc>
      </w:tr>
      <w:tr w:rsidR="00233791" w:rsidRPr="000F482B" w14:paraId="30433621" w14:textId="77777777" w:rsidTr="00233791">
        <w:tc>
          <w:tcPr>
            <w:tcW w:w="3443" w:type="dxa"/>
          </w:tcPr>
          <w:p w14:paraId="78A9C766" w14:textId="0CEEEF25" w:rsidR="00233791" w:rsidRPr="000F482B" w:rsidRDefault="00233791" w:rsidP="00233791">
            <w:pPr>
              <w:spacing w:after="0" w:line="240" w:lineRule="auto"/>
              <w:rPr>
                <w:rFonts w:ascii="Arial" w:eastAsia="Calibri" w:hAnsi="Arial" w:cs="Arial"/>
                <w:snapToGrid w:val="0"/>
                <w:sz w:val="20"/>
                <w:szCs w:val="20"/>
              </w:rPr>
            </w:pPr>
            <w:r w:rsidRPr="0096747A">
              <w:rPr>
                <w:rFonts w:asciiTheme="majorHAnsi" w:hAnsiTheme="majorHAnsi" w:cstheme="minorHAnsi"/>
                <w:bCs/>
                <w:u w:val="single"/>
              </w:rPr>
              <w:lastRenderedPageBreak/>
              <w:t>Deliverable 3</w:t>
            </w:r>
            <w:r w:rsidRPr="0096747A">
              <w:rPr>
                <w:rFonts w:asciiTheme="majorHAnsi" w:hAnsiTheme="majorHAnsi" w:cstheme="minorHAnsi"/>
                <w:bCs/>
              </w:rPr>
              <w:t xml:space="preserve">: </w:t>
            </w:r>
            <w:r w:rsidRPr="0096747A">
              <w:rPr>
                <w:rFonts w:asciiTheme="majorHAnsi" w:hAnsiTheme="majorHAnsi"/>
              </w:rPr>
              <w:t xml:space="preserve">Submission of technical </w:t>
            </w:r>
            <w:r w:rsidRPr="0096747A">
              <w:rPr>
                <w:rFonts w:asciiTheme="majorHAnsi" w:eastAsia="Times New Roman" w:hAnsiTheme="majorHAnsi"/>
              </w:rPr>
              <w:t>report of the first  Quarter/2020</w:t>
            </w:r>
          </w:p>
        </w:tc>
        <w:tc>
          <w:tcPr>
            <w:tcW w:w="2124" w:type="dxa"/>
          </w:tcPr>
          <w:p w14:paraId="2453948F" w14:textId="4D93646D"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p>
        </w:tc>
        <w:tc>
          <w:tcPr>
            <w:tcW w:w="3073" w:type="dxa"/>
          </w:tcPr>
          <w:p w14:paraId="3576F935" w14:textId="77777777" w:rsidR="00233791" w:rsidRPr="000F482B" w:rsidRDefault="00233791" w:rsidP="00396C6B">
            <w:pPr>
              <w:spacing w:after="0" w:line="240" w:lineRule="auto"/>
              <w:rPr>
                <w:rFonts w:ascii="Arial" w:eastAsia="Calibri" w:hAnsi="Arial" w:cs="Arial"/>
                <w:snapToGrid w:val="0"/>
                <w:sz w:val="20"/>
                <w:szCs w:val="20"/>
              </w:rPr>
            </w:pPr>
          </w:p>
        </w:tc>
      </w:tr>
      <w:tr w:rsidR="00233791" w:rsidRPr="000F482B" w14:paraId="62973B80" w14:textId="77777777" w:rsidTr="00233791">
        <w:tc>
          <w:tcPr>
            <w:tcW w:w="3443" w:type="dxa"/>
          </w:tcPr>
          <w:p w14:paraId="64C8DD34" w14:textId="1FE1881D" w:rsidR="00233791" w:rsidRPr="000F482B" w:rsidRDefault="00233791" w:rsidP="00233791">
            <w:pPr>
              <w:spacing w:after="0" w:line="240" w:lineRule="auto"/>
              <w:rPr>
                <w:rFonts w:ascii="Arial" w:eastAsia="Calibri" w:hAnsi="Arial" w:cs="Arial"/>
                <w:snapToGrid w:val="0"/>
                <w:sz w:val="20"/>
                <w:szCs w:val="20"/>
              </w:rPr>
            </w:pPr>
            <w:r w:rsidRPr="0096747A">
              <w:rPr>
                <w:rFonts w:asciiTheme="majorHAnsi" w:eastAsia="Times New Roman" w:hAnsiTheme="majorHAnsi"/>
                <w:u w:val="single"/>
              </w:rPr>
              <w:t>Deliverable 4</w:t>
            </w:r>
            <w:r w:rsidRPr="0096747A">
              <w:rPr>
                <w:rFonts w:asciiTheme="majorHAnsi" w:eastAsia="Times New Roman" w:hAnsiTheme="majorHAnsi"/>
              </w:rPr>
              <w:t xml:space="preserve">: </w:t>
            </w:r>
            <w:r w:rsidRPr="0096747A">
              <w:rPr>
                <w:rFonts w:asciiTheme="majorHAnsi" w:hAnsiTheme="majorHAnsi" w:cs="Arial"/>
                <w:lang w:eastAsia="da-DK" w:bidi="th-TH"/>
              </w:rPr>
              <w:t xml:space="preserve">Submission of </w:t>
            </w:r>
            <w:r w:rsidRPr="0096747A">
              <w:rPr>
                <w:rFonts w:asciiTheme="majorHAnsi" w:hAnsiTheme="majorHAnsi"/>
              </w:rPr>
              <w:t>the PowerPoint presentation with script in English for mission leader about the overview of BIOFIN Thailand with achievement against key milestones</w:t>
            </w:r>
          </w:p>
        </w:tc>
        <w:tc>
          <w:tcPr>
            <w:tcW w:w="2124" w:type="dxa"/>
          </w:tcPr>
          <w:p w14:paraId="08DAFCF2" w14:textId="3D667283"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p>
        </w:tc>
        <w:tc>
          <w:tcPr>
            <w:tcW w:w="3073" w:type="dxa"/>
          </w:tcPr>
          <w:p w14:paraId="5426765A"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1936EE3D" w14:textId="77777777" w:rsidTr="00233791">
        <w:tc>
          <w:tcPr>
            <w:tcW w:w="3443" w:type="dxa"/>
          </w:tcPr>
          <w:p w14:paraId="5EB2D0A8" w14:textId="5233C7D5" w:rsidR="00233791" w:rsidRPr="000F482B" w:rsidRDefault="00233791" w:rsidP="00233791">
            <w:pPr>
              <w:spacing w:after="0" w:line="240" w:lineRule="auto"/>
              <w:rPr>
                <w:rFonts w:ascii="Arial" w:eastAsia="Calibri" w:hAnsi="Arial" w:cs="Arial"/>
                <w:snapToGrid w:val="0"/>
                <w:sz w:val="20"/>
                <w:szCs w:val="20"/>
              </w:rPr>
            </w:pPr>
            <w:r w:rsidRPr="0096747A">
              <w:rPr>
                <w:rFonts w:asciiTheme="majorHAnsi" w:hAnsiTheme="majorHAnsi" w:cstheme="minorHAnsi"/>
                <w:bCs/>
                <w:u w:val="single"/>
              </w:rPr>
              <w:t>Deliverable 5</w:t>
            </w:r>
            <w:r w:rsidRPr="0096747A">
              <w:rPr>
                <w:rFonts w:asciiTheme="majorHAnsi" w:hAnsiTheme="majorHAnsi" w:cstheme="minorHAnsi"/>
                <w:b/>
                <w:bCs/>
              </w:rPr>
              <w:t xml:space="preserve">: </w:t>
            </w:r>
            <w:r w:rsidRPr="0096747A">
              <w:rPr>
                <w:rFonts w:asciiTheme="majorHAnsi" w:hAnsiTheme="majorHAnsi"/>
              </w:rPr>
              <w:t>Submission of the d</w:t>
            </w:r>
            <w:r w:rsidRPr="0096747A">
              <w:rPr>
                <w:rFonts w:asciiTheme="majorHAnsi" w:eastAsia="Times New Roman" w:hAnsiTheme="majorHAnsi"/>
              </w:rPr>
              <w:t>esign of the partnership instruments—consortium or working group among line agencies to implement the local government units’ budgeting for biodiversity in 5 regional hubs nationwide</w:t>
            </w:r>
          </w:p>
        </w:tc>
        <w:tc>
          <w:tcPr>
            <w:tcW w:w="2124" w:type="dxa"/>
          </w:tcPr>
          <w:p w14:paraId="0CFBA256" w14:textId="1234AC69"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p>
        </w:tc>
        <w:tc>
          <w:tcPr>
            <w:tcW w:w="3073" w:type="dxa"/>
          </w:tcPr>
          <w:p w14:paraId="2C8F86E6"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69E0C02D" w14:textId="77777777" w:rsidTr="00233791">
        <w:tc>
          <w:tcPr>
            <w:tcW w:w="3443" w:type="dxa"/>
          </w:tcPr>
          <w:p w14:paraId="613F5359" w14:textId="6D1DBBE6" w:rsidR="00233791" w:rsidRPr="000F482B" w:rsidRDefault="00233791" w:rsidP="00233791">
            <w:pPr>
              <w:spacing w:after="0" w:line="240" w:lineRule="auto"/>
              <w:rPr>
                <w:rFonts w:ascii="Arial" w:eastAsia="Calibri" w:hAnsi="Arial" w:cs="Arial"/>
                <w:snapToGrid w:val="0"/>
                <w:sz w:val="20"/>
                <w:szCs w:val="20"/>
              </w:rPr>
            </w:pPr>
            <w:r w:rsidRPr="0096747A">
              <w:rPr>
                <w:rFonts w:asciiTheme="majorHAnsi" w:hAnsiTheme="majorHAnsi" w:cstheme="minorHAnsi"/>
                <w:bCs/>
                <w:u w:val="single"/>
              </w:rPr>
              <w:t>Deliverable 6</w:t>
            </w:r>
            <w:r w:rsidRPr="0096747A">
              <w:rPr>
                <w:rFonts w:asciiTheme="majorHAnsi" w:hAnsiTheme="majorHAnsi" w:cstheme="minorHAnsi"/>
                <w:bCs/>
              </w:rPr>
              <w:t>: Completion of sub-tasks 6.1 and 6.2</w:t>
            </w:r>
          </w:p>
        </w:tc>
        <w:tc>
          <w:tcPr>
            <w:tcW w:w="2124" w:type="dxa"/>
          </w:tcPr>
          <w:p w14:paraId="556D6927" w14:textId="5EC2B20E"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p>
        </w:tc>
        <w:tc>
          <w:tcPr>
            <w:tcW w:w="3073" w:type="dxa"/>
          </w:tcPr>
          <w:p w14:paraId="6167E59E"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3FA15EF3" w14:textId="77777777" w:rsidTr="00233791">
        <w:tc>
          <w:tcPr>
            <w:tcW w:w="3443" w:type="dxa"/>
          </w:tcPr>
          <w:p w14:paraId="63A61C77" w14:textId="594B64FD" w:rsidR="00233791" w:rsidRPr="000F482B" w:rsidRDefault="00233791" w:rsidP="00233791">
            <w:pPr>
              <w:spacing w:after="0" w:line="240" w:lineRule="auto"/>
              <w:rPr>
                <w:rFonts w:ascii="Arial" w:eastAsia="Calibri" w:hAnsi="Arial" w:cs="Arial"/>
                <w:snapToGrid w:val="0"/>
                <w:sz w:val="20"/>
                <w:szCs w:val="20"/>
              </w:rPr>
            </w:pPr>
            <w:r w:rsidRPr="0096747A">
              <w:rPr>
                <w:rFonts w:asciiTheme="majorHAnsi" w:eastAsia="Times New Roman" w:hAnsiTheme="majorHAnsi"/>
                <w:u w:val="single"/>
              </w:rPr>
              <w:t>Deliverable 7</w:t>
            </w:r>
            <w:r w:rsidRPr="0096747A">
              <w:rPr>
                <w:rFonts w:asciiTheme="majorHAnsi" w:eastAsia="Times New Roman" w:hAnsiTheme="majorHAnsi"/>
              </w:rPr>
              <w:t xml:space="preserve">: Conducting the mid-term review process of the Responsible Party for </w:t>
            </w:r>
            <w:proofErr w:type="spellStart"/>
            <w:r w:rsidRPr="0096747A">
              <w:rPr>
                <w:rFonts w:asciiTheme="majorHAnsi" w:eastAsia="Times New Roman" w:hAnsiTheme="majorHAnsi"/>
              </w:rPr>
              <w:t>Koh</w:t>
            </w:r>
            <w:proofErr w:type="spellEnd"/>
            <w:r w:rsidRPr="0096747A">
              <w:rPr>
                <w:rFonts w:asciiTheme="majorHAnsi" w:eastAsia="Times New Roman" w:hAnsiTheme="majorHAnsi"/>
              </w:rPr>
              <w:t xml:space="preserve"> Tao finance solutions</w:t>
            </w:r>
          </w:p>
        </w:tc>
        <w:tc>
          <w:tcPr>
            <w:tcW w:w="2124" w:type="dxa"/>
          </w:tcPr>
          <w:p w14:paraId="769EE6C1" w14:textId="3C6E1C65"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p>
        </w:tc>
        <w:tc>
          <w:tcPr>
            <w:tcW w:w="3073" w:type="dxa"/>
          </w:tcPr>
          <w:p w14:paraId="49077F09"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0A9B7D53" w14:textId="77777777" w:rsidTr="00233791">
        <w:tc>
          <w:tcPr>
            <w:tcW w:w="3443" w:type="dxa"/>
          </w:tcPr>
          <w:p w14:paraId="1D2901CA" w14:textId="669D1EEB" w:rsidR="00233791" w:rsidRPr="000F482B" w:rsidRDefault="00233791" w:rsidP="00233791">
            <w:pPr>
              <w:spacing w:after="0" w:line="240" w:lineRule="auto"/>
              <w:rPr>
                <w:rFonts w:ascii="Arial" w:eastAsia="Calibri" w:hAnsi="Arial" w:cs="Arial"/>
                <w:snapToGrid w:val="0"/>
                <w:sz w:val="20"/>
                <w:szCs w:val="20"/>
              </w:rPr>
            </w:pPr>
            <w:r w:rsidRPr="0096747A">
              <w:rPr>
                <w:rFonts w:asciiTheme="majorHAnsi" w:eastAsia="Times New Roman" w:hAnsiTheme="majorHAnsi"/>
                <w:u w:val="single"/>
              </w:rPr>
              <w:t>Deliverable 8</w:t>
            </w:r>
            <w:r w:rsidRPr="0096747A">
              <w:rPr>
                <w:rFonts w:asciiTheme="majorHAnsi" w:eastAsia="Times New Roman" w:hAnsiTheme="majorHAnsi"/>
              </w:rPr>
              <w:t>: Review</w:t>
            </w:r>
            <w:r w:rsidRPr="0096747A">
              <w:rPr>
                <w:rFonts w:asciiTheme="majorHAnsi" w:hAnsiTheme="majorHAnsi"/>
              </w:rPr>
              <w:t xml:space="preserve"> </w:t>
            </w:r>
            <w:r w:rsidRPr="0096747A">
              <w:rPr>
                <w:rFonts w:asciiTheme="majorHAnsi" w:eastAsia="Times New Roman" w:hAnsiTheme="majorHAnsi"/>
              </w:rPr>
              <w:t xml:space="preserve">the revision of </w:t>
            </w:r>
            <w:proofErr w:type="spellStart"/>
            <w:r w:rsidRPr="0096747A">
              <w:rPr>
                <w:rFonts w:asciiTheme="majorHAnsi" w:eastAsia="Times New Roman" w:hAnsiTheme="majorHAnsi"/>
              </w:rPr>
              <w:t>workplan</w:t>
            </w:r>
            <w:proofErr w:type="spellEnd"/>
            <w:r w:rsidRPr="0096747A">
              <w:rPr>
                <w:rFonts w:asciiTheme="majorHAnsi" w:eastAsia="Times New Roman" w:hAnsiTheme="majorHAnsi"/>
              </w:rPr>
              <w:t xml:space="preserve"> and budget with communication strategy for implementing all recommended finance solutions</w:t>
            </w:r>
            <w:r w:rsidRPr="0096747A">
              <w:rPr>
                <w:rFonts w:asciiTheme="majorHAnsi" w:hAnsiTheme="majorHAnsi" w:cs="Times New Roman"/>
                <w:b/>
                <w:bCs/>
              </w:rPr>
              <w:t xml:space="preserve">: </w:t>
            </w:r>
          </w:p>
        </w:tc>
        <w:tc>
          <w:tcPr>
            <w:tcW w:w="2124" w:type="dxa"/>
          </w:tcPr>
          <w:p w14:paraId="493665D1" w14:textId="34B81B54" w:rsidR="00233791" w:rsidRPr="00EC29A6" w:rsidRDefault="00233791"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p>
        </w:tc>
        <w:tc>
          <w:tcPr>
            <w:tcW w:w="3073" w:type="dxa"/>
          </w:tcPr>
          <w:p w14:paraId="46ECEF0C"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000E3BA6" w14:textId="77777777" w:rsidTr="00233791">
        <w:tc>
          <w:tcPr>
            <w:tcW w:w="3443" w:type="dxa"/>
          </w:tcPr>
          <w:p w14:paraId="32215736" w14:textId="665C5534" w:rsidR="00233791" w:rsidRPr="000F482B" w:rsidRDefault="00233791" w:rsidP="00D96DC5">
            <w:pPr>
              <w:spacing w:after="0" w:line="240" w:lineRule="auto"/>
              <w:rPr>
                <w:rFonts w:ascii="Arial" w:eastAsia="Calibri" w:hAnsi="Arial" w:cs="Arial"/>
                <w:snapToGrid w:val="0"/>
                <w:sz w:val="20"/>
                <w:szCs w:val="20"/>
              </w:rPr>
            </w:pPr>
            <w:r w:rsidRPr="0096747A">
              <w:rPr>
                <w:rFonts w:asciiTheme="majorHAnsi" w:eastAsia="Times New Roman" w:hAnsiTheme="majorHAnsi"/>
                <w:u w:val="single"/>
              </w:rPr>
              <w:t>Deliverable 9</w:t>
            </w:r>
            <w:r w:rsidRPr="0096747A">
              <w:rPr>
                <w:rFonts w:asciiTheme="majorHAnsi" w:eastAsia="Times New Roman" w:hAnsiTheme="majorHAnsi"/>
              </w:rPr>
              <w:t xml:space="preserve">:  </w:t>
            </w:r>
            <w:r w:rsidRPr="0096747A">
              <w:rPr>
                <w:rFonts w:asciiTheme="majorHAnsi" w:hAnsiTheme="majorHAnsi"/>
              </w:rPr>
              <w:t xml:space="preserve">Submission of technical </w:t>
            </w:r>
            <w:r w:rsidRPr="0096747A">
              <w:rPr>
                <w:rFonts w:asciiTheme="majorHAnsi" w:eastAsia="Times New Roman" w:hAnsiTheme="majorHAnsi"/>
              </w:rPr>
              <w:t xml:space="preserve">report of the third Quarter/2020: </w:t>
            </w:r>
          </w:p>
        </w:tc>
        <w:tc>
          <w:tcPr>
            <w:tcW w:w="2124" w:type="dxa"/>
          </w:tcPr>
          <w:p w14:paraId="441B711C" w14:textId="7F3D9636" w:rsidR="00233791" w:rsidRPr="00EC29A6" w:rsidRDefault="00D96DC5" w:rsidP="00396C6B">
            <w:pPr>
              <w:spacing w:after="0" w:line="240" w:lineRule="auto"/>
              <w:rPr>
                <w:rFonts w:ascii="Arial" w:eastAsia="Calibri" w:hAnsi="Arial" w:cs="Arial"/>
                <w:snapToGrid w:val="0"/>
                <w:sz w:val="20"/>
                <w:szCs w:val="20"/>
              </w:rPr>
            </w:pPr>
            <w:r w:rsidRPr="00EC29A6">
              <w:rPr>
                <w:rFonts w:asciiTheme="majorHAnsi" w:eastAsia="Times New Roman" w:hAnsiTheme="majorHAnsi"/>
                <w:bCs/>
              </w:rPr>
              <w:t>8% of total contract amount</w:t>
            </w:r>
          </w:p>
        </w:tc>
        <w:tc>
          <w:tcPr>
            <w:tcW w:w="3073" w:type="dxa"/>
          </w:tcPr>
          <w:p w14:paraId="6BCF0561"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536CCE0A" w14:textId="77777777" w:rsidTr="00233791">
        <w:tc>
          <w:tcPr>
            <w:tcW w:w="3443" w:type="dxa"/>
          </w:tcPr>
          <w:p w14:paraId="17E88D66" w14:textId="3590DCF0" w:rsidR="00233791" w:rsidRPr="000F482B" w:rsidRDefault="00233791" w:rsidP="00D96DC5">
            <w:pPr>
              <w:spacing w:after="0" w:line="240" w:lineRule="auto"/>
              <w:rPr>
                <w:rFonts w:ascii="Arial" w:eastAsia="Calibri" w:hAnsi="Arial" w:cs="Arial"/>
                <w:snapToGrid w:val="0"/>
                <w:sz w:val="20"/>
                <w:szCs w:val="20"/>
              </w:rPr>
            </w:pPr>
            <w:r w:rsidRPr="0096747A">
              <w:rPr>
                <w:rFonts w:asciiTheme="majorHAnsi" w:eastAsia="Times New Roman" w:hAnsiTheme="majorHAnsi"/>
                <w:u w:val="single"/>
              </w:rPr>
              <w:t>Deliverable 10</w:t>
            </w:r>
            <w:r w:rsidRPr="0096747A">
              <w:rPr>
                <w:rFonts w:asciiTheme="majorHAnsi" w:eastAsia="Times New Roman" w:hAnsiTheme="majorHAnsi"/>
              </w:rPr>
              <w:t>:  Leading the key event/launching of BIOFIN 20 listing platform</w:t>
            </w:r>
            <w:r w:rsidRPr="0096747A">
              <w:rPr>
                <w:rFonts w:asciiTheme="majorHAnsi" w:hAnsiTheme="majorHAnsi" w:cs="Times New Roman"/>
                <w:b/>
                <w:bCs/>
              </w:rPr>
              <w:t xml:space="preserve">: </w:t>
            </w:r>
          </w:p>
        </w:tc>
        <w:tc>
          <w:tcPr>
            <w:tcW w:w="2124" w:type="dxa"/>
          </w:tcPr>
          <w:p w14:paraId="4F854A82" w14:textId="1178AE6B" w:rsidR="00233791" w:rsidRPr="00EC29A6" w:rsidRDefault="00D96DC5"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p>
        </w:tc>
        <w:tc>
          <w:tcPr>
            <w:tcW w:w="3073" w:type="dxa"/>
          </w:tcPr>
          <w:p w14:paraId="47884FDE"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0D31DD33" w14:textId="77777777" w:rsidTr="00233791">
        <w:tc>
          <w:tcPr>
            <w:tcW w:w="3443" w:type="dxa"/>
          </w:tcPr>
          <w:p w14:paraId="79ADEDC6" w14:textId="37D06576" w:rsidR="00233791" w:rsidRPr="000F482B" w:rsidRDefault="00233791" w:rsidP="00D96DC5">
            <w:pPr>
              <w:spacing w:after="0" w:line="240" w:lineRule="auto"/>
              <w:rPr>
                <w:rFonts w:ascii="Arial" w:eastAsia="Calibri" w:hAnsi="Arial" w:cs="Arial"/>
                <w:snapToGrid w:val="0"/>
                <w:sz w:val="20"/>
                <w:szCs w:val="20"/>
              </w:rPr>
            </w:pPr>
            <w:r w:rsidRPr="0096747A">
              <w:rPr>
                <w:rFonts w:asciiTheme="majorHAnsi" w:eastAsia="Times New Roman" w:hAnsiTheme="majorHAnsi"/>
                <w:u w:val="single"/>
              </w:rPr>
              <w:t>Deliverable 11</w:t>
            </w:r>
            <w:r w:rsidRPr="0096747A">
              <w:rPr>
                <w:rFonts w:asciiTheme="majorHAnsi" w:eastAsia="Times New Roman" w:hAnsiTheme="majorHAnsi"/>
              </w:rPr>
              <w:t xml:space="preserve">:  Leading the key event/launching of mini-Biodiversity Finance Plan under the impact investment of Public-Private Partnerships in sustainable mangrove management in </w:t>
            </w:r>
            <w:proofErr w:type="spellStart"/>
            <w:r w:rsidRPr="0096747A">
              <w:rPr>
                <w:rFonts w:asciiTheme="majorHAnsi" w:eastAsia="Times New Roman" w:hAnsiTheme="majorHAnsi"/>
              </w:rPr>
              <w:t>Phetchaburi</w:t>
            </w:r>
            <w:proofErr w:type="spellEnd"/>
            <w:r w:rsidRPr="0096747A">
              <w:rPr>
                <w:rFonts w:asciiTheme="majorHAnsi" w:eastAsia="Times New Roman" w:hAnsiTheme="majorHAnsi"/>
              </w:rPr>
              <w:t xml:space="preserve"> province</w:t>
            </w:r>
            <w:r w:rsidRPr="0096747A">
              <w:rPr>
                <w:rFonts w:asciiTheme="majorHAnsi" w:hAnsiTheme="majorHAnsi" w:cs="Times New Roman"/>
                <w:b/>
                <w:bCs/>
              </w:rPr>
              <w:t xml:space="preserve"> </w:t>
            </w:r>
          </w:p>
        </w:tc>
        <w:tc>
          <w:tcPr>
            <w:tcW w:w="2124" w:type="dxa"/>
          </w:tcPr>
          <w:p w14:paraId="2087AC09" w14:textId="50D121BA" w:rsidR="00233791" w:rsidRPr="00EC29A6" w:rsidRDefault="00D96DC5" w:rsidP="00396C6B">
            <w:pPr>
              <w:spacing w:after="0" w:line="240" w:lineRule="auto"/>
              <w:rPr>
                <w:rFonts w:ascii="Arial" w:eastAsia="Calibri" w:hAnsi="Arial" w:cs="Arial"/>
                <w:snapToGrid w:val="0"/>
                <w:sz w:val="20"/>
                <w:szCs w:val="20"/>
              </w:rPr>
            </w:pPr>
            <w:r w:rsidRPr="00EC29A6">
              <w:rPr>
                <w:rFonts w:asciiTheme="majorHAnsi" w:hAnsiTheme="majorHAnsi" w:cs="Times New Roman"/>
                <w:bCs/>
              </w:rPr>
              <w:t>8% of total contract amount</w:t>
            </w:r>
            <w:bookmarkStart w:id="3" w:name="_GoBack"/>
            <w:bookmarkEnd w:id="3"/>
          </w:p>
        </w:tc>
        <w:tc>
          <w:tcPr>
            <w:tcW w:w="3073" w:type="dxa"/>
          </w:tcPr>
          <w:p w14:paraId="0FDF865A" w14:textId="77777777" w:rsidR="00233791" w:rsidRDefault="00233791" w:rsidP="00396C6B">
            <w:pPr>
              <w:spacing w:after="0" w:line="240" w:lineRule="auto"/>
              <w:rPr>
                <w:rFonts w:ascii="Arial" w:eastAsia="Calibri" w:hAnsi="Arial" w:cs="Arial"/>
                <w:snapToGrid w:val="0"/>
                <w:sz w:val="20"/>
                <w:szCs w:val="20"/>
              </w:rPr>
            </w:pPr>
          </w:p>
        </w:tc>
      </w:tr>
      <w:tr w:rsidR="00233791" w:rsidRPr="000F482B" w14:paraId="24CB3304" w14:textId="77777777" w:rsidTr="00233791">
        <w:tc>
          <w:tcPr>
            <w:tcW w:w="3443" w:type="dxa"/>
          </w:tcPr>
          <w:p w14:paraId="0DC1886E" w14:textId="712CE86D" w:rsidR="00D96DC5" w:rsidRPr="001F1884" w:rsidRDefault="00D96DC5" w:rsidP="00D96DC5">
            <w:pPr>
              <w:pStyle w:val="Default"/>
              <w:rPr>
                <w:rFonts w:asciiTheme="majorHAnsi" w:eastAsia="Times New Roman" w:hAnsiTheme="majorHAnsi"/>
                <w:color w:val="auto"/>
                <w:sz w:val="22"/>
                <w:szCs w:val="22"/>
              </w:rPr>
            </w:pPr>
            <w:r w:rsidRPr="001F1884">
              <w:rPr>
                <w:rFonts w:asciiTheme="majorHAnsi" w:eastAsia="Times New Roman" w:hAnsiTheme="majorHAnsi"/>
                <w:color w:val="auto"/>
                <w:sz w:val="22"/>
                <w:szCs w:val="22"/>
              </w:rPr>
              <w:t xml:space="preserve">Completion of two sub-tasks 12.1 and 12.2: </w:t>
            </w:r>
          </w:p>
          <w:p w14:paraId="1BC374D3" w14:textId="4C7D86F2" w:rsidR="00233791" w:rsidRPr="000F482B" w:rsidRDefault="00233791" w:rsidP="00396C6B">
            <w:pPr>
              <w:spacing w:after="0" w:line="240" w:lineRule="auto"/>
              <w:rPr>
                <w:rFonts w:ascii="Arial" w:eastAsia="Calibri" w:hAnsi="Arial" w:cs="Arial"/>
                <w:snapToGrid w:val="0"/>
                <w:sz w:val="20"/>
                <w:szCs w:val="20"/>
              </w:rPr>
            </w:pPr>
          </w:p>
        </w:tc>
        <w:tc>
          <w:tcPr>
            <w:tcW w:w="2124" w:type="dxa"/>
          </w:tcPr>
          <w:p w14:paraId="34658DF5" w14:textId="62DD80E0" w:rsidR="00233791" w:rsidRPr="00EC29A6" w:rsidRDefault="00D96DC5" w:rsidP="00396C6B">
            <w:pPr>
              <w:spacing w:after="0" w:line="240" w:lineRule="auto"/>
              <w:rPr>
                <w:rFonts w:ascii="Arial" w:eastAsia="Calibri" w:hAnsi="Arial" w:cs="Arial"/>
                <w:snapToGrid w:val="0"/>
                <w:sz w:val="20"/>
                <w:szCs w:val="20"/>
              </w:rPr>
            </w:pPr>
            <w:r w:rsidRPr="00EC29A6">
              <w:rPr>
                <w:rFonts w:asciiTheme="majorHAnsi" w:eastAsia="Times New Roman" w:hAnsiTheme="majorHAnsi"/>
                <w:bCs/>
              </w:rPr>
              <w:t>10</w:t>
            </w:r>
            <w:r w:rsidRPr="00EC29A6">
              <w:rPr>
                <w:rFonts w:asciiTheme="majorHAnsi" w:hAnsiTheme="majorHAnsi" w:cs="Times New Roman"/>
                <w:bCs/>
              </w:rPr>
              <w:t>% of total contract amount</w:t>
            </w:r>
          </w:p>
        </w:tc>
        <w:tc>
          <w:tcPr>
            <w:tcW w:w="3073" w:type="dxa"/>
          </w:tcPr>
          <w:p w14:paraId="3703B889" w14:textId="77777777" w:rsidR="00233791" w:rsidRDefault="00233791" w:rsidP="00396C6B">
            <w:pPr>
              <w:spacing w:after="0" w:line="240" w:lineRule="auto"/>
              <w:rPr>
                <w:rFonts w:ascii="Arial" w:eastAsia="Calibri" w:hAnsi="Arial" w:cs="Arial"/>
                <w:snapToGrid w:val="0"/>
                <w:sz w:val="20"/>
                <w:szCs w:val="20"/>
              </w:rPr>
            </w:pPr>
          </w:p>
        </w:tc>
      </w:tr>
      <w:tr w:rsidR="00674014" w:rsidRPr="000F482B" w14:paraId="004603DD" w14:textId="77777777" w:rsidTr="00233791">
        <w:tc>
          <w:tcPr>
            <w:tcW w:w="3443" w:type="dxa"/>
          </w:tcPr>
          <w:p w14:paraId="48A21296" w14:textId="06AECB15" w:rsidR="00674014" w:rsidRPr="000F482B" w:rsidRDefault="00674014"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2124" w:type="dxa"/>
          </w:tcPr>
          <w:p w14:paraId="0CAFDABD" w14:textId="03C6859D" w:rsidR="00674014" w:rsidRPr="00EC29A6" w:rsidRDefault="00674014" w:rsidP="00396C6B">
            <w:pPr>
              <w:spacing w:after="0" w:line="240" w:lineRule="auto"/>
              <w:rPr>
                <w:rFonts w:ascii="Arial" w:eastAsia="Calibri" w:hAnsi="Arial" w:cs="Arial"/>
                <w:snapToGrid w:val="0"/>
                <w:sz w:val="20"/>
                <w:szCs w:val="20"/>
              </w:rPr>
            </w:pPr>
            <w:r w:rsidRPr="00EC29A6">
              <w:rPr>
                <w:rFonts w:ascii="Arial" w:eastAsia="Calibri" w:hAnsi="Arial" w:cs="Arial"/>
                <w:snapToGrid w:val="0"/>
                <w:sz w:val="20"/>
                <w:szCs w:val="20"/>
              </w:rPr>
              <w:t>100%</w:t>
            </w:r>
          </w:p>
        </w:tc>
        <w:tc>
          <w:tcPr>
            <w:tcW w:w="3073" w:type="dxa"/>
          </w:tcPr>
          <w:p w14:paraId="51673AC2" w14:textId="720088F6" w:rsidR="00674014" w:rsidRDefault="00674014"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THB</w:t>
            </w:r>
            <w:r w:rsidRPr="000F482B">
              <w:rPr>
                <w:rFonts w:ascii="Arial" w:eastAsia="Calibri" w:hAnsi="Arial" w:cs="Arial"/>
                <w:snapToGrid w:val="0"/>
                <w:sz w:val="20"/>
                <w:szCs w:val="20"/>
              </w:rPr>
              <w:t xml:space="preserve"> ……</w:t>
            </w:r>
          </w:p>
        </w:tc>
      </w:tr>
    </w:tbl>
    <w:p w14:paraId="75DA02E0" w14:textId="5A8B1C2C" w:rsidR="000E611D" w:rsidRPr="00D62E27" w:rsidRDefault="00D62E27" w:rsidP="00AE3BD1">
      <w:pPr>
        <w:tabs>
          <w:tab w:val="right" w:pos="9360"/>
        </w:tabs>
        <w:ind w:left="360"/>
      </w:pPr>
      <w:r w:rsidRPr="000F482B">
        <w:rPr>
          <w:rFonts w:ascii="Arial" w:eastAsia="Times New Roman" w:hAnsi="Arial" w:cs="Arial"/>
          <w:i/>
          <w:snapToGrid w:val="0"/>
          <w:sz w:val="20"/>
          <w:szCs w:val="20"/>
        </w:rPr>
        <w:t>*Basis for payment tranches</w:t>
      </w:r>
    </w:p>
    <w:sectPr w:rsidR="000E611D" w:rsidRPr="00D62E27" w:rsidSect="00A8202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69CD1" w14:textId="77777777" w:rsidR="009A1658" w:rsidRDefault="009A1658" w:rsidP="005F5227">
      <w:pPr>
        <w:spacing w:after="0" w:line="240" w:lineRule="auto"/>
      </w:pPr>
      <w:r>
        <w:separator/>
      </w:r>
    </w:p>
  </w:endnote>
  <w:endnote w:type="continuationSeparator" w:id="0">
    <w:p w14:paraId="469B2BA2" w14:textId="77777777" w:rsidR="009A1658" w:rsidRDefault="009A165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EC29A6">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672E6" w14:textId="77777777" w:rsidR="009A1658" w:rsidRDefault="009A1658" w:rsidP="005F5227">
      <w:pPr>
        <w:spacing w:after="0" w:line="240" w:lineRule="auto"/>
      </w:pPr>
      <w:r>
        <w:separator/>
      </w:r>
    </w:p>
  </w:footnote>
  <w:footnote w:type="continuationSeparator" w:id="0">
    <w:p w14:paraId="3C94EECD" w14:textId="77777777" w:rsidR="009A1658" w:rsidRDefault="009A1658"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006E6"/>
    <w:rsid w:val="002155D7"/>
    <w:rsid w:val="0022574B"/>
    <w:rsid w:val="00233791"/>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54FB6"/>
    <w:rsid w:val="00573461"/>
    <w:rsid w:val="005814AA"/>
    <w:rsid w:val="005A5DD2"/>
    <w:rsid w:val="005F5227"/>
    <w:rsid w:val="00624590"/>
    <w:rsid w:val="00642692"/>
    <w:rsid w:val="00674014"/>
    <w:rsid w:val="00697619"/>
    <w:rsid w:val="006C6F4D"/>
    <w:rsid w:val="006C7C0D"/>
    <w:rsid w:val="00730C8D"/>
    <w:rsid w:val="00747462"/>
    <w:rsid w:val="007B1ECF"/>
    <w:rsid w:val="007C3902"/>
    <w:rsid w:val="007D5391"/>
    <w:rsid w:val="007E2056"/>
    <w:rsid w:val="00802478"/>
    <w:rsid w:val="00823BB0"/>
    <w:rsid w:val="00834567"/>
    <w:rsid w:val="0089480E"/>
    <w:rsid w:val="00897BC1"/>
    <w:rsid w:val="008C21A5"/>
    <w:rsid w:val="008D6243"/>
    <w:rsid w:val="0090658D"/>
    <w:rsid w:val="009230C7"/>
    <w:rsid w:val="00954DFC"/>
    <w:rsid w:val="00982932"/>
    <w:rsid w:val="0099180E"/>
    <w:rsid w:val="009A018B"/>
    <w:rsid w:val="009A1658"/>
    <w:rsid w:val="009D7C41"/>
    <w:rsid w:val="00A001E1"/>
    <w:rsid w:val="00A42DA9"/>
    <w:rsid w:val="00A461A6"/>
    <w:rsid w:val="00A72DF2"/>
    <w:rsid w:val="00A73062"/>
    <w:rsid w:val="00A8202E"/>
    <w:rsid w:val="00A82042"/>
    <w:rsid w:val="00AE3BD1"/>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2DD3"/>
    <w:rsid w:val="00C865FF"/>
    <w:rsid w:val="00CF5B39"/>
    <w:rsid w:val="00D0425F"/>
    <w:rsid w:val="00D409F4"/>
    <w:rsid w:val="00D416D6"/>
    <w:rsid w:val="00D4346E"/>
    <w:rsid w:val="00D50297"/>
    <w:rsid w:val="00D62E27"/>
    <w:rsid w:val="00D96DC5"/>
    <w:rsid w:val="00DA111B"/>
    <w:rsid w:val="00E165D4"/>
    <w:rsid w:val="00E20F34"/>
    <w:rsid w:val="00E867D7"/>
    <w:rsid w:val="00E93413"/>
    <w:rsid w:val="00EC29A6"/>
    <w:rsid w:val="00EC5259"/>
    <w:rsid w:val="00EF006E"/>
    <w:rsid w:val="00EF4D9E"/>
    <w:rsid w:val="00EF5136"/>
    <w:rsid w:val="00F030C5"/>
    <w:rsid w:val="00F21E8C"/>
    <w:rsid w:val="00F65858"/>
    <w:rsid w:val="00F72377"/>
    <w:rsid w:val="00F80ACD"/>
    <w:rsid w:val="00FB44D0"/>
    <w:rsid w:val="00FE6621"/>
    <w:rsid w:val="00FF08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0E"/>
    <w:rPr>
      <w:color w:val="808080"/>
    </w:rPr>
  </w:style>
  <w:style w:type="paragraph" w:customStyle="1" w:styleId="Default">
    <w:name w:val="Default"/>
    <w:rsid w:val="00D96DC5"/>
    <w:pPr>
      <w:autoSpaceDE w:val="0"/>
      <w:autoSpaceDN w:val="0"/>
      <w:adjustRightInd w:val="0"/>
      <w:spacing w:after="0" w:line="240" w:lineRule="auto"/>
    </w:pPr>
    <w:rPr>
      <w:rFonts w:ascii="Arial" w:eastAsiaTheme="minorEastAsia" w:hAnsi="Arial" w:cs="Arial"/>
      <w:color w:val="000000"/>
      <w:sz w:val="24"/>
      <w:szCs w:val="24"/>
      <w:lang w:val="en-US" w:eastAsia="da-DK"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480E"/>
    <w:rPr>
      <w:color w:val="808080"/>
    </w:rPr>
  </w:style>
  <w:style w:type="paragraph" w:customStyle="1" w:styleId="Default">
    <w:name w:val="Default"/>
    <w:rsid w:val="00D96DC5"/>
    <w:pPr>
      <w:autoSpaceDE w:val="0"/>
      <w:autoSpaceDN w:val="0"/>
      <w:adjustRightInd w:val="0"/>
      <w:spacing w:after="0" w:line="240" w:lineRule="auto"/>
    </w:pPr>
    <w:rPr>
      <w:rFonts w:ascii="Arial" w:eastAsiaTheme="minorEastAsia" w:hAnsi="Arial" w:cs="Arial"/>
      <w:color w:val="000000"/>
      <w:sz w:val="24"/>
      <w:szCs w:val="24"/>
      <w:lang w:val="en-US" w:eastAsia="da-DK"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94635510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3B0FFA-1461-455A-8714-F3F1161D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uuu</cp:lastModifiedBy>
  <cp:revision>3</cp:revision>
  <dcterms:created xsi:type="dcterms:W3CDTF">2019-12-02T04:54:00Z</dcterms:created>
  <dcterms:modified xsi:type="dcterms:W3CDTF">2019-12-03T11:06:00Z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