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61A5A56D" w:rsidR="00782483" w:rsidRPr="001218A9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1218A9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1218A9">
        <w:rPr>
          <w:rFonts w:ascii="Calibri" w:hAnsi="Calibri" w:cs="Calibri"/>
          <w:sz w:val="22"/>
          <w:szCs w:val="22"/>
          <w:lang w:val="ru-RU"/>
        </w:rPr>
        <w:t>14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sz w:val="22"/>
          <w:szCs w:val="22"/>
          <w:lang w:val="uk-UA"/>
        </w:rPr>
        <w:t>січня</w:t>
      </w:r>
      <w:r w:rsidR="00926443">
        <w:rPr>
          <w:rFonts w:ascii="Calibri" w:hAnsi="Calibri" w:cs="Calibri"/>
          <w:sz w:val="22"/>
          <w:szCs w:val="22"/>
          <w:lang w:val="ru-RU"/>
        </w:rPr>
        <w:t xml:space="preserve"> 20</w:t>
      </w:r>
      <w:r w:rsidR="00926443" w:rsidRPr="00E22BC0">
        <w:rPr>
          <w:rFonts w:ascii="Calibri" w:hAnsi="Calibri" w:cs="Calibri"/>
          <w:sz w:val="22"/>
          <w:szCs w:val="22"/>
          <w:lang w:val="ru-RU"/>
        </w:rPr>
        <w:t>20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5D83004" w14:textId="77777777" w:rsidR="00782483" w:rsidRPr="001218A9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5D27DABD" w:rsidR="00782483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Затверджено:</w:t>
      </w:r>
    </w:p>
    <w:p w14:paraId="6BD63294" w14:textId="77777777" w:rsidR="00DD66DD" w:rsidRDefault="00DD66DD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5CFF77AC" w14:textId="40644212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Хайме Надаль</w:t>
      </w:r>
    </w:p>
    <w:p w14:paraId="0EF0A12F" w14:textId="6E5D5748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14:paraId="064DB675" w14:textId="77777777" w:rsidR="00672B70" w:rsidRP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5514F58C" w:rsidR="008213F0" w:rsidRPr="00926443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1218A9" w:rsidRPr="00926443">
        <w:rPr>
          <w:rFonts w:ascii="Calibri" w:hAnsi="Calibri" w:cs="Calibri"/>
          <w:sz w:val="22"/>
          <w:szCs w:val="22"/>
          <w:lang w:val="ru-RU" w:eastAsia="en-GB"/>
        </w:rPr>
        <w:t>/20</w:t>
      </w:r>
      <w:r w:rsidR="00FB0551" w:rsidRPr="00926443">
        <w:rPr>
          <w:rFonts w:ascii="Calibri" w:hAnsi="Calibri" w:cs="Calibri"/>
          <w:sz w:val="22"/>
          <w:szCs w:val="22"/>
          <w:lang w:val="ru-RU" w:eastAsia="en-GB"/>
        </w:rPr>
        <w:t>/</w:t>
      </w:r>
      <w:r w:rsidR="001218A9" w:rsidRPr="00926443">
        <w:rPr>
          <w:rFonts w:ascii="Calibri" w:hAnsi="Calibri" w:cs="Calibri"/>
          <w:sz w:val="22"/>
          <w:szCs w:val="22"/>
          <w:lang w:val="ru-RU" w:eastAsia="en-GB"/>
        </w:rPr>
        <w:t>0</w:t>
      </w:r>
      <w:r w:rsidR="008C26FA" w:rsidRPr="00926443">
        <w:rPr>
          <w:rFonts w:ascii="Calibri" w:hAnsi="Calibri" w:cs="Calibri"/>
          <w:sz w:val="22"/>
          <w:szCs w:val="22"/>
          <w:lang w:val="ru-RU" w:eastAsia="en-GB"/>
        </w:rPr>
        <w:t>1</w:t>
      </w:r>
    </w:p>
    <w:p w14:paraId="0433D298" w14:textId="77777777" w:rsidR="00782483" w:rsidRPr="00926443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2BBDEC81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</w:t>
      </w:r>
      <w:r w:rsidR="004453F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b/>
          <w:sz w:val="22"/>
          <w:szCs w:val="22"/>
          <w:lang w:val="uk-UA"/>
        </w:rPr>
        <w:t>по</w:t>
      </w:r>
      <w:r w:rsidR="008C26FA">
        <w:rPr>
          <w:rFonts w:ascii="Calibri" w:hAnsi="Calibri" w:cs="Calibri"/>
          <w:b/>
          <w:sz w:val="22"/>
          <w:szCs w:val="22"/>
          <w:lang w:val="uk-UA"/>
        </w:rPr>
        <w:t>слуги з організації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 заходу "Міжнародний форум з питань протидії ҐЗН</w:t>
      </w:r>
      <w:r w:rsidR="00370ADF" w:rsidRPr="00370ADF">
        <w:rPr>
          <w:rFonts w:ascii="Calibri" w:hAnsi="Calibri" w:cs="Calibri"/>
          <w:b/>
          <w:sz w:val="22"/>
          <w:szCs w:val="22"/>
          <w:lang w:val="ru-RU"/>
        </w:rPr>
        <w:t>”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>(Додаток 1).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52FB5899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>
        <w:r w:rsidR="00DD15EF" w:rsidRPr="00F121BE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 w:eastAsia="uk-UA"/>
          </w:rPr>
          <w:t>UNFPA про нас</w:t>
        </w:r>
      </w:hyperlink>
      <w:r w:rsidR="00DD15EF" w:rsidRPr="00F121BE">
        <w:rPr>
          <w:rFonts w:ascii="Calibri" w:eastAsia="Calibri" w:hAnsi="Calibri" w:cs="Calibri"/>
          <w:color w:val="0070C0"/>
          <w:sz w:val="22"/>
          <w:szCs w:val="22"/>
          <w:u w:val="single"/>
          <w:lang w:val="uk-UA" w:eastAsia="uk-UA"/>
        </w:rPr>
        <w:t>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384B4D36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надрукувати та розповсюдити інформаційні матеріали,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  <w:bookmarkStart w:id="0" w:name="_GoBack"/>
      <w:bookmarkEnd w:id="0"/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5DD4EB9D" w:rsidR="004D3D59" w:rsidRPr="00DD66DD" w:rsidRDefault="00DD66DD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Надія Прокопенко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3FAD27DB" w:rsidR="005E254B" w:rsidRPr="000C2441" w:rsidRDefault="005E254B" w:rsidP="004453FC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</w:rPr>
              <w:t> 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098 130 68 42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0B9CE62" w:rsidR="005E254B" w:rsidRPr="005E254B" w:rsidRDefault="00DD66DD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prokopenko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4F7269FC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п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’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ятниця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4453FC" w:rsidRPr="00DD66DD">
        <w:rPr>
          <w:rFonts w:asciiTheme="minorHAnsi" w:hAnsiTheme="minorHAnsi" w:cs="Calibri"/>
          <w:sz w:val="22"/>
          <w:szCs w:val="22"/>
          <w:lang w:val="ru-RU"/>
        </w:rPr>
        <w:t>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січня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DD66DD">
        <w:rPr>
          <w:rFonts w:asciiTheme="minorHAnsi" w:hAnsiTheme="minorHAnsi" w:cs="Calibri"/>
          <w:sz w:val="22"/>
          <w:szCs w:val="22"/>
          <w:lang w:val="ru-RU"/>
        </w:rPr>
        <w:t xml:space="preserve"> 20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20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:00</w:t>
      </w:r>
      <w:r w:rsidR="000D27AB" w:rsidRPr="00DD66DD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80C25" w:rsidRPr="00DD66DD">
        <w:rPr>
          <w:rFonts w:asciiTheme="minorHAnsi" w:hAnsiTheme="minorHAnsi" w:cs="Calibri"/>
          <w:sz w:val="22"/>
          <w:szCs w:val="22"/>
          <w:lang w:val="ru-RU"/>
        </w:rPr>
        <w:t>за К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lastRenderedPageBreak/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5C6EB6D6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0DEA4884" w14:textId="024D6B7B" w:rsidR="00672B70" w:rsidRPr="008C26FA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8C26FA">
        <w:rPr>
          <w:rFonts w:asciiTheme="minorHAnsi" w:hAnsiTheme="minorHAnsi"/>
          <w:b/>
          <w:sz w:val="22"/>
          <w:szCs w:val="22"/>
          <w:lang w:val="uk-UA"/>
        </w:rPr>
        <w:t>середа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8C26FA">
        <w:rPr>
          <w:rFonts w:asciiTheme="minorHAnsi" w:hAnsiTheme="minorHAnsi"/>
          <w:b/>
          <w:sz w:val="22"/>
          <w:szCs w:val="22"/>
          <w:lang w:val="uk-UA"/>
        </w:rPr>
        <w:t>22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січня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20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8C26FA">
        <w:rPr>
          <w:rFonts w:ascii="Calibri" w:hAnsi="Calibri" w:cs="Calibri"/>
          <w:sz w:val="22"/>
          <w:szCs w:val="22"/>
          <w:lang w:val="ru-RU"/>
        </w:rPr>
        <w:tab/>
        <w:t xml:space="preserve"> </w:t>
      </w:r>
    </w:p>
    <w:p w14:paraId="63778DF1" w14:textId="77777777" w:rsidR="00672B70" w:rsidRPr="008C26FA" w:rsidRDefault="00672B70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p w14:paraId="645CE96F" w14:textId="6FEC9E08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1218A9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5B3AEF18" w:rsidR="005E254B" w:rsidRPr="005E254B" w:rsidRDefault="00DD66DD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Ірина Богун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002E2F" w:rsidRDefault="002251D1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hyperlink r:id="rId13" w:tgtFrame="_blank" w:history="1">
              <w:r w:rsidR="007C7764" w:rsidRPr="007C7764">
                <w:rPr>
                  <w:rFonts w:ascii="Roboto" w:hAnsi="Roboto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5E986631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DD66DD">
        <w:rPr>
          <w:rFonts w:ascii="Calibri" w:hAnsi="Calibri" w:cs="Calibri"/>
          <w:sz w:val="22"/>
          <w:szCs w:val="22"/>
          <w:lang w:val="ru-RU"/>
        </w:rPr>
        <w:t>/20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DD66DD">
        <w:rPr>
          <w:rFonts w:ascii="Calibri" w:hAnsi="Calibri" w:cs="Calibri"/>
          <w:sz w:val="22"/>
          <w:szCs w:val="22"/>
          <w:lang w:val="ru-RU"/>
        </w:rPr>
        <w:t>0</w:t>
      </w:r>
      <w:r w:rsidR="008C26FA">
        <w:rPr>
          <w:rFonts w:ascii="Calibri" w:hAnsi="Calibri" w:cs="Calibri"/>
          <w:sz w:val="22"/>
          <w:szCs w:val="22"/>
          <w:lang w:val="ru-RU"/>
        </w:rPr>
        <w:t>1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63D8B246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DD66DD">
        <w:rPr>
          <w:rFonts w:asciiTheme="minorHAnsi" w:hAnsiTheme="minorHAnsi"/>
          <w:sz w:val="22"/>
          <w:szCs w:val="22"/>
          <w:lang w:val="uk-UA"/>
        </w:rPr>
        <w:t>березня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2251D1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3AD6D563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>Менеджеру</w:t>
      </w:r>
      <w:r w:rsidR="00672B70">
        <w:rPr>
          <w:rFonts w:asciiTheme="minorHAnsi" w:hAnsiTheme="minorHAnsi"/>
          <w:sz w:val="22"/>
          <w:szCs w:val="22"/>
          <w:lang w:val="uk-UA"/>
        </w:rPr>
        <w:t xml:space="preserve"> Програми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ФН ООН пані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Олесі</w:t>
      </w:r>
      <w:r w:rsidR="00002E2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Компанієць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880C25">
        <w:rPr>
          <w:rFonts w:asciiTheme="minorHAnsi" w:hAnsiTheme="minorHAnsi"/>
          <w:sz w:val="22"/>
          <w:szCs w:val="22"/>
        </w:rPr>
        <w:t>kompaniiets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C7818F8" w14:textId="63825235" w:rsidR="0004339E" w:rsidRDefault="005E254B" w:rsidP="004D3D59">
      <w:pPr>
        <w:rPr>
          <w:b/>
          <w:caps/>
          <w:sz w:val="24"/>
          <w:szCs w:val="24"/>
          <w:lang w:val="uk-UA"/>
        </w:rPr>
      </w:pPr>
      <w:r w:rsidRPr="004D3D59">
        <w:rPr>
          <w:rFonts w:asciiTheme="minorHAnsi" w:hAnsiTheme="minorHAnsi"/>
          <w:b/>
          <w:szCs w:val="22"/>
          <w:lang w:val="ru-RU"/>
        </w:rPr>
        <w:br w:type="page"/>
      </w:r>
      <w:r w:rsidR="00DC2090" w:rsidRPr="004453FC">
        <w:rPr>
          <w:rFonts w:asciiTheme="minorHAnsi" w:hAnsiTheme="minorHAnsi"/>
          <w:b/>
          <w:szCs w:val="22"/>
          <w:lang w:val="ru-RU"/>
        </w:rPr>
        <w:lastRenderedPageBreak/>
        <w:t xml:space="preserve">                                                                           </w:t>
      </w:r>
      <w:r w:rsidR="0004339E" w:rsidRPr="004D3D59">
        <w:rPr>
          <w:b/>
          <w:caps/>
          <w:sz w:val="24"/>
          <w:szCs w:val="24"/>
          <w:lang w:val="uk-UA"/>
        </w:rPr>
        <w:t>Бланк цінової пропозиції</w:t>
      </w:r>
    </w:p>
    <w:p w14:paraId="7F3E097F" w14:textId="77777777" w:rsidR="003D3A17" w:rsidRPr="004D3D59" w:rsidRDefault="003D3A17" w:rsidP="004D3D59">
      <w:pPr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540D845F" w:rsidR="0004339E" w:rsidRPr="00E8793D" w:rsidRDefault="0004339E" w:rsidP="00DD66DD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</w:t>
            </w:r>
            <w:r w:rsidR="00E8793D">
              <w:rPr>
                <w:sz w:val="24"/>
                <w:szCs w:val="24"/>
                <w:lang w:val="uk-UA"/>
              </w:rPr>
              <w:t xml:space="preserve"> </w:t>
            </w:r>
            <w:r w:rsidRPr="004A3218">
              <w:rPr>
                <w:sz w:val="24"/>
                <w:szCs w:val="24"/>
              </w:rPr>
              <w:t>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</w:rPr>
              <w:t>20</w:t>
            </w:r>
            <w:r w:rsidRPr="00DC2090"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  <w:lang w:val="uk-UA"/>
              </w:rPr>
              <w:t>0</w:t>
            </w:r>
            <w:r w:rsidR="008C26FA">
              <w:rPr>
                <w:sz w:val="24"/>
                <w:szCs w:val="24"/>
                <w:lang w:val="uk-UA"/>
              </w:rPr>
              <w:t>1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0AC199A0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293145A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E4599E1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3714A6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70"/>
        <w:gridCol w:w="3549"/>
        <w:gridCol w:w="1144"/>
        <w:gridCol w:w="1067"/>
        <w:gridCol w:w="1060"/>
        <w:gridCol w:w="2175"/>
      </w:tblGrid>
      <w:tr w:rsidR="00DA5A5F" w:rsidRPr="00A76D51" w14:paraId="34608FB0" w14:textId="77777777" w:rsidTr="000C2441">
        <w:trPr>
          <w:trHeight w:val="595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D4ED1F" w14:textId="4062B6BA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998896" w14:textId="22DB98C6" w:rsidR="00DA5A5F" w:rsidRPr="00CB3BFE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послуги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B19E9E2" w14:textId="76CBAF3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  <w:r w:rsidR="00CB3BF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одиниць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2E8BFF" w14:textId="62931A18" w:rsidR="00DA5A5F" w:rsidRPr="00880C25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 днів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267164E" w14:textId="24FE55ED" w:rsidR="00DA5A5F" w:rsidRPr="00DA5A5F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Ціна за послугу</w:t>
            </w:r>
            <w:r w:rsidR="00DA5A5F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без ПДВ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ED3F4BB" w14:textId="1B7FB96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DA5A5F" w:rsidRPr="00C11FE5" w14:paraId="39756DCE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009" w14:textId="77777777" w:rsidR="00DA5A5F" w:rsidRPr="004B4E98" w:rsidRDefault="00DA5A5F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EB5" w14:textId="5B217CA8" w:rsidR="00DA5A5F" w:rsidRPr="00CB3BFE" w:rsidRDefault="00DA5A5F" w:rsidP="00CB3BFE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104" w14:textId="6CECFFE2" w:rsidR="00DA5A5F" w:rsidRPr="0058112F" w:rsidRDefault="00DA5A5F" w:rsidP="002C1B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70" w14:textId="259C015C" w:rsidR="00DA5A5F" w:rsidRPr="00DA5A5F" w:rsidRDefault="00DA5A5F" w:rsidP="002C1BDE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F23" w14:textId="77777777" w:rsidR="00DA5A5F" w:rsidRPr="00C11FE5" w:rsidRDefault="00DA5A5F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D6C" w14:textId="77777777" w:rsidR="00DA5A5F" w:rsidRPr="00C11FE5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A17" w:rsidRPr="00CB3BFE" w14:paraId="0B7C218E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4C7EE87" w14:textId="0C527CD0" w:rsidR="003D3A17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175" w:type="dxa"/>
            <w:vAlign w:val="center"/>
          </w:tcPr>
          <w:p w14:paraId="451681BE" w14:textId="77777777" w:rsidR="003D3A17" w:rsidRPr="00CB3BFE" w:rsidRDefault="003D3A17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CB3BFE" w14:paraId="19C58E87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5DC9A933" w14:textId="26BA340C" w:rsidR="00DA5A5F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послуг за організацію</w:t>
            </w:r>
          </w:p>
        </w:tc>
        <w:tc>
          <w:tcPr>
            <w:tcW w:w="2175" w:type="dxa"/>
            <w:vAlign w:val="center"/>
          </w:tcPr>
          <w:p w14:paraId="1C6CECCF" w14:textId="77777777" w:rsidR="00DA5A5F" w:rsidRPr="00CB3BFE" w:rsidRDefault="00DA5A5F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4A3218" w14:paraId="529EC0EF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AF995E7" w14:textId="59A39DDD" w:rsidR="00DA5A5F" w:rsidRPr="00DA5A5F" w:rsidRDefault="00CB3BFE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2175" w:type="dxa"/>
            <w:vAlign w:val="center"/>
          </w:tcPr>
          <w:p w14:paraId="63F895F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77BFF26D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2F5C693E" w14:textId="4F31B089" w:rsidR="00DA5A5F" w:rsidRPr="00AF3D99" w:rsidRDefault="00DA5A5F" w:rsidP="00DA5A5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073E2FE4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9B758D6" w14:textId="77777777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7052F361">
                <wp:simplePos x="0" y="0"/>
                <wp:positionH relativeFrom="column">
                  <wp:posOffset>-144780</wp:posOffset>
                </wp:positionH>
                <wp:positionV relativeFrom="paragraph">
                  <wp:posOffset>53975</wp:posOffset>
                </wp:positionV>
                <wp:extent cx="6429375" cy="68580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DA5A5F" w:rsidRDefault="00DA5A5F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4.25pt;width:50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HDhAIAAA8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" filled="f">
                <v:textbox>
                  <w:txbxContent>
                    <w:p w14:paraId="516C50B2" w14:textId="77777777" w:rsidR="00DA5A5F" w:rsidRDefault="00DA5A5F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3BD5B298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806281F" w14:textId="77777777" w:rsidR="003D3A17" w:rsidRDefault="003D3A17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</w:p>
    <w:p w14:paraId="2A3BC25D" w14:textId="77777777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що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уповноважений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представляти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6EC1F200" w14:textId="2BAB2AA6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="00DD66DD">
        <w:rPr>
          <w:sz w:val="24"/>
          <w:szCs w:val="24"/>
          <w:lang w:val="uk-UA"/>
        </w:rPr>
        <w:t>RFQNº UNFPA/UKR/RFQ/20</w:t>
      </w:r>
      <w:r w:rsidRPr="00DC2090">
        <w:rPr>
          <w:sz w:val="24"/>
          <w:szCs w:val="24"/>
          <w:lang w:val="uk-UA"/>
        </w:rPr>
        <w:t>/</w:t>
      </w:r>
      <w:r w:rsidR="00DD66DD">
        <w:rPr>
          <w:sz w:val="24"/>
          <w:szCs w:val="24"/>
          <w:lang w:val="uk-UA"/>
        </w:rPr>
        <w:t>0</w:t>
      </w:r>
      <w:r w:rsidR="008C26FA">
        <w:rPr>
          <w:sz w:val="24"/>
          <w:szCs w:val="24"/>
          <w:lang w:val="uk-UA"/>
        </w:rPr>
        <w:t>1</w:t>
      </w:r>
      <w:r w:rsidR="004D3D59">
        <w:rPr>
          <w:sz w:val="24"/>
          <w:szCs w:val="24"/>
          <w:lang w:val="uk-UA"/>
        </w:rPr>
        <w:t xml:space="preserve"> </w:t>
      </w:r>
      <w:r w:rsidRPr="004D3D59">
        <w:rPr>
          <w:b w:val="0"/>
          <w:sz w:val="24"/>
          <w:szCs w:val="24"/>
          <w:lang w:val="uk-UA"/>
        </w:rPr>
        <w:t>[</w:t>
      </w:r>
      <w:r w:rsidR="0019161C">
        <w:rPr>
          <w:sz w:val="24"/>
          <w:szCs w:val="24"/>
          <w:lang w:val="uk-UA"/>
        </w:rPr>
        <w:t>П</w:t>
      </w:r>
      <w:r w:rsidR="0019161C" w:rsidRPr="0019161C">
        <w:rPr>
          <w:sz w:val="24"/>
          <w:szCs w:val="24"/>
          <w:lang w:val="uk-UA"/>
        </w:rPr>
        <w:t xml:space="preserve">ослуги з </w:t>
      </w:r>
      <w:r w:rsidR="008C26FA" w:rsidRPr="008C26FA">
        <w:rPr>
          <w:sz w:val="24"/>
          <w:szCs w:val="24"/>
          <w:lang w:val="uk-UA"/>
        </w:rPr>
        <w:t>організації</w:t>
      </w:r>
      <w:r w:rsidR="0019161C" w:rsidRPr="0019161C">
        <w:rPr>
          <w:sz w:val="24"/>
          <w:szCs w:val="24"/>
          <w:lang w:val="uk-UA"/>
        </w:rPr>
        <w:t xml:space="preserve"> заходу "Міжнародний форум з питань протидії ҐЗН</w:t>
      </w:r>
      <w:r w:rsidR="00370ADF" w:rsidRPr="00250569">
        <w:rPr>
          <w:sz w:val="24"/>
          <w:szCs w:val="24"/>
          <w:lang w:val="ru-RU"/>
        </w:rPr>
        <w:t>”</w:t>
      </w:r>
      <w:r w:rsidRPr="004D3D59">
        <w:rPr>
          <w:b w:val="0"/>
          <w:sz w:val="24"/>
          <w:szCs w:val="24"/>
          <w:lang w:val="uk-UA"/>
        </w:rPr>
        <w:t>],</w:t>
      </w:r>
      <w:r w:rsidRPr="00D15F58">
        <w:rPr>
          <w:sz w:val="24"/>
          <w:szCs w:val="24"/>
          <w:lang w:val="ru-RU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у тому числі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всі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 xml:space="preserve">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14:paraId="753D4E0A" w14:textId="77777777" w:rsidR="00880C25" w:rsidRPr="00880C25" w:rsidRDefault="00880C25" w:rsidP="00880C25">
      <w:pPr>
        <w:rPr>
          <w:lang w:val="ru-RU" w:eastAsia="en-GB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4E44AA8A" w14:textId="77777777" w:rsidR="00DE058D" w:rsidRDefault="00DE058D" w:rsidP="005E254B">
      <w:pPr>
        <w:jc w:val="center"/>
        <w:rPr>
          <w:b/>
          <w:sz w:val="24"/>
          <w:szCs w:val="24"/>
          <w:lang w:val="uk-UA"/>
        </w:rPr>
      </w:pPr>
    </w:p>
    <w:p w14:paraId="4BE7C966" w14:textId="77777777" w:rsidR="00880C25" w:rsidRDefault="00880C25" w:rsidP="005E254B">
      <w:pPr>
        <w:jc w:val="center"/>
        <w:rPr>
          <w:b/>
          <w:sz w:val="24"/>
          <w:szCs w:val="24"/>
          <w:lang w:val="uk-UA"/>
        </w:rPr>
      </w:pPr>
    </w:p>
    <w:p w14:paraId="1998B77D" w14:textId="77777777" w:rsidR="00DC2090" w:rsidRDefault="00DC2090" w:rsidP="005E254B">
      <w:pPr>
        <w:jc w:val="center"/>
        <w:rPr>
          <w:b/>
          <w:sz w:val="24"/>
          <w:szCs w:val="24"/>
          <w:lang w:val="uk-UA"/>
        </w:rPr>
      </w:pPr>
    </w:p>
    <w:p w14:paraId="1D98AE4C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68DC689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2D72E" w14:textId="77777777" w:rsidR="002251D1" w:rsidRDefault="002251D1">
      <w:r>
        <w:separator/>
      </w:r>
    </w:p>
  </w:endnote>
  <w:endnote w:type="continuationSeparator" w:id="0">
    <w:p w14:paraId="19B5A078" w14:textId="77777777" w:rsidR="002251D1" w:rsidRDefault="0022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50569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50569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0BDFD191" w:rsidR="00C44581" w:rsidRPr="00250569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3D3A17">
      <w:rPr>
        <w:rFonts w:ascii="Calibri" w:hAnsi="Calibri"/>
        <w:sz w:val="18"/>
        <w:szCs w:val="18"/>
        <w:lang w:val="uk-UA"/>
      </w:rPr>
      <w:t>20</w:t>
    </w:r>
    <w:r w:rsidR="00DD791E">
      <w:rPr>
        <w:rFonts w:ascii="Calibri" w:hAnsi="Calibri"/>
        <w:sz w:val="18"/>
        <w:szCs w:val="18"/>
      </w:rPr>
      <w:t>/</w:t>
    </w:r>
    <w:r w:rsidR="003D3A17">
      <w:rPr>
        <w:rFonts w:ascii="Calibri" w:hAnsi="Calibri"/>
        <w:sz w:val="18"/>
        <w:szCs w:val="18"/>
        <w:lang w:val="uk-UA"/>
      </w:rPr>
      <w:t>0</w:t>
    </w:r>
    <w:r w:rsidR="00250569">
      <w:rPr>
        <w:rFonts w:ascii="Calibri" w:hAnsi="Calibri"/>
        <w:sz w:val="18"/>
        <w:szCs w:val="18"/>
      </w:rPr>
      <w:t>1</w:t>
    </w:r>
  </w:p>
  <w:p w14:paraId="29249DDF" w14:textId="77777777" w:rsidR="00435C80" w:rsidRPr="00435C80" w:rsidRDefault="00435C80" w:rsidP="00435C80">
    <w:pPr>
      <w:pStyle w:val="Footer"/>
      <w:rPr>
        <w:lang w:val="uk-UA"/>
      </w:rPr>
    </w:pP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8241" w14:textId="77777777" w:rsidR="002251D1" w:rsidRDefault="002251D1">
      <w:r>
        <w:separator/>
      </w:r>
    </w:p>
  </w:footnote>
  <w:footnote w:type="continuationSeparator" w:id="0">
    <w:p w14:paraId="1F10AFB4" w14:textId="77777777" w:rsidR="002251D1" w:rsidRDefault="0022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218A9"/>
    <w:rsid w:val="0013707A"/>
    <w:rsid w:val="00140DD8"/>
    <w:rsid w:val="00141C76"/>
    <w:rsid w:val="00157F80"/>
    <w:rsid w:val="0019161C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1887"/>
    <w:rsid w:val="00222A0C"/>
    <w:rsid w:val="0022305E"/>
    <w:rsid w:val="002251D1"/>
    <w:rsid w:val="00241CB4"/>
    <w:rsid w:val="00244F81"/>
    <w:rsid w:val="00250569"/>
    <w:rsid w:val="00261A28"/>
    <w:rsid w:val="002642AB"/>
    <w:rsid w:val="00272205"/>
    <w:rsid w:val="00290539"/>
    <w:rsid w:val="00292769"/>
    <w:rsid w:val="002933E3"/>
    <w:rsid w:val="002B0E33"/>
    <w:rsid w:val="002C1E94"/>
    <w:rsid w:val="002C76AC"/>
    <w:rsid w:val="002D1293"/>
    <w:rsid w:val="002E4A31"/>
    <w:rsid w:val="002E74E8"/>
    <w:rsid w:val="002F0188"/>
    <w:rsid w:val="002F407D"/>
    <w:rsid w:val="002F6D14"/>
    <w:rsid w:val="003207F6"/>
    <w:rsid w:val="003330AF"/>
    <w:rsid w:val="00336B17"/>
    <w:rsid w:val="00337189"/>
    <w:rsid w:val="00352F7F"/>
    <w:rsid w:val="00370ADF"/>
    <w:rsid w:val="00374343"/>
    <w:rsid w:val="0037484B"/>
    <w:rsid w:val="00396AB1"/>
    <w:rsid w:val="003973F2"/>
    <w:rsid w:val="0039793F"/>
    <w:rsid w:val="003A1F0A"/>
    <w:rsid w:val="003B1E9D"/>
    <w:rsid w:val="003C2D79"/>
    <w:rsid w:val="003D3A17"/>
    <w:rsid w:val="003E1154"/>
    <w:rsid w:val="0041212B"/>
    <w:rsid w:val="004171CA"/>
    <w:rsid w:val="00435C80"/>
    <w:rsid w:val="004429CC"/>
    <w:rsid w:val="00442A19"/>
    <w:rsid w:val="00443DE0"/>
    <w:rsid w:val="00444265"/>
    <w:rsid w:val="004453FC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D3D59"/>
    <w:rsid w:val="004E7171"/>
    <w:rsid w:val="004E795F"/>
    <w:rsid w:val="004F67A9"/>
    <w:rsid w:val="00503787"/>
    <w:rsid w:val="0051589D"/>
    <w:rsid w:val="00533B21"/>
    <w:rsid w:val="0057644B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510B6"/>
    <w:rsid w:val="006727D1"/>
    <w:rsid w:val="00672B70"/>
    <w:rsid w:val="00681659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5BF1"/>
    <w:rsid w:val="00782483"/>
    <w:rsid w:val="00785922"/>
    <w:rsid w:val="00795D28"/>
    <w:rsid w:val="007A1A67"/>
    <w:rsid w:val="007B1384"/>
    <w:rsid w:val="007C0D8E"/>
    <w:rsid w:val="007C7764"/>
    <w:rsid w:val="007E252F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0C25"/>
    <w:rsid w:val="00884241"/>
    <w:rsid w:val="00897365"/>
    <w:rsid w:val="008C2180"/>
    <w:rsid w:val="008C26FA"/>
    <w:rsid w:val="008E4451"/>
    <w:rsid w:val="008E457F"/>
    <w:rsid w:val="008E54D7"/>
    <w:rsid w:val="00910D45"/>
    <w:rsid w:val="00916E59"/>
    <w:rsid w:val="00924AA0"/>
    <w:rsid w:val="0092547C"/>
    <w:rsid w:val="00926443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B3BFE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C2090"/>
    <w:rsid w:val="00DD15EF"/>
    <w:rsid w:val="00DD66DD"/>
    <w:rsid w:val="00DD791E"/>
    <w:rsid w:val="00DE058D"/>
    <w:rsid w:val="00DE0754"/>
    <w:rsid w:val="00E043A0"/>
    <w:rsid w:val="00E10184"/>
    <w:rsid w:val="00E12D61"/>
    <w:rsid w:val="00E16305"/>
    <w:rsid w:val="00E20B88"/>
    <w:rsid w:val="00E22BC0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D2388"/>
    <w:rsid w:val="00ED7706"/>
    <w:rsid w:val="00EE3BCB"/>
    <w:rsid w:val="00EF19DC"/>
    <w:rsid w:val="00F129A7"/>
    <w:rsid w:val="00F14707"/>
    <w:rsid w:val="00F16F4F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6A8E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aine.unfpa.org/uk/%D0%BF%D1%80%D0%BE-%D0%BD%D0%B0%D1%8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066762"/>
    <w:rsid w:val="000A2C26"/>
    <w:rsid w:val="000E3033"/>
    <w:rsid w:val="001541A1"/>
    <w:rsid w:val="001C1D62"/>
    <w:rsid w:val="001D6777"/>
    <w:rsid w:val="00266D35"/>
    <w:rsid w:val="00294F91"/>
    <w:rsid w:val="00336642"/>
    <w:rsid w:val="003F5274"/>
    <w:rsid w:val="00446552"/>
    <w:rsid w:val="004B1F66"/>
    <w:rsid w:val="004C164B"/>
    <w:rsid w:val="006532B5"/>
    <w:rsid w:val="006A36A0"/>
    <w:rsid w:val="006F55F3"/>
    <w:rsid w:val="007A13DA"/>
    <w:rsid w:val="00817D69"/>
    <w:rsid w:val="008B66A4"/>
    <w:rsid w:val="00B24A69"/>
    <w:rsid w:val="00B25919"/>
    <w:rsid w:val="00D93139"/>
    <w:rsid w:val="00DB2569"/>
    <w:rsid w:val="00E957FD"/>
    <w:rsid w:val="00F25842"/>
    <w:rsid w:val="00F77E67"/>
    <w:rsid w:val="00FB4E22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BB2D2B77-26E8-482A-9D33-54824215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8885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2020-01-14T13:18:00Z</cp:lastPrinted>
  <dcterms:created xsi:type="dcterms:W3CDTF">2020-01-14T13:18:00Z</dcterms:created>
  <dcterms:modified xsi:type="dcterms:W3CDTF">2020-01-14T13:18:00Z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