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0232ED7" w:rsidR="00D62E27"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Head of Procurement Unit</w:t>
      </w:r>
    </w:p>
    <w:p w14:paraId="6057CF19" w14:textId="77777777" w:rsidR="00D62E27" w:rsidRPr="006C0F86" w:rsidRDefault="00D62E27"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color w:val="000000" w:themeColor="text1"/>
          <w:sz w:val="20"/>
          <w:szCs w:val="20"/>
          <w:lang w:eastAsia="en-PH"/>
        </w:rPr>
        <w:t xml:space="preserve">United Nations Development </w:t>
      </w:r>
      <w:proofErr w:type="spellStart"/>
      <w:r w:rsidRPr="006C0F86">
        <w:rPr>
          <w:rFonts w:ascii="Arial" w:eastAsia="Times New Roman" w:hAnsi="Arial" w:cs="Arial"/>
          <w:b/>
          <w:color w:val="000000" w:themeColor="text1"/>
          <w:sz w:val="20"/>
          <w:szCs w:val="20"/>
          <w:lang w:eastAsia="en-PH"/>
        </w:rPr>
        <w:t>Programme</w:t>
      </w:r>
      <w:proofErr w:type="spellEnd"/>
      <w:r w:rsidRPr="006C0F86">
        <w:rPr>
          <w:rFonts w:ascii="Arial" w:eastAsia="Times New Roman" w:hAnsi="Arial" w:cs="Arial"/>
          <w:b/>
          <w:i/>
          <w:color w:val="000000" w:themeColor="text1"/>
          <w:sz w:val="20"/>
          <w:szCs w:val="20"/>
          <w:lang w:eastAsia="en-PH"/>
        </w:rPr>
        <w:t xml:space="preserve"> </w:t>
      </w:r>
    </w:p>
    <w:p w14:paraId="23B0E77F" w14:textId="27237242" w:rsidR="00D62E27"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Menara Thamrin Building, 7</w:t>
      </w:r>
      <w:r w:rsidRPr="006C0F86">
        <w:rPr>
          <w:rFonts w:ascii="Arial" w:eastAsia="Times New Roman" w:hAnsi="Arial" w:cs="Arial"/>
          <w:b/>
          <w:i/>
          <w:color w:val="000000" w:themeColor="text1"/>
          <w:sz w:val="20"/>
          <w:szCs w:val="20"/>
          <w:vertAlign w:val="superscript"/>
          <w:lang w:eastAsia="en-PH"/>
        </w:rPr>
        <w:t>th</w:t>
      </w:r>
      <w:r w:rsidRPr="006C0F86">
        <w:rPr>
          <w:rFonts w:ascii="Arial" w:eastAsia="Times New Roman" w:hAnsi="Arial" w:cs="Arial"/>
          <w:b/>
          <w:i/>
          <w:color w:val="000000" w:themeColor="text1"/>
          <w:sz w:val="20"/>
          <w:szCs w:val="20"/>
          <w:lang w:eastAsia="en-PH"/>
        </w:rPr>
        <w:t xml:space="preserve"> Floor</w:t>
      </w:r>
    </w:p>
    <w:p w14:paraId="15E31C21" w14:textId="4B457E2F" w:rsidR="006C0F86"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 xml:space="preserve">Jl. M. H. </w:t>
      </w:r>
      <w:proofErr w:type="spellStart"/>
      <w:r w:rsidRPr="006C0F86">
        <w:rPr>
          <w:rFonts w:ascii="Arial" w:eastAsia="Times New Roman" w:hAnsi="Arial" w:cs="Arial"/>
          <w:b/>
          <w:i/>
          <w:color w:val="000000" w:themeColor="text1"/>
          <w:sz w:val="20"/>
          <w:szCs w:val="20"/>
          <w:lang w:eastAsia="en-PH"/>
        </w:rPr>
        <w:t>Thamrin</w:t>
      </w:r>
      <w:proofErr w:type="spellEnd"/>
      <w:r w:rsidRPr="006C0F86">
        <w:rPr>
          <w:rFonts w:ascii="Arial" w:eastAsia="Times New Roman" w:hAnsi="Arial" w:cs="Arial"/>
          <w:b/>
          <w:i/>
          <w:color w:val="000000" w:themeColor="text1"/>
          <w:sz w:val="20"/>
          <w:szCs w:val="20"/>
          <w:lang w:eastAsia="en-PH"/>
        </w:rPr>
        <w:t xml:space="preserve"> </w:t>
      </w:r>
      <w:proofErr w:type="spellStart"/>
      <w:r w:rsidRPr="006C0F86">
        <w:rPr>
          <w:rFonts w:ascii="Arial" w:eastAsia="Times New Roman" w:hAnsi="Arial" w:cs="Arial"/>
          <w:b/>
          <w:i/>
          <w:color w:val="000000" w:themeColor="text1"/>
          <w:sz w:val="20"/>
          <w:szCs w:val="20"/>
          <w:lang w:eastAsia="en-PH"/>
        </w:rPr>
        <w:t>Kav</w:t>
      </w:r>
      <w:proofErr w:type="spellEnd"/>
      <w:r w:rsidRPr="006C0F86">
        <w:rPr>
          <w:rFonts w:ascii="Arial" w:eastAsia="Times New Roman" w:hAnsi="Arial" w:cs="Arial"/>
          <w:b/>
          <w:i/>
          <w:color w:val="000000" w:themeColor="text1"/>
          <w:sz w:val="20"/>
          <w:szCs w:val="20"/>
          <w:lang w:eastAsia="en-PH"/>
        </w:rPr>
        <w:t>. 3, Jakarta, 10250</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52EE57F" w:rsidR="00D0425F" w:rsidRDefault="00D62E27" w:rsidP="004A6352">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w:t>
      </w:r>
      <w:r w:rsidR="00353346">
        <w:rPr>
          <w:rFonts w:ascii="Arial" w:eastAsia="Times New Roman" w:hAnsi="Arial" w:cs="Arial"/>
          <w:b/>
          <w:color w:val="000000"/>
          <w:sz w:val="20"/>
          <w:szCs w:val="20"/>
          <w:lang w:eastAsia="en-PH"/>
        </w:rPr>
        <w:t>Technical Supports for Evaluation</w:t>
      </w:r>
      <w:r w:rsidR="00F178DD">
        <w:rPr>
          <w:rFonts w:ascii="Arial" w:eastAsia="Times New Roman" w:hAnsi="Arial" w:cs="Arial"/>
          <w:b/>
          <w:bCs/>
          <w:color w:val="000000"/>
          <w:sz w:val="20"/>
          <w:szCs w:val="20"/>
          <w:lang w:eastAsia="en-PH"/>
        </w:rPr>
        <w:t xml:space="preserve"> </w:t>
      </w:r>
      <w:r w:rsidRPr="00D0425F">
        <w:rPr>
          <w:rFonts w:ascii="Arial" w:eastAsia="Times New Roman" w:hAnsi="Arial" w:cs="Arial"/>
          <w:color w:val="000000"/>
          <w:sz w:val="20"/>
          <w:szCs w:val="20"/>
          <w:lang w:eastAsia="en-PH"/>
        </w:rPr>
        <w:t xml:space="preserve">under the </w:t>
      </w:r>
      <w:r w:rsidR="00334EE6">
        <w:rPr>
          <w:rFonts w:ascii="Arial" w:eastAsia="Times New Roman" w:hAnsi="Arial" w:cs="Arial"/>
          <w:b/>
          <w:color w:val="000000"/>
          <w:sz w:val="20"/>
          <w:szCs w:val="20"/>
          <w:lang w:eastAsia="en-PH"/>
        </w:rPr>
        <w:t xml:space="preserve">Enhancing the IMDFF-DR Secretariat Support Capacity for Post-Disaster Recovery Governance (ENSURE) </w:t>
      </w:r>
      <w:r w:rsidR="004A6352">
        <w:rPr>
          <w:rFonts w:ascii="Arial" w:eastAsia="Times New Roman" w:hAnsi="Arial" w:cs="Arial"/>
          <w:color w:val="000000"/>
          <w:sz w:val="20"/>
          <w:szCs w:val="20"/>
          <w:lang w:eastAsia="en-PH"/>
        </w:rPr>
        <w:t>Project</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D02560">
        <w:tc>
          <w:tcPr>
            <w:tcW w:w="1910" w:type="dxa"/>
          </w:tcPr>
          <w:p w14:paraId="7699759E" w14:textId="77777777" w:rsidR="00D62E27" w:rsidRPr="000F482B" w:rsidRDefault="00D62E27" w:rsidP="00D02560">
            <w:pPr>
              <w:tabs>
                <w:tab w:val="left" w:pos="1890"/>
              </w:tabs>
              <w:jc w:val="center"/>
              <w:rPr>
                <w:rFonts w:ascii="Arial" w:hAnsi="Arial" w:cs="Arial"/>
                <w:b/>
                <w:sz w:val="20"/>
                <w:szCs w:val="20"/>
              </w:rPr>
            </w:pPr>
          </w:p>
          <w:p w14:paraId="78421D70"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D02560">
            <w:pPr>
              <w:tabs>
                <w:tab w:val="left" w:pos="1890"/>
              </w:tabs>
              <w:jc w:val="center"/>
              <w:rPr>
                <w:rFonts w:ascii="Arial" w:hAnsi="Arial" w:cs="Arial"/>
                <w:b/>
                <w:sz w:val="20"/>
                <w:szCs w:val="20"/>
              </w:rPr>
            </w:pPr>
          </w:p>
          <w:p w14:paraId="4021DCA5"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D02560">
            <w:pPr>
              <w:tabs>
                <w:tab w:val="left" w:pos="1890"/>
              </w:tabs>
              <w:jc w:val="center"/>
              <w:rPr>
                <w:rFonts w:ascii="Arial" w:hAnsi="Arial" w:cs="Arial"/>
                <w:b/>
                <w:sz w:val="20"/>
                <w:szCs w:val="20"/>
              </w:rPr>
            </w:pPr>
          </w:p>
          <w:p w14:paraId="609A5704"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D02560">
            <w:pPr>
              <w:tabs>
                <w:tab w:val="left" w:pos="1890"/>
              </w:tabs>
              <w:jc w:val="center"/>
              <w:rPr>
                <w:rFonts w:ascii="Arial" w:hAnsi="Arial" w:cs="Arial"/>
                <w:b/>
                <w:sz w:val="20"/>
                <w:szCs w:val="20"/>
              </w:rPr>
            </w:pPr>
          </w:p>
          <w:p w14:paraId="229003C2"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D02560">
        <w:tc>
          <w:tcPr>
            <w:tcW w:w="1910" w:type="dxa"/>
          </w:tcPr>
          <w:p w14:paraId="5F04ECE3" w14:textId="77777777" w:rsidR="00D62E27" w:rsidRPr="000F482B" w:rsidRDefault="00D62E27" w:rsidP="00D02560">
            <w:pPr>
              <w:tabs>
                <w:tab w:val="left" w:pos="1890"/>
              </w:tabs>
              <w:rPr>
                <w:rFonts w:ascii="Arial" w:hAnsi="Arial" w:cs="Arial"/>
                <w:sz w:val="20"/>
                <w:szCs w:val="20"/>
              </w:rPr>
            </w:pPr>
          </w:p>
        </w:tc>
        <w:tc>
          <w:tcPr>
            <w:tcW w:w="1438" w:type="dxa"/>
          </w:tcPr>
          <w:p w14:paraId="5B00B93F" w14:textId="77777777" w:rsidR="00D62E27" w:rsidRPr="000F482B" w:rsidRDefault="00D62E27" w:rsidP="00D02560">
            <w:pPr>
              <w:tabs>
                <w:tab w:val="left" w:pos="1890"/>
              </w:tabs>
              <w:rPr>
                <w:rFonts w:ascii="Arial" w:hAnsi="Arial" w:cs="Arial"/>
                <w:sz w:val="20"/>
                <w:szCs w:val="20"/>
              </w:rPr>
            </w:pPr>
          </w:p>
        </w:tc>
        <w:tc>
          <w:tcPr>
            <w:tcW w:w="1956" w:type="dxa"/>
          </w:tcPr>
          <w:p w14:paraId="45CF9E99" w14:textId="77777777" w:rsidR="00D62E27" w:rsidRPr="000F482B" w:rsidRDefault="00D62E27" w:rsidP="00D02560">
            <w:pPr>
              <w:tabs>
                <w:tab w:val="left" w:pos="1890"/>
              </w:tabs>
              <w:rPr>
                <w:rFonts w:ascii="Arial" w:hAnsi="Arial" w:cs="Arial"/>
                <w:sz w:val="20"/>
                <w:szCs w:val="20"/>
              </w:rPr>
            </w:pPr>
          </w:p>
        </w:tc>
        <w:tc>
          <w:tcPr>
            <w:tcW w:w="1378" w:type="dxa"/>
          </w:tcPr>
          <w:p w14:paraId="49041EF6" w14:textId="77777777" w:rsidR="00D62E27" w:rsidRPr="000F482B" w:rsidRDefault="00D62E27" w:rsidP="00D02560">
            <w:pPr>
              <w:tabs>
                <w:tab w:val="left" w:pos="1890"/>
              </w:tabs>
              <w:rPr>
                <w:rFonts w:ascii="Arial" w:hAnsi="Arial" w:cs="Arial"/>
                <w:sz w:val="20"/>
                <w:szCs w:val="20"/>
              </w:rPr>
            </w:pPr>
          </w:p>
        </w:tc>
        <w:tc>
          <w:tcPr>
            <w:tcW w:w="1390" w:type="dxa"/>
          </w:tcPr>
          <w:p w14:paraId="3E2492DE" w14:textId="77777777" w:rsidR="00D62E27" w:rsidRPr="000F482B" w:rsidRDefault="00D62E27" w:rsidP="00D02560">
            <w:pPr>
              <w:tabs>
                <w:tab w:val="left" w:pos="1890"/>
              </w:tabs>
              <w:rPr>
                <w:rFonts w:ascii="Arial" w:hAnsi="Arial" w:cs="Arial"/>
                <w:sz w:val="20"/>
                <w:szCs w:val="20"/>
              </w:rPr>
            </w:pPr>
          </w:p>
        </w:tc>
      </w:tr>
      <w:tr w:rsidR="00D62E27" w:rsidRPr="000F482B" w14:paraId="4EC7A041" w14:textId="77777777" w:rsidTr="00D02560">
        <w:tc>
          <w:tcPr>
            <w:tcW w:w="1910" w:type="dxa"/>
          </w:tcPr>
          <w:p w14:paraId="0A3A0794" w14:textId="77777777" w:rsidR="00D62E27" w:rsidRPr="000F482B" w:rsidRDefault="00D62E27" w:rsidP="00D02560">
            <w:pPr>
              <w:tabs>
                <w:tab w:val="left" w:pos="1890"/>
              </w:tabs>
              <w:rPr>
                <w:rFonts w:ascii="Arial" w:hAnsi="Arial" w:cs="Arial"/>
                <w:sz w:val="20"/>
                <w:szCs w:val="20"/>
              </w:rPr>
            </w:pPr>
          </w:p>
        </w:tc>
        <w:tc>
          <w:tcPr>
            <w:tcW w:w="1438" w:type="dxa"/>
          </w:tcPr>
          <w:p w14:paraId="6F4179A7" w14:textId="77777777" w:rsidR="00D62E27" w:rsidRPr="000F482B" w:rsidRDefault="00D62E27" w:rsidP="00D02560">
            <w:pPr>
              <w:tabs>
                <w:tab w:val="left" w:pos="1890"/>
              </w:tabs>
              <w:rPr>
                <w:rFonts w:ascii="Arial" w:hAnsi="Arial" w:cs="Arial"/>
                <w:sz w:val="20"/>
                <w:szCs w:val="20"/>
              </w:rPr>
            </w:pPr>
          </w:p>
        </w:tc>
        <w:tc>
          <w:tcPr>
            <w:tcW w:w="1956" w:type="dxa"/>
          </w:tcPr>
          <w:p w14:paraId="3DE4E10C" w14:textId="77777777" w:rsidR="00D62E27" w:rsidRPr="000F482B" w:rsidRDefault="00D62E27" w:rsidP="00D02560">
            <w:pPr>
              <w:tabs>
                <w:tab w:val="left" w:pos="1890"/>
              </w:tabs>
              <w:rPr>
                <w:rFonts w:ascii="Arial" w:hAnsi="Arial" w:cs="Arial"/>
                <w:sz w:val="20"/>
                <w:szCs w:val="20"/>
              </w:rPr>
            </w:pPr>
          </w:p>
        </w:tc>
        <w:tc>
          <w:tcPr>
            <w:tcW w:w="1378" w:type="dxa"/>
          </w:tcPr>
          <w:p w14:paraId="109A5A0F" w14:textId="77777777" w:rsidR="00D62E27" w:rsidRPr="000F482B" w:rsidRDefault="00D62E27" w:rsidP="00D02560">
            <w:pPr>
              <w:tabs>
                <w:tab w:val="left" w:pos="1890"/>
              </w:tabs>
              <w:rPr>
                <w:rFonts w:ascii="Arial" w:hAnsi="Arial" w:cs="Arial"/>
                <w:sz w:val="20"/>
                <w:szCs w:val="20"/>
              </w:rPr>
            </w:pPr>
          </w:p>
        </w:tc>
        <w:tc>
          <w:tcPr>
            <w:tcW w:w="1390" w:type="dxa"/>
          </w:tcPr>
          <w:p w14:paraId="0C7DBCFB" w14:textId="77777777" w:rsidR="00D62E27" w:rsidRPr="000F482B" w:rsidRDefault="00D62E27" w:rsidP="00D02560">
            <w:pPr>
              <w:tabs>
                <w:tab w:val="left" w:pos="1890"/>
              </w:tabs>
              <w:rPr>
                <w:rFonts w:ascii="Arial" w:hAnsi="Arial" w:cs="Arial"/>
                <w:sz w:val="20"/>
                <w:szCs w:val="20"/>
              </w:rPr>
            </w:pPr>
          </w:p>
        </w:tc>
      </w:tr>
      <w:tr w:rsidR="00D62E27" w:rsidRPr="000F482B" w14:paraId="304E8C09" w14:textId="77777777" w:rsidTr="00D02560">
        <w:tc>
          <w:tcPr>
            <w:tcW w:w="1910" w:type="dxa"/>
          </w:tcPr>
          <w:p w14:paraId="5B5BCADB" w14:textId="77777777" w:rsidR="00D62E27" w:rsidRPr="000F482B" w:rsidRDefault="00D62E27" w:rsidP="00D02560">
            <w:pPr>
              <w:tabs>
                <w:tab w:val="left" w:pos="1890"/>
              </w:tabs>
              <w:rPr>
                <w:rFonts w:ascii="Arial" w:hAnsi="Arial" w:cs="Arial"/>
                <w:sz w:val="20"/>
                <w:szCs w:val="20"/>
              </w:rPr>
            </w:pPr>
          </w:p>
        </w:tc>
        <w:tc>
          <w:tcPr>
            <w:tcW w:w="1438" w:type="dxa"/>
          </w:tcPr>
          <w:p w14:paraId="6B822D51" w14:textId="77777777" w:rsidR="00D62E27" w:rsidRPr="000F482B" w:rsidRDefault="00D62E27" w:rsidP="00D02560">
            <w:pPr>
              <w:tabs>
                <w:tab w:val="left" w:pos="1890"/>
              </w:tabs>
              <w:rPr>
                <w:rFonts w:ascii="Arial" w:hAnsi="Arial" w:cs="Arial"/>
                <w:sz w:val="20"/>
                <w:szCs w:val="20"/>
              </w:rPr>
            </w:pPr>
          </w:p>
        </w:tc>
        <w:tc>
          <w:tcPr>
            <w:tcW w:w="1956" w:type="dxa"/>
          </w:tcPr>
          <w:p w14:paraId="7C115CA1" w14:textId="77777777" w:rsidR="00D62E27" w:rsidRPr="000F482B" w:rsidRDefault="00D62E27" w:rsidP="00D02560">
            <w:pPr>
              <w:tabs>
                <w:tab w:val="left" w:pos="1890"/>
              </w:tabs>
              <w:rPr>
                <w:rFonts w:ascii="Arial" w:hAnsi="Arial" w:cs="Arial"/>
                <w:sz w:val="20"/>
                <w:szCs w:val="20"/>
              </w:rPr>
            </w:pPr>
          </w:p>
        </w:tc>
        <w:tc>
          <w:tcPr>
            <w:tcW w:w="1378" w:type="dxa"/>
          </w:tcPr>
          <w:p w14:paraId="411B9562" w14:textId="77777777" w:rsidR="00D62E27" w:rsidRPr="000F482B" w:rsidRDefault="00D62E27" w:rsidP="00D02560">
            <w:pPr>
              <w:tabs>
                <w:tab w:val="left" w:pos="1890"/>
              </w:tabs>
              <w:rPr>
                <w:rFonts w:ascii="Arial" w:hAnsi="Arial" w:cs="Arial"/>
                <w:sz w:val="20"/>
                <w:szCs w:val="20"/>
              </w:rPr>
            </w:pPr>
          </w:p>
        </w:tc>
        <w:tc>
          <w:tcPr>
            <w:tcW w:w="1390" w:type="dxa"/>
          </w:tcPr>
          <w:p w14:paraId="5A3EA50B" w14:textId="77777777" w:rsidR="00D62E27" w:rsidRPr="000F482B" w:rsidRDefault="00D62E27" w:rsidP="00D02560">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D02560">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D02560">
            <w:pPr>
              <w:tabs>
                <w:tab w:val="left" w:pos="1890"/>
              </w:tabs>
              <w:jc w:val="center"/>
              <w:rPr>
                <w:rFonts w:ascii="Arial" w:hAnsi="Arial" w:cs="Arial"/>
                <w:b/>
                <w:sz w:val="20"/>
                <w:szCs w:val="20"/>
              </w:rPr>
            </w:pPr>
          </w:p>
          <w:p w14:paraId="614C7228"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D02560">
            <w:pPr>
              <w:tabs>
                <w:tab w:val="left" w:pos="1890"/>
              </w:tabs>
              <w:jc w:val="center"/>
              <w:rPr>
                <w:rFonts w:ascii="Arial" w:hAnsi="Arial" w:cs="Arial"/>
                <w:b/>
                <w:sz w:val="20"/>
                <w:szCs w:val="20"/>
              </w:rPr>
            </w:pPr>
          </w:p>
          <w:p w14:paraId="256BAC0D"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D02560">
            <w:pPr>
              <w:tabs>
                <w:tab w:val="left" w:pos="1890"/>
              </w:tabs>
              <w:jc w:val="center"/>
              <w:rPr>
                <w:rFonts w:ascii="Arial" w:hAnsi="Arial" w:cs="Arial"/>
                <w:b/>
                <w:sz w:val="20"/>
                <w:szCs w:val="20"/>
              </w:rPr>
            </w:pPr>
          </w:p>
          <w:p w14:paraId="30C9E9D7"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D02560">
            <w:pPr>
              <w:tabs>
                <w:tab w:val="left" w:pos="1890"/>
              </w:tabs>
              <w:jc w:val="center"/>
              <w:rPr>
                <w:rFonts w:ascii="Arial" w:hAnsi="Arial" w:cs="Arial"/>
                <w:b/>
                <w:sz w:val="20"/>
                <w:szCs w:val="20"/>
              </w:rPr>
            </w:pPr>
          </w:p>
          <w:p w14:paraId="60F6BB58"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D02560">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D02560">
            <w:pPr>
              <w:tabs>
                <w:tab w:val="left" w:pos="1890"/>
              </w:tabs>
              <w:rPr>
                <w:rFonts w:ascii="Arial" w:hAnsi="Arial" w:cs="Arial"/>
                <w:sz w:val="20"/>
                <w:szCs w:val="20"/>
              </w:rPr>
            </w:pPr>
          </w:p>
        </w:tc>
      </w:tr>
      <w:tr w:rsidR="00D62E27" w:rsidRPr="000F482B" w14:paraId="5AA12C97" w14:textId="77777777" w:rsidTr="00D02560">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D02560">
            <w:pPr>
              <w:tabs>
                <w:tab w:val="left" w:pos="1890"/>
              </w:tabs>
              <w:rPr>
                <w:rFonts w:ascii="Arial" w:hAnsi="Arial" w:cs="Arial"/>
                <w:sz w:val="20"/>
                <w:szCs w:val="20"/>
              </w:rPr>
            </w:pPr>
          </w:p>
        </w:tc>
      </w:tr>
      <w:tr w:rsidR="00D62E27" w:rsidRPr="000F482B" w14:paraId="314F9542" w14:textId="77777777" w:rsidTr="00D02560">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D02560">
            <w:pPr>
              <w:tabs>
                <w:tab w:val="left" w:pos="1890"/>
              </w:tabs>
              <w:rPr>
                <w:rFonts w:ascii="Arial" w:hAnsi="Arial" w:cs="Arial"/>
                <w:sz w:val="20"/>
                <w:szCs w:val="20"/>
              </w:rPr>
            </w:pPr>
          </w:p>
        </w:tc>
      </w:tr>
      <w:tr w:rsidR="00D62E27" w:rsidRPr="000F482B" w14:paraId="730C8B7B" w14:textId="77777777" w:rsidTr="00D02560">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D02560">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D02560">
        <w:trPr>
          <w:trHeight w:val="413"/>
        </w:trPr>
        <w:tc>
          <w:tcPr>
            <w:tcW w:w="2947" w:type="dxa"/>
          </w:tcPr>
          <w:p w14:paraId="41BC8BDF" w14:textId="77777777" w:rsidR="00D62E27" w:rsidRPr="00B5541D" w:rsidRDefault="00D62E27" w:rsidP="00D02560">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D02560">
        <w:trPr>
          <w:trHeight w:val="267"/>
        </w:trPr>
        <w:tc>
          <w:tcPr>
            <w:tcW w:w="2947" w:type="dxa"/>
          </w:tcPr>
          <w:p w14:paraId="43ED1C76" w14:textId="77777777" w:rsidR="00D62E27" w:rsidRPr="000F482B" w:rsidRDefault="00D62E27" w:rsidP="00D02560">
            <w:pPr>
              <w:tabs>
                <w:tab w:val="left" w:pos="1890"/>
              </w:tabs>
              <w:rPr>
                <w:rFonts w:ascii="Arial" w:hAnsi="Arial" w:cs="Arial"/>
                <w:sz w:val="18"/>
                <w:szCs w:val="18"/>
              </w:rPr>
            </w:pPr>
          </w:p>
        </w:tc>
        <w:tc>
          <w:tcPr>
            <w:tcW w:w="2283" w:type="dxa"/>
          </w:tcPr>
          <w:p w14:paraId="7A69BD8C" w14:textId="77777777" w:rsidR="00D62E27" w:rsidRPr="000F482B" w:rsidRDefault="00D62E27" w:rsidP="00D02560">
            <w:pPr>
              <w:tabs>
                <w:tab w:val="left" w:pos="1890"/>
              </w:tabs>
              <w:rPr>
                <w:rFonts w:ascii="Arial" w:hAnsi="Arial" w:cs="Arial"/>
                <w:sz w:val="18"/>
                <w:szCs w:val="18"/>
              </w:rPr>
            </w:pPr>
          </w:p>
        </w:tc>
        <w:tc>
          <w:tcPr>
            <w:tcW w:w="2870" w:type="dxa"/>
          </w:tcPr>
          <w:p w14:paraId="459991A1" w14:textId="77777777" w:rsidR="00D62E27" w:rsidRPr="000F482B" w:rsidRDefault="00D62E27" w:rsidP="00D02560">
            <w:pPr>
              <w:tabs>
                <w:tab w:val="left" w:pos="1890"/>
              </w:tabs>
              <w:rPr>
                <w:rFonts w:ascii="Arial" w:hAnsi="Arial" w:cs="Arial"/>
                <w:sz w:val="18"/>
                <w:szCs w:val="18"/>
              </w:rPr>
            </w:pPr>
          </w:p>
        </w:tc>
      </w:tr>
      <w:tr w:rsidR="00D62E27" w:rsidRPr="000F482B" w14:paraId="2851245A" w14:textId="77777777" w:rsidTr="00D02560">
        <w:trPr>
          <w:trHeight w:val="267"/>
        </w:trPr>
        <w:tc>
          <w:tcPr>
            <w:tcW w:w="2947" w:type="dxa"/>
          </w:tcPr>
          <w:p w14:paraId="29DF4C35" w14:textId="77777777" w:rsidR="00D62E27" w:rsidRPr="000F482B" w:rsidRDefault="00D62E27" w:rsidP="00D02560">
            <w:pPr>
              <w:tabs>
                <w:tab w:val="left" w:pos="1890"/>
              </w:tabs>
              <w:rPr>
                <w:rFonts w:ascii="Arial" w:hAnsi="Arial" w:cs="Arial"/>
                <w:sz w:val="18"/>
                <w:szCs w:val="18"/>
              </w:rPr>
            </w:pPr>
          </w:p>
        </w:tc>
        <w:tc>
          <w:tcPr>
            <w:tcW w:w="2283" w:type="dxa"/>
          </w:tcPr>
          <w:p w14:paraId="767B47EB" w14:textId="77777777" w:rsidR="00D62E27" w:rsidRPr="000F482B" w:rsidRDefault="00D62E27" w:rsidP="00D02560">
            <w:pPr>
              <w:tabs>
                <w:tab w:val="left" w:pos="1890"/>
              </w:tabs>
              <w:rPr>
                <w:rFonts w:ascii="Arial" w:hAnsi="Arial" w:cs="Arial"/>
                <w:sz w:val="18"/>
                <w:szCs w:val="18"/>
              </w:rPr>
            </w:pPr>
          </w:p>
        </w:tc>
        <w:tc>
          <w:tcPr>
            <w:tcW w:w="2870" w:type="dxa"/>
          </w:tcPr>
          <w:p w14:paraId="72830B30" w14:textId="77777777" w:rsidR="00D62E27" w:rsidRPr="000F482B" w:rsidRDefault="00D62E27" w:rsidP="00D02560">
            <w:pPr>
              <w:tabs>
                <w:tab w:val="left" w:pos="1890"/>
              </w:tabs>
              <w:rPr>
                <w:rFonts w:ascii="Arial" w:hAnsi="Arial" w:cs="Arial"/>
                <w:sz w:val="18"/>
                <w:szCs w:val="18"/>
              </w:rPr>
            </w:pPr>
          </w:p>
        </w:tc>
      </w:tr>
      <w:tr w:rsidR="00D62E27" w:rsidRPr="000F482B" w14:paraId="3FF15847" w14:textId="77777777" w:rsidTr="00D02560">
        <w:trPr>
          <w:trHeight w:val="267"/>
        </w:trPr>
        <w:tc>
          <w:tcPr>
            <w:tcW w:w="2947" w:type="dxa"/>
          </w:tcPr>
          <w:p w14:paraId="4BEC6A89" w14:textId="77777777" w:rsidR="00D62E27" w:rsidRPr="000F482B" w:rsidRDefault="00D62E27" w:rsidP="00D02560">
            <w:pPr>
              <w:tabs>
                <w:tab w:val="left" w:pos="1890"/>
              </w:tabs>
              <w:rPr>
                <w:rFonts w:ascii="Arial" w:hAnsi="Arial" w:cs="Arial"/>
                <w:sz w:val="18"/>
                <w:szCs w:val="18"/>
              </w:rPr>
            </w:pPr>
          </w:p>
        </w:tc>
        <w:tc>
          <w:tcPr>
            <w:tcW w:w="2283" w:type="dxa"/>
          </w:tcPr>
          <w:p w14:paraId="47BFDB71" w14:textId="77777777" w:rsidR="00D62E27" w:rsidRPr="000F482B" w:rsidRDefault="00D62E27" w:rsidP="00D02560">
            <w:pPr>
              <w:tabs>
                <w:tab w:val="left" w:pos="1890"/>
              </w:tabs>
              <w:rPr>
                <w:rFonts w:ascii="Arial" w:hAnsi="Arial" w:cs="Arial"/>
                <w:sz w:val="18"/>
                <w:szCs w:val="18"/>
              </w:rPr>
            </w:pPr>
          </w:p>
        </w:tc>
        <w:tc>
          <w:tcPr>
            <w:tcW w:w="2870" w:type="dxa"/>
          </w:tcPr>
          <w:p w14:paraId="26525771" w14:textId="77777777" w:rsidR="00D62E27" w:rsidRPr="000F482B" w:rsidRDefault="00D62E27" w:rsidP="00D02560">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D02560">
        <w:trPr>
          <w:trHeight w:val="350"/>
        </w:trPr>
        <w:tc>
          <w:tcPr>
            <w:tcW w:w="2947" w:type="dxa"/>
          </w:tcPr>
          <w:p w14:paraId="42D48B8E"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D02560">
        <w:trPr>
          <w:trHeight w:val="267"/>
        </w:trPr>
        <w:tc>
          <w:tcPr>
            <w:tcW w:w="2947" w:type="dxa"/>
          </w:tcPr>
          <w:p w14:paraId="13C3D497" w14:textId="77777777" w:rsidR="00D62E27" w:rsidRPr="000F482B" w:rsidRDefault="00D62E27" w:rsidP="00D02560">
            <w:pPr>
              <w:tabs>
                <w:tab w:val="left" w:pos="1890"/>
              </w:tabs>
              <w:rPr>
                <w:rFonts w:ascii="Arial" w:hAnsi="Arial" w:cs="Arial"/>
                <w:sz w:val="18"/>
                <w:szCs w:val="18"/>
              </w:rPr>
            </w:pPr>
          </w:p>
        </w:tc>
        <w:tc>
          <w:tcPr>
            <w:tcW w:w="2283" w:type="dxa"/>
          </w:tcPr>
          <w:p w14:paraId="5ABF57BB" w14:textId="77777777" w:rsidR="00D62E27" w:rsidRPr="000F482B" w:rsidRDefault="00D62E27" w:rsidP="00D02560">
            <w:pPr>
              <w:tabs>
                <w:tab w:val="left" w:pos="1890"/>
              </w:tabs>
              <w:rPr>
                <w:rFonts w:ascii="Arial" w:hAnsi="Arial" w:cs="Arial"/>
                <w:sz w:val="18"/>
                <w:szCs w:val="18"/>
              </w:rPr>
            </w:pPr>
          </w:p>
        </w:tc>
        <w:tc>
          <w:tcPr>
            <w:tcW w:w="2870" w:type="dxa"/>
          </w:tcPr>
          <w:p w14:paraId="79958795" w14:textId="77777777" w:rsidR="00D62E27" w:rsidRPr="000F482B" w:rsidRDefault="00D62E27" w:rsidP="00D02560">
            <w:pPr>
              <w:tabs>
                <w:tab w:val="left" w:pos="1890"/>
              </w:tabs>
              <w:rPr>
                <w:rFonts w:ascii="Arial" w:hAnsi="Arial" w:cs="Arial"/>
                <w:sz w:val="18"/>
                <w:szCs w:val="18"/>
              </w:rPr>
            </w:pPr>
          </w:p>
        </w:tc>
      </w:tr>
      <w:tr w:rsidR="00D62E27" w:rsidRPr="000F482B" w14:paraId="395D7168" w14:textId="77777777" w:rsidTr="00D02560">
        <w:trPr>
          <w:trHeight w:val="267"/>
        </w:trPr>
        <w:tc>
          <w:tcPr>
            <w:tcW w:w="2947" w:type="dxa"/>
          </w:tcPr>
          <w:p w14:paraId="4898DBB7" w14:textId="77777777" w:rsidR="00D62E27" w:rsidRPr="000F482B" w:rsidRDefault="00D62E27" w:rsidP="00D02560">
            <w:pPr>
              <w:tabs>
                <w:tab w:val="left" w:pos="1890"/>
              </w:tabs>
              <w:rPr>
                <w:rFonts w:ascii="Arial" w:hAnsi="Arial" w:cs="Arial"/>
                <w:sz w:val="18"/>
                <w:szCs w:val="18"/>
              </w:rPr>
            </w:pPr>
          </w:p>
        </w:tc>
        <w:tc>
          <w:tcPr>
            <w:tcW w:w="2283" w:type="dxa"/>
          </w:tcPr>
          <w:p w14:paraId="2B31C416" w14:textId="77777777" w:rsidR="00D62E27" w:rsidRPr="000F482B" w:rsidRDefault="00D62E27" w:rsidP="00D02560">
            <w:pPr>
              <w:tabs>
                <w:tab w:val="left" w:pos="1890"/>
              </w:tabs>
              <w:rPr>
                <w:rFonts w:ascii="Arial" w:hAnsi="Arial" w:cs="Arial"/>
                <w:sz w:val="18"/>
                <w:szCs w:val="18"/>
              </w:rPr>
            </w:pPr>
          </w:p>
        </w:tc>
        <w:tc>
          <w:tcPr>
            <w:tcW w:w="2870" w:type="dxa"/>
          </w:tcPr>
          <w:p w14:paraId="2F3C5A35" w14:textId="77777777" w:rsidR="00D62E27" w:rsidRPr="000F482B" w:rsidRDefault="00D62E27" w:rsidP="00D02560">
            <w:pPr>
              <w:tabs>
                <w:tab w:val="left" w:pos="1890"/>
              </w:tabs>
              <w:rPr>
                <w:rFonts w:ascii="Arial" w:hAnsi="Arial" w:cs="Arial"/>
                <w:sz w:val="18"/>
                <w:szCs w:val="18"/>
              </w:rPr>
            </w:pPr>
          </w:p>
        </w:tc>
      </w:tr>
      <w:tr w:rsidR="00D62E27" w:rsidRPr="000F482B" w14:paraId="77F8D9BA" w14:textId="77777777" w:rsidTr="00D02560">
        <w:trPr>
          <w:trHeight w:val="267"/>
        </w:trPr>
        <w:tc>
          <w:tcPr>
            <w:tcW w:w="2947" w:type="dxa"/>
          </w:tcPr>
          <w:p w14:paraId="50D46791" w14:textId="77777777" w:rsidR="00D62E27" w:rsidRPr="000F482B" w:rsidRDefault="00D62E27" w:rsidP="00D02560">
            <w:pPr>
              <w:tabs>
                <w:tab w:val="left" w:pos="1890"/>
              </w:tabs>
              <w:rPr>
                <w:rFonts w:ascii="Arial" w:hAnsi="Arial" w:cs="Arial"/>
                <w:sz w:val="18"/>
                <w:szCs w:val="18"/>
              </w:rPr>
            </w:pPr>
          </w:p>
        </w:tc>
        <w:tc>
          <w:tcPr>
            <w:tcW w:w="2283" w:type="dxa"/>
          </w:tcPr>
          <w:p w14:paraId="7F95F5C5" w14:textId="77777777" w:rsidR="00D62E27" w:rsidRPr="000F482B" w:rsidRDefault="00D62E27" w:rsidP="00D02560">
            <w:pPr>
              <w:tabs>
                <w:tab w:val="left" w:pos="1890"/>
              </w:tabs>
              <w:rPr>
                <w:rFonts w:ascii="Arial" w:hAnsi="Arial" w:cs="Arial"/>
                <w:sz w:val="18"/>
                <w:szCs w:val="18"/>
              </w:rPr>
            </w:pPr>
          </w:p>
        </w:tc>
        <w:tc>
          <w:tcPr>
            <w:tcW w:w="2870" w:type="dxa"/>
          </w:tcPr>
          <w:p w14:paraId="37028D70" w14:textId="77777777" w:rsidR="00D62E27" w:rsidRPr="000F482B" w:rsidRDefault="00D62E27" w:rsidP="00D02560">
            <w:pPr>
              <w:tabs>
                <w:tab w:val="left" w:pos="1890"/>
              </w:tabs>
              <w:rPr>
                <w:rFonts w:ascii="Arial" w:hAnsi="Arial" w:cs="Arial"/>
                <w:sz w:val="18"/>
                <w:szCs w:val="18"/>
              </w:rPr>
            </w:pPr>
          </w:p>
        </w:tc>
      </w:tr>
      <w:tr w:rsidR="00D62E27" w:rsidRPr="000F482B" w14:paraId="4CAB7BD6" w14:textId="77777777" w:rsidTr="00D02560">
        <w:trPr>
          <w:trHeight w:val="267"/>
        </w:trPr>
        <w:tc>
          <w:tcPr>
            <w:tcW w:w="2947" w:type="dxa"/>
          </w:tcPr>
          <w:p w14:paraId="20C59ED2" w14:textId="77777777" w:rsidR="00D62E27" w:rsidRPr="000F482B" w:rsidRDefault="00D62E27" w:rsidP="00D02560">
            <w:pPr>
              <w:tabs>
                <w:tab w:val="left" w:pos="1890"/>
              </w:tabs>
              <w:rPr>
                <w:rFonts w:ascii="Arial" w:hAnsi="Arial" w:cs="Arial"/>
                <w:sz w:val="18"/>
                <w:szCs w:val="18"/>
              </w:rPr>
            </w:pPr>
          </w:p>
        </w:tc>
        <w:tc>
          <w:tcPr>
            <w:tcW w:w="2283" w:type="dxa"/>
          </w:tcPr>
          <w:p w14:paraId="586AA7A5" w14:textId="77777777" w:rsidR="00D62E27" w:rsidRPr="000F482B" w:rsidRDefault="00D62E27" w:rsidP="00D02560">
            <w:pPr>
              <w:tabs>
                <w:tab w:val="left" w:pos="1890"/>
              </w:tabs>
              <w:rPr>
                <w:rFonts w:ascii="Arial" w:hAnsi="Arial" w:cs="Arial"/>
                <w:sz w:val="18"/>
                <w:szCs w:val="18"/>
              </w:rPr>
            </w:pPr>
          </w:p>
        </w:tc>
        <w:tc>
          <w:tcPr>
            <w:tcW w:w="2870" w:type="dxa"/>
          </w:tcPr>
          <w:p w14:paraId="0EAE381D" w14:textId="77777777" w:rsidR="00D62E27" w:rsidRPr="000F482B" w:rsidRDefault="00D62E27" w:rsidP="00D02560">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D02560">
        <w:trPr>
          <w:trHeight w:val="683"/>
        </w:trPr>
        <w:tc>
          <w:tcPr>
            <w:tcW w:w="3780" w:type="dxa"/>
          </w:tcPr>
          <w:p w14:paraId="18DBE9BA" w14:textId="77777777" w:rsidR="00D62E27" w:rsidRPr="000F482B" w:rsidRDefault="00D62E27" w:rsidP="00D02560">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D02560">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D02560">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D02560">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D02560">
        <w:tc>
          <w:tcPr>
            <w:tcW w:w="3780" w:type="dxa"/>
          </w:tcPr>
          <w:p w14:paraId="0C14E17F" w14:textId="77777777" w:rsidR="00D62E27" w:rsidRPr="000F482B" w:rsidRDefault="00D62E27"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D02560">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D02560">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3D3B35C1" w14:textId="77777777" w:rsidTr="00D02560">
        <w:tc>
          <w:tcPr>
            <w:tcW w:w="3780" w:type="dxa"/>
          </w:tcPr>
          <w:p w14:paraId="0CCF273F" w14:textId="77777777" w:rsidR="00D62E27" w:rsidRPr="000F482B" w:rsidRDefault="00D62E27" w:rsidP="00D02560">
            <w:pPr>
              <w:spacing w:after="0" w:line="240" w:lineRule="auto"/>
              <w:jc w:val="both"/>
              <w:rPr>
                <w:rFonts w:ascii="Arial" w:eastAsia="Calibri" w:hAnsi="Arial" w:cs="Arial"/>
                <w:snapToGrid w:val="0"/>
                <w:sz w:val="20"/>
                <w:szCs w:val="20"/>
              </w:rPr>
            </w:pPr>
          </w:p>
          <w:p w14:paraId="02214E51"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471DA4DA" w14:textId="77777777" w:rsidTr="00D02560">
        <w:tc>
          <w:tcPr>
            <w:tcW w:w="3780" w:type="dxa"/>
          </w:tcPr>
          <w:p w14:paraId="238A0DD9"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9C051D6" w14:textId="77777777" w:rsidTr="00D02560">
        <w:tc>
          <w:tcPr>
            <w:tcW w:w="3780" w:type="dxa"/>
          </w:tcPr>
          <w:p w14:paraId="574A1895"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50261B38" w14:textId="77777777" w:rsidTr="00D02560">
        <w:tc>
          <w:tcPr>
            <w:tcW w:w="3780" w:type="dxa"/>
          </w:tcPr>
          <w:p w14:paraId="32102CE6"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164A6445" w14:textId="77777777" w:rsidTr="00D02560">
        <w:tc>
          <w:tcPr>
            <w:tcW w:w="3780" w:type="dxa"/>
          </w:tcPr>
          <w:p w14:paraId="60EF047D"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1E58057B" w14:textId="77777777" w:rsidTr="00D02560">
        <w:tc>
          <w:tcPr>
            <w:tcW w:w="3780" w:type="dxa"/>
          </w:tcPr>
          <w:p w14:paraId="3EF55C5F"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7762DCC2" w14:textId="77777777" w:rsidTr="00D02560">
        <w:tc>
          <w:tcPr>
            <w:tcW w:w="3780" w:type="dxa"/>
          </w:tcPr>
          <w:p w14:paraId="31D6FB67"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9556B91" w14:textId="77777777" w:rsidTr="002765F0">
        <w:tc>
          <w:tcPr>
            <w:tcW w:w="3780" w:type="dxa"/>
          </w:tcPr>
          <w:p w14:paraId="26BBEDBF" w14:textId="77777777" w:rsidR="00D62E27" w:rsidRPr="000F482B" w:rsidRDefault="00D62E27"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shd w:val="clear" w:color="auto" w:fill="000000" w:themeFill="text1"/>
          </w:tcPr>
          <w:p w14:paraId="129C883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1A215E1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0D22C111"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596D6224" w14:textId="77777777" w:rsidTr="002765F0">
        <w:tc>
          <w:tcPr>
            <w:tcW w:w="3780" w:type="dxa"/>
          </w:tcPr>
          <w:p w14:paraId="2D0C4A9B"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shd w:val="clear" w:color="auto" w:fill="000000" w:themeFill="text1"/>
          </w:tcPr>
          <w:p w14:paraId="4B96E73D"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7731DB3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4EB38E78"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2577865F" w14:textId="77777777" w:rsidTr="002765F0">
        <w:tc>
          <w:tcPr>
            <w:tcW w:w="3780" w:type="dxa"/>
          </w:tcPr>
          <w:p w14:paraId="545AE308"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shd w:val="clear" w:color="auto" w:fill="000000" w:themeFill="text1"/>
          </w:tcPr>
          <w:p w14:paraId="3DC48F9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38C533A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005A5B91"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6C3C2B0" w14:textId="77777777" w:rsidTr="002765F0">
        <w:tc>
          <w:tcPr>
            <w:tcW w:w="3780" w:type="dxa"/>
          </w:tcPr>
          <w:p w14:paraId="756AA2EE"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shd w:val="clear" w:color="auto" w:fill="000000" w:themeFill="text1"/>
          </w:tcPr>
          <w:p w14:paraId="16F98A7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7E40957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0EB311E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2BE4797" w14:textId="77777777" w:rsidTr="002765F0">
        <w:tc>
          <w:tcPr>
            <w:tcW w:w="3780" w:type="dxa"/>
          </w:tcPr>
          <w:p w14:paraId="1F108AA5"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shd w:val="clear" w:color="auto" w:fill="000000" w:themeFill="text1"/>
          </w:tcPr>
          <w:p w14:paraId="58A391F7"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1623892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6C51372A"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7266F05" w14:textId="77777777" w:rsidTr="002765F0">
        <w:tc>
          <w:tcPr>
            <w:tcW w:w="3780" w:type="dxa"/>
          </w:tcPr>
          <w:p w14:paraId="58CD0CBF"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shd w:val="clear" w:color="auto" w:fill="000000" w:themeFill="text1"/>
          </w:tcPr>
          <w:p w14:paraId="4D6EF1A0"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343869B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733D0645"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6E681168" w14:textId="77777777" w:rsidTr="002765F0">
        <w:tc>
          <w:tcPr>
            <w:tcW w:w="3780" w:type="dxa"/>
          </w:tcPr>
          <w:p w14:paraId="687DC04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260" w:type="dxa"/>
            <w:shd w:val="clear" w:color="auto" w:fill="000000" w:themeFill="text1"/>
          </w:tcPr>
          <w:p w14:paraId="3B470744"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2EEE8582"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0F84A2D9"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23A669BF" w14:textId="77777777" w:rsidTr="002765F0">
        <w:tc>
          <w:tcPr>
            <w:tcW w:w="3780" w:type="dxa"/>
          </w:tcPr>
          <w:p w14:paraId="2970B3ED" w14:textId="77777777" w:rsidR="00D62E27" w:rsidRPr="000F482B" w:rsidRDefault="00D62E27"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shd w:val="clear" w:color="auto" w:fill="000000" w:themeFill="text1"/>
          </w:tcPr>
          <w:p w14:paraId="63B3495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70124C7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090BC58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6953ACBD" w14:textId="77777777" w:rsidTr="002765F0">
        <w:tc>
          <w:tcPr>
            <w:tcW w:w="3780" w:type="dxa"/>
          </w:tcPr>
          <w:p w14:paraId="42338EB7"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shd w:val="clear" w:color="auto" w:fill="000000" w:themeFill="text1"/>
          </w:tcPr>
          <w:p w14:paraId="4EF6E38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7082FB0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6BE5C8C2"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598FCADC" w14:textId="77777777" w:rsidTr="002765F0">
        <w:tc>
          <w:tcPr>
            <w:tcW w:w="3780" w:type="dxa"/>
          </w:tcPr>
          <w:p w14:paraId="4A16CF03"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shd w:val="clear" w:color="auto" w:fill="000000" w:themeFill="text1"/>
          </w:tcPr>
          <w:p w14:paraId="681085B2"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5CE5F52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7CFB8E52"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72AEDEC6" w14:textId="77777777" w:rsidTr="002765F0">
        <w:tc>
          <w:tcPr>
            <w:tcW w:w="3780" w:type="dxa"/>
          </w:tcPr>
          <w:p w14:paraId="7C66497D"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shd w:val="clear" w:color="auto" w:fill="000000" w:themeFill="text1"/>
          </w:tcPr>
          <w:p w14:paraId="7B1E2C01"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4F8B1C45"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26C8714A"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2EC1151E" w14:textId="77777777" w:rsidTr="002765F0">
        <w:tc>
          <w:tcPr>
            <w:tcW w:w="3780" w:type="dxa"/>
          </w:tcPr>
          <w:p w14:paraId="39A5494B"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shd w:val="clear" w:color="auto" w:fill="000000" w:themeFill="text1"/>
          </w:tcPr>
          <w:p w14:paraId="14F9835D"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43313457"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51B1D83A"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40A124EC" w14:textId="77777777" w:rsidTr="002765F0">
        <w:tc>
          <w:tcPr>
            <w:tcW w:w="3780" w:type="dxa"/>
          </w:tcPr>
          <w:p w14:paraId="4053F6E4"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shd w:val="clear" w:color="auto" w:fill="000000" w:themeFill="text1"/>
          </w:tcPr>
          <w:p w14:paraId="70335E3E"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shd w:val="clear" w:color="auto" w:fill="000000" w:themeFill="text1"/>
          </w:tcPr>
          <w:p w14:paraId="7DB3736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shd w:val="clear" w:color="auto" w:fill="000000" w:themeFill="text1"/>
          </w:tcPr>
          <w:p w14:paraId="685FDCA9" w14:textId="77777777" w:rsidR="00D62E27" w:rsidRPr="000F482B" w:rsidRDefault="00D62E27" w:rsidP="00D02560">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w:t>
      </w:r>
      <w:bookmarkStart w:id="3" w:name="_GoBack"/>
      <w:bookmarkEnd w:id="3"/>
      <w:r w:rsidRPr="00030B0F">
        <w:rPr>
          <w:rFonts w:ascii="Arial" w:eastAsia="Times New Roman" w:hAnsi="Arial" w:cs="Arial"/>
          <w:b/>
          <w:snapToGrid w:val="0"/>
          <w:sz w:val="20"/>
          <w:szCs w:val="20"/>
        </w:rPr>
        <w:t xml:space="preserve"> Deliverables*</w:t>
      </w:r>
    </w:p>
    <w:tbl>
      <w:tblPr>
        <w:tblW w:w="0" w:type="auto"/>
        <w:tblLayout w:type="fixed"/>
        <w:tblCellMar>
          <w:left w:w="0" w:type="dxa"/>
          <w:right w:w="0" w:type="dxa"/>
        </w:tblCellMar>
        <w:tblLook w:val="0000" w:firstRow="0" w:lastRow="0" w:firstColumn="0" w:lastColumn="0" w:noHBand="0" w:noVBand="0"/>
      </w:tblPr>
      <w:tblGrid>
        <w:gridCol w:w="4408"/>
        <w:gridCol w:w="1418"/>
        <w:gridCol w:w="1601"/>
        <w:gridCol w:w="1522"/>
      </w:tblGrid>
      <w:tr w:rsidR="00353346" w14:paraId="041DFB16" w14:textId="77777777" w:rsidTr="00536D85">
        <w:trPr>
          <w:trHeight w:val="583"/>
        </w:trPr>
        <w:tc>
          <w:tcPr>
            <w:tcW w:w="440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60DCDE6D" w14:textId="7C879635" w:rsidR="00353346" w:rsidRDefault="00353346" w:rsidP="00536D85">
            <w:pPr>
              <w:spacing w:before="100" w:beforeAutospacing="1" w:after="100" w:afterAutospacing="1"/>
              <w:jc w:val="both"/>
              <w:rPr>
                <w:rFonts w:ascii="Myriad Pro" w:hAnsi="Myriad Pro"/>
                <w:b/>
              </w:rPr>
            </w:pPr>
            <w:r>
              <w:rPr>
                <w:rFonts w:ascii="Myriad Pro" w:hAnsi="Myriad Pro"/>
                <w:b/>
              </w:rPr>
              <w:t>Deliverable</w:t>
            </w:r>
            <w:r w:rsidR="002765F0">
              <w:rPr>
                <w:rFonts w:ascii="Myriad Pro" w:hAnsi="Myriad Pro"/>
                <w:b/>
              </w:rPr>
              <w:t>s</w:t>
            </w:r>
            <w:r>
              <w:rPr>
                <w:rFonts w:ascii="Myriad Pro" w:hAnsi="Myriad Pro"/>
                <w:b/>
              </w:rPr>
              <w:t>/Outputs</w:t>
            </w:r>
          </w:p>
        </w:tc>
        <w:tc>
          <w:tcPr>
            <w:tcW w:w="1418"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144DE2DA" w14:textId="77777777" w:rsidR="00353346" w:rsidRDefault="00353346" w:rsidP="00536D85">
            <w:pPr>
              <w:tabs>
                <w:tab w:val="left" w:pos="450"/>
              </w:tabs>
              <w:jc w:val="both"/>
              <w:rPr>
                <w:rFonts w:ascii="Myriad Pro" w:hAnsi="Myriad Pro" w:cs="Calibri"/>
                <w:b/>
                <w:bCs/>
              </w:rPr>
            </w:pPr>
            <w:r>
              <w:rPr>
                <w:rFonts w:ascii="Myriad Pro" w:hAnsi="Myriad Pro" w:cs="Calibri"/>
                <w:b/>
                <w:bCs/>
              </w:rPr>
              <w:t>Target Due Dates</w:t>
            </w:r>
          </w:p>
        </w:tc>
        <w:tc>
          <w:tcPr>
            <w:tcW w:w="1601" w:type="dxa"/>
            <w:tcBorders>
              <w:top w:val="single" w:sz="4" w:space="0" w:color="auto"/>
              <w:left w:val="single" w:sz="4" w:space="0" w:color="auto"/>
              <w:bottom w:val="single" w:sz="4" w:space="0" w:color="auto"/>
              <w:right w:val="single" w:sz="4" w:space="0" w:color="auto"/>
            </w:tcBorders>
          </w:tcPr>
          <w:p w14:paraId="0B048437" w14:textId="77777777" w:rsidR="00353346" w:rsidRDefault="00353346" w:rsidP="00536D85">
            <w:pPr>
              <w:tabs>
                <w:tab w:val="left" w:pos="450"/>
              </w:tabs>
              <w:ind w:left="115" w:right="132"/>
              <w:jc w:val="both"/>
              <w:rPr>
                <w:rFonts w:ascii="Myriad Pro" w:hAnsi="Myriad Pro" w:cs="Calibri"/>
                <w:b/>
                <w:bCs/>
              </w:rPr>
            </w:pPr>
            <w:r>
              <w:rPr>
                <w:rFonts w:ascii="Myriad Pro" w:hAnsi="Myriad Pro" w:cs="Calibri"/>
                <w:b/>
                <w:bCs/>
              </w:rPr>
              <w:t>Review and Approvals</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0DC3D" w14:textId="77777777" w:rsidR="00353346" w:rsidRDefault="00353346" w:rsidP="00536D85">
            <w:pPr>
              <w:tabs>
                <w:tab w:val="left" w:pos="450"/>
              </w:tabs>
              <w:jc w:val="both"/>
              <w:rPr>
                <w:rFonts w:ascii="Myriad Pro" w:hAnsi="Myriad Pro" w:cs="Calibri"/>
                <w:b/>
                <w:bCs/>
              </w:rPr>
            </w:pPr>
            <w:r>
              <w:rPr>
                <w:rFonts w:ascii="Myriad Pro" w:hAnsi="Myriad Pro" w:cs="Calibri"/>
                <w:b/>
                <w:bCs/>
              </w:rPr>
              <w:t>Working Days</w:t>
            </w:r>
          </w:p>
        </w:tc>
      </w:tr>
      <w:tr w:rsidR="00353346" w14:paraId="459061E0" w14:textId="77777777" w:rsidTr="00536D85">
        <w:trPr>
          <w:trHeight w:val="1207"/>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63630" w14:textId="77777777" w:rsidR="00353346" w:rsidRDefault="00353346" w:rsidP="00536D85">
            <w:pPr>
              <w:pStyle w:val="BodyText"/>
              <w:suppressAutoHyphens/>
              <w:rPr>
                <w:rFonts w:ascii="Myriad Pro" w:hAnsi="Myriad Pro"/>
                <w:szCs w:val="22"/>
              </w:rPr>
            </w:pPr>
            <w:r>
              <w:rPr>
                <w:rFonts w:ascii="Myriad Pro" w:hAnsi="Myriad Pro"/>
                <w:szCs w:val="22"/>
              </w:rPr>
              <w:t>1</w:t>
            </w:r>
            <w:r>
              <w:rPr>
                <w:rFonts w:ascii="Myriad Pro" w:hAnsi="Myriad Pro"/>
                <w:szCs w:val="22"/>
                <w:vertAlign w:val="superscript"/>
              </w:rPr>
              <w:t>st</w:t>
            </w:r>
            <w:r>
              <w:rPr>
                <w:rFonts w:ascii="Myriad Pro" w:hAnsi="Myriad Pro"/>
                <w:szCs w:val="22"/>
              </w:rPr>
              <w:t xml:space="preserve"> deliverable: </w:t>
            </w:r>
          </w:p>
          <w:p w14:paraId="73C995F1" w14:textId="77777777" w:rsidR="00353346" w:rsidRDefault="00353346" w:rsidP="00536D85">
            <w:pPr>
              <w:pStyle w:val="BodyText"/>
              <w:suppressAutoHyphens/>
              <w:rPr>
                <w:rFonts w:ascii="Myriad Pro" w:hAnsi="Myriad Pro"/>
                <w:szCs w:val="22"/>
              </w:rPr>
            </w:pPr>
            <w:r>
              <w:rPr>
                <w:rFonts w:ascii="Myriad Pro" w:hAnsi="Myriad Pro"/>
                <w:szCs w:val="22"/>
              </w:rPr>
              <w:t>Draft Q1 Report on recovery progress in West Nusa Tenggara and Central Sulawesi</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A3BD5" w14:textId="77777777" w:rsidR="00353346" w:rsidRDefault="00353346" w:rsidP="00536D85">
            <w:pPr>
              <w:spacing w:before="100" w:beforeAutospacing="1" w:after="100" w:afterAutospacing="1"/>
              <w:jc w:val="both"/>
              <w:rPr>
                <w:rFonts w:ascii="Myriad Pro" w:hAnsi="Myriad Pro"/>
              </w:rPr>
            </w:pPr>
            <w:r>
              <w:rPr>
                <w:rFonts w:ascii="Myriad Pro" w:hAnsi="Myriad Pro"/>
              </w:rPr>
              <w:t>March 2020</w:t>
            </w:r>
          </w:p>
        </w:tc>
        <w:tc>
          <w:tcPr>
            <w:tcW w:w="1601" w:type="dxa"/>
            <w:tcBorders>
              <w:top w:val="single" w:sz="4" w:space="0" w:color="auto"/>
              <w:left w:val="single" w:sz="4" w:space="0" w:color="auto"/>
              <w:bottom w:val="single" w:sz="4" w:space="0" w:color="auto"/>
              <w:right w:val="single" w:sz="4" w:space="0" w:color="auto"/>
            </w:tcBorders>
          </w:tcPr>
          <w:p w14:paraId="2D2628D5" w14:textId="77777777" w:rsidR="00353346" w:rsidRDefault="00353346" w:rsidP="00536D85">
            <w:pPr>
              <w:spacing w:after="100" w:afterAutospacing="1"/>
              <w:ind w:left="115"/>
              <w:rPr>
                <w:rFonts w:ascii="Myriad Pro" w:hAnsi="Myriad Pro"/>
              </w:rPr>
            </w:pPr>
            <w:r>
              <w:rPr>
                <w:rFonts w:ascii="Myriad Pro" w:hAnsi="Myriad Pro"/>
              </w:rPr>
              <w:t>Technical Analyst</w:t>
            </w:r>
          </w:p>
          <w:p w14:paraId="2BF92DAD" w14:textId="77777777" w:rsidR="00353346" w:rsidRDefault="00353346" w:rsidP="00536D85">
            <w:pPr>
              <w:pStyle w:val="MediumGrid2-Accent11"/>
            </w:pP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5A0577" w14:textId="77777777" w:rsidR="00353346" w:rsidRDefault="00353346" w:rsidP="00536D85">
            <w:pPr>
              <w:spacing w:before="100" w:beforeAutospacing="1" w:after="100" w:afterAutospacing="1"/>
              <w:jc w:val="both"/>
              <w:rPr>
                <w:rFonts w:ascii="Myriad Pro" w:hAnsi="Myriad Pro"/>
              </w:rPr>
            </w:pPr>
            <w:r>
              <w:rPr>
                <w:rFonts w:ascii="Myriad Pro" w:hAnsi="Myriad Pro"/>
              </w:rPr>
              <w:t>20 working days</w:t>
            </w:r>
          </w:p>
        </w:tc>
      </w:tr>
      <w:tr w:rsidR="00353346" w14:paraId="6AEF5512" w14:textId="77777777" w:rsidTr="00536D85">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079854" w14:textId="77777777" w:rsidR="00353346" w:rsidRDefault="00353346" w:rsidP="00536D85">
            <w:pPr>
              <w:pStyle w:val="BodyText"/>
              <w:suppressAutoHyphens/>
              <w:rPr>
                <w:rFonts w:ascii="Myriad Pro" w:hAnsi="Myriad Pro"/>
                <w:szCs w:val="22"/>
              </w:rPr>
            </w:pPr>
            <w:r>
              <w:rPr>
                <w:rFonts w:ascii="Myriad Pro" w:hAnsi="Myriad Pro"/>
                <w:szCs w:val="22"/>
              </w:rPr>
              <w:t>2</w:t>
            </w:r>
            <w:r>
              <w:rPr>
                <w:rFonts w:ascii="Myriad Pro" w:hAnsi="Myriad Pro"/>
                <w:szCs w:val="22"/>
                <w:vertAlign w:val="superscript"/>
              </w:rPr>
              <w:t>nd</w:t>
            </w:r>
            <w:r>
              <w:rPr>
                <w:rFonts w:ascii="Myriad Pro" w:hAnsi="Myriad Pro"/>
                <w:szCs w:val="22"/>
              </w:rPr>
              <w:t xml:space="preserve"> deliverable: </w:t>
            </w:r>
          </w:p>
          <w:p w14:paraId="716BB311" w14:textId="77777777" w:rsidR="00353346" w:rsidRDefault="00353346" w:rsidP="00536D85">
            <w:pPr>
              <w:pStyle w:val="BodyText"/>
              <w:suppressAutoHyphens/>
              <w:rPr>
                <w:rFonts w:ascii="Myriad Pro" w:hAnsi="Myriad Pro"/>
                <w:szCs w:val="22"/>
              </w:rPr>
            </w:pPr>
            <w:r>
              <w:rPr>
                <w:rFonts w:ascii="Myriad Pro" w:hAnsi="Myriad Pro"/>
                <w:szCs w:val="22"/>
              </w:rPr>
              <w:t>Final Q1 report on recovery progress report in West Nusa Tenggara and Central Sulawesi</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C18A3D" w14:textId="77777777" w:rsidR="00353346" w:rsidRDefault="00353346" w:rsidP="00536D85">
            <w:pPr>
              <w:spacing w:before="100" w:beforeAutospacing="1" w:after="100" w:afterAutospacing="1"/>
              <w:jc w:val="both"/>
              <w:rPr>
                <w:rFonts w:ascii="Myriad Pro" w:hAnsi="Myriad Pro"/>
              </w:rPr>
            </w:pPr>
            <w:r>
              <w:rPr>
                <w:rFonts w:ascii="Myriad Pro" w:hAnsi="Myriad Pro"/>
              </w:rPr>
              <w:t>April 2020</w:t>
            </w:r>
          </w:p>
        </w:tc>
        <w:tc>
          <w:tcPr>
            <w:tcW w:w="1601" w:type="dxa"/>
            <w:tcBorders>
              <w:top w:val="single" w:sz="4" w:space="0" w:color="auto"/>
              <w:left w:val="single" w:sz="4" w:space="0" w:color="auto"/>
              <w:bottom w:val="single" w:sz="4" w:space="0" w:color="auto"/>
              <w:right w:val="single" w:sz="4" w:space="0" w:color="auto"/>
            </w:tcBorders>
          </w:tcPr>
          <w:p w14:paraId="5AE111C3" w14:textId="77777777" w:rsidR="00353346" w:rsidRDefault="00353346" w:rsidP="00536D85">
            <w:pPr>
              <w:spacing w:after="100" w:afterAutospacing="1"/>
              <w:ind w:left="205"/>
              <w:rPr>
                <w:rFonts w:ascii="Myriad Pro" w:hAnsi="Myriad Pro"/>
              </w:rPr>
            </w:pPr>
            <w:r>
              <w:rPr>
                <w:rFonts w:ascii="Myriad Pro" w:hAnsi="Myriad Pro"/>
              </w:rPr>
              <w:t>Technical Analyst</w:t>
            </w:r>
          </w:p>
          <w:p w14:paraId="07734A3F" w14:textId="77777777" w:rsidR="00353346" w:rsidRDefault="00353346" w:rsidP="00536D85">
            <w:pPr>
              <w:spacing w:before="100" w:beforeAutospacing="1" w:after="100" w:afterAutospacing="1"/>
              <w:ind w:left="205"/>
              <w:jc w:val="both"/>
              <w:rPr>
                <w:rFonts w:ascii="Myriad Pro" w:hAnsi="Myriad Pro"/>
              </w:rPr>
            </w:pP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F415A5" w14:textId="77777777" w:rsidR="00353346" w:rsidRDefault="00353346" w:rsidP="00536D85">
            <w:pPr>
              <w:spacing w:before="100" w:beforeAutospacing="1" w:after="100" w:afterAutospacing="1"/>
              <w:jc w:val="both"/>
              <w:rPr>
                <w:rFonts w:ascii="Myriad Pro" w:hAnsi="Myriad Pro"/>
              </w:rPr>
            </w:pPr>
            <w:r>
              <w:rPr>
                <w:rFonts w:ascii="Myriad Pro" w:hAnsi="Myriad Pro"/>
              </w:rPr>
              <w:t>20 working days</w:t>
            </w:r>
          </w:p>
        </w:tc>
      </w:tr>
      <w:tr w:rsidR="00353346" w14:paraId="016DF642" w14:textId="77777777" w:rsidTr="00536D85">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9F96BC" w14:textId="77777777" w:rsidR="00353346" w:rsidRDefault="00353346" w:rsidP="00536D85">
            <w:pPr>
              <w:pStyle w:val="BodyText"/>
              <w:suppressAutoHyphens/>
              <w:rPr>
                <w:rFonts w:ascii="Myriad Pro" w:hAnsi="Myriad Pro"/>
                <w:szCs w:val="22"/>
              </w:rPr>
            </w:pPr>
            <w:r>
              <w:rPr>
                <w:rFonts w:ascii="Myriad Pro" w:hAnsi="Myriad Pro"/>
                <w:szCs w:val="22"/>
              </w:rPr>
              <w:lastRenderedPageBreak/>
              <w:t>3</w:t>
            </w:r>
            <w:r>
              <w:rPr>
                <w:rFonts w:ascii="Myriad Pro" w:hAnsi="Myriad Pro"/>
                <w:szCs w:val="22"/>
                <w:vertAlign w:val="superscript"/>
              </w:rPr>
              <w:t xml:space="preserve">rd </w:t>
            </w:r>
            <w:r>
              <w:rPr>
                <w:rFonts w:ascii="Myriad Pro" w:hAnsi="Myriad Pro"/>
                <w:szCs w:val="22"/>
              </w:rPr>
              <w:t>deliverable:</w:t>
            </w:r>
          </w:p>
          <w:p w14:paraId="5766AC99" w14:textId="77777777" w:rsidR="00353346" w:rsidRDefault="00353346" w:rsidP="00536D85">
            <w:pPr>
              <w:pStyle w:val="BodyText"/>
              <w:suppressAutoHyphens/>
              <w:jc w:val="left"/>
              <w:rPr>
                <w:rFonts w:ascii="Myriad Pro" w:hAnsi="Myriad Pro"/>
                <w:szCs w:val="22"/>
              </w:rPr>
            </w:pPr>
            <w:r>
              <w:rPr>
                <w:rFonts w:ascii="Myriad Pro" w:hAnsi="Myriad Pro"/>
                <w:szCs w:val="22"/>
              </w:rPr>
              <w:t>Draft Q2 Report on recovery progress in West Nusa Tenggara and Central Sulawesi</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F83EA1" w14:textId="77777777" w:rsidR="00353346" w:rsidRDefault="00353346" w:rsidP="00536D85">
            <w:pPr>
              <w:spacing w:before="100" w:beforeAutospacing="1" w:after="100" w:afterAutospacing="1"/>
              <w:rPr>
                <w:rFonts w:ascii="Myriad Pro" w:hAnsi="Myriad Pro"/>
              </w:rPr>
            </w:pPr>
            <w:r>
              <w:rPr>
                <w:rFonts w:ascii="Myriad Pro" w:hAnsi="Myriad Pro"/>
              </w:rPr>
              <w:t>May 2020</w:t>
            </w:r>
          </w:p>
        </w:tc>
        <w:tc>
          <w:tcPr>
            <w:tcW w:w="1601" w:type="dxa"/>
            <w:tcBorders>
              <w:top w:val="single" w:sz="4" w:space="0" w:color="auto"/>
              <w:left w:val="single" w:sz="4" w:space="0" w:color="auto"/>
              <w:bottom w:val="single" w:sz="4" w:space="0" w:color="auto"/>
              <w:right w:val="single" w:sz="4" w:space="0" w:color="auto"/>
            </w:tcBorders>
          </w:tcPr>
          <w:p w14:paraId="06876030" w14:textId="77777777" w:rsidR="00353346" w:rsidRDefault="00353346" w:rsidP="00536D85">
            <w:pPr>
              <w:spacing w:after="100" w:afterAutospacing="1"/>
              <w:ind w:left="205"/>
              <w:rPr>
                <w:rFonts w:ascii="Myriad Pro" w:hAnsi="Myriad Pro"/>
              </w:rPr>
            </w:pPr>
            <w:r>
              <w:rPr>
                <w:rFonts w:ascii="Myriad Pro" w:hAnsi="Myriad Pro"/>
              </w:rPr>
              <w:t>Technical Analyst</w:t>
            </w:r>
          </w:p>
          <w:p w14:paraId="1281BFAC" w14:textId="77777777" w:rsidR="00353346" w:rsidRDefault="00353346" w:rsidP="00536D85">
            <w:pPr>
              <w:spacing w:before="100" w:beforeAutospacing="1" w:after="100" w:afterAutospacing="1"/>
              <w:ind w:left="205"/>
              <w:jc w:val="both"/>
              <w:rPr>
                <w:rFonts w:ascii="Myriad Pro" w:hAnsi="Myriad Pro"/>
              </w:rPr>
            </w:pP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A2DFBC" w14:textId="77777777" w:rsidR="00353346" w:rsidRDefault="00353346" w:rsidP="00536D85">
            <w:pPr>
              <w:spacing w:before="100" w:beforeAutospacing="1" w:after="100" w:afterAutospacing="1"/>
              <w:jc w:val="both"/>
              <w:rPr>
                <w:rFonts w:ascii="Myriad Pro" w:hAnsi="Myriad Pro"/>
              </w:rPr>
            </w:pPr>
            <w:r>
              <w:rPr>
                <w:rFonts w:ascii="Myriad Pro" w:hAnsi="Myriad Pro"/>
              </w:rPr>
              <w:t>20 working days</w:t>
            </w:r>
          </w:p>
        </w:tc>
      </w:tr>
      <w:tr w:rsidR="00353346" w14:paraId="30F4C52C" w14:textId="77777777" w:rsidTr="00536D85">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8CF5F9" w14:textId="77777777" w:rsidR="00353346" w:rsidRDefault="00353346" w:rsidP="00536D85">
            <w:pPr>
              <w:pStyle w:val="BodyText"/>
              <w:suppressAutoHyphens/>
              <w:rPr>
                <w:rFonts w:ascii="Myriad Pro" w:hAnsi="Myriad Pro"/>
                <w:szCs w:val="22"/>
              </w:rPr>
            </w:pPr>
            <w:r>
              <w:rPr>
                <w:rFonts w:ascii="Myriad Pro" w:hAnsi="Myriad Pro"/>
                <w:szCs w:val="22"/>
              </w:rPr>
              <w:t>4</w:t>
            </w:r>
            <w:r w:rsidRPr="006F3296">
              <w:rPr>
                <w:rFonts w:ascii="Myriad Pro" w:hAnsi="Myriad Pro"/>
                <w:szCs w:val="22"/>
                <w:vertAlign w:val="superscript"/>
              </w:rPr>
              <w:t>th</w:t>
            </w:r>
            <w:r>
              <w:rPr>
                <w:rFonts w:ascii="Myriad Pro" w:hAnsi="Myriad Pro"/>
                <w:szCs w:val="22"/>
              </w:rPr>
              <w:t xml:space="preserve"> deliverable:</w:t>
            </w:r>
          </w:p>
          <w:p w14:paraId="24C553E9" w14:textId="77777777" w:rsidR="00353346" w:rsidRDefault="00353346" w:rsidP="00536D85">
            <w:pPr>
              <w:pStyle w:val="BodyText"/>
              <w:suppressAutoHyphens/>
              <w:rPr>
                <w:rFonts w:ascii="Myriad Pro" w:hAnsi="Myriad Pro"/>
                <w:szCs w:val="22"/>
              </w:rPr>
            </w:pPr>
            <w:r>
              <w:rPr>
                <w:rFonts w:ascii="Myriad Pro" w:hAnsi="Myriad Pro"/>
                <w:szCs w:val="22"/>
              </w:rPr>
              <w:t>Final Q2 Report on recovery progress in West Nusa Tenggara and Central Sulawesi</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30D9CD" w14:textId="77777777" w:rsidR="00353346" w:rsidRDefault="00353346" w:rsidP="00536D85">
            <w:pPr>
              <w:spacing w:before="100" w:beforeAutospacing="1" w:after="100" w:afterAutospacing="1"/>
              <w:rPr>
                <w:rFonts w:ascii="Myriad Pro" w:hAnsi="Myriad Pro"/>
              </w:rPr>
            </w:pPr>
            <w:r>
              <w:rPr>
                <w:rFonts w:ascii="Myriad Pro" w:hAnsi="Myriad Pro"/>
              </w:rPr>
              <w:t>June 2020</w:t>
            </w:r>
          </w:p>
        </w:tc>
        <w:tc>
          <w:tcPr>
            <w:tcW w:w="1601" w:type="dxa"/>
            <w:tcBorders>
              <w:top w:val="single" w:sz="4" w:space="0" w:color="auto"/>
              <w:left w:val="single" w:sz="4" w:space="0" w:color="auto"/>
              <w:bottom w:val="single" w:sz="4" w:space="0" w:color="auto"/>
              <w:right w:val="single" w:sz="4" w:space="0" w:color="auto"/>
            </w:tcBorders>
          </w:tcPr>
          <w:p w14:paraId="0A20643E" w14:textId="77777777" w:rsidR="00353346" w:rsidRDefault="00353346" w:rsidP="00536D85">
            <w:pPr>
              <w:spacing w:after="100" w:afterAutospacing="1"/>
              <w:ind w:left="205"/>
              <w:rPr>
                <w:rFonts w:ascii="Myriad Pro" w:hAnsi="Myriad Pro"/>
              </w:rPr>
            </w:pPr>
            <w:r>
              <w:rPr>
                <w:rFonts w:ascii="Myriad Pro" w:hAnsi="Myriad Pro"/>
              </w:rPr>
              <w:t>Technical Analyst</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B25F0A" w14:textId="77777777" w:rsidR="00353346" w:rsidRDefault="00353346" w:rsidP="00536D85">
            <w:pPr>
              <w:spacing w:before="100" w:beforeAutospacing="1" w:after="100" w:afterAutospacing="1"/>
              <w:jc w:val="both"/>
              <w:rPr>
                <w:rFonts w:ascii="Myriad Pro" w:hAnsi="Myriad Pro"/>
              </w:rPr>
            </w:pPr>
            <w:r>
              <w:rPr>
                <w:rFonts w:ascii="Myriad Pro" w:hAnsi="Myriad Pro"/>
              </w:rPr>
              <w:t>20 working days</w:t>
            </w:r>
          </w:p>
        </w:tc>
      </w:tr>
    </w:tbl>
    <w:p w14:paraId="13FE7968" w14:textId="77777777" w:rsidR="00D62E27" w:rsidRPr="000F482B" w:rsidRDefault="00D62E27" w:rsidP="00A47B49">
      <w:pPr>
        <w:ind w:left="540"/>
        <w:rPr>
          <w:rFonts w:ascii="Arial" w:eastAsia="Times New Roman" w:hAnsi="Arial" w:cs="Arial"/>
          <w:snapToGrid w:val="0"/>
          <w:sz w:val="20"/>
          <w:szCs w:val="20"/>
        </w:rPr>
      </w:pPr>
    </w:p>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3209" w14:textId="77777777" w:rsidR="004F2563" w:rsidRDefault="004F2563" w:rsidP="005F5227">
      <w:pPr>
        <w:spacing w:after="0" w:line="240" w:lineRule="auto"/>
      </w:pPr>
      <w:r>
        <w:separator/>
      </w:r>
    </w:p>
  </w:endnote>
  <w:endnote w:type="continuationSeparator" w:id="0">
    <w:p w14:paraId="18AF3AA1" w14:textId="77777777" w:rsidR="004F2563" w:rsidRDefault="004F256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D02560" w:rsidRPr="00D62E27" w:rsidRDefault="00D02560" w:rsidP="0089480E">
        <w:pPr>
          <w:pStyle w:val="Footer"/>
          <w:jc w:val="center"/>
        </w:pPr>
        <w:r>
          <w:t xml:space="preserve">                                                                                   </w:t>
        </w:r>
        <w:r w:rsidRPr="00D62E27">
          <w:fldChar w:fldCharType="begin"/>
        </w:r>
        <w:r w:rsidRPr="00D62E27">
          <w:instrText xml:space="preserve"> PAGE   \* MERGEFORMAT </w:instrText>
        </w:r>
        <w:r w:rsidRPr="00D62E27">
          <w:fldChar w:fldCharType="separate"/>
        </w:r>
        <w:r>
          <w:rPr>
            <w:noProof/>
          </w:rPr>
          <w:t>5</w:t>
        </w:r>
        <w:r w:rsidRPr="00D62E27">
          <w:rPr>
            <w:noProof/>
          </w:rPr>
          <w:fldChar w:fldCharType="end"/>
        </w:r>
        <w:r w:rsidRPr="00D62E27">
          <w:rPr>
            <w:noProof/>
          </w:rPr>
          <w:t xml:space="preserve"> </w:t>
        </w:r>
        <w:r>
          <w:rPr>
            <w:noProof/>
          </w:rPr>
          <w:t xml:space="preserve">                                                                              v. 07/2018</w:t>
        </w:r>
      </w:p>
    </w:sdtContent>
  </w:sdt>
  <w:p w14:paraId="4BF39FA2" w14:textId="2776B1C6" w:rsidR="00D02560" w:rsidRPr="00D62E27" w:rsidRDefault="00D02560"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D212A" w14:textId="77777777" w:rsidR="004F2563" w:rsidRDefault="004F2563" w:rsidP="005F5227">
      <w:pPr>
        <w:spacing w:after="0" w:line="240" w:lineRule="auto"/>
      </w:pPr>
      <w:r>
        <w:separator/>
      </w:r>
    </w:p>
  </w:footnote>
  <w:footnote w:type="continuationSeparator" w:id="0">
    <w:p w14:paraId="4BB5E578" w14:textId="77777777" w:rsidR="004F2563" w:rsidRDefault="004F2563" w:rsidP="005F5227">
      <w:pPr>
        <w:spacing w:after="0" w:line="240" w:lineRule="auto"/>
      </w:pPr>
      <w:r>
        <w:continuationSeparator/>
      </w:r>
    </w:p>
  </w:footnote>
  <w:footnote w:id="1">
    <w:p w14:paraId="305D4A74" w14:textId="77777777" w:rsidR="00D02560" w:rsidRPr="007C01FC" w:rsidRDefault="00D02560"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02560" w:rsidRPr="007C01FC" w:rsidRDefault="00D02560"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573750A"/>
    <w:multiLevelType w:val="hybridMultilevel"/>
    <w:tmpl w:val="8B3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8F2207C"/>
    <w:multiLevelType w:val="hybridMultilevel"/>
    <w:tmpl w:val="DD3C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0ED5A41"/>
    <w:multiLevelType w:val="hybridMultilevel"/>
    <w:tmpl w:val="502878E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C3A53F7"/>
    <w:multiLevelType w:val="hybridMultilevel"/>
    <w:tmpl w:val="EB7452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4146FD8"/>
    <w:multiLevelType w:val="hybridMultilevel"/>
    <w:tmpl w:val="7E7CE6F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0"/>
  </w:num>
  <w:num w:numId="4">
    <w:abstractNumId w:val="9"/>
  </w:num>
  <w:num w:numId="5">
    <w:abstractNumId w:val="15"/>
  </w:num>
  <w:num w:numId="6">
    <w:abstractNumId w:val="1"/>
  </w:num>
  <w:num w:numId="7">
    <w:abstractNumId w:val="4"/>
  </w:num>
  <w:num w:numId="8">
    <w:abstractNumId w:val="10"/>
  </w:num>
  <w:num w:numId="9">
    <w:abstractNumId w:val="3"/>
  </w:num>
  <w:num w:numId="10">
    <w:abstractNumId w:val="7"/>
  </w:num>
  <w:num w:numId="11">
    <w:abstractNumId w:val="23"/>
  </w:num>
  <w:num w:numId="12">
    <w:abstractNumId w:val="20"/>
  </w:num>
  <w:num w:numId="13">
    <w:abstractNumId w:val="12"/>
  </w:num>
  <w:num w:numId="14">
    <w:abstractNumId w:val="8"/>
  </w:num>
  <w:num w:numId="15">
    <w:abstractNumId w:val="6"/>
  </w:num>
  <w:num w:numId="16">
    <w:abstractNumId w:val="17"/>
  </w:num>
  <w:num w:numId="17">
    <w:abstractNumId w:val="2"/>
  </w:num>
  <w:num w:numId="18">
    <w:abstractNumId w:val="22"/>
  </w:num>
  <w:num w:numId="19">
    <w:abstractNumId w:val="13"/>
  </w:num>
  <w:num w:numId="20">
    <w:abstractNumId w:val="21"/>
  </w:num>
  <w:num w:numId="21">
    <w:abstractNumId w:val="11"/>
  </w:num>
  <w:num w:numId="22">
    <w:abstractNumId w:val="16"/>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765F0"/>
    <w:rsid w:val="002940C3"/>
    <w:rsid w:val="002B08B1"/>
    <w:rsid w:val="002F13CE"/>
    <w:rsid w:val="003276E8"/>
    <w:rsid w:val="00334AC5"/>
    <w:rsid w:val="00334EE6"/>
    <w:rsid w:val="00353346"/>
    <w:rsid w:val="00363913"/>
    <w:rsid w:val="003A7C19"/>
    <w:rsid w:val="003C5261"/>
    <w:rsid w:val="003D2A1D"/>
    <w:rsid w:val="003F0B15"/>
    <w:rsid w:val="003F3739"/>
    <w:rsid w:val="00401097"/>
    <w:rsid w:val="004262E7"/>
    <w:rsid w:val="0043015D"/>
    <w:rsid w:val="004723D5"/>
    <w:rsid w:val="00473C3B"/>
    <w:rsid w:val="004775C3"/>
    <w:rsid w:val="004A6352"/>
    <w:rsid w:val="004B1253"/>
    <w:rsid w:val="004B6A21"/>
    <w:rsid w:val="004C456E"/>
    <w:rsid w:val="004E0BF9"/>
    <w:rsid w:val="004F0E9D"/>
    <w:rsid w:val="004F2563"/>
    <w:rsid w:val="005050B5"/>
    <w:rsid w:val="00524E47"/>
    <w:rsid w:val="005276B3"/>
    <w:rsid w:val="005456BB"/>
    <w:rsid w:val="00573461"/>
    <w:rsid w:val="005814AA"/>
    <w:rsid w:val="00587961"/>
    <w:rsid w:val="005A5DD2"/>
    <w:rsid w:val="005F5227"/>
    <w:rsid w:val="00624590"/>
    <w:rsid w:val="00642692"/>
    <w:rsid w:val="00654134"/>
    <w:rsid w:val="00680DFD"/>
    <w:rsid w:val="00697619"/>
    <w:rsid w:val="006B15CD"/>
    <w:rsid w:val="006B5A19"/>
    <w:rsid w:val="006C0F86"/>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82C71"/>
    <w:rsid w:val="0099180E"/>
    <w:rsid w:val="009A018B"/>
    <w:rsid w:val="009D7C41"/>
    <w:rsid w:val="00A001E1"/>
    <w:rsid w:val="00A271EF"/>
    <w:rsid w:val="00A42DA9"/>
    <w:rsid w:val="00A461A6"/>
    <w:rsid w:val="00A47B49"/>
    <w:rsid w:val="00A72DF2"/>
    <w:rsid w:val="00A73062"/>
    <w:rsid w:val="00A8202E"/>
    <w:rsid w:val="00A82042"/>
    <w:rsid w:val="00B07396"/>
    <w:rsid w:val="00B2460D"/>
    <w:rsid w:val="00B3354C"/>
    <w:rsid w:val="00B367DD"/>
    <w:rsid w:val="00B4199B"/>
    <w:rsid w:val="00B574E9"/>
    <w:rsid w:val="00B86CEF"/>
    <w:rsid w:val="00BB7871"/>
    <w:rsid w:val="00BD2ED6"/>
    <w:rsid w:val="00BD49AB"/>
    <w:rsid w:val="00BE6DC3"/>
    <w:rsid w:val="00BF3AFB"/>
    <w:rsid w:val="00C256FF"/>
    <w:rsid w:val="00C34399"/>
    <w:rsid w:val="00C51732"/>
    <w:rsid w:val="00C7398D"/>
    <w:rsid w:val="00C865FF"/>
    <w:rsid w:val="00CF5B39"/>
    <w:rsid w:val="00D02560"/>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178DD"/>
    <w:rsid w:val="00F21E8C"/>
    <w:rsid w:val="00F51CEA"/>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customStyle="1" w:styleId="BodyTextChar">
    <w:name w:val="Body Text Char"/>
    <w:link w:val="BodyText"/>
    <w:rsid w:val="002F13CE"/>
    <w:rPr>
      <w:rFonts w:ascii="Arial" w:eastAsia="Times New Roman" w:hAnsi="Arial" w:cs="Arial"/>
      <w:szCs w:val="24"/>
    </w:rPr>
  </w:style>
  <w:style w:type="paragraph" w:styleId="BodyText">
    <w:name w:val="Body Text"/>
    <w:basedOn w:val="Normal"/>
    <w:link w:val="BodyTextChar"/>
    <w:rsid w:val="002F13CE"/>
    <w:pPr>
      <w:spacing w:after="0" w:line="240" w:lineRule="auto"/>
      <w:jc w:val="both"/>
    </w:pPr>
    <w:rPr>
      <w:rFonts w:ascii="Arial" w:eastAsia="Times New Roman" w:hAnsi="Arial" w:cs="Arial"/>
      <w:szCs w:val="24"/>
    </w:rPr>
  </w:style>
  <w:style w:type="character" w:customStyle="1" w:styleId="BodyTextChar1">
    <w:name w:val="Body Text Char1"/>
    <w:basedOn w:val="DefaultParagraphFont"/>
    <w:uiPriority w:val="99"/>
    <w:semiHidden/>
    <w:rsid w:val="002F13CE"/>
  </w:style>
  <w:style w:type="paragraph" w:customStyle="1" w:styleId="MediumGrid2-Accent11">
    <w:name w:val="Medium Grid 2 - Accent 11"/>
    <w:uiPriority w:val="1"/>
    <w:qFormat/>
    <w:rsid w:val="00F51CEA"/>
    <w:pPr>
      <w:spacing w:after="0" w:line="240" w:lineRule="auto"/>
    </w:pPr>
    <w:rPr>
      <w:rFonts w:ascii="Times New Roman" w:eastAsia="SimSun" w:hAnsi="Times New Roman" w:cs="Times New Roman"/>
      <w:lang w:val="en-GB" w:eastAsia="en-GB"/>
    </w:rPr>
  </w:style>
  <w:style w:type="character" w:customStyle="1" w:styleId="apple-style-span">
    <w:name w:val="apple-style-span"/>
    <w:rsid w:val="00F51CEA"/>
  </w:style>
  <w:style w:type="paragraph" w:customStyle="1" w:styleId="MediumGrid22">
    <w:name w:val="Medium Grid 22"/>
    <w:uiPriority w:val="1"/>
    <w:qFormat/>
    <w:rsid w:val="00F51CEA"/>
    <w:pPr>
      <w:spacing w:after="0" w:line="240" w:lineRule="auto"/>
    </w:pPr>
    <w:rPr>
      <w:rFonts w:ascii="Times New Roman" w:eastAsia="SimSu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sharepoint/v3"/>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e560140e-7b2f-4392-90df-e7567e3021a3"/>
    <ds:schemaRef ds:uri="8264c5cc-ec60-4b56-8111-ce635d3d139a"/>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28FA8523-9C78-4ABB-839D-20E3A2A3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Galang Fitra Wijaya</cp:lastModifiedBy>
  <cp:revision>3</cp:revision>
  <dcterms:created xsi:type="dcterms:W3CDTF">2019-12-26T06:16:00Z</dcterms:created>
  <dcterms:modified xsi:type="dcterms:W3CDTF">2020-01-20T12:04:00Z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