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A9D24" w14:textId="00FDE751" w:rsidR="00DB77DD" w:rsidRDefault="00DB77DD" w:rsidP="00E1556A">
      <w:pPr>
        <w:tabs>
          <w:tab w:val="left" w:pos="1410"/>
        </w:tabs>
        <w:ind w:left="1410"/>
        <w:jc w:val="right"/>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20</w:t>
      </w:r>
      <w:r w:rsidR="0032277B">
        <w:rPr>
          <w:b/>
        </w:rPr>
        <w:t>/1</w:t>
      </w:r>
      <w:r w:rsidR="00E06806">
        <w:rPr>
          <w:b/>
        </w:rPr>
        <w:t>1</w:t>
      </w:r>
      <w:r w:rsidR="00E7703C">
        <w:rPr>
          <w:b/>
        </w:rPr>
        <w:t>3</w:t>
      </w:r>
      <w:r w:rsidR="00D4205B">
        <w:rPr>
          <w:b/>
        </w:rPr>
        <w:t>2</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32A16BEA" w:rsidR="009E2B22" w:rsidRDefault="009E2B22" w:rsidP="009E2B22">
      <w:pPr>
        <w:tabs>
          <w:tab w:val="left" w:pos="1410"/>
        </w:tabs>
      </w:pPr>
      <w:r>
        <w:t xml:space="preserve">                                                                                                                                Fecha: </w:t>
      </w:r>
      <w:r w:rsidR="00123815">
        <w:rPr>
          <w:color w:val="FF0000"/>
        </w:rPr>
        <w:t>1</w:t>
      </w:r>
      <w:r w:rsidR="00E7703C">
        <w:rPr>
          <w:color w:val="FF0000"/>
        </w:rPr>
        <w:t>7</w:t>
      </w:r>
      <w:r w:rsidR="00E1556A">
        <w:rPr>
          <w:color w:val="FF0000"/>
        </w:rPr>
        <w:t xml:space="preserve"> de </w:t>
      </w:r>
      <w:r w:rsidR="00E7703C">
        <w:rPr>
          <w:color w:val="FF0000"/>
        </w:rPr>
        <w:t>febrero</w:t>
      </w:r>
      <w:r w:rsidR="00E1556A">
        <w:rPr>
          <w:color w:val="FF0000"/>
        </w:rPr>
        <w:t xml:space="preserve"> de 20</w:t>
      </w:r>
      <w:r w:rsidR="00E7703C">
        <w:rPr>
          <w:color w:val="FF0000"/>
        </w:rPr>
        <w:t>20</w:t>
      </w:r>
      <w:r>
        <w:t xml:space="preserve">                                      </w:t>
      </w:r>
    </w:p>
    <w:p w14:paraId="65AA9D27" w14:textId="28529286"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5864A674">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xmlns:o="urn:schemas-microsoft-com:office:office" xmlns:w14="http://schemas.microsoft.com/office/word/2010/wordml" xmlns:v="urn:schemas-microsoft-com:vml" w14:anchorId="453F1764" id="_x0000_t32" coordsize="21600,21600" o:spt="32" o:oned="t" path="m,l21600,21600e" filled="f">
                <v:path arrowok="t" fillok="f" o:connecttype="none"/>
                <o:lock v:ext="edit" shapetype="t"/>
              </v:shapetype>
              <v:shape xmlns:o="urn:schemas-microsoft-com:office:office" xmlns:v="urn:schemas-microsoft-com:vml"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6E934EC7" w14:textId="77777777" w:rsidR="00E128E8" w:rsidRDefault="0065710B" w:rsidP="00A15A70">
      <w:pPr>
        <w:tabs>
          <w:tab w:val="left" w:pos="1410"/>
        </w:tabs>
        <w:rPr>
          <w:b/>
        </w:rPr>
      </w:pPr>
      <w:r>
        <w:rPr>
          <w:b/>
        </w:rPr>
        <w:t>Descripción de la</w:t>
      </w:r>
      <w:r w:rsidR="00290B0C">
        <w:rPr>
          <w:b/>
        </w:rPr>
        <w:t xml:space="preserve"> consultoría</w:t>
      </w:r>
      <w:r>
        <w:rPr>
          <w:b/>
        </w:rPr>
        <w:t>:</w:t>
      </w:r>
      <w:r w:rsidR="00E1556A">
        <w:rPr>
          <w:b/>
        </w:rPr>
        <w:t xml:space="preserve"> </w:t>
      </w:r>
      <w:r w:rsidR="00E128E8" w:rsidRPr="00E128E8">
        <w:rPr>
          <w:b/>
        </w:rPr>
        <w:t>Consultoría para el desarrollo de una guía de acción ante casos de violencia política contra las mujeres en El Salvador</w:t>
      </w:r>
    </w:p>
    <w:p w14:paraId="65AA9D2A" w14:textId="609BC8C3" w:rsidR="0065710B" w:rsidRPr="009E2B22" w:rsidRDefault="00F71198" w:rsidP="00A15A70">
      <w:pPr>
        <w:tabs>
          <w:tab w:val="left" w:pos="1410"/>
        </w:tabs>
        <w:rPr>
          <w:b/>
        </w:rPr>
      </w:pPr>
      <w:r>
        <w:rPr>
          <w:b/>
        </w:rPr>
        <w:t>P</w:t>
      </w:r>
      <w:r w:rsidR="0065710B">
        <w:rPr>
          <w:b/>
        </w:rPr>
        <w:t>royecto:</w:t>
      </w:r>
      <w:r w:rsidR="00E1556A">
        <w:rPr>
          <w:b/>
        </w:rPr>
        <w:t xml:space="preserve"> </w:t>
      </w:r>
      <w:r w:rsidR="00665BEC" w:rsidRPr="00665BEC">
        <w:rPr>
          <w:b/>
        </w:rPr>
        <w:t>0</w:t>
      </w:r>
      <w:r w:rsidR="00E128E8" w:rsidRPr="00E128E8">
        <w:rPr>
          <w:b/>
        </w:rPr>
        <w:t xml:space="preserve">0109099 </w:t>
      </w:r>
    </w:p>
    <w:p w14:paraId="5B68ECE6" w14:textId="1047BB12" w:rsidR="00EB3D4B" w:rsidRDefault="0065710B" w:rsidP="0065710B">
      <w:pPr>
        <w:tabs>
          <w:tab w:val="left" w:pos="1410"/>
        </w:tabs>
        <w:rPr>
          <w:b/>
        </w:rPr>
      </w:pPr>
      <w:r>
        <w:rPr>
          <w:b/>
        </w:rPr>
        <w:t>Período de asignación/servicios:</w:t>
      </w:r>
      <w:r w:rsidR="00E1556A">
        <w:rPr>
          <w:b/>
        </w:rPr>
        <w:t xml:space="preserve"> </w:t>
      </w:r>
      <w:r w:rsidR="00123815" w:rsidRPr="00123815">
        <w:rPr>
          <w:b/>
        </w:rPr>
        <w:t>El tiempo estimado del contrat</w:t>
      </w:r>
      <w:r w:rsidR="00EB3D4B">
        <w:rPr>
          <w:b/>
        </w:rPr>
        <w:t xml:space="preserve">o será de </w:t>
      </w:r>
      <w:r w:rsidR="00E128E8">
        <w:rPr>
          <w:b/>
        </w:rPr>
        <w:t>tres meses</w:t>
      </w:r>
      <w:r w:rsidR="00E7703C" w:rsidRPr="00E7703C">
        <w:rPr>
          <w:b/>
        </w:rPr>
        <w:t xml:space="preserve"> contados a partir de la </w:t>
      </w:r>
      <w:r w:rsidR="00EB3D4B" w:rsidRPr="00EB3D4B">
        <w:rPr>
          <w:b/>
        </w:rPr>
        <w:t>orden de inicio.</w:t>
      </w:r>
    </w:p>
    <w:p w14:paraId="65AA9D2C" w14:textId="16C6D3B8" w:rsidR="0065710B" w:rsidRDefault="0065710B" w:rsidP="0065710B">
      <w:pPr>
        <w:tabs>
          <w:tab w:val="left" w:pos="1410"/>
        </w:tabs>
      </w:pPr>
      <w:r>
        <w:t>La propuesta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tardar </w:t>
      </w:r>
      <w:r w:rsidR="00E7703C">
        <w:t>2</w:t>
      </w:r>
      <w:r w:rsidR="00E1556A">
        <w:t xml:space="preserve"> de </w:t>
      </w:r>
      <w:r w:rsidR="007450F4">
        <w:t>marzo</w:t>
      </w:r>
      <w:r w:rsidR="00E1556A">
        <w:t xml:space="preserve"> de 20</w:t>
      </w:r>
      <w:r w:rsidR="007450F4">
        <w:t>20</w:t>
      </w:r>
      <w:r>
        <w:t>.</w:t>
      </w:r>
    </w:p>
    <w:p w14:paraId="65AA9D2D" w14:textId="66565225" w:rsidR="0065710B" w:rsidRDefault="0065710B" w:rsidP="0065710B">
      <w:pPr>
        <w:tabs>
          <w:tab w:val="left" w:pos="1410"/>
        </w:tabs>
      </w:pPr>
      <w:r>
        <w:t>Las solicitudes de aclaración deben enviarse por escrito, o por comunicación electrónica estándar a la dirección o correo electrónico que se indican arriba</w:t>
      </w:r>
      <w:r w:rsidR="00290B0C">
        <w:t xml:space="preserve"> y antes del</w:t>
      </w:r>
      <w:r w:rsidR="002E434A">
        <w:t xml:space="preserve"> </w:t>
      </w:r>
      <w:r w:rsidR="00EB3D4B">
        <w:t>2</w:t>
      </w:r>
      <w:r w:rsidR="007450F4">
        <w:t>1</w:t>
      </w:r>
      <w:r w:rsidR="002E434A">
        <w:t xml:space="preserve"> de </w:t>
      </w:r>
      <w:r w:rsidR="007450F4">
        <w:t>febrero</w:t>
      </w:r>
      <w:r w:rsidR="002E434A">
        <w:t xml:space="preserve"> de 20</w:t>
      </w:r>
      <w:r w:rsidR="007450F4">
        <w:t>20</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7F4F3761" w14:textId="77777777" w:rsidR="00E128E8" w:rsidRDefault="00E128E8" w:rsidP="00E128E8">
            <w:pPr>
              <w:jc w:val="both"/>
            </w:pPr>
            <w:r>
              <w:t>De acuerdo con la Ley Especial Integral para una Vida Libre de Violencia, son distintos los ámbitos de la vida nacional, ya sea pública o privada, donde se hace presente la violencia. Uno de los ámbitos menos abordado consiste en el ámbito político, en el cual las mujeres encuentran distintos obstáculos que les conminan a participar activamente y ejercer sus derechos políticos, en particular para optar a cargos de elección popular y/o cargos públicos.</w:t>
            </w:r>
          </w:p>
          <w:p w14:paraId="1D0C84AB" w14:textId="77777777" w:rsidR="00E128E8" w:rsidRDefault="00E128E8" w:rsidP="00E128E8">
            <w:pPr>
              <w:jc w:val="both"/>
            </w:pPr>
            <w:r>
              <w:t xml:space="preserve">La violencia y el acoso políticos contra mujeres, pueden incluir cualquier acción, conducta u omisión entre otros, basada en su género, de </w:t>
            </w:r>
            <w:proofErr w:type="gramStart"/>
            <w:r>
              <w:t>forma  individual</w:t>
            </w:r>
            <w:proofErr w:type="gramEnd"/>
            <w:r>
              <w:t xml:space="preserve"> o grupal, que tenga por objeto o por resultado menoscabar, anular, impedir, obstaculizar o restringir sus derechos políticos, conculca el derecho a las mujeres a una vida libre de violencia y el derecho a la participación en los asuntos políticos y públicos en condiciones de igualdad con los hombres.</w:t>
            </w:r>
          </w:p>
          <w:p w14:paraId="044A547D" w14:textId="77777777" w:rsidR="00E128E8" w:rsidRDefault="00E128E8" w:rsidP="00E128E8">
            <w:pPr>
              <w:jc w:val="both"/>
            </w:pPr>
            <w:r>
              <w:t xml:space="preserve">Esta violencia puede ocurrir en cualesquiera espacios de la vida pública y política: en las instituciones estatales, en los recintos de votación, en los partidos políticos, en las organizaciones sociales y en los sindicatos, </w:t>
            </w:r>
            <w:proofErr w:type="gramStart"/>
            <w:r>
              <w:t>y  a</w:t>
            </w:r>
            <w:proofErr w:type="gramEnd"/>
            <w:r>
              <w:t xml:space="preserve"> través de los medios de comunicación, entre otros.</w:t>
            </w:r>
          </w:p>
          <w:p w14:paraId="3297F403" w14:textId="77777777" w:rsidR="00E128E8" w:rsidRDefault="00E128E8" w:rsidP="00E128E8">
            <w:pPr>
              <w:jc w:val="both"/>
            </w:pPr>
            <w:r>
              <w:lastRenderedPageBreak/>
              <w:t xml:space="preserve">Para atender este fenómeno, en el pasado se han articulado espacios de reflexión y análisis que han permitido la generación de propuestas de marcos normativos para su prevención. PNUD en el pasado, acompañó al ISDEMU en la realización de la evaluación sobre el fenómeno de la violencia política y en la generación de la </w:t>
            </w:r>
            <w:hyperlink r:id="rId15" w:history="1">
              <w:r w:rsidRPr="00F906C9">
                <w:rPr>
                  <w:rStyle w:val="Hipervnculo"/>
                </w:rPr>
                <w:t>guía para el abordaje de la violencia política</w:t>
              </w:r>
            </w:hyperlink>
            <w:r>
              <w:t>, limitado al ámbito penal.</w:t>
            </w:r>
          </w:p>
          <w:p w14:paraId="0A78DE33" w14:textId="77777777" w:rsidR="00E128E8" w:rsidRDefault="00E128E8" w:rsidP="00E128E8">
            <w:pPr>
              <w:jc w:val="both"/>
            </w:pPr>
            <w:r>
              <w:t>Al inicio de un nuevo ciclo electoral (2021-2024), es tiempo de actualizar la herramienta a fin de facilitar los mecanismos de acceso a la administración de justicia administrativa, electoral o penal en casos de vulneraciones a los derechos de las mujeres que deseen participar como candidatas en la próxima contienda electoral. Asimismo, es importante garantizar otros espacios de participación, como los cargos de dirección partidaria.</w:t>
            </w:r>
          </w:p>
          <w:p w14:paraId="59F10C77" w14:textId="77777777" w:rsidR="00E128E8" w:rsidRDefault="00E128E8" w:rsidP="00E128E8">
            <w:pPr>
              <w:jc w:val="both"/>
            </w:pPr>
            <w:r>
              <w:t xml:space="preserve">Es por ello, que la presente consultoría, tiene como propósito trabajar con la Asamblea Legislativa, el Tribunal Supremo Electoral y PNUD, en el marco de la Iniciativa </w:t>
            </w:r>
            <w:proofErr w:type="spellStart"/>
            <w:r>
              <w:t>Spotlight</w:t>
            </w:r>
            <w:proofErr w:type="spellEnd"/>
            <w:r>
              <w:t xml:space="preserve">, en el diseño de una guía para la denuncia y control de hechos de violencia política, que contribuya a la prevención y protección de quienes sean víctimas de este fenómeno. </w:t>
            </w:r>
          </w:p>
          <w:p w14:paraId="65AA9D35" w14:textId="7B45B1B1" w:rsidR="00211C55" w:rsidRPr="00EB3D4B" w:rsidRDefault="00211C55" w:rsidP="00F07DE1">
            <w:pPr>
              <w:jc w:val="both"/>
            </w:pP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15FF7EA9" w14:textId="77777777" w:rsidR="00E128E8" w:rsidRDefault="00E128E8" w:rsidP="00E128E8">
            <w:pPr>
              <w:jc w:val="both"/>
              <w:rPr>
                <w:rFonts w:ascii="Calibri" w:hAnsi="Calibri" w:cs="Calibri"/>
                <w:bCs/>
                <w:color w:val="000000"/>
                <w:lang w:eastAsia="es-SV"/>
              </w:rPr>
            </w:pPr>
            <w:r>
              <w:rPr>
                <w:rFonts w:ascii="Calibri" w:hAnsi="Calibri" w:cs="Calibri"/>
                <w:bCs/>
                <w:color w:val="000000"/>
                <w:lang w:eastAsia="es-SV"/>
              </w:rPr>
              <w:t>A partir de la revisión de los marcos normativos nacionales que establecen mecanismos administrativos sancionatorios y penales que pretenden evitar hechos de violencia política, se busca diseñar un lineamiento que oriente sobre mecanismos, procedimientos, instituciones, procesos claves y herramientas a utilizar para hacer valer los derechos de participación política de las mujeres ante hechos de violencia. Este lineamiento deberá incluir los elementos o requisitos mínimos para preparar una denuncia de los hechos de violencia, orientaciones sobre los elementos de juicio o tipos de prueba a presentar según el tipo de procedimiento de que trate, etapas del proceso, hasta culminar en una posible resolución.</w:t>
            </w:r>
          </w:p>
          <w:p w14:paraId="05AACD2D" w14:textId="77777777" w:rsidR="00E128E8" w:rsidRDefault="00E128E8" w:rsidP="00E128E8">
            <w:pPr>
              <w:jc w:val="both"/>
              <w:rPr>
                <w:rFonts w:ascii="Calibri" w:hAnsi="Calibri" w:cs="Calibri"/>
              </w:rPr>
            </w:pPr>
            <w:r>
              <w:rPr>
                <w:rFonts w:ascii="Calibri" w:hAnsi="Calibri" w:cs="Calibri"/>
              </w:rPr>
              <w:t>Dado que el fin inmediato de la guía es garantizar la participación política de las mujeres en los procesos electorales, la guía deberá de tener en cuenta las etapas del proceso electoral y las diferentes manifestaciones de violencia política que las mujeres pueden sufrir en ese trayecto. Por lo tanto, se espera que la guía cubra aspectos como los siguientes:</w:t>
            </w:r>
          </w:p>
          <w:p w14:paraId="048DD82C"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L</w:t>
            </w:r>
            <w:r w:rsidRPr="00E45293">
              <w:rPr>
                <w:rFonts w:ascii="Calibri" w:hAnsi="Calibri" w:cs="Calibri"/>
              </w:rPr>
              <w:t>a inscripción y participación en elecciones internas,</w:t>
            </w:r>
            <w:r>
              <w:rPr>
                <w:rFonts w:ascii="Calibri" w:hAnsi="Calibri" w:cs="Calibri"/>
              </w:rPr>
              <w:t xml:space="preserve"> </w:t>
            </w:r>
            <w:r w:rsidRPr="00E45293">
              <w:rPr>
                <w:rFonts w:ascii="Calibri" w:hAnsi="Calibri" w:cs="Calibri"/>
              </w:rPr>
              <w:t xml:space="preserve">tanto para candidaturas de elección popular como para cargos de </w:t>
            </w:r>
            <w:r>
              <w:rPr>
                <w:rFonts w:ascii="Calibri" w:hAnsi="Calibri" w:cs="Calibri"/>
              </w:rPr>
              <w:t>dirección</w:t>
            </w:r>
            <w:r w:rsidRPr="00E45293">
              <w:rPr>
                <w:rFonts w:ascii="Calibri" w:hAnsi="Calibri" w:cs="Calibri"/>
              </w:rPr>
              <w:t xml:space="preserve"> partidaria</w:t>
            </w:r>
            <w:r>
              <w:rPr>
                <w:rFonts w:ascii="Calibri" w:hAnsi="Calibri" w:cs="Calibri"/>
              </w:rPr>
              <w:t>. Incumplimiento de la cuota de género.</w:t>
            </w:r>
          </w:p>
          <w:p w14:paraId="50AAB287"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 xml:space="preserve">Ataques durante la </w:t>
            </w:r>
            <w:r w:rsidRPr="00E45293">
              <w:rPr>
                <w:rFonts w:ascii="Calibri" w:hAnsi="Calibri" w:cs="Calibri"/>
              </w:rPr>
              <w:t>propaganda electoral para elecciones internas</w:t>
            </w:r>
            <w:r>
              <w:rPr>
                <w:rFonts w:ascii="Calibri" w:hAnsi="Calibri" w:cs="Calibri"/>
              </w:rPr>
              <w:t xml:space="preserve">, </w:t>
            </w:r>
            <w:r w:rsidRPr="00E45293">
              <w:rPr>
                <w:rFonts w:ascii="Calibri" w:hAnsi="Calibri" w:cs="Calibri"/>
              </w:rPr>
              <w:t xml:space="preserve">tanto para candidaturas de elección popular como para cargos de </w:t>
            </w:r>
            <w:r>
              <w:rPr>
                <w:rFonts w:ascii="Calibri" w:hAnsi="Calibri" w:cs="Calibri"/>
              </w:rPr>
              <w:t>dirección</w:t>
            </w:r>
            <w:r w:rsidRPr="00E45293">
              <w:rPr>
                <w:rFonts w:ascii="Calibri" w:hAnsi="Calibri" w:cs="Calibri"/>
              </w:rPr>
              <w:t xml:space="preserve"> partidaria</w:t>
            </w:r>
            <w:r>
              <w:rPr>
                <w:rFonts w:ascii="Calibri" w:hAnsi="Calibri" w:cs="Calibri"/>
              </w:rPr>
              <w:t>.</w:t>
            </w:r>
          </w:p>
          <w:p w14:paraId="3F8FB4C4"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La inscripción de candidaturas para concejos municipales, diputaciones y presidencia de la república. Incumplimiento de la cuota de género.</w:t>
            </w:r>
          </w:p>
          <w:p w14:paraId="0716A73C"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 xml:space="preserve">Ataques durante la </w:t>
            </w:r>
            <w:r w:rsidRPr="00E45293">
              <w:rPr>
                <w:rFonts w:ascii="Calibri" w:hAnsi="Calibri" w:cs="Calibri"/>
              </w:rPr>
              <w:t xml:space="preserve">propaganda para elecciones municipales, </w:t>
            </w:r>
            <w:r>
              <w:rPr>
                <w:rFonts w:ascii="Calibri" w:hAnsi="Calibri" w:cs="Calibri"/>
              </w:rPr>
              <w:t xml:space="preserve">de diputaciones (Asamblea Legislativa y </w:t>
            </w:r>
            <w:proofErr w:type="spellStart"/>
            <w:r>
              <w:rPr>
                <w:rFonts w:ascii="Calibri" w:hAnsi="Calibri" w:cs="Calibri"/>
              </w:rPr>
              <w:t>Parlacen</w:t>
            </w:r>
            <w:proofErr w:type="spellEnd"/>
            <w:r>
              <w:rPr>
                <w:rFonts w:ascii="Calibri" w:hAnsi="Calibri" w:cs="Calibri"/>
              </w:rPr>
              <w:t>)</w:t>
            </w:r>
            <w:r w:rsidRPr="00E45293">
              <w:rPr>
                <w:rFonts w:ascii="Calibri" w:hAnsi="Calibri" w:cs="Calibri"/>
              </w:rPr>
              <w:t xml:space="preserve"> y presidenciales.</w:t>
            </w:r>
          </w:p>
          <w:p w14:paraId="0B1A6F15"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En todos los casos, será fundamental identificar a las autoridades competentes (Autoridades partidarias, Tribunal Supremo Electoral, Juntas Electorales Departamentales, Juntas Electorales Municipales, etc.) y explicar los posibles medios de impugnación o los procedimientos administrativos sancionatorios para eliminar y sancionar la violencia política contra las mujeres.</w:t>
            </w:r>
          </w:p>
          <w:p w14:paraId="10243AA5" w14:textId="77777777" w:rsidR="00E128E8"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Los medios constitucionales de tutela de derechos políticos, en caso de ser aplicables.</w:t>
            </w:r>
          </w:p>
          <w:p w14:paraId="58EA8064" w14:textId="77777777" w:rsidR="00E128E8" w:rsidRPr="00E45293" w:rsidRDefault="00E128E8" w:rsidP="00E128E8">
            <w:pPr>
              <w:pStyle w:val="Prrafodelista"/>
              <w:numPr>
                <w:ilvl w:val="0"/>
                <w:numId w:val="45"/>
              </w:numPr>
              <w:spacing w:after="160" w:line="259" w:lineRule="auto"/>
              <w:jc w:val="both"/>
              <w:rPr>
                <w:rFonts w:ascii="Calibri" w:hAnsi="Calibri" w:cs="Calibri"/>
              </w:rPr>
            </w:pPr>
            <w:r>
              <w:rPr>
                <w:rFonts w:ascii="Calibri" w:hAnsi="Calibri" w:cs="Calibri"/>
              </w:rPr>
              <w:t>Las opciones penales de tutela que sean aplicables.</w:t>
            </w:r>
          </w:p>
          <w:p w14:paraId="374C5BDD" w14:textId="77777777" w:rsidR="00E128E8" w:rsidRDefault="00E128E8" w:rsidP="00E128E8">
            <w:pPr>
              <w:jc w:val="both"/>
              <w:rPr>
                <w:rFonts w:ascii="Calibri" w:hAnsi="Calibri" w:cs="Calibri"/>
              </w:rPr>
            </w:pPr>
            <w:r>
              <w:rPr>
                <w:rFonts w:ascii="Calibri" w:hAnsi="Calibri" w:cs="Calibri"/>
              </w:rPr>
              <w:t xml:space="preserve">Durante la generación del documento se espera que la persona consultora realice una o las sesiones que estime pertinentes, con el personal técnico del TSE, a efecto de sondear la perspectiva o soluciones institucionales a las diferentes problemáticas observadas. Asimismo, deberá de tener en cuenta la </w:t>
            </w:r>
            <w:r>
              <w:rPr>
                <w:rFonts w:ascii="Calibri" w:hAnsi="Calibri" w:cs="Calibri"/>
              </w:rPr>
              <w:lastRenderedPageBreak/>
              <w:t xml:space="preserve">jurisprudencia electoral </w:t>
            </w:r>
            <w:proofErr w:type="spellStart"/>
            <w:proofErr w:type="gramStart"/>
            <w:r>
              <w:rPr>
                <w:rFonts w:ascii="Calibri" w:hAnsi="Calibri" w:cs="Calibri"/>
              </w:rPr>
              <w:t>aplicable.Entre</w:t>
            </w:r>
            <w:proofErr w:type="spellEnd"/>
            <w:proofErr w:type="gramEnd"/>
            <w:r>
              <w:rPr>
                <w:rFonts w:ascii="Calibri" w:hAnsi="Calibri" w:cs="Calibri"/>
              </w:rPr>
              <w:t xml:space="preserve"> la documentación legal mínima a tener en cuenta están: la Constitución de la república, el Código Electoral, la Ley de Partidos Políticos, Las Disposiciones para la Postulación de Candidaturas no Partidarias en las Elecciones Legislativas, así como los reglamentos o estatutos partidarios aplicables.</w:t>
            </w:r>
          </w:p>
          <w:p w14:paraId="076CF778" w14:textId="77777777" w:rsidR="00E128E8" w:rsidRDefault="00E128E8" w:rsidP="00E128E8">
            <w:pPr>
              <w:jc w:val="both"/>
              <w:rPr>
                <w:rFonts w:ascii="Calibri" w:hAnsi="Calibri" w:cs="Calibri"/>
              </w:rPr>
            </w:pPr>
            <w:r>
              <w:rPr>
                <w:rFonts w:ascii="Calibri" w:hAnsi="Calibri" w:cs="Calibri"/>
              </w:rPr>
              <w:t>Se espera que el documento tenga un lenguaje sencillo y una técnica adecuada para que personas sin formación legal puedan comprender las herramientas a utilizar.</w:t>
            </w:r>
          </w:p>
          <w:p w14:paraId="7A5E6353" w14:textId="77777777" w:rsidR="00E128E8" w:rsidRDefault="00E128E8" w:rsidP="00E128E8">
            <w:pPr>
              <w:jc w:val="both"/>
              <w:rPr>
                <w:rFonts w:ascii="Calibri" w:hAnsi="Calibri" w:cs="Calibri"/>
                <w:bCs/>
                <w:color w:val="000000"/>
                <w:lang w:eastAsia="es-SV"/>
              </w:rPr>
            </w:pPr>
            <w:r w:rsidRPr="00EF4DA2">
              <w:rPr>
                <w:rFonts w:ascii="Calibri" w:eastAsia="Calibri" w:hAnsi="Calibri" w:cs="ArialMT"/>
                <w:lang w:eastAsia="es-SV"/>
              </w:rPr>
              <w:t xml:space="preserve">El/la consultor/a entregará los documentos en formato </w:t>
            </w:r>
            <w:r>
              <w:rPr>
                <w:rFonts w:ascii="Calibri" w:eastAsia="Calibri" w:hAnsi="Calibri" w:cs="ArialMT"/>
                <w:lang w:eastAsia="es-SV"/>
              </w:rPr>
              <w:t>impreso</w:t>
            </w:r>
            <w:r w:rsidRPr="00EF4DA2">
              <w:rPr>
                <w:rFonts w:ascii="Calibri" w:eastAsia="Calibri" w:hAnsi="Calibri" w:cs="ArialMT"/>
                <w:lang w:eastAsia="es-SV"/>
              </w:rPr>
              <w:t xml:space="preserve"> y digital </w:t>
            </w:r>
            <w:r>
              <w:rPr>
                <w:rFonts w:ascii="Calibri" w:eastAsia="Calibri" w:hAnsi="Calibri" w:cs="ArialMT"/>
                <w:lang w:eastAsia="es-SV"/>
              </w:rPr>
              <w:t>(</w:t>
            </w:r>
            <w:r w:rsidRPr="00EF4DA2">
              <w:rPr>
                <w:rFonts w:ascii="Calibri" w:eastAsia="Calibri" w:hAnsi="Calibri" w:cs="ArialMT"/>
                <w:lang w:eastAsia="es-SV"/>
              </w:rPr>
              <w:t>en formato editable</w:t>
            </w:r>
            <w:r>
              <w:rPr>
                <w:rFonts w:ascii="Calibri" w:eastAsia="Calibri" w:hAnsi="Calibri" w:cs="ArialMT"/>
                <w:lang w:eastAsia="es-SV"/>
              </w:rPr>
              <w:t xml:space="preserve">), en versión Word y </w:t>
            </w:r>
            <w:proofErr w:type="spellStart"/>
            <w:r>
              <w:rPr>
                <w:rFonts w:ascii="Calibri" w:eastAsia="Calibri" w:hAnsi="Calibri" w:cs="ArialMT"/>
                <w:lang w:eastAsia="es-SV"/>
              </w:rPr>
              <w:t>power</w:t>
            </w:r>
            <w:proofErr w:type="spellEnd"/>
            <w:r>
              <w:rPr>
                <w:rFonts w:ascii="Calibri" w:eastAsia="Calibri" w:hAnsi="Calibri" w:cs="ArialMT"/>
                <w:lang w:eastAsia="es-SV"/>
              </w:rPr>
              <w:t xml:space="preserve"> </w:t>
            </w:r>
            <w:proofErr w:type="spellStart"/>
            <w:r>
              <w:rPr>
                <w:rFonts w:ascii="Calibri" w:eastAsia="Calibri" w:hAnsi="Calibri" w:cs="ArialMT"/>
                <w:lang w:eastAsia="es-SV"/>
              </w:rPr>
              <w:t>point</w:t>
            </w:r>
            <w:proofErr w:type="spellEnd"/>
            <w:r>
              <w:rPr>
                <w:rFonts w:ascii="Calibri" w:eastAsia="Calibri" w:hAnsi="Calibri" w:cs="ArialMT"/>
                <w:lang w:eastAsia="es-SV"/>
              </w:rPr>
              <w:t xml:space="preserve"> al correo electrónico y lugar que le indique la Coordinación del proyecto </w:t>
            </w:r>
            <w:proofErr w:type="spellStart"/>
            <w:r>
              <w:rPr>
                <w:rFonts w:ascii="Calibri" w:eastAsia="Calibri" w:hAnsi="Calibri" w:cs="ArialMT"/>
                <w:lang w:eastAsia="es-SV"/>
              </w:rPr>
              <w:t>Spotlight</w:t>
            </w:r>
            <w:proofErr w:type="spellEnd"/>
            <w:r>
              <w:rPr>
                <w:rFonts w:ascii="Calibri" w:eastAsia="Calibri" w:hAnsi="Calibri" w:cs="ArialMT"/>
                <w:lang w:eastAsia="es-SV"/>
              </w:rPr>
              <w:t>-PNUD.</w:t>
            </w:r>
          </w:p>
          <w:p w14:paraId="121551DA" w14:textId="77777777" w:rsidR="00E128E8" w:rsidRPr="00021A50" w:rsidRDefault="00E128E8" w:rsidP="00E128E8">
            <w:pPr>
              <w:pStyle w:val="Prrafodelista"/>
              <w:numPr>
                <w:ilvl w:val="0"/>
                <w:numId w:val="43"/>
              </w:numPr>
              <w:spacing w:after="160" w:line="259" w:lineRule="auto"/>
              <w:jc w:val="both"/>
              <w:rPr>
                <w:rFonts w:ascii="Calibri" w:hAnsi="Calibri" w:cs="Calibri"/>
                <w:b/>
                <w:color w:val="000000"/>
                <w:lang w:eastAsia="es-SV"/>
              </w:rPr>
            </w:pPr>
            <w:r w:rsidRPr="00021A50">
              <w:rPr>
                <w:rFonts w:ascii="Calibri" w:hAnsi="Calibri" w:cs="Calibri"/>
                <w:b/>
                <w:color w:val="000000"/>
                <w:lang w:eastAsia="es-SV"/>
              </w:rPr>
              <w:t>PRODUCTOS ESPERADOS</w:t>
            </w:r>
          </w:p>
          <w:p w14:paraId="56F1E4D9" w14:textId="77777777" w:rsidR="00E128E8" w:rsidRDefault="00E128E8" w:rsidP="00E128E8">
            <w:pPr>
              <w:pStyle w:val="Prrafodelista"/>
              <w:numPr>
                <w:ilvl w:val="0"/>
                <w:numId w:val="44"/>
              </w:numPr>
              <w:spacing w:after="160" w:line="259" w:lineRule="auto"/>
              <w:jc w:val="both"/>
              <w:rPr>
                <w:rFonts w:ascii="Calibri" w:hAnsi="Calibri" w:cs="Calibri"/>
                <w:bCs/>
                <w:color w:val="000000"/>
                <w:lang w:eastAsia="es-SV"/>
              </w:rPr>
            </w:pPr>
            <w:r w:rsidRPr="00A3135B">
              <w:rPr>
                <w:rFonts w:ascii="Calibri" w:hAnsi="Calibri" w:cs="Calibri"/>
                <w:bCs/>
                <w:color w:val="000000"/>
                <w:lang w:eastAsia="es-SV"/>
              </w:rPr>
              <w:t xml:space="preserve">Un documento </w:t>
            </w:r>
            <w:r>
              <w:rPr>
                <w:rFonts w:ascii="Calibri" w:hAnsi="Calibri" w:cs="Calibri"/>
                <w:bCs/>
                <w:color w:val="000000"/>
                <w:lang w:eastAsia="es-SV"/>
              </w:rPr>
              <w:t xml:space="preserve">guía </w:t>
            </w:r>
            <w:r w:rsidRPr="00A3135B">
              <w:rPr>
                <w:rFonts w:ascii="Calibri" w:hAnsi="Calibri" w:cs="Calibri"/>
                <w:bCs/>
                <w:color w:val="000000"/>
                <w:lang w:eastAsia="es-SV"/>
              </w:rPr>
              <w:t>que</w:t>
            </w:r>
            <w:r>
              <w:rPr>
                <w:rFonts w:ascii="Calibri" w:hAnsi="Calibri" w:cs="Calibri"/>
                <w:bCs/>
                <w:color w:val="000000"/>
                <w:lang w:eastAsia="es-SV"/>
              </w:rPr>
              <w:t xml:space="preserve"> sistematice casos posibles y</w:t>
            </w:r>
            <w:r w:rsidRPr="00A3135B">
              <w:rPr>
                <w:rFonts w:ascii="Calibri" w:hAnsi="Calibri" w:cs="Calibri"/>
                <w:bCs/>
                <w:color w:val="000000"/>
                <w:lang w:eastAsia="es-SV"/>
              </w:rPr>
              <w:t xml:space="preserve"> los procedimientos legales </w:t>
            </w:r>
            <w:r>
              <w:rPr>
                <w:rFonts w:ascii="Calibri" w:hAnsi="Calibri" w:cs="Calibri"/>
                <w:bCs/>
                <w:color w:val="000000"/>
                <w:lang w:eastAsia="es-SV"/>
              </w:rPr>
              <w:t xml:space="preserve">correspondientes </w:t>
            </w:r>
            <w:r w:rsidRPr="00A3135B">
              <w:rPr>
                <w:rFonts w:ascii="Calibri" w:hAnsi="Calibri" w:cs="Calibri"/>
                <w:bCs/>
                <w:color w:val="000000"/>
                <w:lang w:eastAsia="es-SV"/>
              </w:rPr>
              <w:t xml:space="preserve">para proteger los derechos </w:t>
            </w:r>
            <w:r>
              <w:rPr>
                <w:rFonts w:ascii="Calibri" w:hAnsi="Calibri" w:cs="Calibri"/>
                <w:bCs/>
                <w:color w:val="000000"/>
                <w:lang w:eastAsia="es-SV"/>
              </w:rPr>
              <w:t xml:space="preserve">políticos de las mujeres ante situaciones </w:t>
            </w:r>
            <w:r w:rsidRPr="00A3135B">
              <w:rPr>
                <w:rFonts w:ascii="Calibri" w:hAnsi="Calibri" w:cs="Calibri"/>
                <w:bCs/>
                <w:color w:val="000000"/>
                <w:lang w:eastAsia="es-SV"/>
              </w:rPr>
              <w:t>de violencia política</w:t>
            </w:r>
            <w:r>
              <w:rPr>
                <w:rFonts w:ascii="Calibri" w:hAnsi="Calibri" w:cs="Calibri"/>
                <w:bCs/>
                <w:color w:val="000000"/>
                <w:lang w:eastAsia="es-SV"/>
              </w:rPr>
              <w:t xml:space="preserve"> en el marco de los procesos electorales</w:t>
            </w:r>
            <w:r w:rsidRPr="00A3135B">
              <w:rPr>
                <w:rFonts w:ascii="Calibri" w:hAnsi="Calibri" w:cs="Calibri"/>
                <w:bCs/>
                <w:color w:val="000000"/>
                <w:lang w:eastAsia="es-SV"/>
              </w:rPr>
              <w:t>. El cual incluya además orientaciones sobre la formulación de los escritos que se deban de presentar ante las instancias competentes y anexe un directorio de las instituciones que pueden acompañarle en el procedimiento.</w:t>
            </w:r>
          </w:p>
          <w:p w14:paraId="18E52BB5" w14:textId="77777777" w:rsidR="00E128E8" w:rsidRDefault="00E128E8" w:rsidP="00E128E8">
            <w:pPr>
              <w:pStyle w:val="Prrafodelista"/>
              <w:numPr>
                <w:ilvl w:val="0"/>
                <w:numId w:val="44"/>
              </w:numPr>
              <w:spacing w:after="160" w:line="259" w:lineRule="auto"/>
              <w:jc w:val="both"/>
              <w:rPr>
                <w:rFonts w:ascii="Calibri" w:hAnsi="Calibri" w:cs="Calibri"/>
                <w:bCs/>
                <w:color w:val="000000"/>
                <w:lang w:eastAsia="es-SV"/>
              </w:rPr>
            </w:pPr>
            <w:r>
              <w:rPr>
                <w:rFonts w:ascii="Calibri" w:hAnsi="Calibri" w:cs="Calibri"/>
                <w:bCs/>
                <w:color w:val="000000"/>
                <w:lang w:eastAsia="es-SV"/>
              </w:rPr>
              <w:t>5 presentaciones de la guía ante público seleccionado por el proyecto.</w:t>
            </w:r>
          </w:p>
          <w:p w14:paraId="65AA9D3C" w14:textId="11FEEF59" w:rsidR="0065710B" w:rsidRPr="00582B47" w:rsidRDefault="0065710B" w:rsidP="00A24134">
            <w:pPr>
              <w:rPr>
                <w:b/>
              </w:rPr>
            </w:pPr>
          </w:p>
        </w:tc>
      </w:tr>
    </w:tbl>
    <w:p w14:paraId="3E0EC67C" w14:textId="77777777" w:rsidR="007450F4" w:rsidRDefault="007450F4" w:rsidP="00A24134">
      <w:pPr>
        <w:rPr>
          <w:b/>
        </w:rPr>
      </w:pPr>
    </w:p>
    <w:p w14:paraId="65AA9D40" w14:textId="430CA0DD"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2321"/>
            </w:tblGrid>
            <w:tr w:rsidR="00D4205B" w:rsidRPr="0048123B" w14:paraId="74C97005" w14:textId="77777777" w:rsidTr="00F17848">
              <w:tc>
                <w:tcPr>
                  <w:tcW w:w="6507" w:type="dxa"/>
                  <w:shd w:val="clear" w:color="auto" w:fill="FFF2CC"/>
                </w:tcPr>
                <w:p w14:paraId="0AF443A5" w14:textId="77777777" w:rsidR="00D4205B" w:rsidRPr="0048123B" w:rsidRDefault="00D4205B" w:rsidP="00D4205B">
                  <w:pPr>
                    <w:jc w:val="both"/>
                    <w:rPr>
                      <w:rFonts w:ascii="Calibri" w:hAnsi="Calibri" w:cs="Calibri"/>
                      <w:b/>
                    </w:rPr>
                  </w:pPr>
                  <w:r w:rsidRPr="0048123B">
                    <w:rPr>
                      <w:rFonts w:ascii="Calibri" w:hAnsi="Calibri" w:cs="Calibri"/>
                      <w:b/>
                    </w:rPr>
                    <w:t>CRITERIOS</w:t>
                  </w:r>
                  <w:r>
                    <w:rPr>
                      <w:rFonts w:ascii="Calibri" w:hAnsi="Calibri" w:cs="Calibri"/>
                      <w:b/>
                    </w:rPr>
                    <w:t xml:space="preserve"> DE EVALUACIÓN</w:t>
                  </w:r>
                </w:p>
              </w:tc>
              <w:tc>
                <w:tcPr>
                  <w:tcW w:w="2321" w:type="dxa"/>
                  <w:shd w:val="clear" w:color="auto" w:fill="FFF2CC"/>
                </w:tcPr>
                <w:p w14:paraId="57D3D619" w14:textId="77777777" w:rsidR="00D4205B" w:rsidRPr="0048123B" w:rsidRDefault="00D4205B" w:rsidP="00D4205B">
                  <w:pPr>
                    <w:jc w:val="center"/>
                    <w:rPr>
                      <w:rFonts w:ascii="Calibri" w:hAnsi="Calibri" w:cs="Calibri"/>
                      <w:b/>
                    </w:rPr>
                  </w:pPr>
                  <w:r w:rsidRPr="0048123B">
                    <w:rPr>
                      <w:rFonts w:ascii="Calibri" w:hAnsi="Calibri" w:cs="Calibri"/>
                      <w:b/>
                    </w:rPr>
                    <w:t xml:space="preserve">VALOR </w:t>
                  </w:r>
                  <w:r>
                    <w:rPr>
                      <w:rFonts w:ascii="Calibri" w:hAnsi="Calibri" w:cs="Calibri"/>
                      <w:b/>
                    </w:rPr>
                    <w:t xml:space="preserve">MÁXIMO </w:t>
                  </w:r>
                  <w:r w:rsidRPr="0048123B">
                    <w:rPr>
                      <w:rFonts w:ascii="Calibri" w:hAnsi="Calibri" w:cs="Calibri"/>
                      <w:b/>
                    </w:rPr>
                    <w:t>ASIGNADO</w:t>
                  </w:r>
                </w:p>
              </w:tc>
            </w:tr>
            <w:tr w:rsidR="00D4205B" w:rsidRPr="0048123B" w14:paraId="0765E531" w14:textId="77777777" w:rsidTr="00F17848">
              <w:tc>
                <w:tcPr>
                  <w:tcW w:w="6507" w:type="dxa"/>
                  <w:shd w:val="clear" w:color="auto" w:fill="auto"/>
                </w:tcPr>
                <w:p w14:paraId="6EDB6214" w14:textId="77777777" w:rsidR="00D4205B" w:rsidRPr="0048123B" w:rsidRDefault="00D4205B" w:rsidP="00D4205B">
                  <w:pPr>
                    <w:spacing w:after="0"/>
                    <w:jc w:val="both"/>
                    <w:rPr>
                      <w:rFonts w:ascii="Calibri" w:hAnsi="Calibri" w:cs="Calibri"/>
                    </w:rPr>
                  </w:pPr>
                  <w:r w:rsidRPr="0048123B">
                    <w:rPr>
                      <w:rFonts w:ascii="Calibri" w:hAnsi="Calibri" w:cs="Calibri"/>
                    </w:rPr>
                    <w:t>Profesional graduado</w:t>
                  </w:r>
                  <w:r>
                    <w:rPr>
                      <w:rFonts w:ascii="Calibri" w:hAnsi="Calibri" w:cs="Calibri"/>
                    </w:rPr>
                    <w:t>/a</w:t>
                  </w:r>
                  <w:r w:rsidRPr="0048123B">
                    <w:rPr>
                      <w:rFonts w:ascii="Calibri" w:hAnsi="Calibri" w:cs="Calibri"/>
                    </w:rPr>
                    <w:t xml:space="preserve"> en ciencias jurídicas </w:t>
                  </w:r>
                </w:p>
                <w:p w14:paraId="714E999D" w14:textId="6B1AC61B" w:rsidR="00D4205B" w:rsidRPr="0048123B" w:rsidRDefault="00D4205B" w:rsidP="00D4205B">
                  <w:pPr>
                    <w:spacing w:after="0"/>
                    <w:jc w:val="both"/>
                    <w:rPr>
                      <w:rFonts w:ascii="Calibri" w:hAnsi="Calibri" w:cs="Calibri"/>
                    </w:rPr>
                  </w:pPr>
                  <w:r w:rsidRPr="0048123B">
                    <w:rPr>
                      <w:rFonts w:ascii="Calibri" w:hAnsi="Calibri" w:cs="Calibri"/>
                    </w:rPr>
                    <w:t xml:space="preserve">Cumple: </w:t>
                  </w:r>
                  <w:r>
                    <w:rPr>
                      <w:rFonts w:ascii="Calibri" w:hAnsi="Calibri" w:cs="Calibri"/>
                    </w:rPr>
                    <w:t>10</w:t>
                  </w:r>
                  <w:r>
                    <w:rPr>
                      <w:rFonts w:ascii="Calibri" w:hAnsi="Calibri" w:cs="Calibri"/>
                    </w:rPr>
                    <w:t xml:space="preserve"> puntos</w:t>
                  </w:r>
                </w:p>
                <w:p w14:paraId="6F682214" w14:textId="3F7BF1F1" w:rsidR="00D4205B" w:rsidRPr="0048123B" w:rsidRDefault="00D4205B" w:rsidP="00D4205B">
                  <w:pPr>
                    <w:spacing w:after="0"/>
                    <w:jc w:val="both"/>
                    <w:rPr>
                      <w:rFonts w:ascii="Calibri" w:hAnsi="Calibri" w:cs="Calibri"/>
                    </w:rPr>
                  </w:pPr>
                  <w:r w:rsidRPr="0048123B">
                    <w:rPr>
                      <w:rFonts w:ascii="Calibri" w:hAnsi="Calibri" w:cs="Calibri"/>
                    </w:rPr>
                    <w:t>No cumple: 0</w:t>
                  </w:r>
                  <w:r>
                    <w:rPr>
                      <w:rFonts w:ascii="Calibri" w:hAnsi="Calibri" w:cs="Calibri"/>
                    </w:rPr>
                    <w:t xml:space="preserve"> puntos</w:t>
                  </w:r>
                </w:p>
              </w:tc>
              <w:tc>
                <w:tcPr>
                  <w:tcW w:w="2321" w:type="dxa"/>
                  <w:shd w:val="clear" w:color="auto" w:fill="auto"/>
                  <w:vAlign w:val="center"/>
                </w:tcPr>
                <w:p w14:paraId="08F057D3" w14:textId="0928DF74" w:rsidR="00D4205B" w:rsidRPr="0048123B" w:rsidRDefault="00D4205B" w:rsidP="00D4205B">
                  <w:pPr>
                    <w:spacing w:after="0"/>
                    <w:jc w:val="center"/>
                    <w:rPr>
                      <w:rFonts w:ascii="Calibri" w:hAnsi="Calibri" w:cs="Calibri"/>
                    </w:rPr>
                  </w:pPr>
                  <w:r>
                    <w:rPr>
                      <w:rFonts w:ascii="Calibri" w:hAnsi="Calibri" w:cs="Calibri"/>
                    </w:rPr>
                    <w:t>10</w:t>
                  </w:r>
                  <w:r>
                    <w:rPr>
                      <w:rFonts w:ascii="Calibri" w:hAnsi="Calibri" w:cs="Calibri"/>
                    </w:rPr>
                    <w:t xml:space="preserve"> puntos</w:t>
                  </w:r>
                </w:p>
              </w:tc>
            </w:tr>
            <w:tr w:rsidR="00D4205B" w:rsidRPr="0048123B" w14:paraId="12396E5E" w14:textId="77777777" w:rsidTr="00F17848">
              <w:tc>
                <w:tcPr>
                  <w:tcW w:w="6507" w:type="dxa"/>
                  <w:shd w:val="clear" w:color="auto" w:fill="auto"/>
                </w:tcPr>
                <w:p w14:paraId="6B162A5E" w14:textId="77777777" w:rsidR="00D4205B" w:rsidRPr="00A74FDD" w:rsidRDefault="00D4205B" w:rsidP="00D4205B">
                  <w:pPr>
                    <w:spacing w:after="0" w:line="240" w:lineRule="auto"/>
                    <w:jc w:val="both"/>
                    <w:rPr>
                      <w:rFonts w:ascii="Calibri" w:hAnsi="Calibri" w:cs="Calibri"/>
                    </w:rPr>
                  </w:pPr>
                  <w:r w:rsidRPr="00A74FDD">
                    <w:rPr>
                      <w:rFonts w:ascii="Calibri" w:hAnsi="Calibri" w:cs="Calibri"/>
                    </w:rPr>
                    <w:t xml:space="preserve">Con conocimientos </w:t>
                  </w:r>
                  <w:r>
                    <w:rPr>
                      <w:rFonts w:ascii="Calibri" w:hAnsi="Calibri" w:cs="Calibri"/>
                    </w:rPr>
                    <w:t xml:space="preserve">o experiencia </w:t>
                  </w:r>
                  <w:r w:rsidRPr="00A74FDD">
                    <w:rPr>
                      <w:rFonts w:ascii="Calibri" w:hAnsi="Calibri" w:cs="Calibri"/>
                    </w:rPr>
                    <w:t>comprobable</w:t>
                  </w:r>
                  <w:r>
                    <w:rPr>
                      <w:rFonts w:ascii="Calibri" w:hAnsi="Calibri" w:cs="Calibri"/>
                    </w:rPr>
                    <w:t>s</w:t>
                  </w:r>
                  <w:r w:rsidRPr="00A74FDD">
                    <w:rPr>
                      <w:rFonts w:ascii="Calibri" w:hAnsi="Calibri" w:cs="Calibri"/>
                    </w:rPr>
                    <w:t xml:space="preserve"> sobre derecho administrativo sanciona</w:t>
                  </w:r>
                  <w:r>
                    <w:rPr>
                      <w:rFonts w:ascii="Calibri" w:hAnsi="Calibri" w:cs="Calibri"/>
                    </w:rPr>
                    <w:t>dor</w:t>
                  </w:r>
                  <w:r w:rsidRPr="00A74FDD">
                    <w:rPr>
                      <w:rFonts w:ascii="Calibri" w:hAnsi="Calibri" w:cs="Calibri"/>
                    </w:rPr>
                    <w:t xml:space="preserve"> y/o derecho procesal penal.</w:t>
                  </w:r>
                </w:p>
                <w:p w14:paraId="4C644060" w14:textId="77777777" w:rsidR="00D4205B" w:rsidRPr="0048123B" w:rsidRDefault="00D4205B" w:rsidP="00D4205B">
                  <w:pPr>
                    <w:spacing w:after="0"/>
                    <w:jc w:val="both"/>
                    <w:rPr>
                      <w:rFonts w:ascii="Calibri" w:hAnsi="Calibri" w:cs="Calibri"/>
                    </w:rPr>
                  </w:pPr>
                  <w:r w:rsidRPr="0048123B">
                    <w:rPr>
                      <w:rFonts w:ascii="Calibri" w:hAnsi="Calibri" w:cs="Calibri"/>
                    </w:rPr>
                    <w:t>Cumple: 1</w:t>
                  </w:r>
                  <w:r>
                    <w:rPr>
                      <w:rFonts w:ascii="Calibri" w:hAnsi="Calibri" w:cs="Calibri"/>
                    </w:rPr>
                    <w:t>0</w:t>
                  </w:r>
                  <w:r w:rsidRPr="0048123B">
                    <w:rPr>
                      <w:rFonts w:ascii="Calibri" w:hAnsi="Calibri" w:cs="Calibri"/>
                    </w:rPr>
                    <w:t>%</w:t>
                  </w:r>
                </w:p>
                <w:p w14:paraId="3D066FD4" w14:textId="77777777" w:rsidR="00D4205B" w:rsidRPr="0048123B" w:rsidRDefault="00D4205B" w:rsidP="00D4205B">
                  <w:pPr>
                    <w:spacing w:after="0"/>
                    <w:jc w:val="both"/>
                    <w:rPr>
                      <w:rFonts w:ascii="Calibri" w:hAnsi="Calibri" w:cs="Calibri"/>
                    </w:rPr>
                  </w:pPr>
                  <w:r w:rsidRPr="0048123B">
                    <w:rPr>
                      <w:rFonts w:ascii="Calibri" w:hAnsi="Calibri" w:cs="Calibri"/>
                    </w:rPr>
                    <w:t>No cumple: 0%</w:t>
                  </w:r>
                </w:p>
              </w:tc>
              <w:tc>
                <w:tcPr>
                  <w:tcW w:w="2321" w:type="dxa"/>
                  <w:shd w:val="clear" w:color="auto" w:fill="auto"/>
                  <w:vAlign w:val="center"/>
                </w:tcPr>
                <w:p w14:paraId="3AFCE066" w14:textId="1E6DA3D0" w:rsidR="00D4205B" w:rsidRPr="0048123B" w:rsidRDefault="00D4205B" w:rsidP="00D4205B">
                  <w:pPr>
                    <w:spacing w:after="0"/>
                    <w:jc w:val="center"/>
                    <w:rPr>
                      <w:rFonts w:ascii="Calibri" w:hAnsi="Calibri" w:cs="Calibri"/>
                    </w:rPr>
                  </w:pPr>
                  <w:r w:rsidRPr="0048123B">
                    <w:rPr>
                      <w:rFonts w:ascii="Calibri" w:hAnsi="Calibri" w:cs="Calibri"/>
                    </w:rPr>
                    <w:t>1</w:t>
                  </w:r>
                  <w:r>
                    <w:rPr>
                      <w:rFonts w:ascii="Calibri" w:hAnsi="Calibri" w:cs="Calibri"/>
                    </w:rPr>
                    <w:t>0</w:t>
                  </w:r>
                  <w:r w:rsidR="00A535EC">
                    <w:rPr>
                      <w:rFonts w:ascii="Calibri" w:hAnsi="Calibri" w:cs="Calibri"/>
                    </w:rPr>
                    <w:t xml:space="preserve"> puntos</w:t>
                  </w:r>
                </w:p>
              </w:tc>
            </w:tr>
            <w:tr w:rsidR="00D4205B" w:rsidRPr="0048123B" w14:paraId="6E8E3649" w14:textId="77777777" w:rsidTr="00F17848">
              <w:tc>
                <w:tcPr>
                  <w:tcW w:w="6507" w:type="dxa"/>
                  <w:shd w:val="clear" w:color="auto" w:fill="auto"/>
                </w:tcPr>
                <w:p w14:paraId="404BC04D" w14:textId="77777777" w:rsidR="00D4205B" w:rsidRPr="00FE55E3" w:rsidRDefault="00D4205B" w:rsidP="00D4205B">
                  <w:pPr>
                    <w:spacing w:after="0" w:line="240" w:lineRule="auto"/>
                    <w:jc w:val="both"/>
                    <w:rPr>
                      <w:rFonts w:ascii="Calibri" w:hAnsi="Calibri" w:cs="Calibri"/>
                    </w:rPr>
                  </w:pPr>
                  <w:r w:rsidRPr="00FE55E3">
                    <w:rPr>
                      <w:rFonts w:ascii="Calibri" w:hAnsi="Calibri" w:cs="Calibri"/>
                    </w:rPr>
                    <w:t>Con experiencia</w:t>
                  </w:r>
                  <w:r>
                    <w:rPr>
                      <w:rFonts w:ascii="Calibri" w:hAnsi="Calibri" w:cs="Calibri"/>
                    </w:rPr>
                    <w:t xml:space="preserve"> en investigaciones sobre </w:t>
                  </w:r>
                  <w:r w:rsidRPr="00FE55E3">
                    <w:rPr>
                      <w:rFonts w:ascii="Calibri" w:hAnsi="Calibri" w:cs="Calibri"/>
                    </w:rPr>
                    <w:t>temas electorales</w:t>
                  </w:r>
                  <w:r>
                    <w:rPr>
                      <w:rFonts w:ascii="Calibri" w:hAnsi="Calibri" w:cs="Calibri"/>
                    </w:rPr>
                    <w:t>.</w:t>
                  </w:r>
                </w:p>
                <w:p w14:paraId="351D0DA2" w14:textId="77777777" w:rsidR="00D4205B" w:rsidRPr="0048123B" w:rsidRDefault="00D4205B" w:rsidP="00D4205B">
                  <w:pPr>
                    <w:spacing w:after="0"/>
                    <w:jc w:val="both"/>
                    <w:rPr>
                      <w:rFonts w:ascii="Calibri" w:hAnsi="Calibri" w:cs="Calibri"/>
                    </w:rPr>
                  </w:pPr>
                  <w:r w:rsidRPr="0048123B">
                    <w:rPr>
                      <w:rFonts w:ascii="Calibri" w:hAnsi="Calibri" w:cs="Calibri"/>
                    </w:rPr>
                    <w:t xml:space="preserve">Más de </w:t>
                  </w:r>
                  <w:r>
                    <w:rPr>
                      <w:rFonts w:ascii="Calibri" w:hAnsi="Calibri" w:cs="Calibri"/>
                    </w:rPr>
                    <w:t>dos</w:t>
                  </w:r>
                  <w:r w:rsidRPr="0048123B">
                    <w:rPr>
                      <w:rFonts w:ascii="Calibri" w:hAnsi="Calibri" w:cs="Calibri"/>
                    </w:rPr>
                    <w:t xml:space="preserve"> investigaciones: </w:t>
                  </w:r>
                  <w:r>
                    <w:rPr>
                      <w:rFonts w:ascii="Calibri" w:hAnsi="Calibri" w:cs="Calibri"/>
                    </w:rPr>
                    <w:t>20</w:t>
                  </w:r>
                  <w:r w:rsidRPr="0048123B">
                    <w:rPr>
                      <w:rFonts w:ascii="Calibri" w:hAnsi="Calibri" w:cs="Calibri"/>
                    </w:rPr>
                    <w:t xml:space="preserve">% </w:t>
                  </w:r>
                </w:p>
                <w:p w14:paraId="36A0DA84" w14:textId="77777777" w:rsidR="00D4205B" w:rsidRPr="0048123B" w:rsidRDefault="00D4205B" w:rsidP="00D4205B">
                  <w:pPr>
                    <w:spacing w:after="0"/>
                    <w:jc w:val="both"/>
                    <w:rPr>
                      <w:rFonts w:ascii="Calibri" w:hAnsi="Calibri" w:cs="Calibri"/>
                    </w:rPr>
                  </w:pPr>
                  <w:r>
                    <w:rPr>
                      <w:rFonts w:ascii="Calibri" w:hAnsi="Calibri" w:cs="Calibri"/>
                    </w:rPr>
                    <w:t>Dos</w:t>
                  </w:r>
                  <w:r w:rsidRPr="0048123B">
                    <w:rPr>
                      <w:rFonts w:ascii="Calibri" w:hAnsi="Calibri" w:cs="Calibri"/>
                    </w:rPr>
                    <w:t xml:space="preserve"> investigaciones: </w:t>
                  </w:r>
                  <w:r>
                    <w:rPr>
                      <w:rFonts w:ascii="Calibri" w:hAnsi="Calibri" w:cs="Calibri"/>
                    </w:rPr>
                    <w:t>10</w:t>
                  </w:r>
                  <w:r w:rsidRPr="0048123B">
                    <w:rPr>
                      <w:rFonts w:ascii="Calibri" w:hAnsi="Calibri" w:cs="Calibri"/>
                    </w:rPr>
                    <w:t>%</w:t>
                  </w:r>
                </w:p>
                <w:p w14:paraId="53EBCB8D" w14:textId="77777777" w:rsidR="00D4205B" w:rsidRPr="0048123B" w:rsidRDefault="00D4205B" w:rsidP="00D4205B">
                  <w:pPr>
                    <w:spacing w:after="0"/>
                    <w:jc w:val="both"/>
                    <w:rPr>
                      <w:rFonts w:ascii="Calibri" w:hAnsi="Calibri" w:cs="Calibri"/>
                    </w:rPr>
                  </w:pPr>
                  <w:r>
                    <w:rPr>
                      <w:rFonts w:ascii="Calibri" w:hAnsi="Calibri" w:cs="Calibri"/>
                    </w:rPr>
                    <w:t>Una investigación</w:t>
                  </w:r>
                  <w:r w:rsidRPr="0048123B">
                    <w:rPr>
                      <w:rFonts w:ascii="Calibri" w:hAnsi="Calibri" w:cs="Calibri"/>
                    </w:rPr>
                    <w:t xml:space="preserve">: </w:t>
                  </w:r>
                  <w:r>
                    <w:rPr>
                      <w:rFonts w:ascii="Calibri" w:hAnsi="Calibri" w:cs="Calibri"/>
                    </w:rPr>
                    <w:t>5</w:t>
                  </w:r>
                  <w:r w:rsidRPr="0048123B">
                    <w:rPr>
                      <w:rFonts w:ascii="Calibri" w:hAnsi="Calibri" w:cs="Calibri"/>
                    </w:rPr>
                    <w:t>%</w:t>
                  </w:r>
                </w:p>
              </w:tc>
              <w:tc>
                <w:tcPr>
                  <w:tcW w:w="2321" w:type="dxa"/>
                  <w:shd w:val="clear" w:color="auto" w:fill="auto"/>
                  <w:vAlign w:val="center"/>
                </w:tcPr>
                <w:p w14:paraId="17ECB2A6" w14:textId="1F612F6B" w:rsidR="00D4205B" w:rsidRPr="0048123B" w:rsidRDefault="00D4205B" w:rsidP="00D4205B">
                  <w:pPr>
                    <w:spacing w:after="0"/>
                    <w:jc w:val="center"/>
                    <w:rPr>
                      <w:rFonts w:ascii="Calibri" w:hAnsi="Calibri" w:cs="Calibri"/>
                    </w:rPr>
                  </w:pPr>
                  <w:r>
                    <w:rPr>
                      <w:rFonts w:ascii="Calibri" w:hAnsi="Calibri" w:cs="Calibri"/>
                    </w:rPr>
                    <w:t>20</w:t>
                  </w:r>
                  <w:r w:rsidR="00A535EC">
                    <w:rPr>
                      <w:rFonts w:ascii="Calibri" w:hAnsi="Calibri" w:cs="Calibri"/>
                    </w:rPr>
                    <w:t xml:space="preserve"> puntos</w:t>
                  </w:r>
                </w:p>
              </w:tc>
            </w:tr>
            <w:tr w:rsidR="00D4205B" w:rsidRPr="0048123B" w14:paraId="7BF83011" w14:textId="77777777" w:rsidTr="00F17848">
              <w:tc>
                <w:tcPr>
                  <w:tcW w:w="6507" w:type="dxa"/>
                  <w:shd w:val="clear" w:color="auto" w:fill="auto"/>
                </w:tcPr>
                <w:p w14:paraId="60C58042" w14:textId="77777777" w:rsidR="00D4205B" w:rsidRDefault="00D4205B" w:rsidP="00D4205B">
                  <w:pPr>
                    <w:spacing w:after="0" w:line="240" w:lineRule="auto"/>
                    <w:jc w:val="both"/>
                    <w:rPr>
                      <w:rFonts w:ascii="Calibri" w:hAnsi="Calibri" w:cs="Calibri"/>
                    </w:rPr>
                  </w:pPr>
                  <w:r>
                    <w:rPr>
                      <w:rFonts w:ascii="Calibri" w:hAnsi="Calibri" w:cs="Calibri"/>
                    </w:rPr>
                    <w:t>Cursos o posgrados en materia electoral</w:t>
                  </w:r>
                </w:p>
                <w:p w14:paraId="13D659FE" w14:textId="77777777" w:rsidR="00D4205B" w:rsidRDefault="00D4205B" w:rsidP="00D4205B">
                  <w:pPr>
                    <w:spacing w:after="0" w:line="240" w:lineRule="auto"/>
                    <w:jc w:val="both"/>
                    <w:rPr>
                      <w:rFonts w:ascii="Calibri" w:hAnsi="Calibri" w:cs="Calibri"/>
                    </w:rPr>
                  </w:pPr>
                  <w:r>
                    <w:rPr>
                      <w:rFonts w:ascii="Calibri" w:hAnsi="Calibri" w:cs="Calibri"/>
                    </w:rPr>
                    <w:t>Maestría: 10%</w:t>
                  </w:r>
                </w:p>
                <w:p w14:paraId="21471BF9" w14:textId="77777777" w:rsidR="00D4205B" w:rsidRDefault="00D4205B" w:rsidP="00D4205B">
                  <w:pPr>
                    <w:spacing w:after="0" w:line="240" w:lineRule="auto"/>
                    <w:jc w:val="both"/>
                    <w:rPr>
                      <w:rFonts w:ascii="Calibri" w:hAnsi="Calibri" w:cs="Calibri"/>
                    </w:rPr>
                  </w:pPr>
                  <w:r>
                    <w:rPr>
                      <w:rFonts w:ascii="Calibri" w:hAnsi="Calibri" w:cs="Calibri"/>
                    </w:rPr>
                    <w:t>Diplomados: 5%</w:t>
                  </w:r>
                </w:p>
                <w:p w14:paraId="4008E9DC" w14:textId="77777777" w:rsidR="00D4205B" w:rsidRPr="00FE55E3" w:rsidRDefault="00D4205B" w:rsidP="00D4205B">
                  <w:pPr>
                    <w:spacing w:after="0" w:line="240" w:lineRule="auto"/>
                    <w:jc w:val="both"/>
                    <w:rPr>
                      <w:rFonts w:ascii="Calibri" w:hAnsi="Calibri" w:cs="Calibri"/>
                    </w:rPr>
                  </w:pPr>
                  <w:r>
                    <w:rPr>
                      <w:rFonts w:ascii="Calibri" w:hAnsi="Calibri" w:cs="Calibri"/>
                    </w:rPr>
                    <w:t>No posee: 0%</w:t>
                  </w:r>
                </w:p>
              </w:tc>
              <w:tc>
                <w:tcPr>
                  <w:tcW w:w="2321" w:type="dxa"/>
                  <w:shd w:val="clear" w:color="auto" w:fill="auto"/>
                  <w:vAlign w:val="center"/>
                </w:tcPr>
                <w:p w14:paraId="310084EC" w14:textId="78FE5433" w:rsidR="00D4205B" w:rsidRDefault="00D4205B" w:rsidP="00D4205B">
                  <w:pPr>
                    <w:jc w:val="center"/>
                    <w:rPr>
                      <w:rFonts w:ascii="Calibri" w:hAnsi="Calibri" w:cs="Calibri"/>
                    </w:rPr>
                  </w:pPr>
                  <w:r>
                    <w:rPr>
                      <w:rFonts w:ascii="Calibri" w:hAnsi="Calibri" w:cs="Calibri"/>
                    </w:rPr>
                    <w:t>10</w:t>
                  </w:r>
                  <w:r w:rsidR="00A535EC">
                    <w:rPr>
                      <w:rFonts w:ascii="Calibri" w:hAnsi="Calibri" w:cs="Calibri"/>
                    </w:rPr>
                    <w:t xml:space="preserve"> puntos</w:t>
                  </w:r>
                </w:p>
              </w:tc>
            </w:tr>
            <w:tr w:rsidR="00D4205B" w:rsidRPr="0048123B" w14:paraId="1B40C1D0" w14:textId="77777777" w:rsidTr="00F17848">
              <w:tc>
                <w:tcPr>
                  <w:tcW w:w="6507" w:type="dxa"/>
                  <w:shd w:val="clear" w:color="auto" w:fill="auto"/>
                </w:tcPr>
                <w:p w14:paraId="7B58F050" w14:textId="77777777" w:rsidR="00D4205B" w:rsidRPr="008173CF" w:rsidRDefault="00D4205B" w:rsidP="00D4205B">
                  <w:pPr>
                    <w:spacing w:after="0" w:line="240" w:lineRule="auto"/>
                    <w:jc w:val="both"/>
                    <w:rPr>
                      <w:rFonts w:ascii="Calibri" w:hAnsi="Calibri" w:cs="Calibri"/>
                    </w:rPr>
                  </w:pPr>
                  <w:r w:rsidRPr="008173CF">
                    <w:rPr>
                      <w:rFonts w:ascii="Calibri" w:hAnsi="Calibri" w:cs="Calibri"/>
                    </w:rPr>
                    <w:t xml:space="preserve">Cursos o posgrados en </w:t>
                  </w:r>
                  <w:r>
                    <w:rPr>
                      <w:rFonts w:ascii="Calibri" w:hAnsi="Calibri" w:cs="Calibri"/>
                    </w:rPr>
                    <w:t xml:space="preserve">género </w:t>
                  </w:r>
                </w:p>
                <w:p w14:paraId="1E081BE2" w14:textId="77777777" w:rsidR="00D4205B" w:rsidRPr="008173CF" w:rsidRDefault="00D4205B" w:rsidP="00D4205B">
                  <w:pPr>
                    <w:spacing w:after="0" w:line="240" w:lineRule="auto"/>
                    <w:jc w:val="both"/>
                    <w:rPr>
                      <w:rFonts w:ascii="Calibri" w:hAnsi="Calibri" w:cs="Calibri"/>
                    </w:rPr>
                  </w:pPr>
                  <w:r w:rsidRPr="008173CF">
                    <w:rPr>
                      <w:rFonts w:ascii="Calibri" w:hAnsi="Calibri" w:cs="Calibri"/>
                    </w:rPr>
                    <w:t xml:space="preserve">Maestría: </w:t>
                  </w:r>
                  <w:r>
                    <w:rPr>
                      <w:rFonts w:ascii="Calibri" w:hAnsi="Calibri" w:cs="Calibri"/>
                    </w:rPr>
                    <w:t>10</w:t>
                  </w:r>
                  <w:r w:rsidRPr="008173CF">
                    <w:rPr>
                      <w:rFonts w:ascii="Calibri" w:hAnsi="Calibri" w:cs="Calibri"/>
                    </w:rPr>
                    <w:t>%</w:t>
                  </w:r>
                </w:p>
                <w:p w14:paraId="38227974" w14:textId="77777777" w:rsidR="00D4205B" w:rsidRPr="008173CF" w:rsidRDefault="00D4205B" w:rsidP="00D4205B">
                  <w:pPr>
                    <w:spacing w:after="0" w:line="240" w:lineRule="auto"/>
                    <w:jc w:val="both"/>
                    <w:rPr>
                      <w:rFonts w:ascii="Calibri" w:hAnsi="Calibri" w:cs="Calibri"/>
                    </w:rPr>
                  </w:pPr>
                  <w:r w:rsidRPr="008173CF">
                    <w:rPr>
                      <w:rFonts w:ascii="Calibri" w:hAnsi="Calibri" w:cs="Calibri"/>
                    </w:rPr>
                    <w:t xml:space="preserve">Diplomados: </w:t>
                  </w:r>
                  <w:r>
                    <w:rPr>
                      <w:rFonts w:ascii="Calibri" w:hAnsi="Calibri" w:cs="Calibri"/>
                    </w:rPr>
                    <w:t>5</w:t>
                  </w:r>
                  <w:r w:rsidRPr="008173CF">
                    <w:rPr>
                      <w:rFonts w:ascii="Calibri" w:hAnsi="Calibri" w:cs="Calibri"/>
                    </w:rPr>
                    <w:t>%</w:t>
                  </w:r>
                </w:p>
                <w:p w14:paraId="1D9A3481" w14:textId="77777777" w:rsidR="00D4205B" w:rsidRDefault="00D4205B" w:rsidP="00D4205B">
                  <w:pPr>
                    <w:spacing w:after="0" w:line="240" w:lineRule="auto"/>
                    <w:jc w:val="both"/>
                    <w:rPr>
                      <w:rFonts w:ascii="Calibri" w:hAnsi="Calibri" w:cs="Calibri"/>
                    </w:rPr>
                  </w:pPr>
                  <w:r w:rsidRPr="008173CF">
                    <w:rPr>
                      <w:rFonts w:ascii="Calibri" w:hAnsi="Calibri" w:cs="Calibri"/>
                    </w:rPr>
                    <w:t>No posee: 0%</w:t>
                  </w:r>
                </w:p>
              </w:tc>
              <w:tc>
                <w:tcPr>
                  <w:tcW w:w="2321" w:type="dxa"/>
                  <w:shd w:val="clear" w:color="auto" w:fill="auto"/>
                  <w:vAlign w:val="center"/>
                </w:tcPr>
                <w:p w14:paraId="3FDCF8C7" w14:textId="5C79B769" w:rsidR="00D4205B" w:rsidRDefault="00D4205B" w:rsidP="00D4205B">
                  <w:pPr>
                    <w:jc w:val="center"/>
                    <w:rPr>
                      <w:rFonts w:ascii="Calibri" w:hAnsi="Calibri" w:cs="Calibri"/>
                    </w:rPr>
                  </w:pPr>
                  <w:r>
                    <w:rPr>
                      <w:rFonts w:ascii="Calibri" w:hAnsi="Calibri" w:cs="Calibri"/>
                    </w:rPr>
                    <w:t>10</w:t>
                  </w:r>
                  <w:r w:rsidR="00A535EC">
                    <w:rPr>
                      <w:rFonts w:ascii="Calibri" w:hAnsi="Calibri" w:cs="Calibri"/>
                    </w:rPr>
                    <w:t xml:space="preserve"> puntos</w:t>
                  </w:r>
                </w:p>
              </w:tc>
            </w:tr>
            <w:tr w:rsidR="00D4205B" w:rsidRPr="0048123B" w14:paraId="55146661" w14:textId="77777777" w:rsidTr="00F17848">
              <w:tc>
                <w:tcPr>
                  <w:tcW w:w="6507" w:type="dxa"/>
                  <w:shd w:val="clear" w:color="auto" w:fill="auto"/>
                </w:tcPr>
                <w:p w14:paraId="1E580209" w14:textId="77777777" w:rsidR="00D4205B" w:rsidRDefault="00D4205B" w:rsidP="00D4205B">
                  <w:pPr>
                    <w:spacing w:after="0"/>
                    <w:jc w:val="both"/>
                    <w:rPr>
                      <w:rFonts w:ascii="Calibri" w:hAnsi="Calibri" w:cs="Calibri"/>
                    </w:rPr>
                  </w:pPr>
                  <w:r w:rsidRPr="0048123B">
                    <w:rPr>
                      <w:rFonts w:ascii="Calibri" w:hAnsi="Calibri" w:cs="Calibri"/>
                    </w:rPr>
                    <w:t>Oferta Técnica</w:t>
                  </w:r>
                  <w:r>
                    <w:rPr>
                      <w:rFonts w:ascii="Calibri" w:hAnsi="Calibri" w:cs="Calibri"/>
                    </w:rPr>
                    <w:t xml:space="preserve"> </w:t>
                  </w:r>
                </w:p>
                <w:p w14:paraId="3152D2F6" w14:textId="77777777" w:rsidR="00D4205B" w:rsidRDefault="00D4205B" w:rsidP="00D4205B">
                  <w:pPr>
                    <w:spacing w:after="0"/>
                    <w:jc w:val="both"/>
                    <w:rPr>
                      <w:rFonts w:ascii="Calibri" w:hAnsi="Calibri" w:cs="Calibri"/>
                    </w:rPr>
                  </w:pPr>
                  <w:r>
                    <w:rPr>
                      <w:rFonts w:ascii="Calibri" w:hAnsi="Calibri" w:cs="Calibri"/>
                    </w:rPr>
                    <w:t>Cumple requisitos: 10%</w:t>
                  </w:r>
                </w:p>
                <w:p w14:paraId="5173E9FA" w14:textId="77777777" w:rsidR="00D4205B" w:rsidRPr="0048123B" w:rsidRDefault="00D4205B" w:rsidP="00D4205B">
                  <w:pPr>
                    <w:spacing w:after="0"/>
                    <w:jc w:val="both"/>
                    <w:rPr>
                      <w:rFonts w:ascii="Calibri" w:hAnsi="Calibri" w:cs="Calibri"/>
                    </w:rPr>
                  </w:pPr>
                  <w:r>
                    <w:rPr>
                      <w:rFonts w:ascii="Calibri" w:hAnsi="Calibri" w:cs="Calibri"/>
                    </w:rPr>
                    <w:t>No cumple requisitos: 0%</w:t>
                  </w:r>
                </w:p>
              </w:tc>
              <w:tc>
                <w:tcPr>
                  <w:tcW w:w="2321" w:type="dxa"/>
                  <w:shd w:val="clear" w:color="auto" w:fill="auto"/>
                  <w:vAlign w:val="center"/>
                </w:tcPr>
                <w:p w14:paraId="66E40804" w14:textId="05AAB81E" w:rsidR="00D4205B" w:rsidRPr="0048123B" w:rsidRDefault="00D4205B" w:rsidP="00D4205B">
                  <w:pPr>
                    <w:spacing w:after="0"/>
                    <w:jc w:val="center"/>
                    <w:rPr>
                      <w:rFonts w:ascii="Calibri" w:hAnsi="Calibri" w:cs="Calibri"/>
                    </w:rPr>
                  </w:pPr>
                  <w:r>
                    <w:rPr>
                      <w:rFonts w:ascii="Calibri" w:hAnsi="Calibri" w:cs="Calibri"/>
                    </w:rPr>
                    <w:t>10</w:t>
                  </w:r>
                  <w:r w:rsidRPr="0048123B">
                    <w:rPr>
                      <w:rFonts w:ascii="Calibri" w:hAnsi="Calibri" w:cs="Calibri"/>
                    </w:rPr>
                    <w:t xml:space="preserve"> </w:t>
                  </w:r>
                  <w:r w:rsidR="00A535EC">
                    <w:rPr>
                      <w:rFonts w:ascii="Calibri" w:hAnsi="Calibri" w:cs="Calibri"/>
                    </w:rPr>
                    <w:t>puntos</w:t>
                  </w:r>
                </w:p>
              </w:tc>
            </w:tr>
            <w:tr w:rsidR="00D4205B" w:rsidRPr="0048123B" w14:paraId="11D4FA14" w14:textId="77777777" w:rsidTr="00F17848">
              <w:tc>
                <w:tcPr>
                  <w:tcW w:w="6507" w:type="dxa"/>
                  <w:shd w:val="clear" w:color="auto" w:fill="auto"/>
                </w:tcPr>
                <w:p w14:paraId="0AA88AC8" w14:textId="77777777" w:rsidR="00D4205B" w:rsidRPr="0048123B" w:rsidRDefault="00D4205B" w:rsidP="00D4205B">
                  <w:pPr>
                    <w:jc w:val="both"/>
                    <w:rPr>
                      <w:rFonts w:ascii="Calibri" w:hAnsi="Calibri" w:cs="Calibri"/>
                    </w:rPr>
                  </w:pPr>
                  <w:r w:rsidRPr="0048123B">
                    <w:rPr>
                      <w:rFonts w:ascii="Calibri" w:hAnsi="Calibri" w:cs="Calibri"/>
                    </w:rPr>
                    <w:lastRenderedPageBreak/>
                    <w:t>Oferta financiera</w:t>
                  </w:r>
                  <w:r>
                    <w:rPr>
                      <w:rFonts w:ascii="Calibri" w:hAnsi="Calibri" w:cs="Calibri"/>
                    </w:rPr>
                    <w:t xml:space="preserve"> 30%</w:t>
                  </w:r>
                </w:p>
              </w:tc>
              <w:tc>
                <w:tcPr>
                  <w:tcW w:w="2321" w:type="dxa"/>
                  <w:shd w:val="clear" w:color="auto" w:fill="auto"/>
                  <w:vAlign w:val="center"/>
                </w:tcPr>
                <w:p w14:paraId="7EE0D193" w14:textId="6251F482" w:rsidR="00D4205B" w:rsidRPr="0048123B" w:rsidRDefault="00D4205B" w:rsidP="00D4205B">
                  <w:pPr>
                    <w:jc w:val="center"/>
                    <w:rPr>
                      <w:rFonts w:ascii="Calibri" w:hAnsi="Calibri" w:cs="Calibri"/>
                    </w:rPr>
                  </w:pPr>
                  <w:r w:rsidRPr="0048123B">
                    <w:rPr>
                      <w:rFonts w:ascii="Calibri" w:hAnsi="Calibri" w:cs="Calibri"/>
                    </w:rPr>
                    <w:t xml:space="preserve">30 </w:t>
                  </w:r>
                  <w:r w:rsidR="00A535EC">
                    <w:rPr>
                      <w:rFonts w:ascii="Calibri" w:hAnsi="Calibri" w:cs="Calibri"/>
                    </w:rPr>
                    <w:t>puntos</w:t>
                  </w:r>
                </w:p>
              </w:tc>
            </w:tr>
            <w:tr w:rsidR="00D4205B" w:rsidRPr="0048123B" w14:paraId="5EF2F96E" w14:textId="77777777" w:rsidTr="00F17848">
              <w:tc>
                <w:tcPr>
                  <w:tcW w:w="6507" w:type="dxa"/>
                  <w:shd w:val="clear" w:color="auto" w:fill="auto"/>
                </w:tcPr>
                <w:p w14:paraId="328A868A" w14:textId="77777777" w:rsidR="00D4205B" w:rsidRPr="0048123B" w:rsidRDefault="00D4205B" w:rsidP="00D4205B">
                  <w:pPr>
                    <w:jc w:val="both"/>
                    <w:rPr>
                      <w:rFonts w:ascii="Calibri" w:hAnsi="Calibri" w:cs="Calibri"/>
                      <w:b/>
                    </w:rPr>
                  </w:pPr>
                  <w:r w:rsidRPr="0048123B">
                    <w:rPr>
                      <w:rFonts w:ascii="Calibri" w:hAnsi="Calibri" w:cs="Calibri"/>
                      <w:b/>
                    </w:rPr>
                    <w:t>TOTAL</w:t>
                  </w:r>
                </w:p>
              </w:tc>
              <w:tc>
                <w:tcPr>
                  <w:tcW w:w="2321" w:type="dxa"/>
                  <w:shd w:val="clear" w:color="auto" w:fill="auto"/>
                  <w:vAlign w:val="center"/>
                </w:tcPr>
                <w:p w14:paraId="07583B98" w14:textId="40DD0CED" w:rsidR="00D4205B" w:rsidRPr="0048123B" w:rsidRDefault="00D4205B" w:rsidP="00D4205B">
                  <w:pPr>
                    <w:jc w:val="center"/>
                    <w:rPr>
                      <w:rFonts w:ascii="Calibri" w:hAnsi="Calibri" w:cs="Calibri"/>
                      <w:b/>
                    </w:rPr>
                  </w:pPr>
                  <w:r w:rsidRPr="0048123B">
                    <w:rPr>
                      <w:rFonts w:ascii="Calibri" w:hAnsi="Calibri" w:cs="Calibri"/>
                      <w:b/>
                    </w:rPr>
                    <w:t>100</w:t>
                  </w:r>
                  <w:r w:rsidR="00A535EC">
                    <w:rPr>
                      <w:rFonts w:ascii="Calibri" w:hAnsi="Calibri" w:cs="Calibri"/>
                      <w:b/>
                    </w:rPr>
                    <w:t xml:space="preserve"> puntos</w:t>
                  </w:r>
                </w:p>
              </w:tc>
            </w:tr>
          </w:tbl>
          <w:p w14:paraId="65AA9D50" w14:textId="77777777" w:rsidR="00443E94" w:rsidRPr="0065710B" w:rsidRDefault="00443E94" w:rsidP="002E434A">
            <w:pPr>
              <w:spacing w:before="120" w:after="120" w:line="288" w:lineRule="auto"/>
              <w:ind w:left="360"/>
              <w:jc w:val="both"/>
              <w:rPr>
                <w:rFonts w:ascii="Calibri" w:hAnsi="Calibri" w:cs="Arial"/>
                <w:u w:val="single"/>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65710B">
            <w:pPr>
              <w:pStyle w:val="Prrafodelista"/>
              <w:numPr>
                <w:ilvl w:val="0"/>
                <w:numId w:val="5"/>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65710B">
            <w:pPr>
              <w:pStyle w:val="Prrafodelista"/>
              <w:numPr>
                <w:ilvl w:val="0"/>
                <w:numId w:val="5"/>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bookmarkStart w:id="0" w:name="_GoBack"/>
      <w:bookmarkEnd w:id="0"/>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D1C3" w14:textId="77777777" w:rsidR="0012543C" w:rsidRDefault="0012543C" w:rsidP="00A24134">
      <w:pPr>
        <w:spacing w:after="0" w:line="240" w:lineRule="auto"/>
      </w:pPr>
      <w:r>
        <w:separator/>
      </w:r>
    </w:p>
  </w:endnote>
  <w:endnote w:type="continuationSeparator" w:id="0">
    <w:p w14:paraId="478EBAA3" w14:textId="77777777" w:rsidR="0012543C" w:rsidRDefault="001254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C6868" w14:textId="77777777" w:rsidR="0012543C" w:rsidRDefault="0012543C" w:rsidP="00A24134">
      <w:pPr>
        <w:spacing w:after="0" w:line="240" w:lineRule="auto"/>
      </w:pPr>
      <w:r>
        <w:separator/>
      </w:r>
    </w:p>
  </w:footnote>
  <w:footnote w:type="continuationSeparator" w:id="0">
    <w:p w14:paraId="171259EA" w14:textId="77777777" w:rsidR="0012543C" w:rsidRDefault="0012543C"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5.25pt;height:5.2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E12"/>
    <w:multiLevelType w:val="multilevel"/>
    <w:tmpl w:val="065D3E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1841807"/>
    <w:multiLevelType w:val="hybridMultilevel"/>
    <w:tmpl w:val="DC4E5BC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80748E"/>
    <w:multiLevelType w:val="hybridMultilevel"/>
    <w:tmpl w:val="84A8901E"/>
    <w:lvl w:ilvl="0" w:tplc="440A000B">
      <w:start w:val="1"/>
      <w:numFmt w:val="bullet"/>
      <w:lvlText w:val=""/>
      <w:lvlJc w:val="left"/>
      <w:pPr>
        <w:ind w:left="770" w:hanging="360"/>
      </w:pPr>
      <w:rPr>
        <w:rFonts w:ascii="Wingdings" w:hAnsi="Wingdings"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5" w15:restartNumberingAfterBreak="0">
    <w:nsid w:val="14471C66"/>
    <w:multiLevelType w:val="hybridMultilevel"/>
    <w:tmpl w:val="CA70D24A"/>
    <w:lvl w:ilvl="0" w:tplc="440A0013">
      <w:start w:val="1"/>
      <w:numFmt w:val="upperRoman"/>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02965"/>
    <w:multiLevelType w:val="hybridMultilevel"/>
    <w:tmpl w:val="2C6470B6"/>
    <w:lvl w:ilvl="0" w:tplc="6A468DB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1D045B7"/>
    <w:multiLevelType w:val="hybridMultilevel"/>
    <w:tmpl w:val="9820775C"/>
    <w:lvl w:ilvl="0" w:tplc="6DDE4F1C">
      <w:start w:val="1"/>
      <w:numFmt w:val="bullet"/>
      <w:lvlText w:val=""/>
      <w:lvlJc w:val="left"/>
      <w:pPr>
        <w:ind w:left="144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33DE7F3B"/>
    <w:multiLevelType w:val="hybridMultilevel"/>
    <w:tmpl w:val="929CF96E"/>
    <w:lvl w:ilvl="0" w:tplc="440A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EC42A0"/>
    <w:multiLevelType w:val="hybridMultilevel"/>
    <w:tmpl w:val="55A87F74"/>
    <w:lvl w:ilvl="0" w:tplc="6DDE4F1C">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3528F"/>
    <w:multiLevelType w:val="hybridMultilevel"/>
    <w:tmpl w:val="488C6FD8"/>
    <w:lvl w:ilvl="0" w:tplc="3F2C0C02">
      <w:start w:val="1"/>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D85602"/>
    <w:multiLevelType w:val="multilevel"/>
    <w:tmpl w:val="39D856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ABC6E46"/>
    <w:multiLevelType w:val="hybridMultilevel"/>
    <w:tmpl w:val="922C0D58"/>
    <w:lvl w:ilvl="0" w:tplc="6DDE4F1C">
      <w:start w:val="1"/>
      <w:numFmt w:val="bullet"/>
      <w:lvlText w:val=""/>
      <w:lvlJc w:val="left"/>
      <w:pPr>
        <w:ind w:left="144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3B835D10"/>
    <w:multiLevelType w:val="hybridMultilevel"/>
    <w:tmpl w:val="83C002D8"/>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E82D4F"/>
    <w:multiLevelType w:val="hybridMultilevel"/>
    <w:tmpl w:val="CB40D002"/>
    <w:lvl w:ilvl="0" w:tplc="6CDCB178">
      <w:start w:val="1"/>
      <w:numFmt w:val="bullet"/>
      <w:lvlText w:val="-"/>
      <w:lvlJc w:val="left"/>
      <w:pPr>
        <w:ind w:left="360" w:hanging="360"/>
      </w:pPr>
      <w:rPr>
        <w:rFonts w:ascii="Calibri" w:eastAsia="Calibri" w:hAnsi="Calibri" w:cs="ArialM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23A7DB7"/>
    <w:multiLevelType w:val="hybridMultilevel"/>
    <w:tmpl w:val="CE1A5628"/>
    <w:lvl w:ilvl="0" w:tplc="55A28938">
      <w:start w:val="1"/>
      <w:numFmt w:val="bullet"/>
      <w:lvlText w:val="-"/>
      <w:lvlJc w:val="left"/>
      <w:pPr>
        <w:ind w:left="1080" w:hanging="360"/>
      </w:pPr>
      <w:rPr>
        <w:rFonts w:ascii="Calibri" w:eastAsia="Calibri" w:hAnsi="Calibri" w:cs="ArialMT"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46BE25DF"/>
    <w:multiLevelType w:val="hybridMultilevel"/>
    <w:tmpl w:val="3FA88544"/>
    <w:lvl w:ilvl="0" w:tplc="440A0017">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EC4F4C"/>
    <w:multiLevelType w:val="hybridMultilevel"/>
    <w:tmpl w:val="3600FB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59F0D7D"/>
    <w:multiLevelType w:val="multilevel"/>
    <w:tmpl w:val="559F0D7D"/>
    <w:lvl w:ilvl="0">
      <w:start w:val="1"/>
      <w:numFmt w:val="decimal"/>
      <w:lvlText w:val="%1."/>
      <w:lvlJc w:val="right"/>
      <w:pPr>
        <w:ind w:left="720" w:hanging="360"/>
      </w:pPr>
      <w:rPr>
        <w:rFonts w:ascii="Candara" w:hAnsi="Candar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5B4171B"/>
    <w:multiLevelType w:val="hybridMultilevel"/>
    <w:tmpl w:val="5C64EA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3275"/>
    <w:multiLevelType w:val="hybridMultilevel"/>
    <w:tmpl w:val="FDA2F4D4"/>
    <w:lvl w:ilvl="0" w:tplc="6DDE4F1C">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4" w15:restartNumberingAfterBreak="0">
    <w:nsid w:val="58212479"/>
    <w:multiLevelType w:val="hybridMultilevel"/>
    <w:tmpl w:val="632E35E2"/>
    <w:lvl w:ilvl="0" w:tplc="84206970">
      <w:start w:val="1"/>
      <w:numFmt w:val="lowerRoman"/>
      <w:lvlText w:val="%1)"/>
      <w:lvlJc w:val="left"/>
      <w:pPr>
        <w:ind w:left="1080" w:hanging="720"/>
      </w:pPr>
      <w:rPr>
        <w:rFonts w:hint="default"/>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9B36E12"/>
    <w:multiLevelType w:val="hybridMultilevel"/>
    <w:tmpl w:val="F97E0F98"/>
    <w:lvl w:ilvl="0" w:tplc="C0064CC8">
      <w:start w:val="1"/>
      <w:numFmt w:val="decimal"/>
      <w:lvlText w:val="%1."/>
      <w:lvlJc w:val="left"/>
      <w:pPr>
        <w:ind w:left="502" w:hanging="360"/>
      </w:pPr>
      <w:rPr>
        <w:rFonts w:cs="Times New Roman" w:hint="default"/>
        <w:b/>
        <w:bCs/>
      </w:rPr>
    </w:lvl>
    <w:lvl w:ilvl="1" w:tplc="440A0019" w:tentative="1">
      <w:start w:val="1"/>
      <w:numFmt w:val="lowerLetter"/>
      <w:lvlText w:val="%2."/>
      <w:lvlJc w:val="left"/>
      <w:pPr>
        <w:ind w:left="1222" w:hanging="360"/>
      </w:pPr>
      <w:rPr>
        <w:rFonts w:cs="Times New Roman"/>
      </w:rPr>
    </w:lvl>
    <w:lvl w:ilvl="2" w:tplc="440A001B" w:tentative="1">
      <w:start w:val="1"/>
      <w:numFmt w:val="lowerRoman"/>
      <w:lvlText w:val="%3."/>
      <w:lvlJc w:val="right"/>
      <w:pPr>
        <w:ind w:left="1942" w:hanging="180"/>
      </w:pPr>
      <w:rPr>
        <w:rFonts w:cs="Times New Roman"/>
      </w:rPr>
    </w:lvl>
    <w:lvl w:ilvl="3" w:tplc="440A000F" w:tentative="1">
      <w:start w:val="1"/>
      <w:numFmt w:val="decimal"/>
      <w:lvlText w:val="%4."/>
      <w:lvlJc w:val="left"/>
      <w:pPr>
        <w:ind w:left="2662" w:hanging="360"/>
      </w:pPr>
      <w:rPr>
        <w:rFonts w:cs="Times New Roman"/>
      </w:rPr>
    </w:lvl>
    <w:lvl w:ilvl="4" w:tplc="440A0019" w:tentative="1">
      <w:start w:val="1"/>
      <w:numFmt w:val="lowerLetter"/>
      <w:lvlText w:val="%5."/>
      <w:lvlJc w:val="left"/>
      <w:pPr>
        <w:ind w:left="3382" w:hanging="360"/>
      </w:pPr>
      <w:rPr>
        <w:rFonts w:cs="Times New Roman"/>
      </w:rPr>
    </w:lvl>
    <w:lvl w:ilvl="5" w:tplc="440A001B" w:tentative="1">
      <w:start w:val="1"/>
      <w:numFmt w:val="lowerRoman"/>
      <w:lvlText w:val="%6."/>
      <w:lvlJc w:val="right"/>
      <w:pPr>
        <w:ind w:left="4102" w:hanging="180"/>
      </w:pPr>
      <w:rPr>
        <w:rFonts w:cs="Times New Roman"/>
      </w:rPr>
    </w:lvl>
    <w:lvl w:ilvl="6" w:tplc="440A000F" w:tentative="1">
      <w:start w:val="1"/>
      <w:numFmt w:val="decimal"/>
      <w:lvlText w:val="%7."/>
      <w:lvlJc w:val="left"/>
      <w:pPr>
        <w:ind w:left="4822" w:hanging="360"/>
      </w:pPr>
      <w:rPr>
        <w:rFonts w:cs="Times New Roman"/>
      </w:rPr>
    </w:lvl>
    <w:lvl w:ilvl="7" w:tplc="440A0019" w:tentative="1">
      <w:start w:val="1"/>
      <w:numFmt w:val="lowerLetter"/>
      <w:lvlText w:val="%8."/>
      <w:lvlJc w:val="left"/>
      <w:pPr>
        <w:ind w:left="5542" w:hanging="360"/>
      </w:pPr>
      <w:rPr>
        <w:rFonts w:cs="Times New Roman"/>
      </w:rPr>
    </w:lvl>
    <w:lvl w:ilvl="8" w:tplc="440A001B" w:tentative="1">
      <w:start w:val="1"/>
      <w:numFmt w:val="lowerRoman"/>
      <w:lvlText w:val="%9."/>
      <w:lvlJc w:val="right"/>
      <w:pPr>
        <w:ind w:left="6262" w:hanging="180"/>
      </w:pPr>
      <w:rPr>
        <w:rFonts w:cs="Times New Roman"/>
      </w:rPr>
    </w:lvl>
  </w:abstractNum>
  <w:abstractNum w:abstractNumId="26" w15:restartNumberingAfterBreak="0">
    <w:nsid w:val="5A593EE0"/>
    <w:multiLevelType w:val="hybridMultilevel"/>
    <w:tmpl w:val="B14C3098"/>
    <w:lvl w:ilvl="0" w:tplc="440A0001">
      <w:start w:val="1"/>
      <w:numFmt w:val="bullet"/>
      <w:lvlText w:val=""/>
      <w:lvlJc w:val="left"/>
      <w:pPr>
        <w:ind w:left="720" w:hanging="360"/>
      </w:pPr>
      <w:rPr>
        <w:rFonts w:ascii="Symbol" w:hAnsi="Symbol" w:hint="default"/>
      </w:rPr>
    </w:lvl>
    <w:lvl w:ilvl="1" w:tplc="6DDE4F1C">
      <w:start w:val="1"/>
      <w:numFmt w:val="bullet"/>
      <w:lvlText w:val=""/>
      <w:lvlJc w:val="left"/>
      <w:pPr>
        <w:ind w:left="1440" w:hanging="360"/>
      </w:pPr>
      <w:rPr>
        <w:rFonts w:ascii="Symbol" w:hAnsi="Symbol"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7" w15:restartNumberingAfterBreak="0">
    <w:nsid w:val="5C0F7302"/>
    <w:multiLevelType w:val="multilevel"/>
    <w:tmpl w:val="5C0F7302"/>
    <w:lvl w:ilvl="0">
      <w:numFmt w:val="bullet"/>
      <w:lvlText w:val="-"/>
      <w:lvlJc w:val="left"/>
      <w:pPr>
        <w:ind w:left="1080" w:hanging="360"/>
      </w:pPr>
      <w:rPr>
        <w:rFonts w:ascii="Calibri Light" w:eastAsia="SimSun" w:hAnsi="Calibri Light"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31D"/>
    <w:multiLevelType w:val="hybridMultilevel"/>
    <w:tmpl w:val="D8CC91DA"/>
    <w:lvl w:ilvl="0" w:tplc="0F3028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D130D9"/>
    <w:multiLevelType w:val="hybridMultilevel"/>
    <w:tmpl w:val="87C04D6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1" w15:restartNumberingAfterBreak="0">
    <w:nsid w:val="66D96192"/>
    <w:multiLevelType w:val="hybridMultilevel"/>
    <w:tmpl w:val="279618A2"/>
    <w:lvl w:ilvl="0" w:tplc="440A0019">
      <w:start w:val="1"/>
      <w:numFmt w:val="lowerLetter"/>
      <w:lvlText w:val="%1."/>
      <w:lvlJc w:val="left"/>
      <w:pPr>
        <w:ind w:left="720" w:hanging="360"/>
      </w:pPr>
      <w:rPr>
        <w:rFonts w:hint="default"/>
      </w:r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050525"/>
    <w:multiLevelType w:val="hybridMultilevel"/>
    <w:tmpl w:val="25E08D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8A12C7F"/>
    <w:multiLevelType w:val="hybridMultilevel"/>
    <w:tmpl w:val="A28C64FC"/>
    <w:lvl w:ilvl="0" w:tplc="6CDCB178">
      <w:start w:val="1"/>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9330EE1"/>
    <w:multiLevelType w:val="hybridMultilevel"/>
    <w:tmpl w:val="157821E4"/>
    <w:lvl w:ilvl="0" w:tplc="0A3E4E08">
      <w:start w:val="10"/>
      <w:numFmt w:val="bullet"/>
      <w:lvlText w:val="-"/>
      <w:lvlJc w:val="left"/>
      <w:pPr>
        <w:ind w:left="720" w:hanging="360"/>
      </w:pPr>
      <w:rPr>
        <w:rFonts w:ascii="Arial" w:eastAsia="Times New Roman" w:hAnsi="Arial" w:cs="Arial" w:hint="default"/>
        <w:b w:val="0"/>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C539F"/>
    <w:multiLevelType w:val="hybridMultilevel"/>
    <w:tmpl w:val="8E0CEA74"/>
    <w:lvl w:ilvl="0" w:tplc="6DDE4F1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6ED81C28"/>
    <w:multiLevelType w:val="hybridMultilevel"/>
    <w:tmpl w:val="B60EEF9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8"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F6EA7"/>
    <w:multiLevelType w:val="hybridMultilevel"/>
    <w:tmpl w:val="7AEA0544"/>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15:restartNumberingAfterBreak="0">
    <w:nsid w:val="785A55B4"/>
    <w:multiLevelType w:val="hybridMultilevel"/>
    <w:tmpl w:val="F13AC530"/>
    <w:lvl w:ilvl="0" w:tplc="440A0001">
      <w:start w:val="1"/>
      <w:numFmt w:val="bullet"/>
      <w:lvlText w:val=""/>
      <w:lvlJc w:val="left"/>
      <w:pPr>
        <w:ind w:left="1068" w:hanging="360"/>
      </w:pPr>
      <w:rPr>
        <w:rFonts w:ascii="Symbol" w:hAnsi="Symbol" w:hint="default"/>
      </w:rPr>
    </w:lvl>
    <w:lvl w:ilvl="1" w:tplc="6CDCB178">
      <w:start w:val="1"/>
      <w:numFmt w:val="bullet"/>
      <w:lvlText w:val="-"/>
      <w:lvlJc w:val="left"/>
      <w:pPr>
        <w:ind w:left="1788" w:hanging="360"/>
      </w:pPr>
      <w:rPr>
        <w:rFonts w:ascii="Calibri" w:eastAsia="Calibri" w:hAnsi="Calibri" w:cs="ArialMT"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8675E6"/>
    <w:multiLevelType w:val="hybridMultilevel"/>
    <w:tmpl w:val="0B7026CA"/>
    <w:lvl w:ilvl="0" w:tplc="8438E774">
      <w:numFmt w:val="bullet"/>
      <w:lvlText w:val="-"/>
      <w:lvlJc w:val="left"/>
      <w:pPr>
        <w:ind w:left="720" w:hanging="360"/>
      </w:pPr>
      <w:rPr>
        <w:rFonts w:ascii="Calibri" w:eastAsia="Calibri" w:hAnsi="Calibri" w:cs="ArialM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9894EF3"/>
    <w:multiLevelType w:val="hybridMultilevel"/>
    <w:tmpl w:val="75F81E4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3" w15:restartNumberingAfterBreak="0">
    <w:nsid w:val="7D7E274D"/>
    <w:multiLevelType w:val="hybridMultilevel"/>
    <w:tmpl w:val="111264E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F8B3C19"/>
    <w:multiLevelType w:val="hybridMultilevel"/>
    <w:tmpl w:val="B56A3E9E"/>
    <w:lvl w:ilvl="0" w:tplc="9528C15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6"/>
  </w:num>
  <w:num w:numId="3">
    <w:abstractNumId w:val="35"/>
  </w:num>
  <w:num w:numId="4">
    <w:abstractNumId w:val="1"/>
  </w:num>
  <w:num w:numId="5">
    <w:abstractNumId w:val="22"/>
  </w:num>
  <w:num w:numId="6">
    <w:abstractNumId w:val="28"/>
  </w:num>
  <w:num w:numId="7">
    <w:abstractNumId w:val="38"/>
  </w:num>
  <w:num w:numId="8">
    <w:abstractNumId w:val="11"/>
  </w:num>
  <w:num w:numId="9">
    <w:abstractNumId w:val="20"/>
  </w:num>
  <w:num w:numId="10">
    <w:abstractNumId w:val="13"/>
  </w:num>
  <w:num w:numId="11">
    <w:abstractNumId w:val="2"/>
  </w:num>
  <w:num w:numId="12">
    <w:abstractNumId w:val="27"/>
  </w:num>
  <w:num w:numId="13">
    <w:abstractNumId w:val="25"/>
  </w:num>
  <w:num w:numId="14">
    <w:abstractNumId w:val="31"/>
  </w:num>
  <w:num w:numId="15">
    <w:abstractNumId w:val="15"/>
  </w:num>
  <w:num w:numId="16">
    <w:abstractNumId w:val="32"/>
  </w:num>
  <w:num w:numId="17">
    <w:abstractNumId w:val="18"/>
  </w:num>
  <w:num w:numId="18">
    <w:abstractNumId w:val="30"/>
  </w:num>
  <w:num w:numId="19">
    <w:abstractNumId w:val="21"/>
  </w:num>
  <w:num w:numId="20">
    <w:abstractNumId w:val="39"/>
  </w:num>
  <w:num w:numId="21">
    <w:abstractNumId w:val="17"/>
  </w:num>
  <w:num w:numId="22">
    <w:abstractNumId w:val="34"/>
  </w:num>
  <w:num w:numId="23">
    <w:abstractNumId w:val="33"/>
  </w:num>
  <w:num w:numId="24">
    <w:abstractNumId w:val="44"/>
  </w:num>
  <w:num w:numId="25">
    <w:abstractNumId w:val="7"/>
  </w:num>
  <w:num w:numId="26">
    <w:abstractNumId w:val="43"/>
  </w:num>
  <w:num w:numId="27">
    <w:abstractNumId w:val="5"/>
  </w:num>
  <w:num w:numId="28">
    <w:abstractNumId w:val="3"/>
  </w:num>
  <w:num w:numId="29">
    <w:abstractNumId w:val="37"/>
  </w:num>
  <w:num w:numId="30">
    <w:abstractNumId w:val="40"/>
  </w:num>
  <w:num w:numId="31">
    <w:abstractNumId w:val="41"/>
  </w:num>
  <w:num w:numId="32">
    <w:abstractNumId w:val="16"/>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26"/>
  </w:num>
  <w:num w:numId="36">
    <w:abstractNumId w:val="8"/>
  </w:num>
  <w:num w:numId="37">
    <w:abstractNumId w:val="14"/>
  </w:num>
  <w:num w:numId="38">
    <w:abstractNumId w:val="23"/>
  </w:num>
  <w:num w:numId="39">
    <w:abstractNumId w:val="36"/>
  </w:num>
  <w:num w:numId="40">
    <w:abstractNumId w:val="24"/>
  </w:num>
  <w:num w:numId="41">
    <w:abstractNumId w:val="12"/>
  </w:num>
  <w:num w:numId="42">
    <w:abstractNumId w:val="42"/>
  </w:num>
  <w:num w:numId="43">
    <w:abstractNumId w:val="29"/>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77956"/>
    <w:rsid w:val="000844A6"/>
    <w:rsid w:val="00086485"/>
    <w:rsid w:val="000964DE"/>
    <w:rsid w:val="000E2C6B"/>
    <w:rsid w:val="000E45E5"/>
    <w:rsid w:val="00103276"/>
    <w:rsid w:val="00123815"/>
    <w:rsid w:val="0012543C"/>
    <w:rsid w:val="00134A66"/>
    <w:rsid w:val="001473B3"/>
    <w:rsid w:val="001701A1"/>
    <w:rsid w:val="0017257B"/>
    <w:rsid w:val="001801D1"/>
    <w:rsid w:val="00180DF8"/>
    <w:rsid w:val="001A0DCE"/>
    <w:rsid w:val="001E30BA"/>
    <w:rsid w:val="00200DA0"/>
    <w:rsid w:val="00211C55"/>
    <w:rsid w:val="00220662"/>
    <w:rsid w:val="002223E0"/>
    <w:rsid w:val="00266371"/>
    <w:rsid w:val="002748B0"/>
    <w:rsid w:val="00274BA0"/>
    <w:rsid w:val="00290B0C"/>
    <w:rsid w:val="002A1486"/>
    <w:rsid w:val="002B0C08"/>
    <w:rsid w:val="002B197A"/>
    <w:rsid w:val="002C54D6"/>
    <w:rsid w:val="002E434A"/>
    <w:rsid w:val="002F799A"/>
    <w:rsid w:val="00314E7C"/>
    <w:rsid w:val="0032277B"/>
    <w:rsid w:val="0033411B"/>
    <w:rsid w:val="00341749"/>
    <w:rsid w:val="003754C3"/>
    <w:rsid w:val="003812A9"/>
    <w:rsid w:val="003836C0"/>
    <w:rsid w:val="003A17B8"/>
    <w:rsid w:val="003A22D4"/>
    <w:rsid w:val="003B0C3C"/>
    <w:rsid w:val="003F0258"/>
    <w:rsid w:val="003F5E9D"/>
    <w:rsid w:val="00432027"/>
    <w:rsid w:val="00440ECE"/>
    <w:rsid w:val="00443E94"/>
    <w:rsid w:val="00446F40"/>
    <w:rsid w:val="004758AA"/>
    <w:rsid w:val="00480146"/>
    <w:rsid w:val="004930AB"/>
    <w:rsid w:val="004A2B79"/>
    <w:rsid w:val="004D3F24"/>
    <w:rsid w:val="004F7CB0"/>
    <w:rsid w:val="0054549B"/>
    <w:rsid w:val="00581FD1"/>
    <w:rsid w:val="00582B47"/>
    <w:rsid w:val="005B01D5"/>
    <w:rsid w:val="005B038A"/>
    <w:rsid w:val="005F1B65"/>
    <w:rsid w:val="0063524A"/>
    <w:rsid w:val="00656EAE"/>
    <w:rsid w:val="006570C7"/>
    <w:rsid w:val="0065710B"/>
    <w:rsid w:val="00665BEC"/>
    <w:rsid w:val="00670F6C"/>
    <w:rsid w:val="00676AD5"/>
    <w:rsid w:val="006C491D"/>
    <w:rsid w:val="006E1090"/>
    <w:rsid w:val="00717B7C"/>
    <w:rsid w:val="00733FC6"/>
    <w:rsid w:val="007354EA"/>
    <w:rsid w:val="00744DCB"/>
    <w:rsid w:val="007450F4"/>
    <w:rsid w:val="007650C2"/>
    <w:rsid w:val="007C4235"/>
    <w:rsid w:val="007C506C"/>
    <w:rsid w:val="007D382E"/>
    <w:rsid w:val="007D726E"/>
    <w:rsid w:val="007E4F76"/>
    <w:rsid w:val="007F120E"/>
    <w:rsid w:val="007F7532"/>
    <w:rsid w:val="00810FC3"/>
    <w:rsid w:val="00816B78"/>
    <w:rsid w:val="00834D1A"/>
    <w:rsid w:val="0083711D"/>
    <w:rsid w:val="00837F09"/>
    <w:rsid w:val="0085185C"/>
    <w:rsid w:val="008612F4"/>
    <w:rsid w:val="00882780"/>
    <w:rsid w:val="008A0260"/>
    <w:rsid w:val="008A4E69"/>
    <w:rsid w:val="008A6F73"/>
    <w:rsid w:val="008B33D2"/>
    <w:rsid w:val="008E21EC"/>
    <w:rsid w:val="00944F40"/>
    <w:rsid w:val="0094779C"/>
    <w:rsid w:val="009723CE"/>
    <w:rsid w:val="0098274B"/>
    <w:rsid w:val="009912B9"/>
    <w:rsid w:val="00993E07"/>
    <w:rsid w:val="009E2B22"/>
    <w:rsid w:val="00A030A0"/>
    <w:rsid w:val="00A15A70"/>
    <w:rsid w:val="00A218ED"/>
    <w:rsid w:val="00A24134"/>
    <w:rsid w:val="00A535EC"/>
    <w:rsid w:val="00A6756E"/>
    <w:rsid w:val="00A83454"/>
    <w:rsid w:val="00A84AEE"/>
    <w:rsid w:val="00AA4872"/>
    <w:rsid w:val="00AA76B6"/>
    <w:rsid w:val="00AB0B1D"/>
    <w:rsid w:val="00AB6D1E"/>
    <w:rsid w:val="00AC6F4C"/>
    <w:rsid w:val="00AF3C0C"/>
    <w:rsid w:val="00AF6929"/>
    <w:rsid w:val="00B2445F"/>
    <w:rsid w:val="00B438A3"/>
    <w:rsid w:val="00B60FD8"/>
    <w:rsid w:val="00B625AF"/>
    <w:rsid w:val="00B879BD"/>
    <w:rsid w:val="00BE1567"/>
    <w:rsid w:val="00C22E07"/>
    <w:rsid w:val="00C2576D"/>
    <w:rsid w:val="00C339E7"/>
    <w:rsid w:val="00C62F49"/>
    <w:rsid w:val="00C64099"/>
    <w:rsid w:val="00CF522C"/>
    <w:rsid w:val="00D05065"/>
    <w:rsid w:val="00D059DA"/>
    <w:rsid w:val="00D17475"/>
    <w:rsid w:val="00D2659A"/>
    <w:rsid w:val="00D4205B"/>
    <w:rsid w:val="00D44B03"/>
    <w:rsid w:val="00D57982"/>
    <w:rsid w:val="00D70702"/>
    <w:rsid w:val="00D92FCE"/>
    <w:rsid w:val="00DA646F"/>
    <w:rsid w:val="00DB0EB6"/>
    <w:rsid w:val="00DB77DD"/>
    <w:rsid w:val="00DB7F57"/>
    <w:rsid w:val="00DD3BA3"/>
    <w:rsid w:val="00DE1432"/>
    <w:rsid w:val="00DE753D"/>
    <w:rsid w:val="00DF2ECA"/>
    <w:rsid w:val="00E06806"/>
    <w:rsid w:val="00E1064D"/>
    <w:rsid w:val="00E128E8"/>
    <w:rsid w:val="00E1556A"/>
    <w:rsid w:val="00E256E1"/>
    <w:rsid w:val="00E430E5"/>
    <w:rsid w:val="00E56341"/>
    <w:rsid w:val="00E568C8"/>
    <w:rsid w:val="00E7210D"/>
    <w:rsid w:val="00E7703C"/>
    <w:rsid w:val="00E8310E"/>
    <w:rsid w:val="00E86DAF"/>
    <w:rsid w:val="00E90323"/>
    <w:rsid w:val="00E94857"/>
    <w:rsid w:val="00E97436"/>
    <w:rsid w:val="00EA50D0"/>
    <w:rsid w:val="00EA697D"/>
    <w:rsid w:val="00EA6AC3"/>
    <w:rsid w:val="00EB3D3F"/>
    <w:rsid w:val="00EB3D4B"/>
    <w:rsid w:val="00EC2495"/>
    <w:rsid w:val="00ED649B"/>
    <w:rsid w:val="00EE3DF6"/>
    <w:rsid w:val="00EE7504"/>
    <w:rsid w:val="00F07DE1"/>
    <w:rsid w:val="00F23232"/>
    <w:rsid w:val="00F40EEB"/>
    <w:rsid w:val="00F662A3"/>
    <w:rsid w:val="00F71198"/>
    <w:rsid w:val="00F7753E"/>
    <w:rsid w:val="00F9130D"/>
    <w:rsid w:val="00F918E6"/>
    <w:rsid w:val="00FD6063"/>
    <w:rsid w:val="00FD7550"/>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uiPriority w:val="34"/>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sdemu.gob.sv/phocadownload/2017/RIS_documentos2017/ISDEMU_Guia_abordaje_Violencia_Pol%C3%ADtica.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6B640DA5-E4C7-410C-9B0F-0BECA3910A96}">
  <ds:schemaRefs>
    <ds:schemaRef ds:uri="http://www.w3.org/XML/1998/namespace"/>
    <ds:schemaRef ds:uri="8264c5cc-ec60-4b56-8111-ce635d3d139a"/>
    <ds:schemaRef ds:uri="http://schemas.microsoft.com/sharepoint/v3"/>
    <ds:schemaRef ds:uri="http://purl.org/dc/dcmitype/"/>
    <ds:schemaRef ds:uri="e560140e-7b2f-4392-90df-e7567e3021a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CDCE8104-2B76-4C34-88D8-1F4669B6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1839</Words>
  <Characters>10115</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19</cp:revision>
  <cp:lastPrinted>2019-12-17T14:25:00Z</cp:lastPrinted>
  <dcterms:created xsi:type="dcterms:W3CDTF">2019-07-23T15:54:00Z</dcterms:created>
  <dcterms:modified xsi:type="dcterms:W3CDTF">2020-02-17T16:31:00Z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