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B21" w:rsidRDefault="00BC5B21" w:rsidP="00A347FE">
      <w:pPr>
        <w:jc w:val="both"/>
        <w:rPr>
          <w:rFonts w:asciiTheme="minorHAnsi" w:hAnsiTheme="minorHAnsi" w:cstheme="minorHAnsi"/>
          <w:b/>
          <w:bCs/>
          <w:color w:val="000000" w:themeColor="text1"/>
          <w:sz w:val="22"/>
          <w:szCs w:val="22"/>
          <w:u w:val="single"/>
        </w:rPr>
      </w:pPr>
      <w:r>
        <w:rPr>
          <w:rFonts w:asciiTheme="minorHAnsi" w:hAnsiTheme="minorHAnsi" w:cstheme="minorHAnsi"/>
          <w:b/>
          <w:bCs/>
          <w:color w:val="000000" w:themeColor="text1"/>
          <w:sz w:val="22"/>
          <w:szCs w:val="22"/>
          <w:u w:val="single"/>
        </w:rPr>
        <w:t xml:space="preserve">                                                                                                                                                                   </w:t>
      </w:r>
    </w:p>
    <w:p w:rsidR="00BC5B21" w:rsidRDefault="00BC5B21" w:rsidP="00A347FE">
      <w:pPr>
        <w:jc w:val="both"/>
        <w:rPr>
          <w:rFonts w:asciiTheme="minorHAnsi" w:hAnsiTheme="minorHAnsi" w:cstheme="minorHAnsi"/>
          <w:b/>
          <w:bCs/>
          <w:color w:val="000000" w:themeColor="text1"/>
          <w:sz w:val="22"/>
          <w:szCs w:val="22"/>
          <w:u w:val="single"/>
        </w:rPr>
      </w:pPr>
    </w:p>
    <w:p w:rsidR="00BC5B21" w:rsidRDefault="00BC5B21" w:rsidP="00A347FE">
      <w:pPr>
        <w:jc w:val="both"/>
        <w:rPr>
          <w:rFonts w:asciiTheme="minorHAnsi" w:hAnsiTheme="minorHAnsi" w:cstheme="minorHAnsi"/>
          <w:b/>
          <w:bCs/>
          <w:color w:val="000000" w:themeColor="text1"/>
          <w:sz w:val="22"/>
          <w:szCs w:val="22"/>
          <w:u w:val="single"/>
        </w:rPr>
      </w:pPr>
    </w:p>
    <w:p w:rsidR="00A347FE" w:rsidRPr="00A347FE" w:rsidRDefault="00A347FE" w:rsidP="00A347FE">
      <w:pPr>
        <w:jc w:val="both"/>
        <w:rPr>
          <w:rFonts w:asciiTheme="minorHAnsi" w:hAnsiTheme="minorHAnsi" w:cstheme="minorHAnsi"/>
          <w:b/>
          <w:bCs/>
          <w:color w:val="000000" w:themeColor="text1"/>
          <w:sz w:val="22"/>
          <w:szCs w:val="22"/>
          <w:u w:val="single"/>
        </w:rPr>
      </w:pPr>
      <w:r w:rsidRPr="00A347FE">
        <w:rPr>
          <w:rFonts w:asciiTheme="minorHAnsi" w:hAnsiTheme="minorHAnsi" w:cstheme="minorHAnsi"/>
          <w:b/>
          <w:bCs/>
          <w:color w:val="000000" w:themeColor="text1"/>
          <w:sz w:val="22"/>
          <w:szCs w:val="22"/>
          <w:u w:val="single"/>
        </w:rPr>
        <w:t>AVIS DE PUBLICATION</w:t>
      </w:r>
      <w:bookmarkStart w:id="0" w:name="_GoBack"/>
      <w:bookmarkEnd w:id="0"/>
    </w:p>
    <w:p w:rsidR="00A347FE" w:rsidRDefault="00A347FE" w:rsidP="00A347FE">
      <w:pPr>
        <w:jc w:val="both"/>
        <w:rPr>
          <w:rFonts w:asciiTheme="minorHAnsi" w:hAnsiTheme="minorHAnsi" w:cstheme="minorHAnsi"/>
          <w:color w:val="000000" w:themeColor="text1"/>
          <w:sz w:val="22"/>
          <w:szCs w:val="22"/>
        </w:rPr>
      </w:pPr>
    </w:p>
    <w:p w:rsidR="00A347FE" w:rsidRPr="006559E4" w:rsidRDefault="00A347FE" w:rsidP="00A347FE">
      <w:pPr>
        <w:jc w:val="both"/>
        <w:rPr>
          <w:rFonts w:asciiTheme="minorHAnsi" w:hAnsiTheme="minorHAnsi" w:cstheme="minorHAnsi"/>
          <w:i/>
          <w:iCs/>
          <w:color w:val="000000" w:themeColor="text1"/>
          <w:sz w:val="22"/>
          <w:szCs w:val="22"/>
        </w:rPr>
      </w:pPr>
      <w:r w:rsidRPr="006559E4">
        <w:rPr>
          <w:rFonts w:asciiTheme="minorHAnsi" w:hAnsiTheme="minorHAnsi" w:cstheme="minorHAnsi"/>
          <w:color w:val="000000" w:themeColor="text1"/>
          <w:sz w:val="22"/>
          <w:szCs w:val="22"/>
        </w:rPr>
        <w:t xml:space="preserve">Le Programme des Nations Unies pour le développement (PNUD) vous invite par la présente à soumissionner dans le cadre du présent appel d’offres (AO) relatif à l’objet sus-référencé. </w:t>
      </w:r>
    </w:p>
    <w:p w:rsidR="00A347FE" w:rsidRPr="006559E4" w:rsidRDefault="00A347FE" w:rsidP="00A347FE">
      <w:pPr>
        <w:jc w:val="both"/>
        <w:rPr>
          <w:rFonts w:asciiTheme="minorHAnsi" w:hAnsiTheme="minorHAnsi" w:cstheme="minorHAnsi"/>
          <w:color w:val="000000" w:themeColor="text1"/>
          <w:sz w:val="22"/>
          <w:szCs w:val="22"/>
        </w:rPr>
      </w:pPr>
    </w:p>
    <w:p w:rsidR="00A347FE" w:rsidRPr="006559E4" w:rsidRDefault="00A347FE" w:rsidP="00A347FE">
      <w:pPr>
        <w:spacing w:after="240"/>
        <w:rPr>
          <w:rFonts w:asciiTheme="minorHAnsi" w:hAnsiTheme="minorHAnsi" w:cstheme="minorHAnsi"/>
          <w:color w:val="000000" w:themeColor="text1"/>
          <w:sz w:val="22"/>
          <w:szCs w:val="22"/>
        </w:rPr>
      </w:pPr>
      <w:r w:rsidRPr="006559E4">
        <w:rPr>
          <w:rFonts w:asciiTheme="minorHAnsi" w:hAnsiTheme="minorHAnsi" w:cstheme="minorHAnsi"/>
          <w:color w:val="000000" w:themeColor="text1"/>
          <w:sz w:val="22"/>
          <w:szCs w:val="22"/>
        </w:rPr>
        <w:t>Le présent AO comprend les documents suivants ainsi que les Conditions générales du contrat qui sont intégrées à la fiche technique :</w:t>
      </w:r>
    </w:p>
    <w:p w:rsidR="00A347FE" w:rsidRPr="003D1B20" w:rsidRDefault="00A347FE" w:rsidP="00A347FE">
      <w:pPr>
        <w:spacing w:before="200" w:after="200"/>
        <w:ind w:left="720"/>
        <w:contextualSpacing/>
        <w:rPr>
          <w:rFonts w:asciiTheme="minorHAnsi" w:hAnsiTheme="minorHAnsi" w:cstheme="minorHAnsi"/>
          <w:sz w:val="22"/>
          <w:szCs w:val="22"/>
        </w:rPr>
      </w:pPr>
      <w:r w:rsidRPr="003D1B20">
        <w:rPr>
          <w:rFonts w:asciiTheme="minorHAnsi" w:hAnsiTheme="minorHAnsi" w:cstheme="minorHAnsi"/>
          <w:sz w:val="22"/>
          <w:szCs w:val="22"/>
        </w:rPr>
        <w:tab/>
        <w:t>Section 1 : Lettre d’invitation</w:t>
      </w:r>
    </w:p>
    <w:p w:rsidR="00A347FE" w:rsidRPr="003D1B20" w:rsidRDefault="00A347FE" w:rsidP="00A347FE">
      <w:pPr>
        <w:spacing w:before="200" w:after="200"/>
        <w:ind w:left="720" w:firstLine="708"/>
        <w:contextualSpacing/>
        <w:rPr>
          <w:rFonts w:asciiTheme="minorHAnsi" w:hAnsiTheme="minorHAnsi" w:cstheme="minorHAnsi"/>
          <w:sz w:val="22"/>
          <w:szCs w:val="22"/>
        </w:rPr>
      </w:pPr>
      <w:r w:rsidRPr="003D1B20">
        <w:rPr>
          <w:rFonts w:asciiTheme="minorHAnsi" w:hAnsiTheme="minorHAnsi" w:cstheme="minorHAnsi"/>
          <w:sz w:val="22"/>
          <w:szCs w:val="22"/>
        </w:rPr>
        <w:t xml:space="preserve">Section 2 : Instructions destinées aux soumissionnaires </w:t>
      </w:r>
    </w:p>
    <w:p w:rsidR="00A347FE" w:rsidRPr="003D1B20" w:rsidRDefault="00A347FE" w:rsidP="00A347FE">
      <w:pPr>
        <w:tabs>
          <w:tab w:val="left" w:pos="4596"/>
        </w:tabs>
        <w:spacing w:before="200" w:after="200"/>
        <w:ind w:left="720" w:firstLine="708"/>
        <w:contextualSpacing/>
        <w:rPr>
          <w:rFonts w:asciiTheme="minorHAnsi" w:hAnsiTheme="minorHAnsi" w:cstheme="minorHAnsi"/>
          <w:sz w:val="22"/>
          <w:szCs w:val="22"/>
        </w:rPr>
      </w:pPr>
      <w:r w:rsidRPr="003D1B20">
        <w:rPr>
          <w:rFonts w:asciiTheme="minorHAnsi" w:hAnsiTheme="minorHAnsi" w:cstheme="minorHAnsi"/>
          <w:sz w:val="22"/>
          <w:szCs w:val="22"/>
        </w:rPr>
        <w:t>Section 3 : Fiche technique</w:t>
      </w:r>
      <w:r w:rsidRPr="003D1B20">
        <w:rPr>
          <w:rFonts w:asciiTheme="minorHAnsi" w:hAnsiTheme="minorHAnsi" w:cstheme="minorHAnsi"/>
          <w:sz w:val="22"/>
          <w:szCs w:val="22"/>
        </w:rPr>
        <w:tab/>
      </w:r>
    </w:p>
    <w:p w:rsidR="00A347FE" w:rsidRPr="003D1B20" w:rsidRDefault="00A347FE" w:rsidP="00A347FE">
      <w:pPr>
        <w:spacing w:before="200" w:after="200"/>
        <w:ind w:left="1428"/>
        <w:contextualSpacing/>
        <w:rPr>
          <w:rFonts w:asciiTheme="minorHAnsi" w:hAnsiTheme="minorHAnsi" w:cstheme="minorHAnsi"/>
          <w:sz w:val="22"/>
          <w:szCs w:val="22"/>
        </w:rPr>
      </w:pPr>
      <w:r w:rsidRPr="003D1B20">
        <w:rPr>
          <w:rFonts w:asciiTheme="minorHAnsi" w:hAnsiTheme="minorHAnsi" w:cstheme="minorHAnsi"/>
          <w:sz w:val="22"/>
          <w:szCs w:val="22"/>
        </w:rPr>
        <w:t>Section 4 : Critères d’évaluation</w:t>
      </w:r>
    </w:p>
    <w:p w:rsidR="00A347FE" w:rsidRPr="003D1B20" w:rsidRDefault="00A347FE" w:rsidP="00A347FE">
      <w:pPr>
        <w:spacing w:before="200" w:after="200"/>
        <w:ind w:left="1428"/>
        <w:contextualSpacing/>
        <w:rPr>
          <w:rFonts w:asciiTheme="minorHAnsi" w:hAnsiTheme="minorHAnsi" w:cstheme="minorHAnsi"/>
          <w:sz w:val="22"/>
          <w:szCs w:val="22"/>
        </w:rPr>
      </w:pPr>
      <w:r w:rsidRPr="003D1B20">
        <w:rPr>
          <w:rFonts w:asciiTheme="minorHAnsi" w:hAnsiTheme="minorHAnsi" w:cstheme="minorHAnsi"/>
          <w:sz w:val="22"/>
          <w:szCs w:val="22"/>
        </w:rPr>
        <w:t>Section 5 : Tableau des exigences et spécifications techniques</w:t>
      </w:r>
    </w:p>
    <w:p w:rsidR="00A347FE" w:rsidRPr="003D1B20" w:rsidRDefault="00A347FE" w:rsidP="00A347FE">
      <w:pPr>
        <w:ind w:left="1428"/>
        <w:contextualSpacing/>
        <w:rPr>
          <w:rFonts w:asciiTheme="minorHAnsi" w:hAnsiTheme="minorHAnsi" w:cstheme="minorHAnsi"/>
          <w:sz w:val="22"/>
          <w:szCs w:val="22"/>
        </w:rPr>
      </w:pPr>
      <w:r w:rsidRPr="003D1B20">
        <w:rPr>
          <w:rFonts w:asciiTheme="minorHAnsi" w:hAnsiTheme="minorHAnsi" w:cstheme="minorHAnsi"/>
          <w:sz w:val="22"/>
          <w:szCs w:val="22"/>
        </w:rPr>
        <w:t xml:space="preserve">Section 6 : Formulaires de soumission à renvoyer </w:t>
      </w:r>
    </w:p>
    <w:p w:rsidR="00A347FE" w:rsidRPr="003D1B20" w:rsidRDefault="00A347FE" w:rsidP="00A347FE">
      <w:pPr>
        <w:pStyle w:val="Paragraphedeliste"/>
        <w:widowControl/>
        <w:numPr>
          <w:ilvl w:val="0"/>
          <w:numId w:val="1"/>
        </w:numPr>
        <w:overflowPunct/>
        <w:adjustRightInd/>
        <w:spacing w:line="240" w:lineRule="auto"/>
        <w:ind w:left="2070" w:hanging="270"/>
        <w:contextualSpacing w:val="0"/>
        <w:jc w:val="both"/>
        <w:rPr>
          <w:rFonts w:asciiTheme="minorHAnsi" w:hAnsiTheme="minorHAnsi" w:cstheme="minorHAnsi"/>
          <w:color w:val="000000"/>
          <w:szCs w:val="22"/>
        </w:rPr>
      </w:pPr>
      <w:r w:rsidRPr="003D1B20">
        <w:rPr>
          <w:rFonts w:asciiTheme="minorHAnsi" w:hAnsiTheme="minorHAnsi" w:cstheme="minorHAnsi"/>
          <w:color w:val="000000"/>
          <w:szCs w:val="22"/>
        </w:rPr>
        <w:t>Formulaire A : Formule de soumission de l’offre</w:t>
      </w:r>
    </w:p>
    <w:p w:rsidR="00A347FE" w:rsidRPr="003D1B20" w:rsidRDefault="00A347FE" w:rsidP="00A347FE">
      <w:pPr>
        <w:pStyle w:val="Paragraphedeliste"/>
        <w:widowControl/>
        <w:numPr>
          <w:ilvl w:val="0"/>
          <w:numId w:val="1"/>
        </w:numPr>
        <w:overflowPunct/>
        <w:adjustRightInd/>
        <w:spacing w:line="240" w:lineRule="auto"/>
        <w:ind w:left="2070" w:hanging="270"/>
        <w:contextualSpacing w:val="0"/>
        <w:jc w:val="both"/>
        <w:rPr>
          <w:rFonts w:asciiTheme="minorHAnsi" w:hAnsiTheme="minorHAnsi" w:cstheme="minorHAnsi"/>
          <w:color w:val="000000"/>
          <w:szCs w:val="22"/>
        </w:rPr>
      </w:pPr>
      <w:r w:rsidRPr="003D1B20">
        <w:rPr>
          <w:rFonts w:asciiTheme="minorHAnsi" w:hAnsiTheme="minorHAnsi" w:cstheme="minorHAnsi"/>
          <w:color w:val="000000"/>
          <w:szCs w:val="22"/>
        </w:rPr>
        <w:t>Formulaire B : Formulaire d’information sur le soumissionnaire</w:t>
      </w:r>
    </w:p>
    <w:p w:rsidR="00A347FE" w:rsidRPr="003D1B20" w:rsidRDefault="00A347FE" w:rsidP="00A347FE">
      <w:pPr>
        <w:pStyle w:val="Paragraphedeliste"/>
        <w:widowControl/>
        <w:numPr>
          <w:ilvl w:val="0"/>
          <w:numId w:val="1"/>
        </w:numPr>
        <w:overflowPunct/>
        <w:adjustRightInd/>
        <w:spacing w:line="240" w:lineRule="auto"/>
        <w:ind w:left="2070" w:hanging="270"/>
        <w:contextualSpacing w:val="0"/>
        <w:rPr>
          <w:rFonts w:asciiTheme="minorHAnsi" w:hAnsiTheme="minorHAnsi" w:cstheme="minorHAnsi"/>
          <w:color w:val="000000"/>
          <w:szCs w:val="22"/>
        </w:rPr>
      </w:pPr>
      <w:r w:rsidRPr="003D1B20">
        <w:rPr>
          <w:rFonts w:asciiTheme="minorHAnsi" w:hAnsiTheme="minorHAnsi" w:cstheme="minorHAnsi"/>
          <w:color w:val="000000"/>
          <w:szCs w:val="22"/>
        </w:rPr>
        <w:t>Formulaire C : Formulaire d’information sur les coentreprises/consortiums/partenariats</w:t>
      </w:r>
    </w:p>
    <w:p w:rsidR="00A347FE" w:rsidRPr="003D1B20" w:rsidRDefault="00A347FE" w:rsidP="00A347FE">
      <w:pPr>
        <w:pStyle w:val="Paragraphedeliste"/>
        <w:widowControl/>
        <w:numPr>
          <w:ilvl w:val="0"/>
          <w:numId w:val="1"/>
        </w:numPr>
        <w:overflowPunct/>
        <w:adjustRightInd/>
        <w:spacing w:line="240" w:lineRule="auto"/>
        <w:ind w:left="2070" w:hanging="270"/>
        <w:contextualSpacing w:val="0"/>
        <w:jc w:val="both"/>
        <w:rPr>
          <w:rFonts w:asciiTheme="minorHAnsi" w:hAnsiTheme="minorHAnsi" w:cstheme="minorHAnsi"/>
          <w:color w:val="000000"/>
          <w:szCs w:val="22"/>
        </w:rPr>
      </w:pPr>
      <w:r w:rsidRPr="003D1B20">
        <w:rPr>
          <w:rFonts w:asciiTheme="minorHAnsi" w:hAnsiTheme="minorHAnsi" w:cstheme="minorHAnsi"/>
          <w:color w:val="000000"/>
          <w:szCs w:val="22"/>
        </w:rPr>
        <w:t xml:space="preserve">Formulaire D : Formulaire de qualification </w:t>
      </w:r>
    </w:p>
    <w:p w:rsidR="00A347FE" w:rsidRPr="003D1B20" w:rsidRDefault="00A347FE" w:rsidP="00A347FE">
      <w:pPr>
        <w:pStyle w:val="Paragraphedeliste"/>
        <w:widowControl/>
        <w:numPr>
          <w:ilvl w:val="0"/>
          <w:numId w:val="1"/>
        </w:numPr>
        <w:overflowPunct/>
        <w:adjustRightInd/>
        <w:spacing w:line="240" w:lineRule="auto"/>
        <w:ind w:left="2070" w:hanging="270"/>
        <w:contextualSpacing w:val="0"/>
        <w:jc w:val="both"/>
        <w:rPr>
          <w:rFonts w:asciiTheme="minorHAnsi" w:hAnsiTheme="minorHAnsi" w:cstheme="minorHAnsi"/>
          <w:color w:val="000000"/>
          <w:szCs w:val="22"/>
        </w:rPr>
      </w:pPr>
      <w:r w:rsidRPr="003D1B20">
        <w:rPr>
          <w:rFonts w:asciiTheme="minorHAnsi" w:hAnsiTheme="minorHAnsi" w:cstheme="minorHAnsi"/>
          <w:color w:val="000000"/>
          <w:szCs w:val="22"/>
        </w:rPr>
        <w:t xml:space="preserve">Formulaire E : Format de l’offre technique </w:t>
      </w:r>
    </w:p>
    <w:p w:rsidR="00A347FE" w:rsidRPr="003D1B20" w:rsidRDefault="00A347FE" w:rsidP="00A347FE">
      <w:pPr>
        <w:pStyle w:val="Paragraphedeliste"/>
        <w:widowControl/>
        <w:numPr>
          <w:ilvl w:val="0"/>
          <w:numId w:val="1"/>
        </w:numPr>
        <w:overflowPunct/>
        <w:adjustRightInd/>
        <w:spacing w:line="240" w:lineRule="auto"/>
        <w:ind w:left="2070" w:hanging="270"/>
        <w:contextualSpacing w:val="0"/>
        <w:jc w:val="both"/>
        <w:rPr>
          <w:rFonts w:asciiTheme="minorHAnsi" w:hAnsiTheme="minorHAnsi" w:cstheme="minorHAnsi"/>
          <w:color w:val="000000"/>
          <w:szCs w:val="22"/>
        </w:rPr>
      </w:pPr>
      <w:r w:rsidRPr="003D1B20">
        <w:rPr>
          <w:rFonts w:asciiTheme="minorHAnsi" w:hAnsiTheme="minorHAnsi" w:cstheme="minorHAnsi"/>
          <w:color w:val="000000"/>
          <w:szCs w:val="22"/>
        </w:rPr>
        <w:t>Formulaire F : Barème de prix</w:t>
      </w:r>
    </w:p>
    <w:p w:rsidR="00A347FE" w:rsidRPr="003D1B20" w:rsidRDefault="00A347FE" w:rsidP="00A347FE">
      <w:pPr>
        <w:pStyle w:val="Paragraphedeliste"/>
        <w:widowControl/>
        <w:numPr>
          <w:ilvl w:val="0"/>
          <w:numId w:val="1"/>
        </w:numPr>
        <w:overflowPunct/>
        <w:adjustRightInd/>
        <w:spacing w:line="240" w:lineRule="auto"/>
        <w:ind w:left="2070" w:hanging="270"/>
        <w:contextualSpacing w:val="0"/>
        <w:jc w:val="both"/>
        <w:rPr>
          <w:rFonts w:asciiTheme="minorHAnsi" w:hAnsiTheme="minorHAnsi" w:cstheme="minorHAnsi"/>
          <w:color w:val="000000"/>
          <w:szCs w:val="22"/>
        </w:rPr>
      </w:pPr>
      <w:r w:rsidRPr="003D1B20">
        <w:rPr>
          <w:rFonts w:asciiTheme="minorHAnsi" w:hAnsiTheme="minorHAnsi" w:cstheme="minorHAnsi"/>
          <w:color w:val="000000"/>
          <w:szCs w:val="22"/>
        </w:rPr>
        <w:t>Formulaire G : Formulaire de garantie de soumission [supprimer cette ligne et le formulaire si non exigé en vertu de la fiche technique]</w:t>
      </w:r>
    </w:p>
    <w:p w:rsidR="00A347FE" w:rsidRPr="003D1B20" w:rsidRDefault="00A347FE" w:rsidP="00A347FE">
      <w:pPr>
        <w:pStyle w:val="Paragraphedeliste"/>
        <w:keepNext/>
        <w:spacing w:before="200" w:after="200" w:line="240" w:lineRule="auto"/>
        <w:ind w:left="0"/>
        <w:contextualSpacing w:val="0"/>
        <w:jc w:val="both"/>
        <w:rPr>
          <w:rFonts w:asciiTheme="minorHAnsi" w:hAnsiTheme="minorHAnsi" w:cstheme="minorHAnsi"/>
          <w:color w:val="000000"/>
          <w:szCs w:val="22"/>
        </w:rPr>
      </w:pPr>
      <w:r w:rsidRPr="003D1B20">
        <w:rPr>
          <w:rFonts w:asciiTheme="minorHAnsi" w:hAnsiTheme="minorHAnsi" w:cstheme="minorHAnsi"/>
          <w:color w:val="000000"/>
          <w:szCs w:val="22"/>
        </w:rPr>
        <w:t xml:space="preserve">Si vous souhaitez soumettre une offre en réponse à ce présent AO, veuillez préparer votre offre conformément aux exigences et procédures décrites dans le présent AO, et la déposer avant la date limite de dépôt des offres présentée dans la fiche technique. </w:t>
      </w:r>
    </w:p>
    <w:p w:rsidR="00A347FE" w:rsidRPr="003D1B20" w:rsidRDefault="00A347FE" w:rsidP="00A347FE">
      <w:pPr>
        <w:pStyle w:val="Paragraphedeliste"/>
        <w:keepNext/>
        <w:widowControl/>
        <w:numPr>
          <w:ilvl w:val="0"/>
          <w:numId w:val="1"/>
        </w:numPr>
        <w:overflowPunct/>
        <w:adjustRightInd/>
        <w:spacing w:before="200" w:after="200" w:line="240" w:lineRule="auto"/>
        <w:ind w:left="0" w:hanging="270"/>
        <w:contextualSpacing w:val="0"/>
        <w:jc w:val="both"/>
        <w:rPr>
          <w:rFonts w:asciiTheme="minorHAnsi" w:hAnsiTheme="minorHAnsi" w:cstheme="minorHAnsi"/>
          <w:color w:val="000000"/>
          <w:szCs w:val="22"/>
        </w:rPr>
      </w:pPr>
      <w:r w:rsidRPr="003D1B20">
        <w:rPr>
          <w:rFonts w:asciiTheme="minorHAnsi" w:hAnsiTheme="minorHAnsi" w:cstheme="minorHAnsi"/>
          <w:color w:val="000000"/>
          <w:szCs w:val="22"/>
        </w:rPr>
        <w:t xml:space="preserve">Veuillez accuser réception de cet AO en utilisant la fonction « accepter l’invitation » sur le système d’appel d’offres en ligne </w:t>
      </w:r>
      <w:proofErr w:type="spellStart"/>
      <w:r w:rsidRPr="003D1B20">
        <w:rPr>
          <w:rFonts w:asciiTheme="minorHAnsi" w:hAnsiTheme="minorHAnsi" w:cstheme="minorHAnsi"/>
          <w:color w:val="000000"/>
          <w:szCs w:val="22"/>
        </w:rPr>
        <w:t>eTendering</w:t>
      </w:r>
      <w:proofErr w:type="spellEnd"/>
      <w:r w:rsidRPr="003D1B20">
        <w:rPr>
          <w:rFonts w:asciiTheme="minorHAnsi" w:hAnsiTheme="minorHAnsi" w:cstheme="minorHAnsi"/>
          <w:color w:val="000000"/>
          <w:szCs w:val="22"/>
        </w:rPr>
        <w:t xml:space="preserve">. Cela vous permettra de recevoir toute modification ou mise à jour concernant l’appel d’offres. </w:t>
      </w:r>
    </w:p>
    <w:p w:rsidR="00A347FE" w:rsidRPr="003D1B20" w:rsidRDefault="00A347FE" w:rsidP="00A347FE">
      <w:pPr>
        <w:pStyle w:val="Paragraphedeliste"/>
        <w:keepNext/>
        <w:widowControl/>
        <w:numPr>
          <w:ilvl w:val="0"/>
          <w:numId w:val="1"/>
        </w:numPr>
        <w:overflowPunct/>
        <w:adjustRightInd/>
        <w:spacing w:before="200" w:after="200" w:line="240" w:lineRule="auto"/>
        <w:ind w:left="0" w:hanging="270"/>
        <w:contextualSpacing w:val="0"/>
        <w:jc w:val="both"/>
        <w:rPr>
          <w:rFonts w:asciiTheme="minorHAnsi" w:hAnsiTheme="minorHAnsi" w:cstheme="minorHAnsi"/>
          <w:color w:val="000000"/>
          <w:szCs w:val="22"/>
        </w:rPr>
      </w:pPr>
      <w:r w:rsidRPr="003D1B20">
        <w:rPr>
          <w:rFonts w:asciiTheme="minorHAnsi" w:hAnsiTheme="minorHAnsi" w:cstheme="minorHAnsi"/>
          <w:color w:val="000000"/>
          <w:szCs w:val="22"/>
        </w:rPr>
        <w:t>Si vous souhaitez davantage d’éclaircissements, nous vous invitons à contacter la personne désignée dans la fiche technique ci-jointe en qualité de personne référente pour toute question liée au présent AO.</w:t>
      </w:r>
    </w:p>
    <w:p w:rsidR="00A347FE" w:rsidRPr="00A656FA" w:rsidRDefault="00A347FE" w:rsidP="00A347FE">
      <w:pPr>
        <w:tabs>
          <w:tab w:val="left" w:pos="720"/>
          <w:tab w:val="right" w:leader="dot" w:pos="8640"/>
        </w:tabs>
        <w:jc w:val="both"/>
        <w:rPr>
          <w:rFonts w:asciiTheme="minorHAnsi" w:hAnsiTheme="minorHAnsi" w:cstheme="minorHAnsi"/>
          <w:color w:val="000000"/>
          <w:sz w:val="22"/>
          <w:szCs w:val="22"/>
        </w:rPr>
      </w:pPr>
      <w:r w:rsidRPr="003D1B20">
        <w:rPr>
          <w:rFonts w:asciiTheme="minorHAnsi" w:hAnsiTheme="minorHAnsi" w:cstheme="minorHAnsi"/>
          <w:color w:val="000000"/>
          <w:sz w:val="22"/>
          <w:szCs w:val="22"/>
        </w:rPr>
        <w:t xml:space="preserve">Les offres de prix adressées au Représentant Résident du PNUD peuvent être soumises uniquement en ligne par le système </w:t>
      </w:r>
      <w:proofErr w:type="spellStart"/>
      <w:r w:rsidRPr="003D1B20">
        <w:rPr>
          <w:rFonts w:asciiTheme="minorHAnsi" w:hAnsiTheme="minorHAnsi" w:cstheme="minorHAnsi"/>
          <w:color w:val="000000"/>
          <w:sz w:val="22"/>
          <w:szCs w:val="22"/>
        </w:rPr>
        <w:t>Etendering</w:t>
      </w:r>
      <w:proofErr w:type="spellEnd"/>
      <w:r w:rsidRPr="003D1B20">
        <w:rPr>
          <w:rFonts w:asciiTheme="minorHAnsi" w:hAnsiTheme="minorHAnsi" w:cstheme="minorHAnsi"/>
          <w:color w:val="000000"/>
          <w:sz w:val="22"/>
          <w:szCs w:val="22"/>
        </w:rPr>
        <w:t xml:space="preserve"> à travers le lien suivant : </w:t>
      </w:r>
      <w:hyperlink r:id="rId7" w:history="1">
        <w:r w:rsidRPr="003D1B20">
          <w:rPr>
            <w:rFonts w:asciiTheme="minorHAnsi" w:hAnsiTheme="minorHAnsi" w:cstheme="minorHAnsi"/>
            <w:color w:val="000000"/>
            <w:sz w:val="22"/>
            <w:szCs w:val="22"/>
          </w:rPr>
          <w:t>https://etendering.partneragencies.org</w:t>
        </w:r>
      </w:hyperlink>
      <w:r w:rsidRPr="006559E4">
        <w:rPr>
          <w:rFonts w:asciiTheme="minorHAnsi" w:hAnsiTheme="minorHAnsi" w:cstheme="minorHAnsi"/>
          <w:color w:val="000000"/>
          <w:sz w:val="22"/>
          <w:szCs w:val="22"/>
        </w:rPr>
        <w:t xml:space="preserve"> avec votre propre mot de passe au plus tard le :  à la date et à l’heure</w:t>
      </w:r>
      <w:r w:rsidRPr="00A02ED8">
        <w:rPr>
          <w:rFonts w:asciiTheme="minorHAnsi" w:hAnsiTheme="minorHAnsi" w:cstheme="minorHAnsi"/>
          <w:color w:val="000000"/>
          <w:sz w:val="22"/>
          <w:szCs w:val="22"/>
        </w:rPr>
        <w:t xml:space="preserve"> indiquées dans le système.</w:t>
      </w:r>
    </w:p>
    <w:p w:rsidR="00A347FE" w:rsidRPr="005144E3" w:rsidRDefault="00A347FE" w:rsidP="00A347FE">
      <w:pPr>
        <w:jc w:val="both"/>
        <w:rPr>
          <w:rFonts w:asciiTheme="minorHAnsi" w:hAnsiTheme="minorHAnsi" w:cstheme="minorHAnsi"/>
          <w:color w:val="000000"/>
          <w:sz w:val="22"/>
          <w:szCs w:val="22"/>
        </w:rPr>
      </w:pPr>
    </w:p>
    <w:p w:rsidR="00A347FE" w:rsidRPr="003D1B20" w:rsidRDefault="00A347FE" w:rsidP="00A347FE">
      <w:pPr>
        <w:jc w:val="both"/>
        <w:outlineLvl w:val="0"/>
        <w:rPr>
          <w:rFonts w:asciiTheme="minorHAnsi" w:hAnsiTheme="minorHAnsi" w:cstheme="minorHAnsi"/>
          <w:color w:val="000000"/>
          <w:sz w:val="22"/>
          <w:szCs w:val="22"/>
        </w:rPr>
      </w:pPr>
      <w:bookmarkStart w:id="1" w:name="_Toc35614315"/>
      <w:r w:rsidRPr="00980DE9">
        <w:rPr>
          <w:rFonts w:asciiTheme="minorHAnsi" w:hAnsiTheme="minorHAnsi" w:cstheme="minorHAnsi"/>
          <w:color w:val="000000"/>
          <w:sz w:val="22"/>
          <w:szCs w:val="22"/>
        </w:rPr>
        <w:t xml:space="preserve">Si vous n’êtes pas encore enregistré dans le système, vous pourrez le faire en utilisant les informations ci-dessous (Identifiant : </w:t>
      </w:r>
      <w:proofErr w:type="spellStart"/>
      <w:proofErr w:type="gramStart"/>
      <w:r w:rsidRPr="00980DE9">
        <w:rPr>
          <w:rFonts w:asciiTheme="minorHAnsi" w:hAnsiTheme="minorHAnsi" w:cstheme="minorHAnsi"/>
          <w:color w:val="000000"/>
          <w:sz w:val="22"/>
          <w:szCs w:val="22"/>
        </w:rPr>
        <w:t>event.guest</w:t>
      </w:r>
      <w:proofErr w:type="spellEnd"/>
      <w:proofErr w:type="gramEnd"/>
      <w:r w:rsidRPr="00980DE9">
        <w:rPr>
          <w:rFonts w:asciiTheme="minorHAnsi" w:hAnsiTheme="minorHAnsi" w:cstheme="minorHAnsi"/>
          <w:color w:val="000000"/>
          <w:sz w:val="22"/>
          <w:szCs w:val="22"/>
        </w:rPr>
        <w:t xml:space="preserve"> , Mot de passe : why2change) et suivre les instructions de l’enregistrement étape p</w:t>
      </w:r>
      <w:r w:rsidRPr="003D1B20">
        <w:rPr>
          <w:rFonts w:asciiTheme="minorHAnsi" w:hAnsiTheme="minorHAnsi" w:cstheme="minorHAnsi"/>
          <w:color w:val="000000"/>
          <w:sz w:val="22"/>
          <w:szCs w:val="22"/>
        </w:rPr>
        <w:t>ar étape comme spécifié dans le guide.</w:t>
      </w:r>
      <w:bookmarkEnd w:id="1"/>
      <w:r w:rsidRPr="003D1B20">
        <w:rPr>
          <w:rFonts w:asciiTheme="minorHAnsi" w:hAnsiTheme="minorHAnsi" w:cstheme="minorHAnsi"/>
          <w:color w:val="000000"/>
          <w:sz w:val="22"/>
          <w:szCs w:val="22"/>
        </w:rPr>
        <w:t xml:space="preserve"> </w:t>
      </w:r>
    </w:p>
    <w:p w:rsidR="0039319F" w:rsidRDefault="0039319F"/>
    <w:sectPr w:rsidR="0039319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C50" w:rsidRDefault="00E15C50" w:rsidP="00BC5B21">
      <w:r>
        <w:separator/>
      </w:r>
    </w:p>
  </w:endnote>
  <w:endnote w:type="continuationSeparator" w:id="0">
    <w:p w:rsidR="00E15C50" w:rsidRDefault="00E15C50" w:rsidP="00BC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C50" w:rsidRDefault="00E15C50" w:rsidP="00BC5B21">
      <w:r>
        <w:separator/>
      </w:r>
    </w:p>
  </w:footnote>
  <w:footnote w:type="continuationSeparator" w:id="0">
    <w:p w:rsidR="00E15C50" w:rsidRDefault="00E15C50" w:rsidP="00BC5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21" w:rsidRDefault="00BC5B21">
    <w:pPr>
      <w:pStyle w:val="En-tte"/>
    </w:pPr>
    <w:r w:rsidRPr="006559E4">
      <w:rPr>
        <w:rFonts w:asciiTheme="minorHAnsi" w:hAnsiTheme="minorHAnsi" w:cstheme="minorHAnsi"/>
        <w:noProof/>
        <w:color w:val="000000" w:themeColor="text1"/>
        <w:sz w:val="22"/>
        <w:szCs w:val="22"/>
        <w:lang w:val="en-US" w:eastAsia="en-US" w:bidi="ar-SA"/>
      </w:rPr>
      <w:drawing>
        <wp:anchor distT="0" distB="0" distL="114300" distR="114300" simplePos="0" relativeHeight="251659264" behindDoc="0" locked="0" layoutInCell="1" allowOverlap="1" wp14:anchorId="4A50D8E6" wp14:editId="1A9DC101">
          <wp:simplePos x="0" y="0"/>
          <wp:positionH relativeFrom="margin">
            <wp:posOffset>5577205</wp:posOffset>
          </wp:positionH>
          <wp:positionV relativeFrom="margin">
            <wp:posOffset>-947420</wp:posOffset>
          </wp:positionV>
          <wp:extent cx="963295" cy="12446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3295" cy="1244600"/>
                  </a:xfrm>
                  <a:prstGeom prst="rect">
                    <a:avLst/>
                  </a:prstGeom>
                  <a:noFill/>
                </pic:spPr>
              </pic:pic>
            </a:graphicData>
          </a:graphic>
          <wp14:sizeRelV relativeFrom="margin">
            <wp14:pctHeight>0</wp14:pctHeight>
          </wp14:sizeRelV>
        </wp:anchor>
      </w:drawing>
    </w:r>
  </w:p>
  <w:p w:rsidR="00BC5B21" w:rsidRDefault="00BC5B21">
    <w:pPr>
      <w:pStyle w:val="En-tte"/>
    </w:pPr>
  </w:p>
  <w:p w:rsidR="00BC5B21" w:rsidRDefault="00BC5B21">
    <w:pPr>
      <w:pStyle w:val="En-tte"/>
    </w:pPr>
  </w:p>
  <w:p w:rsidR="00BC5B21" w:rsidRDefault="00BC5B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B0A51"/>
    <w:multiLevelType w:val="hybridMultilevel"/>
    <w:tmpl w:val="2624B87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7FE"/>
    <w:rsid w:val="0039319F"/>
    <w:rsid w:val="00A347FE"/>
    <w:rsid w:val="00BC5B21"/>
    <w:rsid w:val="00E15C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C798"/>
  <w15:chartTrackingRefBased/>
  <w15:docId w15:val="{8D8B7709-32C7-42EC-BBA6-B2A20446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47FE"/>
    <w:pPr>
      <w:widowControl w:val="0"/>
      <w:overflowPunct w:val="0"/>
      <w:adjustRightInd w:val="0"/>
      <w:spacing w:after="0" w:line="240" w:lineRule="auto"/>
    </w:pPr>
    <w:rPr>
      <w:rFonts w:ascii="Times New Roman" w:eastAsiaTheme="minorEastAsia" w:hAnsi="Times New Roman" w:cs="Times New Roman"/>
      <w:kern w:val="28"/>
      <w:sz w:val="24"/>
      <w:szCs w:val="24"/>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A347FE"/>
    <w:pPr>
      <w:spacing w:line="360" w:lineRule="auto"/>
      <w:ind w:left="720"/>
      <w:contextualSpacing/>
    </w:pPr>
    <w:rPr>
      <w:sz w:val="22"/>
    </w:rPr>
  </w:style>
  <w:style w:type="character" w:customStyle="1" w:styleId="ParagraphedelisteCar">
    <w:name w:val="Paragraphe de liste Car"/>
    <w:basedOn w:val="Policepardfaut"/>
    <w:link w:val="Paragraphedeliste"/>
    <w:uiPriority w:val="34"/>
    <w:locked/>
    <w:rsid w:val="00A347FE"/>
    <w:rPr>
      <w:rFonts w:ascii="Times New Roman" w:eastAsiaTheme="minorEastAsia" w:hAnsi="Times New Roman" w:cs="Times New Roman"/>
      <w:kern w:val="28"/>
      <w:szCs w:val="24"/>
      <w:lang w:eastAsia="fr-FR" w:bidi="fr-FR"/>
    </w:rPr>
  </w:style>
  <w:style w:type="paragraph" w:styleId="En-tte">
    <w:name w:val="header"/>
    <w:basedOn w:val="Normal"/>
    <w:link w:val="En-tteCar"/>
    <w:uiPriority w:val="99"/>
    <w:unhideWhenUsed/>
    <w:rsid w:val="00BC5B21"/>
    <w:pPr>
      <w:tabs>
        <w:tab w:val="center" w:pos="4536"/>
        <w:tab w:val="right" w:pos="9072"/>
      </w:tabs>
    </w:pPr>
  </w:style>
  <w:style w:type="character" w:customStyle="1" w:styleId="En-tteCar">
    <w:name w:val="En-tête Car"/>
    <w:basedOn w:val="Policepardfaut"/>
    <w:link w:val="En-tte"/>
    <w:uiPriority w:val="99"/>
    <w:rsid w:val="00BC5B21"/>
    <w:rPr>
      <w:rFonts w:ascii="Times New Roman" w:eastAsiaTheme="minorEastAsia" w:hAnsi="Times New Roman" w:cs="Times New Roman"/>
      <w:kern w:val="28"/>
      <w:sz w:val="24"/>
      <w:szCs w:val="24"/>
      <w:lang w:eastAsia="fr-FR" w:bidi="fr-FR"/>
    </w:rPr>
  </w:style>
  <w:style w:type="paragraph" w:styleId="Pieddepage">
    <w:name w:val="footer"/>
    <w:basedOn w:val="Normal"/>
    <w:link w:val="PieddepageCar"/>
    <w:uiPriority w:val="99"/>
    <w:unhideWhenUsed/>
    <w:rsid w:val="00BC5B21"/>
    <w:pPr>
      <w:tabs>
        <w:tab w:val="center" w:pos="4536"/>
        <w:tab w:val="right" w:pos="9072"/>
      </w:tabs>
    </w:pPr>
  </w:style>
  <w:style w:type="character" w:customStyle="1" w:styleId="PieddepageCar">
    <w:name w:val="Pied de page Car"/>
    <w:basedOn w:val="Policepardfaut"/>
    <w:link w:val="Pieddepage"/>
    <w:uiPriority w:val="99"/>
    <w:rsid w:val="00BC5B21"/>
    <w:rPr>
      <w:rFonts w:ascii="Times New Roman" w:eastAsiaTheme="minorEastAsia" w:hAnsi="Times New Roman" w:cs="Times New Roman"/>
      <w:kern w:val="28"/>
      <w:sz w:val="24"/>
      <w:szCs w:val="24"/>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tendering.partneragenc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2155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Romaric Ahoudji</dc:creator>
  <cp:keywords/>
  <dc:description/>
  <cp:lastModifiedBy>Romaric Ahoudji</cp:lastModifiedBy>
  <cp:revision>2</cp:revision>
  <dcterms:created xsi:type="dcterms:W3CDTF">2020-04-02T10:05:00Z</dcterms:created>
  <dcterms:modified xsi:type="dcterms:W3CDTF">2020-04-02T10:08:00Z</dcterms:modified>
</cp:coreProperties>
</file>