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5E39" w14:textId="6CA86A0B" w:rsidR="00DF34D8" w:rsidRPr="00A1351F" w:rsidRDefault="00410D56" w:rsidP="00A1351F">
      <w:pPr>
        <w:autoSpaceDE w:val="0"/>
        <w:autoSpaceDN w:val="0"/>
        <w:adjustRightInd w:val="0"/>
        <w:spacing w:before="120" w:after="60" w:line="240" w:lineRule="auto"/>
        <w:jc w:val="center"/>
        <w:rPr>
          <w:rFonts w:ascii="Arial" w:hAnsi="Arial" w:cs="Arial"/>
          <w:b/>
          <w:bCs/>
          <w:color w:val="343334"/>
        </w:rPr>
      </w:pPr>
      <w:r w:rsidRPr="00410D56">
        <w:rPr>
          <w:rFonts w:ascii="Arial" w:hAnsi="Arial" w:cs="Arial"/>
          <w:b/>
          <w:bCs/>
          <w:color w:val="343334"/>
          <w:sz w:val="28"/>
          <w:szCs w:val="28"/>
        </w:rPr>
        <w:t>TERMS OF REFERENCE</w:t>
      </w:r>
    </w:p>
    <w:p w14:paraId="457A9FE7" w14:textId="77777777" w:rsidR="00A1351F" w:rsidRPr="007315EF" w:rsidRDefault="00A1351F" w:rsidP="00410D56">
      <w:pPr>
        <w:autoSpaceDE w:val="0"/>
        <w:autoSpaceDN w:val="0"/>
        <w:adjustRightInd w:val="0"/>
        <w:spacing w:before="120" w:after="60" w:line="240" w:lineRule="auto"/>
        <w:jc w:val="center"/>
        <w:rPr>
          <w:rFonts w:ascii="Arial" w:hAnsi="Arial" w:cs="Arial"/>
          <w:b/>
          <w:bCs/>
          <w:color w:val="343334"/>
          <w:sz w:val="20"/>
          <w:szCs w:val="20"/>
        </w:rPr>
      </w:pPr>
    </w:p>
    <w:p w14:paraId="0C5529AD" w14:textId="7CA52CA2" w:rsidR="00DF34D8" w:rsidRPr="00410D56" w:rsidRDefault="00F959ED" w:rsidP="00410D56">
      <w:pPr>
        <w:autoSpaceDE w:val="0"/>
        <w:autoSpaceDN w:val="0"/>
        <w:adjustRightInd w:val="0"/>
        <w:spacing w:before="120" w:after="60" w:line="240" w:lineRule="auto"/>
        <w:jc w:val="center"/>
        <w:rPr>
          <w:rFonts w:ascii="Arial" w:hAnsi="Arial" w:cs="Arial"/>
          <w:b/>
          <w:bCs/>
          <w:color w:val="343334"/>
          <w:sz w:val="28"/>
          <w:szCs w:val="28"/>
        </w:rPr>
      </w:pPr>
      <w:bookmarkStart w:id="0" w:name="_Hlk37076225"/>
      <w:bookmarkStart w:id="1" w:name="_GoBack"/>
      <w:r>
        <w:rPr>
          <w:rFonts w:ascii="Arial" w:hAnsi="Arial" w:cs="Arial"/>
          <w:b/>
          <w:bCs/>
          <w:color w:val="343334"/>
          <w:sz w:val="28"/>
          <w:szCs w:val="28"/>
        </w:rPr>
        <w:t>Legal Advisory</w:t>
      </w:r>
      <w:r w:rsidR="008D61A4">
        <w:rPr>
          <w:rFonts w:ascii="Arial" w:hAnsi="Arial" w:cs="Arial"/>
          <w:b/>
          <w:bCs/>
          <w:color w:val="343334"/>
          <w:sz w:val="28"/>
          <w:szCs w:val="28"/>
        </w:rPr>
        <w:t xml:space="preserve"> Services </w:t>
      </w:r>
      <w:r w:rsidR="00BB5681">
        <w:rPr>
          <w:rFonts w:ascii="Arial" w:hAnsi="Arial" w:cs="Arial"/>
          <w:b/>
          <w:bCs/>
          <w:color w:val="343334"/>
          <w:sz w:val="28"/>
          <w:szCs w:val="28"/>
        </w:rPr>
        <w:t>for the</w:t>
      </w:r>
      <w:r w:rsidR="00332FEB">
        <w:rPr>
          <w:rFonts w:ascii="Arial" w:hAnsi="Arial" w:cs="Arial"/>
          <w:b/>
          <w:bCs/>
          <w:color w:val="343334"/>
          <w:sz w:val="28"/>
          <w:szCs w:val="28"/>
        </w:rPr>
        <w:t xml:space="preserve"> </w:t>
      </w:r>
      <w:r w:rsidR="005A01D8">
        <w:rPr>
          <w:rFonts w:ascii="Arial" w:hAnsi="Arial" w:cs="Arial"/>
          <w:b/>
          <w:bCs/>
          <w:color w:val="343334"/>
          <w:sz w:val="28"/>
          <w:szCs w:val="28"/>
        </w:rPr>
        <w:t>Transfer</w:t>
      </w:r>
      <w:r w:rsidR="00332FEB">
        <w:rPr>
          <w:rFonts w:ascii="Arial" w:hAnsi="Arial" w:cs="Arial"/>
          <w:b/>
          <w:bCs/>
          <w:color w:val="343334"/>
          <w:sz w:val="28"/>
          <w:szCs w:val="28"/>
        </w:rPr>
        <w:t xml:space="preserve"> of Microfinance </w:t>
      </w:r>
      <w:r w:rsidR="008D61A4">
        <w:rPr>
          <w:rFonts w:ascii="Arial" w:hAnsi="Arial" w:cs="Arial"/>
          <w:b/>
          <w:bCs/>
          <w:color w:val="343334"/>
          <w:sz w:val="28"/>
          <w:szCs w:val="28"/>
        </w:rPr>
        <w:t>NGO</w:t>
      </w:r>
      <w:r w:rsidR="00332FEB">
        <w:rPr>
          <w:rFonts w:ascii="Arial" w:hAnsi="Arial" w:cs="Arial"/>
          <w:b/>
          <w:bCs/>
          <w:color w:val="343334"/>
          <w:sz w:val="28"/>
          <w:szCs w:val="28"/>
        </w:rPr>
        <w:t xml:space="preserve"> </w:t>
      </w:r>
      <w:r w:rsidR="00BB5681">
        <w:rPr>
          <w:rFonts w:ascii="Arial" w:hAnsi="Arial" w:cs="Arial"/>
          <w:b/>
          <w:bCs/>
          <w:color w:val="343334"/>
          <w:sz w:val="28"/>
          <w:szCs w:val="28"/>
        </w:rPr>
        <w:t xml:space="preserve">Assets and Liabilities </w:t>
      </w:r>
      <w:r w:rsidR="008D61A4">
        <w:rPr>
          <w:rFonts w:ascii="Arial" w:hAnsi="Arial" w:cs="Arial"/>
          <w:b/>
          <w:bCs/>
          <w:color w:val="343334"/>
          <w:sz w:val="28"/>
          <w:szCs w:val="28"/>
        </w:rPr>
        <w:t xml:space="preserve">to </w:t>
      </w:r>
      <w:r w:rsidR="00332FEB">
        <w:rPr>
          <w:rFonts w:ascii="Arial" w:hAnsi="Arial" w:cs="Arial"/>
          <w:b/>
          <w:bCs/>
          <w:color w:val="343334"/>
          <w:sz w:val="28"/>
          <w:szCs w:val="28"/>
        </w:rPr>
        <w:t xml:space="preserve">a Myanmar </w:t>
      </w:r>
      <w:r w:rsidR="00BB5681">
        <w:rPr>
          <w:rFonts w:ascii="Arial" w:hAnsi="Arial" w:cs="Arial"/>
          <w:b/>
          <w:bCs/>
          <w:color w:val="343334"/>
          <w:sz w:val="28"/>
          <w:szCs w:val="28"/>
        </w:rPr>
        <w:t xml:space="preserve">Microfinance </w:t>
      </w:r>
      <w:r w:rsidR="00332FEB">
        <w:rPr>
          <w:rFonts w:ascii="Arial" w:hAnsi="Arial" w:cs="Arial"/>
          <w:b/>
          <w:bCs/>
          <w:color w:val="343334"/>
          <w:sz w:val="28"/>
          <w:szCs w:val="28"/>
        </w:rPr>
        <w:t xml:space="preserve">Registered </w:t>
      </w:r>
      <w:r w:rsidR="008D61A4">
        <w:rPr>
          <w:rFonts w:ascii="Arial" w:hAnsi="Arial" w:cs="Arial"/>
          <w:b/>
          <w:bCs/>
          <w:color w:val="343334"/>
          <w:sz w:val="28"/>
          <w:szCs w:val="28"/>
        </w:rPr>
        <w:t xml:space="preserve">Company </w:t>
      </w:r>
    </w:p>
    <w:p w14:paraId="56B6C07D" w14:textId="1CDD81CA" w:rsidR="008131D3" w:rsidRDefault="00DF3775" w:rsidP="004B3274">
      <w:pPr>
        <w:pStyle w:val="Heading1"/>
      </w:pPr>
      <w:r>
        <w:t>introduction</w:t>
      </w:r>
    </w:p>
    <w:p w14:paraId="2298293E" w14:textId="77777777" w:rsidR="002509E9" w:rsidRPr="00FA5B10" w:rsidRDefault="00D17B80" w:rsidP="003C73C6">
      <w:pPr>
        <w:jc w:val="both"/>
        <w:rPr>
          <w:rFonts w:ascii="Arial" w:hAnsi="Arial" w:cs="Arial"/>
        </w:rPr>
      </w:pPr>
      <w:r w:rsidRPr="00FA5B10">
        <w:rPr>
          <w:rFonts w:ascii="Arial" w:hAnsi="Arial" w:cs="Arial"/>
        </w:rPr>
        <w:t xml:space="preserve">UNCDF makes public and private finance work for the poor in the world’s 47 least developed countries. With its capital mandate and instruments, UNCDF offers “last mile” finance models that unlock public and private resources, especially at the domestic level, to reduce poverty and support local economic development. UNCDF’s financing models work through two channels: financial inclusion that expands the opportunities for individuals, households, and small businesses to participate in the local economy, providing them with the tools they need to climb out of poverty and manage their financial lives; and by showing how localized investments through fiscal decentralization, innovative municipal finance, and structured project finance can drive public and private funding that underpins local economic expansion and sustainable development. </w:t>
      </w:r>
    </w:p>
    <w:p w14:paraId="083553F8" w14:textId="4F30EA45" w:rsidR="00D17B80" w:rsidRPr="00FA5B10" w:rsidRDefault="00D17B80" w:rsidP="003C73C6">
      <w:pPr>
        <w:jc w:val="both"/>
        <w:rPr>
          <w:rFonts w:ascii="Arial" w:hAnsi="Arial" w:cs="Arial"/>
        </w:rPr>
      </w:pPr>
      <w:r w:rsidRPr="00FA5B10">
        <w:rPr>
          <w:rFonts w:ascii="Arial" w:hAnsi="Arial" w:cs="Arial"/>
        </w:rPr>
        <w:t xml:space="preserve">By strengthening how finance works for poor people at the household, small enterprise, and local infrastructure levels, UNCDF contributes to SDG 1 on eradicating poverty and SDG 17 on the means of implementation. By identifying those market segments where innovative financing models can have transformational impact in helping to reach the last mile and address exclusion and inequalities of access, UNCDF contributes to </w:t>
      </w:r>
      <w:proofErr w:type="gramStart"/>
      <w:r w:rsidRPr="00FA5B10">
        <w:rPr>
          <w:rFonts w:ascii="Arial" w:hAnsi="Arial" w:cs="Arial"/>
        </w:rPr>
        <w:t>a number of</w:t>
      </w:r>
      <w:proofErr w:type="gramEnd"/>
      <w:r w:rsidRPr="00FA5B10">
        <w:rPr>
          <w:rFonts w:ascii="Arial" w:hAnsi="Arial" w:cs="Arial"/>
        </w:rPr>
        <w:t xml:space="preserve"> different SDGs.</w:t>
      </w:r>
    </w:p>
    <w:p w14:paraId="13BD861B" w14:textId="52F46E0B" w:rsidR="008131D3" w:rsidRDefault="00BB5681" w:rsidP="00981A24">
      <w:pPr>
        <w:pStyle w:val="Heading1"/>
      </w:pPr>
      <w:r>
        <w:t>b</w:t>
      </w:r>
      <w:r w:rsidR="00981A24">
        <w:t>ackground</w:t>
      </w:r>
    </w:p>
    <w:p w14:paraId="5362CE42" w14:textId="290148C4" w:rsidR="008131D3" w:rsidRDefault="008131D3" w:rsidP="00332FEB">
      <w:pPr>
        <w:autoSpaceDE w:val="0"/>
        <w:autoSpaceDN w:val="0"/>
        <w:adjustRightInd w:val="0"/>
        <w:spacing w:before="120" w:after="60"/>
        <w:jc w:val="both"/>
        <w:rPr>
          <w:rFonts w:ascii="Arial" w:hAnsi="Arial" w:cs="Arial"/>
        </w:rPr>
      </w:pPr>
      <w:r>
        <w:rPr>
          <w:rFonts w:ascii="Arial" w:hAnsi="Arial" w:cs="Arial"/>
        </w:rPr>
        <w:t xml:space="preserve">UNCDF Myanmar provides oversight and technical support for a financial sector development initiative with a central </w:t>
      </w:r>
      <w:r w:rsidR="004757F3">
        <w:rPr>
          <w:rFonts w:ascii="Arial" w:hAnsi="Arial" w:cs="Arial"/>
        </w:rPr>
        <w:t xml:space="preserve">focus of completing the transformation of ten MFIs NGOs to a Myanmar registered </w:t>
      </w:r>
      <w:r w:rsidR="00091D90">
        <w:rPr>
          <w:rFonts w:ascii="Arial" w:hAnsi="Arial" w:cs="Arial"/>
        </w:rPr>
        <w:t>limited liability c</w:t>
      </w:r>
      <w:r w:rsidR="004757F3">
        <w:rPr>
          <w:rFonts w:ascii="Arial" w:hAnsi="Arial" w:cs="Arial"/>
        </w:rPr>
        <w:t>ompany</w:t>
      </w:r>
      <w:r w:rsidR="00091D90">
        <w:rPr>
          <w:rFonts w:ascii="Arial" w:hAnsi="Arial" w:cs="Arial"/>
        </w:rPr>
        <w:t xml:space="preserve"> (LLC)</w:t>
      </w:r>
      <w:r w:rsidR="004757F3">
        <w:rPr>
          <w:rFonts w:ascii="Arial" w:hAnsi="Arial" w:cs="Arial"/>
        </w:rPr>
        <w:t xml:space="preserve">.  This activity </w:t>
      </w:r>
      <w:proofErr w:type="gramStart"/>
      <w:r w:rsidR="004757F3">
        <w:rPr>
          <w:rFonts w:ascii="Arial" w:hAnsi="Arial" w:cs="Arial"/>
        </w:rPr>
        <w:t>is in compliance with</w:t>
      </w:r>
      <w:proofErr w:type="gramEnd"/>
      <w:r w:rsidR="004757F3">
        <w:rPr>
          <w:rFonts w:ascii="Arial" w:hAnsi="Arial" w:cs="Arial"/>
        </w:rPr>
        <w:t xml:space="preserve"> prevailing Financial Regulatory Department policy </w:t>
      </w:r>
      <w:r w:rsidR="00FA5B10">
        <w:rPr>
          <w:rFonts w:ascii="Arial" w:hAnsi="Arial" w:cs="Arial"/>
        </w:rPr>
        <w:t xml:space="preserve">requiring NGO MFIs to institutionally and operationally transform to a limited liability company. </w:t>
      </w:r>
      <w:r w:rsidR="004757F3">
        <w:rPr>
          <w:rFonts w:ascii="Arial" w:hAnsi="Arial" w:cs="Arial"/>
        </w:rPr>
        <w:t xml:space="preserve">  </w:t>
      </w:r>
    </w:p>
    <w:p w14:paraId="1A19CF3C" w14:textId="065634A7" w:rsidR="004757F3" w:rsidRDefault="004757F3" w:rsidP="00332FEB">
      <w:pPr>
        <w:autoSpaceDE w:val="0"/>
        <w:autoSpaceDN w:val="0"/>
        <w:adjustRightInd w:val="0"/>
        <w:spacing w:before="120" w:after="60"/>
        <w:jc w:val="both"/>
        <w:rPr>
          <w:rFonts w:ascii="Arial" w:hAnsi="Arial" w:cs="Arial"/>
        </w:rPr>
      </w:pPr>
      <w:r>
        <w:rPr>
          <w:rFonts w:ascii="Arial" w:hAnsi="Arial" w:cs="Arial"/>
        </w:rPr>
        <w:t xml:space="preserve">Each </w:t>
      </w:r>
      <w:r w:rsidR="00FA5B10">
        <w:rPr>
          <w:rFonts w:ascii="Arial" w:hAnsi="Arial" w:cs="Arial"/>
        </w:rPr>
        <w:t>MFI</w:t>
      </w:r>
      <w:r w:rsidR="00DE60A4">
        <w:rPr>
          <w:rFonts w:ascii="Arial" w:hAnsi="Arial" w:cs="Arial"/>
        </w:rPr>
        <w:t xml:space="preserve"> is of similar size (less than US$1M of capital) and operations (one or two township service areas).   All have </w:t>
      </w:r>
      <w:r>
        <w:rPr>
          <w:rFonts w:ascii="Arial" w:hAnsi="Arial" w:cs="Arial"/>
        </w:rPr>
        <w:t>established a counterpart company with the NGO as the full or dominant shareholder</w:t>
      </w:r>
      <w:r w:rsidR="00FA5B10">
        <w:rPr>
          <w:rFonts w:ascii="Arial" w:hAnsi="Arial" w:cs="Arial"/>
        </w:rPr>
        <w:t xml:space="preserve"> and registered on the DICA’s </w:t>
      </w:r>
      <w:proofErr w:type="spellStart"/>
      <w:r w:rsidR="00FA5B10">
        <w:rPr>
          <w:rFonts w:ascii="Arial" w:hAnsi="Arial" w:cs="Arial"/>
        </w:rPr>
        <w:t>MyCo</w:t>
      </w:r>
      <w:proofErr w:type="spellEnd"/>
      <w:r w:rsidR="00FA5B10">
        <w:rPr>
          <w:rFonts w:ascii="Arial" w:hAnsi="Arial" w:cs="Arial"/>
        </w:rPr>
        <w:t xml:space="preserve"> portal.  </w:t>
      </w:r>
      <w:r>
        <w:rPr>
          <w:rFonts w:ascii="Arial" w:hAnsi="Arial" w:cs="Arial"/>
        </w:rPr>
        <w:t xml:space="preserve"> At present </w:t>
      </w:r>
      <w:r w:rsidR="00DE60A4">
        <w:rPr>
          <w:rFonts w:ascii="Arial" w:hAnsi="Arial" w:cs="Arial"/>
        </w:rPr>
        <w:t xml:space="preserve">nine out of the ten </w:t>
      </w:r>
      <w:r>
        <w:rPr>
          <w:rFonts w:ascii="Arial" w:hAnsi="Arial" w:cs="Arial"/>
        </w:rPr>
        <w:t xml:space="preserve">MFI companies have applied for and received a microfinance license and are in the process of obtaining requisite donor asset </w:t>
      </w:r>
      <w:r w:rsidR="007F6321">
        <w:rPr>
          <w:rFonts w:ascii="Arial" w:hAnsi="Arial" w:cs="Arial"/>
        </w:rPr>
        <w:t xml:space="preserve">ownership </w:t>
      </w:r>
      <w:r>
        <w:rPr>
          <w:rFonts w:ascii="Arial" w:hAnsi="Arial" w:cs="Arial"/>
        </w:rPr>
        <w:t xml:space="preserve">transfer authorization related to loan portfolio grants over recent years.  </w:t>
      </w:r>
      <w:r w:rsidR="00532A04">
        <w:rPr>
          <w:rFonts w:ascii="Arial" w:hAnsi="Arial" w:cs="Arial"/>
        </w:rPr>
        <w:t xml:space="preserve"> </w:t>
      </w:r>
      <w:r w:rsidR="00DF3775">
        <w:rPr>
          <w:rFonts w:ascii="Arial" w:hAnsi="Arial" w:cs="Arial"/>
        </w:rPr>
        <w:t xml:space="preserve">With one exception, the MFI companies are dormant with little to none transactional activity since registration. </w:t>
      </w:r>
    </w:p>
    <w:p w14:paraId="5134F08B" w14:textId="34E5B70D" w:rsidR="00FA5B10" w:rsidRDefault="00FA5B10" w:rsidP="00332FEB">
      <w:pPr>
        <w:autoSpaceDE w:val="0"/>
        <w:autoSpaceDN w:val="0"/>
        <w:adjustRightInd w:val="0"/>
        <w:spacing w:before="120" w:after="60"/>
        <w:jc w:val="both"/>
        <w:rPr>
          <w:rFonts w:ascii="Arial" w:hAnsi="Arial" w:cs="Arial"/>
        </w:rPr>
      </w:pPr>
      <w:r>
        <w:rPr>
          <w:rFonts w:ascii="Arial" w:hAnsi="Arial" w:cs="Arial"/>
        </w:rPr>
        <w:lastRenderedPageBreak/>
        <w:t xml:space="preserve">Auditing of the NGO MFI financials is expected to commence in April 2020 leading to a subsequent business transfer contingent on donor disposition of capital grants provided over recent years.  Transfers are expected to occur by Q3 or Q4 2020 followed by audit confirmations of the NGO closing positions and the Company opening positions.   </w:t>
      </w:r>
      <w:r w:rsidR="006A4455">
        <w:rPr>
          <w:rFonts w:ascii="Arial" w:hAnsi="Arial" w:cs="Arial"/>
        </w:rPr>
        <w:t>Once confirmed, t</w:t>
      </w:r>
      <w:r>
        <w:rPr>
          <w:rFonts w:ascii="Arial" w:hAnsi="Arial" w:cs="Arial"/>
        </w:rPr>
        <w:t>he</w:t>
      </w:r>
      <w:r w:rsidR="006A4455">
        <w:rPr>
          <w:rFonts w:ascii="Arial" w:hAnsi="Arial" w:cs="Arial"/>
        </w:rPr>
        <w:t xml:space="preserve"> NAV position of the transferred assets and liabilities from the NGO to the Company will be legally converted to share capital with registration in accordance with Myanmar Company Law (MCL).  </w:t>
      </w:r>
    </w:p>
    <w:p w14:paraId="3DAB662C" w14:textId="0ABAD8B6" w:rsidR="00981A24" w:rsidRDefault="006A4455" w:rsidP="00981A24">
      <w:pPr>
        <w:pStyle w:val="Heading1"/>
      </w:pPr>
      <w:r>
        <w:t>S</w:t>
      </w:r>
      <w:r w:rsidR="00981A24">
        <w:t>cope of Work</w:t>
      </w:r>
    </w:p>
    <w:p w14:paraId="3DA9BD35" w14:textId="0A4299CC" w:rsidR="005452AC" w:rsidRDefault="007B6D43" w:rsidP="007B6D43">
      <w:pPr>
        <w:autoSpaceDE w:val="0"/>
        <w:autoSpaceDN w:val="0"/>
        <w:adjustRightInd w:val="0"/>
        <w:spacing w:after="0"/>
        <w:jc w:val="both"/>
        <w:rPr>
          <w:rFonts w:ascii="Arial" w:hAnsi="Arial" w:cs="Arial"/>
        </w:rPr>
      </w:pPr>
      <w:r>
        <w:rPr>
          <w:rFonts w:ascii="Arial" w:hAnsi="Arial" w:cs="Arial"/>
        </w:rPr>
        <w:t xml:space="preserve">The selected </w:t>
      </w:r>
      <w:r w:rsidR="006A4455">
        <w:rPr>
          <w:rFonts w:ascii="Arial" w:hAnsi="Arial" w:cs="Arial"/>
        </w:rPr>
        <w:t>legal advisory</w:t>
      </w:r>
      <w:r>
        <w:rPr>
          <w:rFonts w:ascii="Arial" w:hAnsi="Arial" w:cs="Arial"/>
        </w:rPr>
        <w:t xml:space="preserve"> firms will work closely with </w:t>
      </w:r>
      <w:r w:rsidR="006A4455">
        <w:rPr>
          <w:rFonts w:ascii="Arial" w:hAnsi="Arial" w:cs="Arial"/>
        </w:rPr>
        <w:t xml:space="preserve">UNCDF in supporting the business transfer to ensure compliance with prevailing MCL and tax law. </w:t>
      </w:r>
      <w:r w:rsidR="005452AC">
        <w:rPr>
          <w:rFonts w:ascii="Arial" w:hAnsi="Arial" w:cs="Arial"/>
        </w:rPr>
        <w:t xml:space="preserve">UNCDF will be the central point of contract between the legal advisor and the MFIs.  </w:t>
      </w:r>
    </w:p>
    <w:p w14:paraId="421C1618" w14:textId="77777777" w:rsidR="005452AC" w:rsidRDefault="005452AC" w:rsidP="007B6D43">
      <w:pPr>
        <w:autoSpaceDE w:val="0"/>
        <w:autoSpaceDN w:val="0"/>
        <w:adjustRightInd w:val="0"/>
        <w:spacing w:after="0"/>
        <w:jc w:val="both"/>
        <w:rPr>
          <w:rFonts w:ascii="Arial" w:hAnsi="Arial" w:cs="Arial"/>
        </w:rPr>
      </w:pPr>
    </w:p>
    <w:p w14:paraId="05261B00" w14:textId="42F18285" w:rsidR="006A4455" w:rsidRDefault="005452AC" w:rsidP="007B6D43">
      <w:pPr>
        <w:autoSpaceDE w:val="0"/>
        <w:autoSpaceDN w:val="0"/>
        <w:adjustRightInd w:val="0"/>
        <w:spacing w:after="0"/>
        <w:jc w:val="both"/>
        <w:rPr>
          <w:rFonts w:ascii="Arial" w:hAnsi="Arial" w:cs="Arial"/>
        </w:rPr>
      </w:pPr>
      <w:r>
        <w:rPr>
          <w:rFonts w:ascii="Arial" w:hAnsi="Arial" w:cs="Arial"/>
        </w:rPr>
        <w:t>T</w:t>
      </w:r>
      <w:r w:rsidR="006A4455">
        <w:rPr>
          <w:rFonts w:ascii="Arial" w:hAnsi="Arial" w:cs="Arial"/>
        </w:rPr>
        <w:t xml:space="preserve">he following </w:t>
      </w:r>
      <w:r>
        <w:rPr>
          <w:rFonts w:ascii="Arial" w:hAnsi="Arial" w:cs="Arial"/>
        </w:rPr>
        <w:t xml:space="preserve">legal </w:t>
      </w:r>
      <w:r w:rsidR="006A4455">
        <w:rPr>
          <w:rFonts w:ascii="Arial" w:hAnsi="Arial" w:cs="Arial"/>
        </w:rPr>
        <w:t>support is requested:</w:t>
      </w:r>
    </w:p>
    <w:p w14:paraId="1143C8D2" w14:textId="707BE093" w:rsidR="006A4455" w:rsidRDefault="006A4455" w:rsidP="007B6D43">
      <w:pPr>
        <w:autoSpaceDE w:val="0"/>
        <w:autoSpaceDN w:val="0"/>
        <w:adjustRightInd w:val="0"/>
        <w:spacing w:after="0"/>
        <w:jc w:val="both"/>
        <w:rPr>
          <w:rFonts w:ascii="Arial" w:hAnsi="Arial" w:cs="Arial"/>
        </w:rPr>
      </w:pPr>
    </w:p>
    <w:p w14:paraId="779EB5B1" w14:textId="7C4BFD55" w:rsidR="00045D12" w:rsidRDefault="006A4455" w:rsidP="006A4455">
      <w:pPr>
        <w:pStyle w:val="ListParagraph"/>
        <w:numPr>
          <w:ilvl w:val="0"/>
          <w:numId w:val="26"/>
        </w:numPr>
        <w:autoSpaceDE w:val="0"/>
        <w:autoSpaceDN w:val="0"/>
        <w:adjustRightInd w:val="0"/>
        <w:spacing w:after="0"/>
        <w:jc w:val="both"/>
        <w:rPr>
          <w:rFonts w:ascii="Arial" w:hAnsi="Arial" w:cs="Arial"/>
        </w:rPr>
      </w:pPr>
      <w:r>
        <w:rPr>
          <w:rFonts w:ascii="Arial" w:hAnsi="Arial" w:cs="Arial"/>
        </w:rPr>
        <w:t xml:space="preserve">Review </w:t>
      </w:r>
      <w:r w:rsidR="00DE60A4">
        <w:rPr>
          <w:rFonts w:ascii="Arial" w:hAnsi="Arial" w:cs="Arial"/>
        </w:rPr>
        <w:t xml:space="preserve">the </w:t>
      </w:r>
      <w:r w:rsidR="001759B5">
        <w:rPr>
          <w:rFonts w:ascii="Arial" w:hAnsi="Arial" w:cs="Arial"/>
        </w:rPr>
        <w:t xml:space="preserve">UNCDF-supplied </w:t>
      </w:r>
      <w:r>
        <w:rPr>
          <w:rFonts w:ascii="Arial" w:hAnsi="Arial" w:cs="Arial"/>
        </w:rPr>
        <w:t xml:space="preserve">business transfer </w:t>
      </w:r>
      <w:r w:rsidR="00DE60A4">
        <w:rPr>
          <w:rFonts w:ascii="Arial" w:hAnsi="Arial" w:cs="Arial"/>
        </w:rPr>
        <w:t>templates</w:t>
      </w:r>
      <w:r>
        <w:rPr>
          <w:rFonts w:ascii="Arial" w:hAnsi="Arial" w:cs="Arial"/>
        </w:rPr>
        <w:t xml:space="preserve"> to ensure complete and transparent </w:t>
      </w:r>
      <w:r w:rsidR="00045D12">
        <w:rPr>
          <w:rFonts w:ascii="Arial" w:hAnsi="Arial" w:cs="Arial"/>
        </w:rPr>
        <w:t xml:space="preserve">NGO </w:t>
      </w:r>
      <w:r>
        <w:rPr>
          <w:rFonts w:ascii="Arial" w:hAnsi="Arial" w:cs="Arial"/>
        </w:rPr>
        <w:t xml:space="preserve">handover and </w:t>
      </w:r>
      <w:r w:rsidR="00045D12">
        <w:rPr>
          <w:rFonts w:ascii="Arial" w:hAnsi="Arial" w:cs="Arial"/>
        </w:rPr>
        <w:t xml:space="preserve">Company </w:t>
      </w:r>
      <w:r>
        <w:rPr>
          <w:rFonts w:ascii="Arial" w:hAnsi="Arial" w:cs="Arial"/>
        </w:rPr>
        <w:t>receipt</w:t>
      </w:r>
      <w:r w:rsidR="00045D12">
        <w:rPr>
          <w:rFonts w:ascii="Arial" w:hAnsi="Arial" w:cs="Arial"/>
        </w:rPr>
        <w:t xml:space="preserve"> of assets, liabilities, staff, contracts, etc.  between both parties.</w:t>
      </w:r>
    </w:p>
    <w:p w14:paraId="0357F671" w14:textId="60960DDD" w:rsidR="00045D12" w:rsidRDefault="00045D12" w:rsidP="00045D12">
      <w:pPr>
        <w:pStyle w:val="ListParagraph"/>
        <w:autoSpaceDE w:val="0"/>
        <w:autoSpaceDN w:val="0"/>
        <w:adjustRightInd w:val="0"/>
        <w:spacing w:after="0"/>
        <w:jc w:val="both"/>
        <w:rPr>
          <w:rFonts w:ascii="Arial" w:hAnsi="Arial" w:cs="Arial"/>
        </w:rPr>
      </w:pPr>
      <w:r>
        <w:rPr>
          <w:rFonts w:ascii="Arial" w:hAnsi="Arial" w:cs="Arial"/>
        </w:rPr>
        <w:t xml:space="preserve">  </w:t>
      </w:r>
    </w:p>
    <w:p w14:paraId="5B6361C2" w14:textId="4F99BD42" w:rsidR="006A4455" w:rsidRDefault="006A4455" w:rsidP="006A4455">
      <w:pPr>
        <w:pStyle w:val="ListParagraph"/>
        <w:numPr>
          <w:ilvl w:val="0"/>
          <w:numId w:val="26"/>
        </w:numPr>
        <w:autoSpaceDE w:val="0"/>
        <w:autoSpaceDN w:val="0"/>
        <w:adjustRightInd w:val="0"/>
        <w:spacing w:after="0"/>
        <w:jc w:val="both"/>
        <w:rPr>
          <w:rFonts w:ascii="Arial" w:hAnsi="Arial" w:cs="Arial"/>
        </w:rPr>
      </w:pPr>
      <w:r>
        <w:rPr>
          <w:rFonts w:ascii="Arial" w:hAnsi="Arial" w:cs="Arial"/>
        </w:rPr>
        <w:t xml:space="preserve"> </w:t>
      </w:r>
      <w:r w:rsidR="00045D12">
        <w:rPr>
          <w:rFonts w:ascii="Arial" w:hAnsi="Arial" w:cs="Arial"/>
        </w:rPr>
        <w:t>Advise and support, as needed, actions required to ensure compliance with IRD regulations with regards to the handover from the NGO to the Company</w:t>
      </w:r>
      <w:r w:rsidR="00D84FB5">
        <w:rPr>
          <w:rFonts w:ascii="Arial" w:hAnsi="Arial" w:cs="Arial"/>
        </w:rPr>
        <w:t xml:space="preserve"> including:</w:t>
      </w:r>
    </w:p>
    <w:p w14:paraId="2C01759E" w14:textId="77777777" w:rsidR="00D84FB5" w:rsidRPr="00D84FB5" w:rsidRDefault="00D84FB5" w:rsidP="00D84FB5">
      <w:pPr>
        <w:pStyle w:val="ListParagraph"/>
        <w:rPr>
          <w:rFonts w:ascii="Arial" w:hAnsi="Arial" w:cs="Arial"/>
        </w:rPr>
      </w:pPr>
    </w:p>
    <w:p w14:paraId="06775B97" w14:textId="7E37F633" w:rsidR="00D84FB5" w:rsidRDefault="00D84FB5" w:rsidP="00D84FB5">
      <w:pPr>
        <w:pStyle w:val="ListParagraph"/>
        <w:numPr>
          <w:ilvl w:val="1"/>
          <w:numId w:val="26"/>
        </w:numPr>
        <w:autoSpaceDE w:val="0"/>
        <w:autoSpaceDN w:val="0"/>
        <w:adjustRightInd w:val="0"/>
        <w:spacing w:after="0"/>
        <w:jc w:val="both"/>
        <w:rPr>
          <w:rFonts w:ascii="Arial" w:hAnsi="Arial" w:cs="Arial"/>
        </w:rPr>
      </w:pPr>
      <w:r>
        <w:rPr>
          <w:rFonts w:ascii="Arial" w:hAnsi="Arial" w:cs="Arial"/>
        </w:rPr>
        <w:t>Obtaining IRD registration and a commercial tax number for each MFI Company, as needed</w:t>
      </w:r>
      <w:r w:rsidR="000D4676">
        <w:rPr>
          <w:rFonts w:ascii="Arial" w:hAnsi="Arial" w:cs="Arial"/>
        </w:rPr>
        <w:t>, as well as other necessary registrations</w:t>
      </w:r>
    </w:p>
    <w:p w14:paraId="0A6978BA" w14:textId="77777777" w:rsidR="00DE60A4" w:rsidRDefault="00DE60A4" w:rsidP="00DE60A4">
      <w:pPr>
        <w:pStyle w:val="ListParagraph"/>
        <w:autoSpaceDE w:val="0"/>
        <w:autoSpaceDN w:val="0"/>
        <w:adjustRightInd w:val="0"/>
        <w:spacing w:after="0"/>
        <w:ind w:left="1440"/>
        <w:jc w:val="both"/>
        <w:rPr>
          <w:rFonts w:ascii="Arial" w:hAnsi="Arial" w:cs="Arial"/>
        </w:rPr>
      </w:pPr>
    </w:p>
    <w:p w14:paraId="08C86331" w14:textId="4A01E305" w:rsidR="00D84FB5" w:rsidRDefault="000D4676" w:rsidP="00D84FB5">
      <w:pPr>
        <w:pStyle w:val="ListParagraph"/>
        <w:numPr>
          <w:ilvl w:val="1"/>
          <w:numId w:val="26"/>
        </w:numPr>
        <w:autoSpaceDE w:val="0"/>
        <w:autoSpaceDN w:val="0"/>
        <w:adjustRightInd w:val="0"/>
        <w:spacing w:after="0"/>
        <w:jc w:val="both"/>
        <w:rPr>
          <w:rFonts w:ascii="Arial" w:hAnsi="Arial" w:cs="Arial"/>
        </w:rPr>
      </w:pPr>
      <w:r>
        <w:rPr>
          <w:rFonts w:ascii="Arial" w:hAnsi="Arial" w:cs="Arial"/>
        </w:rPr>
        <w:t>Support for Capital Gains Tax (CGT) calculations</w:t>
      </w:r>
      <w:r w:rsidR="001759B5">
        <w:rPr>
          <w:rFonts w:ascii="Arial" w:hAnsi="Arial" w:cs="Arial"/>
        </w:rPr>
        <w:t xml:space="preserve">, preparation of CGT return form, </w:t>
      </w:r>
      <w:r>
        <w:rPr>
          <w:rFonts w:ascii="Arial" w:hAnsi="Arial" w:cs="Arial"/>
        </w:rPr>
        <w:t xml:space="preserve">and </w:t>
      </w:r>
      <w:r w:rsidR="00756BC1">
        <w:rPr>
          <w:rFonts w:ascii="Arial" w:hAnsi="Arial" w:cs="Arial"/>
        </w:rPr>
        <w:t>liaising</w:t>
      </w:r>
      <w:r w:rsidR="001759B5">
        <w:rPr>
          <w:rFonts w:ascii="Arial" w:hAnsi="Arial" w:cs="Arial"/>
        </w:rPr>
        <w:t xml:space="preserve"> with</w:t>
      </w:r>
      <w:r>
        <w:rPr>
          <w:rFonts w:ascii="Arial" w:hAnsi="Arial" w:cs="Arial"/>
        </w:rPr>
        <w:t xml:space="preserve"> IRD</w:t>
      </w:r>
      <w:r w:rsidR="0083266E">
        <w:rPr>
          <w:rFonts w:ascii="Arial" w:hAnsi="Arial" w:cs="Arial"/>
        </w:rPr>
        <w:t xml:space="preserve"> for each MFI</w:t>
      </w:r>
      <w:r w:rsidR="00315BA6">
        <w:rPr>
          <w:rFonts w:ascii="Arial" w:hAnsi="Arial" w:cs="Arial"/>
        </w:rPr>
        <w:t xml:space="preserve"> as well as resolving any tax-related matters arising from the business conversion process</w:t>
      </w:r>
    </w:p>
    <w:p w14:paraId="7BB7151F" w14:textId="77777777" w:rsidR="00045D12" w:rsidRPr="00045D12" w:rsidRDefault="00045D12" w:rsidP="00045D12">
      <w:pPr>
        <w:pStyle w:val="ListParagraph"/>
        <w:rPr>
          <w:rFonts w:ascii="Arial" w:hAnsi="Arial" w:cs="Arial"/>
        </w:rPr>
      </w:pPr>
    </w:p>
    <w:p w14:paraId="456AED23" w14:textId="10CFCDCD" w:rsidR="000D4676" w:rsidRDefault="005452AC" w:rsidP="000D4676">
      <w:pPr>
        <w:pStyle w:val="ListParagraph"/>
        <w:numPr>
          <w:ilvl w:val="0"/>
          <w:numId w:val="26"/>
        </w:numPr>
        <w:autoSpaceDE w:val="0"/>
        <w:autoSpaceDN w:val="0"/>
        <w:adjustRightInd w:val="0"/>
        <w:spacing w:after="0"/>
        <w:jc w:val="both"/>
        <w:rPr>
          <w:rFonts w:ascii="Arial" w:hAnsi="Arial" w:cs="Arial"/>
        </w:rPr>
      </w:pPr>
      <w:r>
        <w:rPr>
          <w:rFonts w:ascii="Arial" w:hAnsi="Arial" w:cs="Arial"/>
        </w:rPr>
        <w:t xml:space="preserve">Support </w:t>
      </w:r>
      <w:r w:rsidR="0083266E">
        <w:rPr>
          <w:rFonts w:ascii="Arial" w:hAnsi="Arial" w:cs="Arial"/>
        </w:rPr>
        <w:t>each MFI</w:t>
      </w:r>
      <w:r>
        <w:rPr>
          <w:rFonts w:ascii="Arial" w:hAnsi="Arial" w:cs="Arial"/>
        </w:rPr>
        <w:t xml:space="preserve"> Company in subscribing and registering new shares equivalent to the transferred NAV position</w:t>
      </w:r>
      <w:r w:rsidR="00D84FB5">
        <w:rPr>
          <w:rFonts w:ascii="Arial" w:hAnsi="Arial" w:cs="Arial"/>
        </w:rPr>
        <w:t xml:space="preserve"> in accordance with prevailing DICA standards</w:t>
      </w:r>
    </w:p>
    <w:p w14:paraId="7E741BD7" w14:textId="77777777" w:rsidR="000D4676" w:rsidRDefault="000D4676" w:rsidP="000D4676">
      <w:pPr>
        <w:pStyle w:val="ListParagraph"/>
        <w:autoSpaceDE w:val="0"/>
        <w:autoSpaceDN w:val="0"/>
        <w:adjustRightInd w:val="0"/>
        <w:spacing w:after="0"/>
        <w:jc w:val="both"/>
        <w:rPr>
          <w:rFonts w:ascii="Arial" w:hAnsi="Arial" w:cs="Arial"/>
        </w:rPr>
      </w:pPr>
    </w:p>
    <w:p w14:paraId="0226619D" w14:textId="6A1AE07D" w:rsidR="00315BA6" w:rsidRDefault="00315BA6" w:rsidP="000D4676">
      <w:pPr>
        <w:pStyle w:val="ListParagraph"/>
        <w:numPr>
          <w:ilvl w:val="0"/>
          <w:numId w:val="26"/>
        </w:numPr>
        <w:autoSpaceDE w:val="0"/>
        <w:autoSpaceDN w:val="0"/>
        <w:adjustRightInd w:val="0"/>
        <w:spacing w:after="0"/>
        <w:jc w:val="both"/>
        <w:rPr>
          <w:rFonts w:ascii="Arial" w:hAnsi="Arial" w:cs="Arial"/>
        </w:rPr>
      </w:pPr>
      <w:r>
        <w:rPr>
          <w:rFonts w:ascii="Arial" w:hAnsi="Arial" w:cs="Arial"/>
        </w:rPr>
        <w:t>T</w:t>
      </w:r>
      <w:r w:rsidR="000D4676">
        <w:rPr>
          <w:rFonts w:ascii="Arial" w:hAnsi="Arial" w:cs="Arial"/>
        </w:rPr>
        <w:t>raining support (based on proposed hourly rates for associate staff) to inform Company Board members of their legal roles and responsibilities under the Myanmar Company Law (MCL)</w:t>
      </w:r>
      <w:r>
        <w:rPr>
          <w:rFonts w:ascii="Arial" w:hAnsi="Arial" w:cs="Arial"/>
        </w:rPr>
        <w:t xml:space="preserve"> and other prevailing laws (such as tax) related to commercial enterprises. </w:t>
      </w:r>
    </w:p>
    <w:p w14:paraId="157B81A1" w14:textId="77777777" w:rsidR="00315BA6" w:rsidRPr="00315BA6" w:rsidRDefault="00315BA6" w:rsidP="00315BA6">
      <w:pPr>
        <w:pStyle w:val="ListParagraph"/>
        <w:rPr>
          <w:rFonts w:ascii="Arial" w:hAnsi="Arial" w:cs="Arial"/>
        </w:rPr>
      </w:pPr>
    </w:p>
    <w:p w14:paraId="0B54BD81" w14:textId="29FF24B1" w:rsidR="000D4676" w:rsidRPr="000D4676" w:rsidRDefault="00EF6EFC" w:rsidP="00315BA6">
      <w:pPr>
        <w:pStyle w:val="ListParagraph"/>
        <w:autoSpaceDE w:val="0"/>
        <w:autoSpaceDN w:val="0"/>
        <w:adjustRightInd w:val="0"/>
        <w:spacing w:after="0"/>
        <w:jc w:val="both"/>
        <w:rPr>
          <w:rFonts w:ascii="Arial" w:hAnsi="Arial" w:cs="Arial"/>
        </w:rPr>
      </w:pPr>
      <w:r>
        <w:rPr>
          <w:rFonts w:ascii="Arial" w:hAnsi="Arial" w:cs="Arial"/>
        </w:rPr>
        <w:t>Conducting s</w:t>
      </w:r>
      <w:r w:rsidR="00315BA6">
        <w:rPr>
          <w:rFonts w:ascii="Arial" w:hAnsi="Arial" w:cs="Arial"/>
        </w:rPr>
        <w:t>emi-annual (i.e. every six months) seminar-style briefings delivered to the MFI contingent during 2021 and 2022</w:t>
      </w:r>
      <w:r w:rsidR="00BD22B6">
        <w:rPr>
          <w:rFonts w:ascii="Arial" w:hAnsi="Arial" w:cs="Arial"/>
        </w:rPr>
        <w:t xml:space="preserve"> (four in total)</w:t>
      </w:r>
      <w:r w:rsidR="00315BA6">
        <w:rPr>
          <w:rFonts w:ascii="Arial" w:hAnsi="Arial" w:cs="Arial"/>
        </w:rPr>
        <w:t xml:space="preserve">.   Briefings will inform MFI management on recent legal and compliance matters related to businesses operating within the financial service sector, specifically microfinance.  </w:t>
      </w:r>
    </w:p>
    <w:p w14:paraId="6A99408C" w14:textId="144E2B68" w:rsidR="006A4455" w:rsidRDefault="006A4455" w:rsidP="007B6D43">
      <w:pPr>
        <w:autoSpaceDE w:val="0"/>
        <w:autoSpaceDN w:val="0"/>
        <w:adjustRightInd w:val="0"/>
        <w:spacing w:after="0"/>
        <w:jc w:val="both"/>
        <w:rPr>
          <w:rFonts w:ascii="Arial" w:hAnsi="Arial" w:cs="Arial"/>
        </w:rPr>
      </w:pPr>
    </w:p>
    <w:p w14:paraId="0EE2CDC2" w14:textId="2499B01E" w:rsidR="007B6D43" w:rsidRDefault="00AF008D" w:rsidP="00AF008D">
      <w:pPr>
        <w:pStyle w:val="Heading1"/>
      </w:pPr>
      <w:r>
        <w:lastRenderedPageBreak/>
        <w:t>scheduling of work</w:t>
      </w:r>
    </w:p>
    <w:p w14:paraId="1859DFE3" w14:textId="18045200" w:rsidR="00AF008D" w:rsidRDefault="005452AC" w:rsidP="00332FEB">
      <w:pPr>
        <w:autoSpaceDE w:val="0"/>
        <w:autoSpaceDN w:val="0"/>
        <w:adjustRightInd w:val="0"/>
        <w:spacing w:before="120" w:after="60"/>
        <w:jc w:val="both"/>
        <w:rPr>
          <w:rFonts w:ascii="Arial" w:hAnsi="Arial" w:cs="Arial"/>
        </w:rPr>
      </w:pPr>
      <w:r>
        <w:rPr>
          <w:rFonts w:ascii="Arial" w:hAnsi="Arial" w:cs="Arial"/>
        </w:rPr>
        <w:t xml:space="preserve">Legal services are expected to occur over an </w:t>
      </w:r>
      <w:r w:rsidRPr="00294E67">
        <w:rPr>
          <w:rFonts w:ascii="Arial" w:hAnsi="Arial" w:cs="Arial"/>
          <w:b/>
          <w:bCs/>
        </w:rPr>
        <w:t>18</w:t>
      </w:r>
      <w:r w:rsidR="00CD5F69" w:rsidRPr="00294E67">
        <w:rPr>
          <w:rFonts w:ascii="Arial" w:hAnsi="Arial" w:cs="Arial"/>
          <w:b/>
          <w:bCs/>
        </w:rPr>
        <w:t>-</w:t>
      </w:r>
      <w:r w:rsidRPr="00294E67">
        <w:rPr>
          <w:rFonts w:ascii="Arial" w:hAnsi="Arial" w:cs="Arial"/>
          <w:b/>
          <w:bCs/>
        </w:rPr>
        <w:t>month period beginning in Q2 2020</w:t>
      </w:r>
      <w:r>
        <w:rPr>
          <w:rFonts w:ascii="Arial" w:hAnsi="Arial" w:cs="Arial"/>
        </w:rPr>
        <w:t xml:space="preserve">.  The service period may be extended, as needed, in response to unforeseen delays.   </w:t>
      </w:r>
      <w:r w:rsidR="005A2C3B">
        <w:rPr>
          <w:rFonts w:ascii="Arial" w:hAnsi="Arial" w:cs="Arial"/>
        </w:rPr>
        <w:t>(Expected duration of work will be 18 months starting from May 2020)</w:t>
      </w:r>
    </w:p>
    <w:p w14:paraId="43E8B40F" w14:textId="51506C6E" w:rsidR="00DD0104" w:rsidRDefault="00DD0104" w:rsidP="00332FEB">
      <w:pPr>
        <w:autoSpaceDE w:val="0"/>
        <w:autoSpaceDN w:val="0"/>
        <w:adjustRightInd w:val="0"/>
        <w:spacing w:before="120" w:after="60"/>
        <w:jc w:val="both"/>
        <w:rPr>
          <w:rFonts w:ascii="Arial" w:hAnsi="Arial" w:cs="Arial"/>
        </w:rPr>
      </w:pPr>
    </w:p>
    <w:p w14:paraId="1AD97C94" w14:textId="5E022636" w:rsidR="00DD0104" w:rsidRPr="00321BD3" w:rsidRDefault="00DD0104" w:rsidP="00DD0104">
      <w:pPr>
        <w:autoSpaceDE w:val="0"/>
        <w:autoSpaceDN w:val="0"/>
        <w:adjustRightInd w:val="0"/>
        <w:spacing w:before="120" w:after="60" w:line="240" w:lineRule="auto"/>
        <w:jc w:val="both"/>
        <w:rPr>
          <w:rFonts w:ascii="Arial" w:hAnsi="Arial" w:cs="Arial"/>
          <w:b/>
        </w:rPr>
      </w:pPr>
      <w:bookmarkStart w:id="2" w:name="_Hlk525297971"/>
      <w:r>
        <w:rPr>
          <w:rFonts w:ascii="Arial" w:hAnsi="Arial" w:cs="Arial"/>
          <w:b/>
        </w:rPr>
        <w:t>Proposal Evaluation and Criteria</w:t>
      </w:r>
      <w:bookmarkEnd w:id="2"/>
    </w:p>
    <w:p w14:paraId="248D006D" w14:textId="20140AD7" w:rsidR="00DD0104" w:rsidRDefault="00DD0104" w:rsidP="00DD0104">
      <w:pPr>
        <w:autoSpaceDE w:val="0"/>
        <w:autoSpaceDN w:val="0"/>
        <w:adjustRightInd w:val="0"/>
        <w:spacing w:before="120" w:after="60"/>
        <w:jc w:val="both"/>
        <w:rPr>
          <w:rFonts w:ascii="Arial" w:hAnsi="Arial" w:cs="Arial"/>
        </w:rPr>
      </w:pPr>
      <w:r>
        <w:rPr>
          <w:rFonts w:ascii="Arial" w:hAnsi="Arial" w:cs="Arial"/>
        </w:rPr>
        <w:t>Proposal evaluation in response to the scope of work will occur with consideration of the following factors:</w:t>
      </w:r>
    </w:p>
    <w:p w14:paraId="50561416" w14:textId="77777777" w:rsidR="00DD0104" w:rsidRPr="00120B9B" w:rsidRDefault="00DD0104" w:rsidP="00DD0104">
      <w:pPr>
        <w:autoSpaceDE w:val="0"/>
        <w:autoSpaceDN w:val="0"/>
        <w:adjustRightInd w:val="0"/>
        <w:spacing w:before="120" w:after="60"/>
        <w:jc w:val="both"/>
        <w:rPr>
          <w:rFonts w:ascii="Arial" w:hAnsi="Arial" w:cs="Arial"/>
          <w:sz w:val="16"/>
          <w:szCs w:val="16"/>
        </w:rPr>
      </w:pPr>
    </w:p>
    <w:p w14:paraId="114D7C91" w14:textId="679E26A6" w:rsidR="00DD0104" w:rsidRDefault="00DD0104" w:rsidP="00DD0104">
      <w:pPr>
        <w:autoSpaceDE w:val="0"/>
        <w:autoSpaceDN w:val="0"/>
        <w:adjustRightInd w:val="0"/>
        <w:spacing w:after="0"/>
        <w:jc w:val="both"/>
        <w:rPr>
          <w:rFonts w:ascii="Arial" w:hAnsi="Arial" w:cs="Arial"/>
        </w:rPr>
      </w:pPr>
      <w:r>
        <w:rPr>
          <w:rFonts w:ascii="Arial" w:hAnsi="Arial" w:cs="Arial"/>
        </w:rPr>
        <w:t xml:space="preserve">1)   Capability of the law firm in terms of </w:t>
      </w:r>
      <w:r w:rsidR="0089675E">
        <w:rPr>
          <w:rFonts w:ascii="Arial" w:hAnsi="Arial" w:cs="Arial"/>
        </w:rPr>
        <w:t>onshore</w:t>
      </w:r>
      <w:r>
        <w:rPr>
          <w:rFonts w:ascii="Arial" w:hAnsi="Arial" w:cs="Arial"/>
        </w:rPr>
        <w:t xml:space="preserve"> support and years of experience providing legal services within the Myanmar context as a registered law firm.  </w:t>
      </w:r>
    </w:p>
    <w:p w14:paraId="64B081B8" w14:textId="77777777" w:rsidR="00DD0104" w:rsidRPr="00A13B3A" w:rsidRDefault="00DD0104" w:rsidP="00DD0104">
      <w:pPr>
        <w:autoSpaceDE w:val="0"/>
        <w:autoSpaceDN w:val="0"/>
        <w:adjustRightInd w:val="0"/>
        <w:spacing w:before="120" w:after="0"/>
        <w:jc w:val="both"/>
        <w:rPr>
          <w:rFonts w:ascii="Arial" w:hAnsi="Arial" w:cs="Arial"/>
          <w:sz w:val="16"/>
          <w:szCs w:val="16"/>
        </w:rPr>
      </w:pPr>
    </w:p>
    <w:p w14:paraId="626D4EC7" w14:textId="6226A5A3" w:rsidR="00DD0104" w:rsidRDefault="00DD0104" w:rsidP="00DD0104">
      <w:pPr>
        <w:autoSpaceDE w:val="0"/>
        <w:autoSpaceDN w:val="0"/>
        <w:adjustRightInd w:val="0"/>
        <w:spacing w:after="0"/>
        <w:jc w:val="both"/>
        <w:rPr>
          <w:rFonts w:ascii="Arial" w:hAnsi="Arial" w:cs="Arial"/>
        </w:rPr>
      </w:pPr>
      <w:r>
        <w:rPr>
          <w:rFonts w:ascii="Arial" w:hAnsi="Arial" w:cs="Arial"/>
        </w:rPr>
        <w:t xml:space="preserve">2) Experience working with DICA and IRD in financial service company incorporations </w:t>
      </w:r>
    </w:p>
    <w:p w14:paraId="16740774" w14:textId="77777777" w:rsidR="00DD0104" w:rsidRPr="00A13B3A" w:rsidRDefault="00DD0104" w:rsidP="00DD0104">
      <w:pPr>
        <w:autoSpaceDE w:val="0"/>
        <w:autoSpaceDN w:val="0"/>
        <w:adjustRightInd w:val="0"/>
        <w:spacing w:before="120" w:after="0"/>
        <w:jc w:val="both"/>
        <w:rPr>
          <w:rFonts w:ascii="Arial" w:hAnsi="Arial" w:cs="Arial"/>
          <w:sz w:val="16"/>
          <w:szCs w:val="16"/>
        </w:rPr>
      </w:pPr>
    </w:p>
    <w:p w14:paraId="7C4EBAD7" w14:textId="7CAD3B13" w:rsidR="00DD0104" w:rsidRDefault="00DD0104" w:rsidP="00DD0104">
      <w:pPr>
        <w:autoSpaceDE w:val="0"/>
        <w:autoSpaceDN w:val="0"/>
        <w:adjustRightInd w:val="0"/>
        <w:spacing w:after="0"/>
        <w:jc w:val="both"/>
        <w:rPr>
          <w:rFonts w:ascii="Arial" w:hAnsi="Arial" w:cs="Arial"/>
        </w:rPr>
      </w:pPr>
      <w:r>
        <w:rPr>
          <w:rFonts w:ascii="Arial" w:hAnsi="Arial" w:cs="Arial"/>
        </w:rPr>
        <w:t>3) Experience supporting unique business startup situations requiring special expertise and government relationships within a Myanmar context</w:t>
      </w:r>
      <w:r w:rsidR="00A73E9E">
        <w:rPr>
          <w:rFonts w:ascii="Arial" w:hAnsi="Arial" w:cs="Arial"/>
        </w:rPr>
        <w:t>; expertise related to business conversions (NGO to Company) is an advantage</w:t>
      </w:r>
    </w:p>
    <w:p w14:paraId="7362B1CE" w14:textId="77777777" w:rsidR="00DD0104" w:rsidRPr="00A13B3A" w:rsidRDefault="00DD0104" w:rsidP="00DD0104">
      <w:pPr>
        <w:autoSpaceDE w:val="0"/>
        <w:autoSpaceDN w:val="0"/>
        <w:adjustRightInd w:val="0"/>
        <w:spacing w:before="120" w:after="0"/>
        <w:jc w:val="both"/>
        <w:rPr>
          <w:rFonts w:ascii="Arial" w:hAnsi="Arial" w:cs="Arial"/>
          <w:sz w:val="16"/>
          <w:szCs w:val="16"/>
        </w:rPr>
      </w:pPr>
    </w:p>
    <w:p w14:paraId="2C4C14AA" w14:textId="2105E0AB" w:rsidR="00DD0104" w:rsidRPr="00EF6EFC" w:rsidRDefault="00DD0104" w:rsidP="00EF6EFC">
      <w:pPr>
        <w:pStyle w:val="ListParagraph"/>
        <w:numPr>
          <w:ilvl w:val="0"/>
          <w:numId w:val="29"/>
        </w:numPr>
        <w:autoSpaceDE w:val="0"/>
        <w:autoSpaceDN w:val="0"/>
        <w:adjustRightInd w:val="0"/>
        <w:spacing w:after="60"/>
        <w:jc w:val="both"/>
        <w:rPr>
          <w:rFonts w:ascii="Arial" w:hAnsi="Arial" w:cs="Arial"/>
        </w:rPr>
      </w:pPr>
      <w:r w:rsidRPr="00EF6EFC">
        <w:rPr>
          <w:rFonts w:ascii="Arial" w:hAnsi="Arial" w:cs="Arial"/>
        </w:rPr>
        <w:t>Competitive pricing</w:t>
      </w:r>
      <w:r w:rsidR="00756BC1" w:rsidRPr="00EF6EFC">
        <w:rPr>
          <w:rFonts w:ascii="Arial" w:hAnsi="Arial" w:cs="Arial"/>
        </w:rPr>
        <w:t xml:space="preserve"> </w:t>
      </w:r>
      <w:r w:rsidRPr="00EF6EFC">
        <w:rPr>
          <w:rFonts w:ascii="Arial" w:hAnsi="Arial" w:cs="Arial"/>
        </w:rPr>
        <w:t>in completion of the scope of work areas</w:t>
      </w:r>
      <w:r w:rsidR="00756BC1" w:rsidRPr="00EF6EFC">
        <w:rPr>
          <w:rFonts w:ascii="Arial" w:hAnsi="Arial" w:cs="Arial"/>
        </w:rPr>
        <w:t xml:space="preserve"> per the following pricing structure:</w:t>
      </w:r>
    </w:p>
    <w:p w14:paraId="02135E2A" w14:textId="77777777" w:rsidR="002B090E" w:rsidRPr="00756BC1" w:rsidRDefault="002B090E" w:rsidP="002B090E">
      <w:pPr>
        <w:pStyle w:val="ListParagraph"/>
        <w:autoSpaceDE w:val="0"/>
        <w:autoSpaceDN w:val="0"/>
        <w:adjustRightInd w:val="0"/>
        <w:spacing w:after="60"/>
        <w:jc w:val="both"/>
        <w:rPr>
          <w:rFonts w:ascii="Arial" w:hAnsi="Arial" w:cs="Arial"/>
        </w:rPr>
      </w:pPr>
    </w:p>
    <w:tbl>
      <w:tblPr>
        <w:tblStyle w:val="TableGrid"/>
        <w:tblW w:w="0" w:type="auto"/>
        <w:jc w:val="center"/>
        <w:tblLook w:val="04A0" w:firstRow="1" w:lastRow="0" w:firstColumn="1" w:lastColumn="0" w:noHBand="0" w:noVBand="1"/>
      </w:tblPr>
      <w:tblGrid>
        <w:gridCol w:w="815"/>
        <w:gridCol w:w="3500"/>
        <w:gridCol w:w="1170"/>
        <w:gridCol w:w="1980"/>
      </w:tblGrid>
      <w:tr w:rsidR="002B090E" w14:paraId="201FD067" w14:textId="77777777" w:rsidTr="002B090E">
        <w:trPr>
          <w:jc w:val="center"/>
        </w:trPr>
        <w:tc>
          <w:tcPr>
            <w:tcW w:w="815" w:type="dxa"/>
          </w:tcPr>
          <w:p w14:paraId="7EAFBFD8" w14:textId="01EFFC17" w:rsidR="002B090E" w:rsidRDefault="006E73FE" w:rsidP="002B090E">
            <w:pPr>
              <w:autoSpaceDE w:val="0"/>
              <w:autoSpaceDN w:val="0"/>
              <w:adjustRightInd w:val="0"/>
              <w:spacing w:after="60"/>
              <w:jc w:val="both"/>
              <w:rPr>
                <w:rFonts w:ascii="Arial" w:hAnsi="Arial" w:cs="Arial"/>
              </w:rPr>
            </w:pPr>
            <w:r>
              <w:rPr>
                <w:rFonts w:ascii="Arial" w:hAnsi="Arial" w:cs="Arial"/>
              </w:rPr>
              <w:t>Ref</w:t>
            </w:r>
          </w:p>
        </w:tc>
        <w:tc>
          <w:tcPr>
            <w:tcW w:w="3500" w:type="dxa"/>
          </w:tcPr>
          <w:p w14:paraId="375FC827" w14:textId="77777777" w:rsidR="002B090E" w:rsidRDefault="002B090E" w:rsidP="002B090E">
            <w:pPr>
              <w:autoSpaceDE w:val="0"/>
              <w:autoSpaceDN w:val="0"/>
              <w:adjustRightInd w:val="0"/>
              <w:spacing w:after="60"/>
              <w:jc w:val="both"/>
              <w:rPr>
                <w:rFonts w:ascii="Arial" w:hAnsi="Arial" w:cs="Arial"/>
              </w:rPr>
            </w:pPr>
            <w:r>
              <w:rPr>
                <w:rFonts w:ascii="Arial" w:hAnsi="Arial" w:cs="Arial"/>
              </w:rPr>
              <w:t xml:space="preserve">Activity </w:t>
            </w:r>
          </w:p>
        </w:tc>
        <w:tc>
          <w:tcPr>
            <w:tcW w:w="1170" w:type="dxa"/>
          </w:tcPr>
          <w:p w14:paraId="4E58997C" w14:textId="5CAC7969" w:rsidR="002B090E" w:rsidRDefault="002B090E" w:rsidP="002B090E">
            <w:pPr>
              <w:autoSpaceDE w:val="0"/>
              <w:autoSpaceDN w:val="0"/>
              <w:adjustRightInd w:val="0"/>
              <w:spacing w:after="60"/>
              <w:jc w:val="both"/>
              <w:rPr>
                <w:rFonts w:ascii="Arial" w:hAnsi="Arial" w:cs="Arial"/>
              </w:rPr>
            </w:pPr>
            <w:r>
              <w:rPr>
                <w:rFonts w:ascii="Arial" w:hAnsi="Arial" w:cs="Arial"/>
              </w:rPr>
              <w:t xml:space="preserve">Basis </w:t>
            </w:r>
          </w:p>
        </w:tc>
        <w:tc>
          <w:tcPr>
            <w:tcW w:w="1980" w:type="dxa"/>
          </w:tcPr>
          <w:p w14:paraId="708E5A01" w14:textId="2C0597AB" w:rsidR="002B090E" w:rsidRDefault="002B090E" w:rsidP="002B090E">
            <w:pPr>
              <w:autoSpaceDE w:val="0"/>
              <w:autoSpaceDN w:val="0"/>
              <w:adjustRightInd w:val="0"/>
              <w:spacing w:after="60"/>
              <w:jc w:val="both"/>
              <w:rPr>
                <w:rFonts w:ascii="Arial" w:hAnsi="Arial" w:cs="Arial"/>
              </w:rPr>
            </w:pPr>
            <w:r>
              <w:rPr>
                <w:rFonts w:ascii="Arial" w:hAnsi="Arial" w:cs="Arial"/>
              </w:rPr>
              <w:t>Quotation (USD)</w:t>
            </w:r>
          </w:p>
        </w:tc>
      </w:tr>
      <w:tr w:rsidR="002B090E" w14:paraId="51392101" w14:textId="77777777" w:rsidTr="002B090E">
        <w:trPr>
          <w:jc w:val="center"/>
        </w:trPr>
        <w:tc>
          <w:tcPr>
            <w:tcW w:w="815" w:type="dxa"/>
          </w:tcPr>
          <w:p w14:paraId="7F8AB297" w14:textId="35042027" w:rsidR="002B090E" w:rsidRPr="002B090E" w:rsidRDefault="002B090E" w:rsidP="002B090E">
            <w:pPr>
              <w:autoSpaceDE w:val="0"/>
              <w:autoSpaceDN w:val="0"/>
              <w:adjustRightInd w:val="0"/>
              <w:spacing w:after="60"/>
              <w:ind w:left="-108"/>
              <w:jc w:val="center"/>
              <w:rPr>
                <w:rFonts w:ascii="Arial" w:hAnsi="Arial" w:cs="Arial"/>
              </w:rPr>
            </w:pPr>
            <w:r>
              <w:rPr>
                <w:rFonts w:ascii="Arial" w:hAnsi="Arial" w:cs="Arial"/>
              </w:rPr>
              <w:t>1.</w:t>
            </w:r>
          </w:p>
        </w:tc>
        <w:tc>
          <w:tcPr>
            <w:tcW w:w="3500" w:type="dxa"/>
          </w:tcPr>
          <w:p w14:paraId="06F24D62" w14:textId="77777777" w:rsidR="002B090E" w:rsidRDefault="002B090E" w:rsidP="002B090E">
            <w:pPr>
              <w:autoSpaceDE w:val="0"/>
              <w:autoSpaceDN w:val="0"/>
              <w:adjustRightInd w:val="0"/>
              <w:spacing w:after="60"/>
              <w:rPr>
                <w:rFonts w:ascii="Arial" w:hAnsi="Arial" w:cs="Arial"/>
              </w:rPr>
            </w:pPr>
            <w:r>
              <w:rPr>
                <w:rFonts w:ascii="Arial" w:hAnsi="Arial" w:cs="Arial"/>
              </w:rPr>
              <w:t>Review Business Transfer Templates</w:t>
            </w:r>
          </w:p>
        </w:tc>
        <w:tc>
          <w:tcPr>
            <w:tcW w:w="1170" w:type="dxa"/>
          </w:tcPr>
          <w:p w14:paraId="35055B08" w14:textId="7680419B" w:rsidR="002B090E" w:rsidRDefault="002B090E" w:rsidP="002B090E">
            <w:pPr>
              <w:autoSpaceDE w:val="0"/>
              <w:autoSpaceDN w:val="0"/>
              <w:adjustRightInd w:val="0"/>
              <w:spacing w:after="60"/>
              <w:jc w:val="both"/>
              <w:rPr>
                <w:rFonts w:ascii="Arial" w:hAnsi="Arial" w:cs="Arial"/>
              </w:rPr>
            </w:pPr>
            <w:r>
              <w:rPr>
                <w:rFonts w:ascii="Arial" w:hAnsi="Arial" w:cs="Arial"/>
              </w:rPr>
              <w:t>One Time</w:t>
            </w:r>
          </w:p>
        </w:tc>
        <w:tc>
          <w:tcPr>
            <w:tcW w:w="1980" w:type="dxa"/>
          </w:tcPr>
          <w:p w14:paraId="188F6C44" w14:textId="38050E60" w:rsidR="002B090E" w:rsidRDefault="002B090E" w:rsidP="002B090E">
            <w:pPr>
              <w:autoSpaceDE w:val="0"/>
              <w:autoSpaceDN w:val="0"/>
              <w:adjustRightInd w:val="0"/>
              <w:spacing w:after="60"/>
              <w:jc w:val="both"/>
              <w:rPr>
                <w:rFonts w:ascii="Arial" w:hAnsi="Arial" w:cs="Arial"/>
              </w:rPr>
            </w:pPr>
          </w:p>
        </w:tc>
      </w:tr>
      <w:tr w:rsidR="002B090E" w14:paraId="21935763" w14:textId="77777777" w:rsidTr="002B090E">
        <w:trPr>
          <w:jc w:val="center"/>
        </w:trPr>
        <w:tc>
          <w:tcPr>
            <w:tcW w:w="815" w:type="dxa"/>
          </w:tcPr>
          <w:p w14:paraId="17B3F4F7" w14:textId="00844DB3" w:rsidR="002B090E" w:rsidRDefault="002B090E" w:rsidP="002B090E">
            <w:pPr>
              <w:autoSpaceDE w:val="0"/>
              <w:autoSpaceDN w:val="0"/>
              <w:adjustRightInd w:val="0"/>
              <w:spacing w:after="60"/>
              <w:jc w:val="center"/>
              <w:rPr>
                <w:rFonts w:ascii="Arial" w:hAnsi="Arial" w:cs="Arial"/>
              </w:rPr>
            </w:pPr>
            <w:r>
              <w:rPr>
                <w:rFonts w:ascii="Arial" w:hAnsi="Arial" w:cs="Arial"/>
              </w:rPr>
              <w:t>2 a</w:t>
            </w:r>
          </w:p>
        </w:tc>
        <w:tc>
          <w:tcPr>
            <w:tcW w:w="3500" w:type="dxa"/>
          </w:tcPr>
          <w:p w14:paraId="6DC953C9" w14:textId="761CFEEE" w:rsidR="002B090E" w:rsidRDefault="002B090E" w:rsidP="002B090E">
            <w:pPr>
              <w:autoSpaceDE w:val="0"/>
              <w:autoSpaceDN w:val="0"/>
              <w:adjustRightInd w:val="0"/>
              <w:spacing w:after="60"/>
              <w:rPr>
                <w:rFonts w:ascii="Arial" w:hAnsi="Arial" w:cs="Arial"/>
              </w:rPr>
            </w:pPr>
            <w:r>
              <w:rPr>
                <w:rFonts w:ascii="Arial" w:hAnsi="Arial" w:cs="Arial"/>
              </w:rPr>
              <w:t>Registrations (per MFI)</w:t>
            </w:r>
          </w:p>
        </w:tc>
        <w:tc>
          <w:tcPr>
            <w:tcW w:w="1170" w:type="dxa"/>
          </w:tcPr>
          <w:p w14:paraId="7F24836B" w14:textId="043DCE3F" w:rsidR="002B090E" w:rsidRDefault="002B090E" w:rsidP="002B090E">
            <w:pPr>
              <w:autoSpaceDE w:val="0"/>
              <w:autoSpaceDN w:val="0"/>
              <w:adjustRightInd w:val="0"/>
              <w:spacing w:after="60"/>
              <w:jc w:val="both"/>
              <w:rPr>
                <w:rFonts w:ascii="Arial" w:hAnsi="Arial" w:cs="Arial"/>
              </w:rPr>
            </w:pPr>
            <w:r>
              <w:rPr>
                <w:rFonts w:ascii="Arial" w:hAnsi="Arial" w:cs="Arial"/>
              </w:rPr>
              <w:t>Per MFI</w:t>
            </w:r>
          </w:p>
        </w:tc>
        <w:tc>
          <w:tcPr>
            <w:tcW w:w="1980" w:type="dxa"/>
          </w:tcPr>
          <w:p w14:paraId="5FA03EBA" w14:textId="298219CD" w:rsidR="002B090E" w:rsidRDefault="002B090E" w:rsidP="002B090E">
            <w:pPr>
              <w:autoSpaceDE w:val="0"/>
              <w:autoSpaceDN w:val="0"/>
              <w:adjustRightInd w:val="0"/>
              <w:spacing w:after="60"/>
              <w:jc w:val="both"/>
              <w:rPr>
                <w:rFonts w:ascii="Arial" w:hAnsi="Arial" w:cs="Arial"/>
              </w:rPr>
            </w:pPr>
          </w:p>
        </w:tc>
      </w:tr>
      <w:tr w:rsidR="002B090E" w14:paraId="0ABB8881" w14:textId="77777777" w:rsidTr="002B090E">
        <w:trPr>
          <w:jc w:val="center"/>
        </w:trPr>
        <w:tc>
          <w:tcPr>
            <w:tcW w:w="815" w:type="dxa"/>
          </w:tcPr>
          <w:p w14:paraId="2C8C476F" w14:textId="7D987B09" w:rsidR="002B090E" w:rsidRDefault="002B090E" w:rsidP="002B090E">
            <w:pPr>
              <w:autoSpaceDE w:val="0"/>
              <w:autoSpaceDN w:val="0"/>
              <w:adjustRightInd w:val="0"/>
              <w:spacing w:after="60"/>
              <w:jc w:val="center"/>
              <w:rPr>
                <w:rFonts w:ascii="Arial" w:hAnsi="Arial" w:cs="Arial"/>
              </w:rPr>
            </w:pPr>
            <w:r>
              <w:rPr>
                <w:rFonts w:ascii="Arial" w:hAnsi="Arial" w:cs="Arial"/>
              </w:rPr>
              <w:t>2 b</w:t>
            </w:r>
          </w:p>
        </w:tc>
        <w:tc>
          <w:tcPr>
            <w:tcW w:w="3500" w:type="dxa"/>
          </w:tcPr>
          <w:p w14:paraId="1C9D3854" w14:textId="1EFFA9C4" w:rsidR="002B090E" w:rsidRDefault="002B090E" w:rsidP="002B090E">
            <w:pPr>
              <w:autoSpaceDE w:val="0"/>
              <w:autoSpaceDN w:val="0"/>
              <w:adjustRightInd w:val="0"/>
              <w:spacing w:after="60"/>
              <w:rPr>
                <w:rFonts w:ascii="Arial" w:hAnsi="Arial" w:cs="Arial"/>
              </w:rPr>
            </w:pPr>
            <w:r>
              <w:rPr>
                <w:rFonts w:ascii="Arial" w:hAnsi="Arial" w:cs="Arial"/>
              </w:rPr>
              <w:t>CGT compliance (per MFI)</w:t>
            </w:r>
          </w:p>
        </w:tc>
        <w:tc>
          <w:tcPr>
            <w:tcW w:w="1170" w:type="dxa"/>
          </w:tcPr>
          <w:p w14:paraId="4811D922" w14:textId="2AF71911" w:rsidR="002B090E" w:rsidRDefault="002B090E" w:rsidP="002B090E">
            <w:pPr>
              <w:autoSpaceDE w:val="0"/>
              <w:autoSpaceDN w:val="0"/>
              <w:adjustRightInd w:val="0"/>
              <w:spacing w:after="60"/>
              <w:jc w:val="both"/>
              <w:rPr>
                <w:rFonts w:ascii="Arial" w:hAnsi="Arial" w:cs="Arial"/>
              </w:rPr>
            </w:pPr>
            <w:r>
              <w:rPr>
                <w:rFonts w:ascii="Arial" w:hAnsi="Arial" w:cs="Arial"/>
              </w:rPr>
              <w:t>Per MFI</w:t>
            </w:r>
          </w:p>
        </w:tc>
        <w:tc>
          <w:tcPr>
            <w:tcW w:w="1980" w:type="dxa"/>
          </w:tcPr>
          <w:p w14:paraId="5686C189" w14:textId="36D297AF" w:rsidR="002B090E" w:rsidRDefault="002B090E" w:rsidP="002B090E">
            <w:pPr>
              <w:autoSpaceDE w:val="0"/>
              <w:autoSpaceDN w:val="0"/>
              <w:adjustRightInd w:val="0"/>
              <w:spacing w:after="60"/>
              <w:jc w:val="both"/>
              <w:rPr>
                <w:rFonts w:ascii="Arial" w:hAnsi="Arial" w:cs="Arial"/>
              </w:rPr>
            </w:pPr>
          </w:p>
        </w:tc>
      </w:tr>
      <w:tr w:rsidR="002B090E" w14:paraId="7FC67CC3" w14:textId="77777777" w:rsidTr="002B090E">
        <w:trPr>
          <w:jc w:val="center"/>
        </w:trPr>
        <w:tc>
          <w:tcPr>
            <w:tcW w:w="815" w:type="dxa"/>
          </w:tcPr>
          <w:p w14:paraId="57706746" w14:textId="77777777" w:rsidR="002B090E" w:rsidRDefault="002B090E" w:rsidP="002B090E">
            <w:pPr>
              <w:autoSpaceDE w:val="0"/>
              <w:autoSpaceDN w:val="0"/>
              <w:adjustRightInd w:val="0"/>
              <w:spacing w:after="60"/>
              <w:jc w:val="center"/>
              <w:rPr>
                <w:rFonts w:ascii="Arial" w:hAnsi="Arial" w:cs="Arial"/>
              </w:rPr>
            </w:pPr>
            <w:r>
              <w:rPr>
                <w:rFonts w:ascii="Arial" w:hAnsi="Arial" w:cs="Arial"/>
              </w:rPr>
              <w:t>3.</w:t>
            </w:r>
          </w:p>
        </w:tc>
        <w:tc>
          <w:tcPr>
            <w:tcW w:w="3500" w:type="dxa"/>
          </w:tcPr>
          <w:p w14:paraId="0E36BAEE" w14:textId="637D2D8C" w:rsidR="002B090E" w:rsidRDefault="002B090E" w:rsidP="002B090E">
            <w:pPr>
              <w:autoSpaceDE w:val="0"/>
              <w:autoSpaceDN w:val="0"/>
              <w:adjustRightInd w:val="0"/>
              <w:spacing w:after="60"/>
              <w:rPr>
                <w:rFonts w:ascii="Arial" w:hAnsi="Arial" w:cs="Arial"/>
              </w:rPr>
            </w:pPr>
            <w:r>
              <w:rPr>
                <w:rFonts w:ascii="Arial" w:hAnsi="Arial" w:cs="Arial"/>
              </w:rPr>
              <w:t>Share subscription and registration (per MFI)</w:t>
            </w:r>
          </w:p>
        </w:tc>
        <w:tc>
          <w:tcPr>
            <w:tcW w:w="1170" w:type="dxa"/>
          </w:tcPr>
          <w:p w14:paraId="45E58727" w14:textId="7ABC75B7" w:rsidR="002B090E" w:rsidRDefault="002B090E" w:rsidP="002B090E">
            <w:pPr>
              <w:autoSpaceDE w:val="0"/>
              <w:autoSpaceDN w:val="0"/>
              <w:adjustRightInd w:val="0"/>
              <w:spacing w:after="60"/>
              <w:jc w:val="both"/>
              <w:rPr>
                <w:rFonts w:ascii="Arial" w:hAnsi="Arial" w:cs="Arial"/>
              </w:rPr>
            </w:pPr>
            <w:r>
              <w:rPr>
                <w:rFonts w:ascii="Arial" w:hAnsi="Arial" w:cs="Arial"/>
              </w:rPr>
              <w:t>Per MFI</w:t>
            </w:r>
          </w:p>
        </w:tc>
        <w:tc>
          <w:tcPr>
            <w:tcW w:w="1980" w:type="dxa"/>
          </w:tcPr>
          <w:p w14:paraId="64ADEF69" w14:textId="6FC3CEE8" w:rsidR="002B090E" w:rsidRDefault="002B090E" w:rsidP="002B090E">
            <w:pPr>
              <w:autoSpaceDE w:val="0"/>
              <w:autoSpaceDN w:val="0"/>
              <w:adjustRightInd w:val="0"/>
              <w:spacing w:after="60"/>
              <w:jc w:val="both"/>
              <w:rPr>
                <w:rFonts w:ascii="Arial" w:hAnsi="Arial" w:cs="Arial"/>
              </w:rPr>
            </w:pPr>
          </w:p>
        </w:tc>
      </w:tr>
      <w:tr w:rsidR="00EF6EFC" w14:paraId="3BDC4367" w14:textId="77777777" w:rsidTr="002B090E">
        <w:trPr>
          <w:jc w:val="center"/>
        </w:trPr>
        <w:tc>
          <w:tcPr>
            <w:tcW w:w="815" w:type="dxa"/>
          </w:tcPr>
          <w:p w14:paraId="1C03244F" w14:textId="0CB3420A" w:rsidR="00EF6EFC" w:rsidRDefault="00EF6EFC" w:rsidP="002B090E">
            <w:pPr>
              <w:autoSpaceDE w:val="0"/>
              <w:autoSpaceDN w:val="0"/>
              <w:adjustRightInd w:val="0"/>
              <w:spacing w:after="60"/>
              <w:jc w:val="center"/>
              <w:rPr>
                <w:rFonts w:ascii="Arial" w:hAnsi="Arial" w:cs="Arial"/>
              </w:rPr>
            </w:pPr>
            <w:r>
              <w:rPr>
                <w:rFonts w:ascii="Arial" w:hAnsi="Arial" w:cs="Arial"/>
              </w:rPr>
              <w:t>4</w:t>
            </w:r>
            <w:r w:rsidR="006E73FE">
              <w:rPr>
                <w:rFonts w:ascii="Arial" w:hAnsi="Arial" w:cs="Arial"/>
              </w:rPr>
              <w:t xml:space="preserve"> a</w:t>
            </w:r>
          </w:p>
        </w:tc>
        <w:tc>
          <w:tcPr>
            <w:tcW w:w="3500" w:type="dxa"/>
          </w:tcPr>
          <w:p w14:paraId="3F94A179" w14:textId="49ADBB62" w:rsidR="00EF6EFC" w:rsidRDefault="00EF6EFC" w:rsidP="002B090E">
            <w:pPr>
              <w:autoSpaceDE w:val="0"/>
              <w:autoSpaceDN w:val="0"/>
              <w:adjustRightInd w:val="0"/>
              <w:spacing w:after="60"/>
              <w:rPr>
                <w:rFonts w:ascii="Arial" w:hAnsi="Arial" w:cs="Arial"/>
              </w:rPr>
            </w:pPr>
            <w:r>
              <w:rPr>
                <w:rFonts w:ascii="Arial" w:hAnsi="Arial" w:cs="Arial"/>
              </w:rPr>
              <w:t xml:space="preserve">Company Board Training </w:t>
            </w:r>
          </w:p>
        </w:tc>
        <w:tc>
          <w:tcPr>
            <w:tcW w:w="1170" w:type="dxa"/>
          </w:tcPr>
          <w:p w14:paraId="44037054" w14:textId="4EECBCA9" w:rsidR="00EF6EFC" w:rsidRDefault="00BD22B6" w:rsidP="002B090E">
            <w:pPr>
              <w:autoSpaceDE w:val="0"/>
              <w:autoSpaceDN w:val="0"/>
              <w:adjustRightInd w:val="0"/>
              <w:spacing w:after="60"/>
              <w:jc w:val="both"/>
              <w:rPr>
                <w:rFonts w:ascii="Arial" w:hAnsi="Arial" w:cs="Arial"/>
              </w:rPr>
            </w:pPr>
            <w:r>
              <w:rPr>
                <w:rFonts w:ascii="Arial" w:hAnsi="Arial" w:cs="Arial"/>
              </w:rPr>
              <w:t>One Time</w:t>
            </w:r>
          </w:p>
        </w:tc>
        <w:tc>
          <w:tcPr>
            <w:tcW w:w="1980" w:type="dxa"/>
          </w:tcPr>
          <w:p w14:paraId="52F92A65" w14:textId="77777777" w:rsidR="00EF6EFC" w:rsidRDefault="00EF6EFC" w:rsidP="002B090E">
            <w:pPr>
              <w:autoSpaceDE w:val="0"/>
              <w:autoSpaceDN w:val="0"/>
              <w:adjustRightInd w:val="0"/>
              <w:spacing w:after="60"/>
              <w:jc w:val="both"/>
              <w:rPr>
                <w:rFonts w:ascii="Arial" w:hAnsi="Arial" w:cs="Arial"/>
              </w:rPr>
            </w:pPr>
          </w:p>
        </w:tc>
      </w:tr>
      <w:tr w:rsidR="00EF6EFC" w14:paraId="325F12B5" w14:textId="77777777" w:rsidTr="002B090E">
        <w:trPr>
          <w:jc w:val="center"/>
        </w:trPr>
        <w:tc>
          <w:tcPr>
            <w:tcW w:w="815" w:type="dxa"/>
          </w:tcPr>
          <w:p w14:paraId="7540D5E3" w14:textId="6CC3BFCB" w:rsidR="00EF6EFC" w:rsidRDefault="006E73FE" w:rsidP="002B090E">
            <w:pPr>
              <w:autoSpaceDE w:val="0"/>
              <w:autoSpaceDN w:val="0"/>
              <w:adjustRightInd w:val="0"/>
              <w:spacing w:after="60"/>
              <w:jc w:val="center"/>
              <w:rPr>
                <w:rFonts w:ascii="Arial" w:hAnsi="Arial" w:cs="Arial"/>
              </w:rPr>
            </w:pPr>
            <w:r>
              <w:rPr>
                <w:rFonts w:ascii="Arial" w:hAnsi="Arial" w:cs="Arial"/>
              </w:rPr>
              <w:t>4 b</w:t>
            </w:r>
          </w:p>
        </w:tc>
        <w:tc>
          <w:tcPr>
            <w:tcW w:w="3500" w:type="dxa"/>
          </w:tcPr>
          <w:p w14:paraId="535A654B" w14:textId="062C7D3A" w:rsidR="00EF6EFC" w:rsidRDefault="00BD22B6" w:rsidP="002B090E">
            <w:pPr>
              <w:autoSpaceDE w:val="0"/>
              <w:autoSpaceDN w:val="0"/>
              <w:adjustRightInd w:val="0"/>
              <w:spacing w:after="60"/>
              <w:rPr>
                <w:rFonts w:ascii="Arial" w:hAnsi="Arial" w:cs="Arial"/>
              </w:rPr>
            </w:pPr>
            <w:r>
              <w:rPr>
                <w:rFonts w:ascii="Arial" w:hAnsi="Arial" w:cs="Arial"/>
              </w:rPr>
              <w:t>Semi-Annual Briefings</w:t>
            </w:r>
          </w:p>
        </w:tc>
        <w:tc>
          <w:tcPr>
            <w:tcW w:w="1170" w:type="dxa"/>
          </w:tcPr>
          <w:p w14:paraId="4DECC397" w14:textId="52CA1D46" w:rsidR="00EF6EFC" w:rsidRDefault="00BD22B6" w:rsidP="002B090E">
            <w:pPr>
              <w:autoSpaceDE w:val="0"/>
              <w:autoSpaceDN w:val="0"/>
              <w:adjustRightInd w:val="0"/>
              <w:spacing w:after="60"/>
              <w:jc w:val="both"/>
              <w:rPr>
                <w:rFonts w:ascii="Arial" w:hAnsi="Arial" w:cs="Arial"/>
              </w:rPr>
            </w:pPr>
            <w:r>
              <w:rPr>
                <w:rFonts w:ascii="Arial" w:hAnsi="Arial" w:cs="Arial"/>
              </w:rPr>
              <w:t xml:space="preserve">Per </w:t>
            </w:r>
            <w:r w:rsidR="006E73FE">
              <w:rPr>
                <w:rFonts w:ascii="Arial" w:hAnsi="Arial" w:cs="Arial"/>
              </w:rPr>
              <w:t>Briefing</w:t>
            </w:r>
          </w:p>
        </w:tc>
        <w:tc>
          <w:tcPr>
            <w:tcW w:w="1980" w:type="dxa"/>
          </w:tcPr>
          <w:p w14:paraId="0F184D6D" w14:textId="77777777" w:rsidR="00EF6EFC" w:rsidRDefault="00EF6EFC" w:rsidP="002B090E">
            <w:pPr>
              <w:autoSpaceDE w:val="0"/>
              <w:autoSpaceDN w:val="0"/>
              <w:adjustRightInd w:val="0"/>
              <w:spacing w:after="60"/>
              <w:jc w:val="both"/>
              <w:rPr>
                <w:rFonts w:ascii="Arial" w:hAnsi="Arial" w:cs="Arial"/>
              </w:rPr>
            </w:pPr>
          </w:p>
        </w:tc>
      </w:tr>
    </w:tbl>
    <w:p w14:paraId="73347EBA" w14:textId="77777777" w:rsidR="00756BC1" w:rsidRPr="00756BC1" w:rsidRDefault="00756BC1" w:rsidP="00756BC1">
      <w:pPr>
        <w:autoSpaceDE w:val="0"/>
        <w:autoSpaceDN w:val="0"/>
        <w:adjustRightInd w:val="0"/>
        <w:spacing w:after="60"/>
        <w:jc w:val="both"/>
        <w:rPr>
          <w:rFonts w:ascii="Arial" w:hAnsi="Arial" w:cs="Arial"/>
        </w:rPr>
      </w:pPr>
    </w:p>
    <w:p w14:paraId="7DC175BA" w14:textId="77777777" w:rsidR="00DD0104" w:rsidRPr="00A13B3A" w:rsidRDefault="00DD0104" w:rsidP="00DD0104">
      <w:pPr>
        <w:autoSpaceDE w:val="0"/>
        <w:autoSpaceDN w:val="0"/>
        <w:adjustRightInd w:val="0"/>
        <w:spacing w:after="0"/>
        <w:jc w:val="both"/>
        <w:rPr>
          <w:rFonts w:ascii="Arial" w:hAnsi="Arial" w:cs="Arial"/>
          <w:sz w:val="16"/>
          <w:szCs w:val="16"/>
        </w:rPr>
      </w:pPr>
    </w:p>
    <w:p w14:paraId="2CEE9B4E" w14:textId="58C8BDC0" w:rsidR="003F0FBC" w:rsidRDefault="00DD0104" w:rsidP="00DD0104">
      <w:pPr>
        <w:autoSpaceDE w:val="0"/>
        <w:autoSpaceDN w:val="0"/>
        <w:adjustRightInd w:val="0"/>
        <w:spacing w:before="120" w:after="60"/>
        <w:jc w:val="both"/>
        <w:rPr>
          <w:rFonts w:ascii="Arial" w:hAnsi="Arial" w:cs="Arial"/>
        </w:rPr>
      </w:pPr>
      <w:r>
        <w:rPr>
          <w:rFonts w:ascii="Arial" w:hAnsi="Arial" w:cs="Arial"/>
        </w:rPr>
        <w:t xml:space="preserve">The evaluation will be conducted on a best value basis taking collectively into consideration </w:t>
      </w:r>
      <w:proofErr w:type="gramStart"/>
      <w:r>
        <w:rPr>
          <w:rFonts w:ascii="Arial" w:hAnsi="Arial" w:cs="Arial"/>
        </w:rPr>
        <w:t>all of</w:t>
      </w:r>
      <w:proofErr w:type="gramEnd"/>
      <w:r>
        <w:rPr>
          <w:rFonts w:ascii="Arial" w:hAnsi="Arial" w:cs="Arial"/>
        </w:rPr>
        <w:t xml:space="preserve"> the evaluation criteria to determine the most appropriate legal firm to undertake the scope of work. </w:t>
      </w:r>
    </w:p>
    <w:p w14:paraId="403396CC" w14:textId="091BC8CC" w:rsidR="00224E16" w:rsidRDefault="00224E16" w:rsidP="00DD0104">
      <w:pPr>
        <w:autoSpaceDE w:val="0"/>
        <w:autoSpaceDN w:val="0"/>
        <w:adjustRightInd w:val="0"/>
        <w:spacing w:before="120" w:after="60"/>
        <w:jc w:val="both"/>
        <w:rPr>
          <w:rFonts w:ascii="Arial" w:hAnsi="Arial" w:cs="Arial"/>
        </w:rPr>
      </w:pPr>
      <w:r>
        <w:rPr>
          <w:rFonts w:ascii="Arial" w:hAnsi="Arial" w:cs="Arial"/>
        </w:rPr>
        <w:t>Potential Travel</w:t>
      </w:r>
      <w:r w:rsidR="00163328">
        <w:rPr>
          <w:rFonts w:ascii="Arial" w:hAnsi="Arial" w:cs="Arial"/>
        </w:rPr>
        <w:t>s</w:t>
      </w:r>
      <w:r>
        <w:rPr>
          <w:rFonts w:ascii="Arial" w:hAnsi="Arial" w:cs="Arial"/>
        </w:rPr>
        <w:t>: Outside of Yangon</w:t>
      </w:r>
    </w:p>
    <w:p w14:paraId="1A00BB4A" w14:textId="4717E634" w:rsidR="0062774B" w:rsidRDefault="00DD0104" w:rsidP="00EE5699">
      <w:pPr>
        <w:pStyle w:val="Heading1"/>
      </w:pPr>
      <w:r>
        <w:lastRenderedPageBreak/>
        <w:t>R</w:t>
      </w:r>
      <w:r w:rsidR="0062774B">
        <w:t xml:space="preserve">esponse </w:t>
      </w:r>
    </w:p>
    <w:p w14:paraId="291DC712" w14:textId="182AA624" w:rsidR="0062774B" w:rsidRDefault="00EF2CAC" w:rsidP="00EF2CAC">
      <w:pPr>
        <w:autoSpaceDE w:val="0"/>
        <w:autoSpaceDN w:val="0"/>
        <w:adjustRightInd w:val="0"/>
        <w:spacing w:before="120" w:after="60"/>
        <w:jc w:val="both"/>
        <w:rPr>
          <w:rFonts w:ascii="Arial" w:hAnsi="Arial" w:cs="Arial"/>
        </w:rPr>
      </w:pPr>
      <w:r>
        <w:rPr>
          <w:rFonts w:ascii="Arial" w:hAnsi="Arial" w:cs="Arial"/>
        </w:rPr>
        <w:t xml:space="preserve"> </w:t>
      </w:r>
      <w:r w:rsidR="0062774B">
        <w:rPr>
          <w:rFonts w:ascii="Arial" w:hAnsi="Arial" w:cs="Arial"/>
        </w:rPr>
        <w:t xml:space="preserve">Interested registered </w:t>
      </w:r>
      <w:r w:rsidR="00882ADC">
        <w:rPr>
          <w:rFonts w:ascii="Arial" w:hAnsi="Arial" w:cs="Arial"/>
        </w:rPr>
        <w:t>Legal</w:t>
      </w:r>
      <w:r w:rsidR="0062774B">
        <w:rPr>
          <w:rFonts w:ascii="Arial" w:hAnsi="Arial" w:cs="Arial"/>
        </w:rPr>
        <w:t xml:space="preserve"> firms are requested to submit their signed narrative and financial proposal to the attention of </w:t>
      </w:r>
      <w:proofErr w:type="spellStart"/>
      <w:r w:rsidR="00221520">
        <w:rPr>
          <w:rFonts w:ascii="Arial" w:hAnsi="Arial" w:cs="Arial"/>
        </w:rPr>
        <w:t>Krishana</w:t>
      </w:r>
      <w:proofErr w:type="spellEnd"/>
      <w:r w:rsidR="00221520">
        <w:rPr>
          <w:rFonts w:ascii="Arial" w:hAnsi="Arial" w:cs="Arial"/>
        </w:rPr>
        <w:t xml:space="preserve"> Raj Adhikari</w:t>
      </w:r>
      <w:r w:rsidR="0062774B">
        <w:rPr>
          <w:rFonts w:ascii="Arial" w:hAnsi="Arial" w:cs="Arial"/>
        </w:rPr>
        <w:t xml:space="preserve">, </w:t>
      </w:r>
      <w:r w:rsidR="00221520">
        <w:rPr>
          <w:rFonts w:ascii="Arial" w:hAnsi="Arial" w:cs="Arial"/>
        </w:rPr>
        <w:t>Head of Common Services &amp; Transaction Services, UNDP Myanmar</w:t>
      </w:r>
      <w:r w:rsidR="00EE5699">
        <w:rPr>
          <w:rFonts w:ascii="Arial" w:hAnsi="Arial" w:cs="Arial"/>
        </w:rPr>
        <w:t>,</w:t>
      </w:r>
      <w:r w:rsidR="0062774B">
        <w:rPr>
          <w:rFonts w:ascii="Arial" w:hAnsi="Arial" w:cs="Arial"/>
        </w:rPr>
        <w:t xml:space="preserve"> at</w:t>
      </w:r>
      <w:r w:rsidR="00EE5699">
        <w:rPr>
          <w:rFonts w:ascii="Arial" w:hAnsi="Arial" w:cs="Arial"/>
        </w:rPr>
        <w:t xml:space="preserve"> </w:t>
      </w:r>
      <w:hyperlink r:id="rId8" w:history="1">
        <w:r w:rsidR="00221520" w:rsidRPr="00050CA7">
          <w:rPr>
            <w:rStyle w:val="Hyperlink"/>
            <w:rFonts w:ascii="Arial" w:hAnsi="Arial" w:cs="Arial"/>
          </w:rPr>
          <w:t>bids.mm@undp.org</w:t>
        </w:r>
      </w:hyperlink>
      <w:r w:rsidR="0062774B">
        <w:rPr>
          <w:rFonts w:ascii="Arial" w:hAnsi="Arial" w:cs="Arial"/>
        </w:rPr>
        <w:t>,</w:t>
      </w:r>
      <w:r w:rsidR="00221520">
        <w:rPr>
          <w:rFonts w:ascii="Arial" w:hAnsi="Arial" w:cs="Arial"/>
        </w:rPr>
        <w:t xml:space="preserve"> </w:t>
      </w:r>
      <w:r w:rsidR="0062774B" w:rsidRPr="0062774B">
        <w:rPr>
          <w:rFonts w:ascii="Arial" w:hAnsi="Arial" w:cs="Arial"/>
          <w:b/>
        </w:rPr>
        <w:t xml:space="preserve">no later than </w:t>
      </w:r>
      <w:r w:rsidR="00C130D4">
        <w:rPr>
          <w:rFonts w:ascii="Arial" w:hAnsi="Arial" w:cs="Arial"/>
          <w:b/>
        </w:rPr>
        <w:t>Monday</w:t>
      </w:r>
      <w:r w:rsidR="00EE5699">
        <w:rPr>
          <w:rFonts w:ascii="Arial" w:hAnsi="Arial" w:cs="Arial"/>
          <w:b/>
        </w:rPr>
        <w:t>,</w:t>
      </w:r>
      <w:r w:rsidR="00C130D4">
        <w:rPr>
          <w:rFonts w:ascii="Arial" w:hAnsi="Arial" w:cs="Arial"/>
          <w:b/>
        </w:rPr>
        <w:t xml:space="preserve"> 20 April 2020</w:t>
      </w:r>
      <w:r w:rsidR="00EE5699">
        <w:rPr>
          <w:rFonts w:ascii="Arial" w:hAnsi="Arial" w:cs="Arial"/>
          <w:b/>
        </w:rPr>
        <w:t xml:space="preserve">, </w:t>
      </w:r>
      <w:r w:rsidR="00C130D4">
        <w:rPr>
          <w:rFonts w:ascii="Arial" w:hAnsi="Arial" w:cs="Arial"/>
          <w:b/>
        </w:rPr>
        <w:t>5:00</w:t>
      </w:r>
      <w:r w:rsidR="00713909">
        <w:rPr>
          <w:rFonts w:ascii="Arial" w:hAnsi="Arial" w:cs="Arial"/>
          <w:b/>
        </w:rPr>
        <w:t xml:space="preserve"> pm </w:t>
      </w:r>
      <w:r w:rsidR="0062774B" w:rsidRPr="0062774B">
        <w:rPr>
          <w:rFonts w:ascii="Arial" w:hAnsi="Arial" w:cs="Arial"/>
          <w:b/>
        </w:rPr>
        <w:t>Myanmar time</w:t>
      </w:r>
      <w:r w:rsidR="0062774B" w:rsidRPr="0062774B">
        <w:rPr>
          <w:rFonts w:ascii="Arial" w:hAnsi="Arial" w:cs="Arial"/>
        </w:rPr>
        <w:t xml:space="preserve">. </w:t>
      </w:r>
      <w:r w:rsidR="0062774B">
        <w:rPr>
          <w:rFonts w:ascii="Arial" w:hAnsi="Arial" w:cs="Arial"/>
        </w:rPr>
        <w:t xml:space="preserve">   </w:t>
      </w:r>
    </w:p>
    <w:p w14:paraId="766AD86D" w14:textId="77777777" w:rsidR="002C4F24" w:rsidRDefault="002C4F24" w:rsidP="0062774B">
      <w:pPr>
        <w:autoSpaceDE w:val="0"/>
        <w:autoSpaceDN w:val="0"/>
        <w:adjustRightInd w:val="0"/>
        <w:spacing w:after="0"/>
        <w:jc w:val="both"/>
        <w:rPr>
          <w:rFonts w:ascii="Arial" w:hAnsi="Arial" w:cs="Arial"/>
        </w:rPr>
      </w:pPr>
    </w:p>
    <w:p w14:paraId="2CC2F525" w14:textId="77777777" w:rsidR="00F959ED" w:rsidRDefault="00F959ED" w:rsidP="00F44FCF">
      <w:pPr>
        <w:spacing w:after="0" w:line="240" w:lineRule="auto"/>
        <w:jc w:val="center"/>
        <w:rPr>
          <w:rFonts w:eastAsia="Times New Roman" w:cs="Calibri"/>
          <w:b/>
          <w:sz w:val="28"/>
          <w:szCs w:val="20"/>
        </w:rPr>
      </w:pPr>
    </w:p>
    <w:p w14:paraId="05FE5385" w14:textId="3EC003B4" w:rsidR="00F44FCF" w:rsidRDefault="00F44FCF" w:rsidP="00F44FCF">
      <w:pPr>
        <w:spacing w:after="0" w:line="240" w:lineRule="auto"/>
        <w:jc w:val="center"/>
        <w:rPr>
          <w:rFonts w:eastAsia="Times New Roman" w:cs="Calibri"/>
          <w:b/>
          <w:sz w:val="28"/>
          <w:szCs w:val="20"/>
        </w:rPr>
      </w:pPr>
      <w:r w:rsidRPr="00F44FCF">
        <w:rPr>
          <w:rFonts w:eastAsia="Times New Roman" w:cs="Calibri"/>
          <w:b/>
          <w:sz w:val="28"/>
          <w:szCs w:val="20"/>
        </w:rPr>
        <w:t xml:space="preserve">Description of Requirements </w:t>
      </w:r>
    </w:p>
    <w:p w14:paraId="675AE189" w14:textId="248B3A1C" w:rsidR="008851B1" w:rsidRDefault="008851B1" w:rsidP="00F44FCF">
      <w:pPr>
        <w:spacing w:after="0" w:line="240" w:lineRule="auto"/>
        <w:jc w:val="center"/>
        <w:rPr>
          <w:rFonts w:eastAsia="Times New Roman" w:cs="Calibri"/>
          <w:b/>
          <w:sz w:val="28"/>
          <w:szCs w:val="20"/>
        </w:rPr>
      </w:pPr>
    </w:p>
    <w:p w14:paraId="3BB77BB7" w14:textId="6D461438" w:rsidR="00A7485E" w:rsidRDefault="0005334B" w:rsidP="008851B1">
      <w:pPr>
        <w:spacing w:after="0" w:line="240" w:lineRule="auto"/>
        <w:rPr>
          <w:rFonts w:ascii="Arial" w:eastAsia="Times New Roman" w:hAnsi="Arial" w:cs="Arial"/>
          <w:bCs/>
        </w:rPr>
      </w:pPr>
      <w:r>
        <w:rPr>
          <w:rFonts w:ascii="Arial" w:eastAsia="Times New Roman" w:hAnsi="Arial" w:cs="Arial"/>
          <w:bCs/>
        </w:rPr>
        <w:t xml:space="preserve">- </w:t>
      </w:r>
      <w:r w:rsidR="008851B1" w:rsidRPr="00A7485E">
        <w:rPr>
          <w:rFonts w:ascii="Arial" w:eastAsia="Times New Roman" w:hAnsi="Arial" w:cs="Arial"/>
          <w:bCs/>
        </w:rPr>
        <w:t>List and Description</w:t>
      </w:r>
      <w:r w:rsidR="00250B6C" w:rsidRPr="00A7485E">
        <w:rPr>
          <w:rFonts w:ascii="Arial" w:eastAsia="Times New Roman" w:hAnsi="Arial" w:cs="Arial"/>
          <w:bCs/>
        </w:rPr>
        <w:t xml:space="preserve"> of Expected Outputs to be Delivered: </w:t>
      </w:r>
    </w:p>
    <w:p w14:paraId="0D9343C8" w14:textId="77777777" w:rsidR="00A7485E" w:rsidRDefault="00A7485E" w:rsidP="008851B1">
      <w:pPr>
        <w:spacing w:after="0" w:line="240" w:lineRule="auto"/>
        <w:rPr>
          <w:rFonts w:ascii="Arial" w:eastAsia="Times New Roman" w:hAnsi="Arial" w:cs="Arial"/>
          <w:bCs/>
        </w:rPr>
      </w:pPr>
    </w:p>
    <w:p w14:paraId="0C4108E2" w14:textId="326FF8A9" w:rsidR="008851B1" w:rsidRDefault="00A7485E" w:rsidP="00A7485E">
      <w:pPr>
        <w:pStyle w:val="ListParagraph"/>
        <w:numPr>
          <w:ilvl w:val="0"/>
          <w:numId w:val="34"/>
        </w:numPr>
        <w:spacing w:after="0" w:line="240" w:lineRule="auto"/>
        <w:rPr>
          <w:rFonts w:ascii="Arial" w:eastAsia="Times New Roman" w:hAnsi="Arial" w:cs="Arial"/>
          <w:bCs/>
        </w:rPr>
      </w:pPr>
      <w:r w:rsidRPr="00A7485E">
        <w:rPr>
          <w:rFonts w:ascii="Arial" w:eastAsia="Times New Roman" w:hAnsi="Arial" w:cs="Arial"/>
          <w:bCs/>
        </w:rPr>
        <w:t>Review of business conversion templates;</w:t>
      </w:r>
    </w:p>
    <w:p w14:paraId="0CA34C5B" w14:textId="111465AE" w:rsidR="00A7485E" w:rsidRDefault="00A7485E" w:rsidP="00A7485E">
      <w:pPr>
        <w:pStyle w:val="ListParagraph"/>
        <w:numPr>
          <w:ilvl w:val="0"/>
          <w:numId w:val="34"/>
        </w:numPr>
        <w:spacing w:after="0" w:line="240" w:lineRule="auto"/>
        <w:rPr>
          <w:rFonts w:ascii="Arial" w:eastAsia="Times New Roman" w:hAnsi="Arial" w:cs="Arial"/>
          <w:bCs/>
        </w:rPr>
      </w:pPr>
      <w:r>
        <w:rPr>
          <w:rFonts w:ascii="Arial" w:eastAsia="Times New Roman" w:hAnsi="Arial" w:cs="Arial"/>
          <w:bCs/>
        </w:rPr>
        <w:t>IRD registra</w:t>
      </w:r>
      <w:r w:rsidR="007B1FB2">
        <w:rPr>
          <w:rFonts w:ascii="Arial" w:eastAsia="Times New Roman" w:hAnsi="Arial" w:cs="Arial"/>
          <w:bCs/>
        </w:rPr>
        <w:t>tion and related compliance</w:t>
      </w:r>
    </w:p>
    <w:p w14:paraId="568D7849" w14:textId="60781261" w:rsidR="007B1FB2" w:rsidRPr="00A7485E" w:rsidRDefault="007B1FB2" w:rsidP="00A7485E">
      <w:pPr>
        <w:pStyle w:val="ListParagraph"/>
        <w:numPr>
          <w:ilvl w:val="0"/>
          <w:numId w:val="34"/>
        </w:numPr>
        <w:spacing w:after="0" w:line="240" w:lineRule="auto"/>
        <w:rPr>
          <w:rFonts w:ascii="Arial" w:eastAsia="Times New Roman" w:hAnsi="Arial" w:cs="Arial"/>
          <w:bCs/>
        </w:rPr>
      </w:pPr>
      <w:r>
        <w:rPr>
          <w:rFonts w:ascii="Arial" w:eastAsia="Times New Roman" w:hAnsi="Arial" w:cs="Arial"/>
          <w:bCs/>
        </w:rPr>
        <w:t>MCL Company Director training</w:t>
      </w:r>
    </w:p>
    <w:p w14:paraId="0D55C1CE" w14:textId="77777777" w:rsidR="00A7485E" w:rsidRPr="00A7485E" w:rsidRDefault="00A7485E" w:rsidP="008851B1">
      <w:pPr>
        <w:spacing w:after="0" w:line="240" w:lineRule="auto"/>
        <w:rPr>
          <w:rFonts w:ascii="Arial" w:eastAsia="Times New Roman" w:hAnsi="Arial" w:cs="Arial"/>
          <w:bCs/>
        </w:rPr>
      </w:pPr>
    </w:p>
    <w:p w14:paraId="01C9AF11" w14:textId="1EDBFF36" w:rsidR="008851B1" w:rsidRDefault="0005334B" w:rsidP="0005334B">
      <w:pPr>
        <w:spacing w:after="0" w:line="240" w:lineRule="auto"/>
        <w:rPr>
          <w:rFonts w:ascii="Arial" w:eastAsia="Times New Roman" w:hAnsi="Arial" w:cs="Arial"/>
          <w:bCs/>
        </w:rPr>
      </w:pPr>
      <w:r>
        <w:rPr>
          <w:rFonts w:ascii="Arial" w:eastAsia="Times New Roman" w:hAnsi="Arial" w:cs="Arial"/>
          <w:bCs/>
        </w:rPr>
        <w:t xml:space="preserve">- </w:t>
      </w:r>
      <w:r w:rsidRPr="0005334B">
        <w:rPr>
          <w:rFonts w:ascii="Arial" w:eastAsia="Times New Roman" w:hAnsi="Arial" w:cs="Arial"/>
          <w:bCs/>
        </w:rPr>
        <w:t>Implementation Schedule indicating breakdown and timing of activities/sub activities</w:t>
      </w:r>
      <w:r>
        <w:rPr>
          <w:rFonts w:ascii="Arial" w:eastAsia="Times New Roman" w:hAnsi="Arial" w:cs="Arial"/>
          <w:bCs/>
        </w:rPr>
        <w:t xml:space="preserve"> are required.</w:t>
      </w:r>
    </w:p>
    <w:p w14:paraId="78DA870B" w14:textId="727BA0D3" w:rsidR="00280088" w:rsidRDefault="00280088" w:rsidP="0005334B">
      <w:pPr>
        <w:spacing w:after="0" w:line="240" w:lineRule="auto"/>
        <w:rPr>
          <w:rFonts w:ascii="Arial" w:eastAsia="Times New Roman" w:hAnsi="Arial" w:cs="Arial"/>
          <w:bCs/>
        </w:rPr>
      </w:pPr>
    </w:p>
    <w:p w14:paraId="0BD5AF93" w14:textId="063EF75E" w:rsidR="00280088" w:rsidRDefault="00280088" w:rsidP="00280088">
      <w:pPr>
        <w:spacing w:after="0" w:line="240" w:lineRule="auto"/>
        <w:rPr>
          <w:rFonts w:ascii="Arial" w:eastAsia="Times New Roman" w:hAnsi="Arial" w:cs="Arial"/>
          <w:bCs/>
        </w:rPr>
      </w:pPr>
      <w:r>
        <w:rPr>
          <w:rFonts w:ascii="Arial" w:eastAsia="Times New Roman" w:hAnsi="Arial" w:cs="Arial"/>
          <w:bCs/>
        </w:rPr>
        <w:t xml:space="preserve">- Currency of Proposal: </w:t>
      </w:r>
    </w:p>
    <w:p w14:paraId="38A497A8" w14:textId="5DDC4E0A" w:rsidR="00280088" w:rsidRDefault="00280088" w:rsidP="00280088">
      <w:pPr>
        <w:pStyle w:val="ListParagraph"/>
        <w:numPr>
          <w:ilvl w:val="0"/>
          <w:numId w:val="36"/>
        </w:numPr>
        <w:spacing w:after="0" w:line="240" w:lineRule="auto"/>
        <w:rPr>
          <w:rFonts w:ascii="Arial" w:eastAsia="Times New Roman" w:hAnsi="Arial" w:cs="Arial"/>
          <w:bCs/>
        </w:rPr>
      </w:pPr>
      <w:r>
        <w:rPr>
          <w:rFonts w:ascii="Arial" w:eastAsia="Times New Roman" w:hAnsi="Arial" w:cs="Arial"/>
          <w:bCs/>
        </w:rPr>
        <w:t>Local currency, Myanmar Kyats for Myanmar Company</w:t>
      </w:r>
    </w:p>
    <w:p w14:paraId="67AAB550" w14:textId="7ED28E79" w:rsidR="00280088" w:rsidRDefault="00280088" w:rsidP="00280088">
      <w:pPr>
        <w:pStyle w:val="ListParagraph"/>
        <w:numPr>
          <w:ilvl w:val="0"/>
          <w:numId w:val="36"/>
        </w:numPr>
        <w:spacing w:after="0" w:line="240" w:lineRule="auto"/>
        <w:rPr>
          <w:rFonts w:ascii="Arial" w:eastAsia="Times New Roman" w:hAnsi="Arial" w:cs="Arial"/>
          <w:bCs/>
        </w:rPr>
      </w:pPr>
      <w:r>
        <w:rPr>
          <w:rFonts w:ascii="Arial" w:eastAsia="Times New Roman" w:hAnsi="Arial" w:cs="Arial"/>
          <w:bCs/>
        </w:rPr>
        <w:t>United States Dollars for over</w:t>
      </w:r>
      <w:r w:rsidR="00C6493A">
        <w:rPr>
          <w:rFonts w:ascii="Arial" w:eastAsia="Times New Roman" w:hAnsi="Arial" w:cs="Arial"/>
          <w:bCs/>
        </w:rPr>
        <w:t>seas Company</w:t>
      </w:r>
    </w:p>
    <w:p w14:paraId="6EB0BD67" w14:textId="60B6F956" w:rsidR="00AB5BBC" w:rsidRDefault="00AB5BBC" w:rsidP="00AB5BBC">
      <w:pPr>
        <w:spacing w:after="0" w:line="240" w:lineRule="auto"/>
        <w:rPr>
          <w:rFonts w:ascii="Arial" w:eastAsia="Times New Roman" w:hAnsi="Arial" w:cs="Arial"/>
          <w:bCs/>
        </w:rPr>
      </w:pPr>
    </w:p>
    <w:p w14:paraId="66883B72" w14:textId="79C874C9" w:rsidR="00AB5BBC" w:rsidRDefault="00AB5BBC" w:rsidP="00AB5BBC">
      <w:pPr>
        <w:spacing w:after="0" w:line="240" w:lineRule="auto"/>
        <w:rPr>
          <w:rFonts w:ascii="Arial" w:eastAsia="Times New Roman" w:hAnsi="Arial" w:cs="Arial"/>
          <w:bCs/>
        </w:rPr>
      </w:pPr>
      <w:r>
        <w:rPr>
          <w:rFonts w:ascii="Arial" w:eastAsia="Times New Roman" w:hAnsi="Arial" w:cs="Arial"/>
          <w:bCs/>
        </w:rPr>
        <w:t xml:space="preserve">Value Added Tax on Price Proposal: </w:t>
      </w:r>
    </w:p>
    <w:p w14:paraId="1A35313E" w14:textId="7AA6632F" w:rsidR="00AB5BBC" w:rsidRDefault="00AB5BBC" w:rsidP="00AB5BBC">
      <w:pPr>
        <w:pStyle w:val="ListParagraph"/>
        <w:numPr>
          <w:ilvl w:val="0"/>
          <w:numId w:val="37"/>
        </w:numPr>
        <w:spacing w:after="0" w:line="240" w:lineRule="auto"/>
        <w:rPr>
          <w:rFonts w:ascii="Arial" w:eastAsia="Times New Roman" w:hAnsi="Arial" w:cs="Arial"/>
          <w:bCs/>
        </w:rPr>
      </w:pPr>
      <w:r>
        <w:rPr>
          <w:rFonts w:ascii="Arial" w:eastAsia="Times New Roman" w:hAnsi="Arial" w:cs="Arial"/>
          <w:bCs/>
        </w:rPr>
        <w:t>Must be exclusive of VAT and other applicable indirect taxes</w:t>
      </w:r>
    </w:p>
    <w:p w14:paraId="5C37FDB4" w14:textId="357B4E0D" w:rsidR="006D3398" w:rsidRDefault="006D3398" w:rsidP="006D3398">
      <w:pPr>
        <w:spacing w:after="0" w:line="240" w:lineRule="auto"/>
        <w:rPr>
          <w:rFonts w:ascii="Arial" w:eastAsia="Times New Roman" w:hAnsi="Arial" w:cs="Arial"/>
          <w:bCs/>
        </w:rPr>
      </w:pPr>
    </w:p>
    <w:p w14:paraId="566E20D6" w14:textId="7C0D9117" w:rsidR="006D3398" w:rsidRDefault="006D3398" w:rsidP="006D3398">
      <w:pPr>
        <w:spacing w:after="0" w:line="240" w:lineRule="auto"/>
        <w:rPr>
          <w:rFonts w:ascii="Arial" w:eastAsia="Times New Roman" w:hAnsi="Arial" w:cs="Arial"/>
          <w:bCs/>
        </w:rPr>
      </w:pPr>
      <w:r>
        <w:rPr>
          <w:rFonts w:ascii="Arial" w:eastAsia="Times New Roman" w:hAnsi="Arial" w:cs="Arial"/>
          <w:bCs/>
        </w:rPr>
        <w:t>Validity Period of Proposals (Counting for the last day of submission of quotes):</w:t>
      </w:r>
    </w:p>
    <w:p w14:paraId="2F8416A5" w14:textId="5503ADC9" w:rsidR="006D3398" w:rsidRDefault="006D3398" w:rsidP="006D3398">
      <w:pPr>
        <w:pStyle w:val="ListParagraph"/>
        <w:numPr>
          <w:ilvl w:val="0"/>
          <w:numId w:val="37"/>
        </w:numPr>
        <w:spacing w:after="0" w:line="240" w:lineRule="auto"/>
        <w:rPr>
          <w:rFonts w:ascii="Arial" w:eastAsia="Times New Roman" w:hAnsi="Arial" w:cs="Arial"/>
          <w:bCs/>
        </w:rPr>
      </w:pPr>
      <w:r>
        <w:rPr>
          <w:rFonts w:ascii="Arial" w:eastAsia="Times New Roman" w:hAnsi="Arial" w:cs="Arial"/>
          <w:bCs/>
        </w:rPr>
        <w:t xml:space="preserve">120 </w:t>
      </w:r>
      <w:r w:rsidR="000400C3">
        <w:rPr>
          <w:rFonts w:ascii="Arial" w:eastAsia="Times New Roman" w:hAnsi="Arial" w:cs="Arial"/>
          <w:bCs/>
        </w:rPr>
        <w:t>days</w:t>
      </w:r>
    </w:p>
    <w:p w14:paraId="092EEE43" w14:textId="2AECC145" w:rsidR="00EF53D5" w:rsidRDefault="00EF53D5" w:rsidP="00EF53D5">
      <w:pPr>
        <w:spacing w:after="0" w:line="240" w:lineRule="auto"/>
        <w:rPr>
          <w:rFonts w:ascii="Arial" w:eastAsia="Times New Roman" w:hAnsi="Arial" w:cs="Arial"/>
          <w:bCs/>
        </w:rPr>
      </w:pPr>
    </w:p>
    <w:p w14:paraId="57BF4A4F" w14:textId="7725D997" w:rsidR="00EF53D5" w:rsidRDefault="003070AE" w:rsidP="00EF53D5">
      <w:pPr>
        <w:spacing w:after="0" w:line="240" w:lineRule="auto"/>
        <w:rPr>
          <w:rFonts w:ascii="Arial" w:eastAsia="Times New Roman" w:hAnsi="Arial" w:cs="Arial"/>
          <w:bCs/>
        </w:rPr>
      </w:pPr>
      <w:r w:rsidRPr="003070AE">
        <w:rPr>
          <w:rFonts w:ascii="Arial" w:eastAsia="Times New Roman" w:hAnsi="Arial" w:cs="Arial"/>
          <w:bCs/>
        </w:rPr>
        <w:t xml:space="preserve">Person(s) to review/inspect/ approve outputs/completed services and authorize the disbursement of payment: </w:t>
      </w:r>
    </w:p>
    <w:p w14:paraId="0219784F" w14:textId="187D28DF" w:rsidR="003070AE" w:rsidRDefault="003070AE" w:rsidP="00EF53D5">
      <w:pPr>
        <w:spacing w:after="0" w:line="240" w:lineRule="auto"/>
        <w:rPr>
          <w:rFonts w:ascii="Arial" w:eastAsia="Times New Roman" w:hAnsi="Arial" w:cs="Arial"/>
          <w:bCs/>
        </w:rPr>
      </w:pPr>
    </w:p>
    <w:p w14:paraId="1495BF84" w14:textId="47F2309A" w:rsidR="003070AE" w:rsidRDefault="003070AE" w:rsidP="003070AE">
      <w:pPr>
        <w:pStyle w:val="ListParagraph"/>
        <w:numPr>
          <w:ilvl w:val="0"/>
          <w:numId w:val="37"/>
        </w:numPr>
        <w:spacing w:after="0" w:line="240" w:lineRule="auto"/>
        <w:rPr>
          <w:rFonts w:ascii="Arial" w:eastAsia="Times New Roman" w:hAnsi="Arial" w:cs="Arial"/>
          <w:bCs/>
        </w:rPr>
      </w:pPr>
      <w:r>
        <w:rPr>
          <w:rFonts w:ascii="Arial" w:eastAsia="Times New Roman" w:hAnsi="Arial" w:cs="Arial"/>
          <w:bCs/>
        </w:rPr>
        <w:t>UNCDF Myanmar Country Coordinator</w:t>
      </w:r>
    </w:p>
    <w:p w14:paraId="313F5C83" w14:textId="3042BE40" w:rsidR="005510D7" w:rsidRDefault="005510D7" w:rsidP="005510D7">
      <w:pPr>
        <w:spacing w:after="0" w:line="240" w:lineRule="auto"/>
        <w:rPr>
          <w:rFonts w:ascii="Arial" w:eastAsia="Times New Roman" w:hAnsi="Arial" w:cs="Arial"/>
          <w:bCs/>
        </w:rPr>
      </w:pPr>
    </w:p>
    <w:p w14:paraId="0B896A34" w14:textId="7ED83158" w:rsidR="005510D7" w:rsidRDefault="005510D7" w:rsidP="005510D7">
      <w:pPr>
        <w:spacing w:after="0" w:line="240" w:lineRule="auto"/>
        <w:rPr>
          <w:rFonts w:ascii="Arial" w:eastAsia="Times New Roman" w:hAnsi="Arial" w:cs="Arial"/>
          <w:bCs/>
        </w:rPr>
      </w:pPr>
      <w:r>
        <w:rPr>
          <w:rFonts w:ascii="Arial" w:eastAsia="Times New Roman" w:hAnsi="Arial" w:cs="Arial"/>
          <w:bCs/>
        </w:rPr>
        <w:t>Contact Person for Inqu</w:t>
      </w:r>
      <w:r w:rsidR="00473F24">
        <w:rPr>
          <w:rFonts w:ascii="Arial" w:eastAsia="Times New Roman" w:hAnsi="Arial" w:cs="Arial"/>
          <w:bCs/>
        </w:rPr>
        <w:t>i</w:t>
      </w:r>
      <w:r>
        <w:rPr>
          <w:rFonts w:ascii="Arial" w:eastAsia="Times New Roman" w:hAnsi="Arial" w:cs="Arial"/>
          <w:bCs/>
        </w:rPr>
        <w:t xml:space="preserve">ries (Written </w:t>
      </w:r>
      <w:r w:rsidR="00473F24">
        <w:rPr>
          <w:rFonts w:ascii="Arial" w:eastAsia="Times New Roman" w:hAnsi="Arial" w:cs="Arial"/>
          <w:bCs/>
        </w:rPr>
        <w:t>inquiries only):</w:t>
      </w:r>
    </w:p>
    <w:p w14:paraId="46EA03D7" w14:textId="1AA22726" w:rsidR="00473F24" w:rsidRDefault="00473F24" w:rsidP="005510D7">
      <w:pPr>
        <w:spacing w:after="0" w:line="240" w:lineRule="auto"/>
        <w:rPr>
          <w:rFonts w:ascii="Arial" w:eastAsia="Times New Roman" w:hAnsi="Arial" w:cs="Arial"/>
          <w:bCs/>
        </w:rPr>
      </w:pPr>
    </w:p>
    <w:p w14:paraId="59C4A0B0" w14:textId="7BA205D5" w:rsidR="00473F24" w:rsidRDefault="00473F24" w:rsidP="00473F24">
      <w:pPr>
        <w:pStyle w:val="ListParagraph"/>
        <w:numPr>
          <w:ilvl w:val="0"/>
          <w:numId w:val="37"/>
        </w:numPr>
        <w:spacing w:after="0" w:line="240" w:lineRule="auto"/>
        <w:rPr>
          <w:rFonts w:ascii="Arial" w:eastAsia="Times New Roman" w:hAnsi="Arial" w:cs="Arial"/>
          <w:bCs/>
        </w:rPr>
      </w:pPr>
      <w:r>
        <w:rPr>
          <w:rFonts w:ascii="Arial" w:eastAsia="Times New Roman" w:hAnsi="Arial" w:cs="Arial"/>
          <w:bCs/>
        </w:rPr>
        <w:t xml:space="preserve">Mr. Min </w:t>
      </w:r>
      <w:proofErr w:type="spellStart"/>
      <w:r>
        <w:rPr>
          <w:rFonts w:ascii="Arial" w:eastAsia="Times New Roman" w:hAnsi="Arial" w:cs="Arial"/>
          <w:bCs/>
        </w:rPr>
        <w:t>Min</w:t>
      </w:r>
      <w:proofErr w:type="spellEnd"/>
      <w:r>
        <w:rPr>
          <w:rFonts w:ascii="Arial" w:eastAsia="Times New Roman" w:hAnsi="Arial" w:cs="Arial"/>
          <w:bCs/>
        </w:rPr>
        <w:t xml:space="preserve"> Thein</w:t>
      </w:r>
    </w:p>
    <w:p w14:paraId="11C6B517" w14:textId="4D1AEEB6" w:rsidR="00473F24" w:rsidRDefault="00473F24" w:rsidP="00473F24">
      <w:pPr>
        <w:pStyle w:val="ListParagraph"/>
        <w:spacing w:after="0" w:line="240" w:lineRule="auto"/>
        <w:rPr>
          <w:rFonts w:ascii="Arial" w:eastAsia="Times New Roman" w:hAnsi="Arial" w:cs="Arial"/>
          <w:bCs/>
        </w:rPr>
      </w:pPr>
      <w:r>
        <w:rPr>
          <w:rFonts w:ascii="Arial" w:eastAsia="Times New Roman" w:hAnsi="Arial" w:cs="Arial"/>
          <w:bCs/>
        </w:rPr>
        <w:t>Procurement Analyst</w:t>
      </w:r>
    </w:p>
    <w:p w14:paraId="1D44A0F9" w14:textId="51ADDDE9" w:rsidR="00473F24" w:rsidRDefault="00A26FE9" w:rsidP="00473F24">
      <w:pPr>
        <w:pStyle w:val="ListParagraph"/>
        <w:spacing w:after="0" w:line="240" w:lineRule="auto"/>
        <w:rPr>
          <w:rFonts w:ascii="Arial" w:eastAsia="Times New Roman" w:hAnsi="Arial" w:cs="Arial"/>
          <w:bCs/>
        </w:rPr>
      </w:pPr>
      <w:hyperlink r:id="rId9" w:history="1">
        <w:r w:rsidR="00016AFA" w:rsidRPr="00050CA7">
          <w:rPr>
            <w:rStyle w:val="Hyperlink"/>
            <w:rFonts w:ascii="Arial" w:eastAsia="Times New Roman" w:hAnsi="Arial" w:cs="Arial"/>
            <w:bCs/>
          </w:rPr>
          <w:t>Procurement.mm@undp.org</w:t>
        </w:r>
      </w:hyperlink>
    </w:p>
    <w:p w14:paraId="482190B9" w14:textId="77777777" w:rsidR="00016AFA" w:rsidRPr="00473F24" w:rsidRDefault="00016AFA" w:rsidP="00473F24">
      <w:pPr>
        <w:pStyle w:val="ListParagraph"/>
        <w:spacing w:after="0" w:line="240" w:lineRule="auto"/>
        <w:rPr>
          <w:rFonts w:ascii="Arial" w:eastAsia="Times New Roman" w:hAnsi="Arial" w:cs="Arial"/>
          <w:bCs/>
        </w:rPr>
      </w:pPr>
    </w:p>
    <w:p w14:paraId="08D6B9F6" w14:textId="77777777" w:rsidR="00F44FCF" w:rsidRPr="003070AE" w:rsidRDefault="00F44FCF" w:rsidP="00F44FCF">
      <w:pPr>
        <w:spacing w:after="0" w:line="240" w:lineRule="auto"/>
        <w:jc w:val="both"/>
        <w:rPr>
          <w:rFonts w:ascii="Arial" w:eastAsia="Times New Roman" w:hAnsi="Arial" w:cs="Arial"/>
          <w:bCs/>
        </w:rPr>
      </w:pPr>
    </w:p>
    <w:p w14:paraId="4D42EF75" w14:textId="4E4D78C3" w:rsidR="00125A8A" w:rsidRPr="00585529" w:rsidRDefault="00F44FCF" w:rsidP="00585529">
      <w:pPr>
        <w:spacing w:after="0" w:line="240" w:lineRule="auto"/>
        <w:rPr>
          <w:rFonts w:ascii="Times New Roman" w:eastAsia="Times New Roman" w:hAnsi="Times New Roman"/>
          <w:sz w:val="20"/>
          <w:szCs w:val="20"/>
        </w:rPr>
      </w:pPr>
      <w:r w:rsidRPr="00F44FCF">
        <w:rPr>
          <w:rFonts w:ascii="Times New Roman" w:eastAsia="Times New Roman" w:hAnsi="Times New Roman"/>
          <w:sz w:val="20"/>
          <w:szCs w:val="20"/>
        </w:rPr>
        <w:br w:type="page"/>
      </w:r>
    </w:p>
    <w:p w14:paraId="31D51AB1" w14:textId="77777777" w:rsidR="00125A8A" w:rsidRDefault="00125A8A" w:rsidP="00412D73">
      <w:pPr>
        <w:jc w:val="center"/>
        <w:rPr>
          <w:b/>
          <w:bCs/>
        </w:rPr>
      </w:pPr>
    </w:p>
    <w:p w14:paraId="58192CC3" w14:textId="3544F76F" w:rsidR="00412D73" w:rsidRPr="00D56BBF" w:rsidRDefault="00412D73" w:rsidP="00412D73">
      <w:pPr>
        <w:jc w:val="center"/>
        <w:rPr>
          <w:b/>
          <w:bCs/>
        </w:rPr>
      </w:pPr>
      <w:r w:rsidRPr="00D56BBF">
        <w:rPr>
          <w:b/>
          <w:bCs/>
        </w:rPr>
        <w:t xml:space="preserve">Evaluation Criteria </w:t>
      </w:r>
    </w:p>
    <w:p w14:paraId="58D70BE8" w14:textId="77777777" w:rsidR="00412D73" w:rsidRPr="00D56BBF" w:rsidRDefault="00412D73" w:rsidP="00412D73">
      <w:pPr>
        <w:rPr>
          <w:b/>
        </w:rPr>
      </w:pPr>
      <w:r w:rsidRPr="00D56BBF">
        <w:rPr>
          <w:b/>
        </w:rPr>
        <w:t xml:space="preserve">Technical Evaluation:  </w:t>
      </w:r>
    </w:p>
    <w:tbl>
      <w:tblPr>
        <w:tblStyle w:val="TableGrid"/>
        <w:tblW w:w="7735" w:type="dxa"/>
        <w:tblLook w:val="04A0" w:firstRow="1" w:lastRow="0" w:firstColumn="1" w:lastColumn="0" w:noHBand="0" w:noVBand="1"/>
      </w:tblPr>
      <w:tblGrid>
        <w:gridCol w:w="625"/>
        <w:gridCol w:w="3960"/>
        <w:gridCol w:w="1440"/>
        <w:gridCol w:w="1710"/>
      </w:tblGrid>
      <w:tr w:rsidR="00412D73" w14:paraId="36502C1A" w14:textId="77777777" w:rsidTr="00153DF2">
        <w:tc>
          <w:tcPr>
            <w:tcW w:w="4585" w:type="dxa"/>
            <w:gridSpan w:val="2"/>
          </w:tcPr>
          <w:p w14:paraId="4CF09FAB" w14:textId="77777777" w:rsidR="00412D73" w:rsidRPr="008F6BBF" w:rsidRDefault="00412D73" w:rsidP="002D56E8">
            <w:pPr>
              <w:rPr>
                <w:b/>
              </w:rPr>
            </w:pPr>
            <w:r w:rsidRPr="008F6BBF">
              <w:rPr>
                <w:b/>
              </w:rPr>
              <w:t xml:space="preserve">Technical Evaluation Weighting </w:t>
            </w:r>
          </w:p>
        </w:tc>
        <w:tc>
          <w:tcPr>
            <w:tcW w:w="1440" w:type="dxa"/>
          </w:tcPr>
          <w:p w14:paraId="462A3B89" w14:textId="77777777" w:rsidR="00412D73" w:rsidRPr="002529EF" w:rsidRDefault="00412D73" w:rsidP="002D56E8">
            <w:pPr>
              <w:rPr>
                <w:b/>
              </w:rPr>
            </w:pPr>
            <w:r w:rsidRPr="002529EF">
              <w:rPr>
                <w:b/>
              </w:rPr>
              <w:t>Score Weight</w:t>
            </w:r>
          </w:p>
        </w:tc>
        <w:tc>
          <w:tcPr>
            <w:tcW w:w="1710" w:type="dxa"/>
          </w:tcPr>
          <w:p w14:paraId="5D3ADD7F" w14:textId="77777777" w:rsidR="00412D73" w:rsidRPr="002529EF" w:rsidRDefault="00412D73" w:rsidP="002D56E8">
            <w:pPr>
              <w:rPr>
                <w:b/>
              </w:rPr>
            </w:pPr>
            <w:r w:rsidRPr="002529EF">
              <w:rPr>
                <w:b/>
              </w:rPr>
              <w:t xml:space="preserve">Total Points </w:t>
            </w:r>
          </w:p>
        </w:tc>
      </w:tr>
      <w:tr w:rsidR="00412D73" w14:paraId="730D420B" w14:textId="77777777" w:rsidTr="00153DF2">
        <w:tc>
          <w:tcPr>
            <w:tcW w:w="625" w:type="dxa"/>
          </w:tcPr>
          <w:p w14:paraId="3CB8A88E" w14:textId="77777777" w:rsidR="00412D73" w:rsidRDefault="00412D73" w:rsidP="002D56E8">
            <w:r>
              <w:t>1</w:t>
            </w:r>
          </w:p>
        </w:tc>
        <w:tc>
          <w:tcPr>
            <w:tcW w:w="3960" w:type="dxa"/>
          </w:tcPr>
          <w:p w14:paraId="24B732AA" w14:textId="0DFC7F06" w:rsidR="00412D73" w:rsidRDefault="00125A8A" w:rsidP="002D56E8">
            <w:r>
              <w:t>Relevant Experience and Expertise</w:t>
            </w:r>
            <w:r w:rsidR="0008765E">
              <w:t xml:space="preserve"> such as:   </w:t>
            </w:r>
            <w:r w:rsidR="0008765E">
              <w:rPr>
                <w:rFonts w:eastAsia="Times New Roman"/>
              </w:rPr>
              <w:t>Publications, Workshops, </w:t>
            </w:r>
            <w:proofErr w:type="spellStart"/>
            <w:r w:rsidR="0008765E" w:rsidRPr="00330353">
              <w:rPr>
                <w:rFonts w:eastAsia="Times New Roman"/>
              </w:rPr>
              <w:t>etc</w:t>
            </w:r>
            <w:proofErr w:type="spellEnd"/>
            <w:r w:rsidR="0008765E" w:rsidRPr="00330353">
              <w:rPr>
                <w:rFonts w:eastAsia="Times New Roman"/>
              </w:rPr>
              <w:t xml:space="preserve"> Demonstrating the Firms' Expertise Within the Myanmar Financial Services Sector </w:t>
            </w:r>
            <w:r w:rsidR="00A15C78">
              <w:rPr>
                <w:rFonts w:eastAsia="Times New Roman"/>
              </w:rPr>
              <w:t xml:space="preserve">(Section E above) </w:t>
            </w:r>
          </w:p>
          <w:p w14:paraId="13271187" w14:textId="493F83FC" w:rsidR="0008765E" w:rsidRDefault="0008765E" w:rsidP="002D56E8"/>
        </w:tc>
        <w:tc>
          <w:tcPr>
            <w:tcW w:w="1440" w:type="dxa"/>
          </w:tcPr>
          <w:p w14:paraId="5CD81586" w14:textId="198549E5" w:rsidR="00412D73" w:rsidRDefault="00A2606F" w:rsidP="002D56E8">
            <w:r>
              <w:t>36%</w:t>
            </w:r>
          </w:p>
        </w:tc>
        <w:tc>
          <w:tcPr>
            <w:tcW w:w="1710" w:type="dxa"/>
          </w:tcPr>
          <w:p w14:paraId="68BE9955" w14:textId="4204E895" w:rsidR="00357A1A" w:rsidRDefault="001551DF" w:rsidP="002D56E8">
            <w:r>
              <w:t>3</w:t>
            </w:r>
            <w:r w:rsidR="00A2606F">
              <w:t>60</w:t>
            </w:r>
            <w:r w:rsidR="00153DF2">
              <w:t xml:space="preserve"> </w:t>
            </w:r>
          </w:p>
        </w:tc>
      </w:tr>
      <w:tr w:rsidR="00412D73" w14:paraId="42C83036" w14:textId="77777777" w:rsidTr="00153DF2">
        <w:tc>
          <w:tcPr>
            <w:tcW w:w="625" w:type="dxa"/>
          </w:tcPr>
          <w:p w14:paraId="5EAB9CFA" w14:textId="77777777" w:rsidR="00412D73" w:rsidRDefault="00412D73" w:rsidP="002D56E8">
            <w:r>
              <w:t>2</w:t>
            </w:r>
          </w:p>
        </w:tc>
        <w:tc>
          <w:tcPr>
            <w:tcW w:w="3960" w:type="dxa"/>
          </w:tcPr>
          <w:p w14:paraId="78B1FBC2" w14:textId="64BFA953" w:rsidR="00412D73" w:rsidRDefault="00125A8A" w:rsidP="002D56E8">
            <w:r>
              <w:t xml:space="preserve">Proposed Methodology </w:t>
            </w:r>
            <w:r w:rsidR="00A15C78">
              <w:t xml:space="preserve">(Section F above) </w:t>
            </w:r>
          </w:p>
        </w:tc>
        <w:tc>
          <w:tcPr>
            <w:tcW w:w="1440" w:type="dxa"/>
          </w:tcPr>
          <w:p w14:paraId="5F14329E" w14:textId="2D48054B" w:rsidR="00412D73" w:rsidRDefault="00A2606F" w:rsidP="002D56E8">
            <w:r>
              <w:t>28%</w:t>
            </w:r>
          </w:p>
        </w:tc>
        <w:tc>
          <w:tcPr>
            <w:tcW w:w="1710" w:type="dxa"/>
          </w:tcPr>
          <w:p w14:paraId="24E6BC07" w14:textId="1C585EE5" w:rsidR="00357A1A" w:rsidRDefault="00A2606F" w:rsidP="002D56E8">
            <w:r>
              <w:t>280</w:t>
            </w:r>
          </w:p>
        </w:tc>
      </w:tr>
      <w:tr w:rsidR="00412D73" w14:paraId="22B8FD72" w14:textId="77777777" w:rsidTr="00153DF2">
        <w:tc>
          <w:tcPr>
            <w:tcW w:w="625" w:type="dxa"/>
          </w:tcPr>
          <w:p w14:paraId="14EE4F07" w14:textId="77777777" w:rsidR="00412D73" w:rsidRDefault="00412D73" w:rsidP="002D56E8">
            <w:r>
              <w:t>3</w:t>
            </w:r>
          </w:p>
        </w:tc>
        <w:tc>
          <w:tcPr>
            <w:tcW w:w="3960" w:type="dxa"/>
          </w:tcPr>
          <w:p w14:paraId="155A76FE" w14:textId="7DBC6863" w:rsidR="00412D73" w:rsidRDefault="00125A8A" w:rsidP="002D56E8">
            <w:r>
              <w:t>Management Structure and Key Personnel</w:t>
            </w:r>
            <w:r w:rsidR="00A15C78">
              <w:t xml:space="preserve"> (Section G above) </w:t>
            </w:r>
          </w:p>
        </w:tc>
        <w:tc>
          <w:tcPr>
            <w:tcW w:w="1440" w:type="dxa"/>
          </w:tcPr>
          <w:p w14:paraId="4A93B1A2" w14:textId="44C49EB9" w:rsidR="00412D73" w:rsidRDefault="00A2606F" w:rsidP="002D56E8">
            <w:r>
              <w:t>36%</w:t>
            </w:r>
          </w:p>
        </w:tc>
        <w:tc>
          <w:tcPr>
            <w:tcW w:w="1710" w:type="dxa"/>
          </w:tcPr>
          <w:p w14:paraId="1F127902" w14:textId="7C79CBD5" w:rsidR="00412D73" w:rsidRDefault="00A2606F" w:rsidP="002D56E8">
            <w:r>
              <w:t>360</w:t>
            </w:r>
          </w:p>
        </w:tc>
      </w:tr>
      <w:tr w:rsidR="00412D73" w14:paraId="4FF7A5AB" w14:textId="77777777" w:rsidTr="00153DF2">
        <w:tc>
          <w:tcPr>
            <w:tcW w:w="625" w:type="dxa"/>
          </w:tcPr>
          <w:p w14:paraId="2DDFCF57" w14:textId="77777777" w:rsidR="00412D73" w:rsidRDefault="00412D73" w:rsidP="002D56E8"/>
        </w:tc>
        <w:tc>
          <w:tcPr>
            <w:tcW w:w="3960" w:type="dxa"/>
          </w:tcPr>
          <w:p w14:paraId="7E21F6AC" w14:textId="77777777" w:rsidR="00412D73" w:rsidRPr="00153DF2" w:rsidRDefault="00412D73" w:rsidP="002D56E8">
            <w:pPr>
              <w:rPr>
                <w:bCs/>
              </w:rPr>
            </w:pPr>
            <w:r w:rsidRPr="00153DF2">
              <w:rPr>
                <w:bCs/>
              </w:rPr>
              <w:t>Total</w:t>
            </w:r>
          </w:p>
        </w:tc>
        <w:tc>
          <w:tcPr>
            <w:tcW w:w="1440" w:type="dxa"/>
          </w:tcPr>
          <w:p w14:paraId="78011BEB" w14:textId="387EACFF" w:rsidR="00412D73" w:rsidRPr="00153DF2" w:rsidRDefault="001551DF" w:rsidP="002D56E8">
            <w:pPr>
              <w:rPr>
                <w:bCs/>
              </w:rPr>
            </w:pPr>
            <w:r w:rsidRPr="00153DF2">
              <w:rPr>
                <w:bCs/>
              </w:rPr>
              <w:t>10</w:t>
            </w:r>
            <w:r w:rsidR="00412D73" w:rsidRPr="00153DF2">
              <w:rPr>
                <w:bCs/>
              </w:rPr>
              <w:t>0%</w:t>
            </w:r>
          </w:p>
        </w:tc>
        <w:tc>
          <w:tcPr>
            <w:tcW w:w="1710" w:type="dxa"/>
          </w:tcPr>
          <w:p w14:paraId="5D98F4E4" w14:textId="6080B67B" w:rsidR="00412D73" w:rsidRPr="00153DF2" w:rsidRDefault="001551DF" w:rsidP="002D56E8">
            <w:pPr>
              <w:rPr>
                <w:bCs/>
              </w:rPr>
            </w:pPr>
            <w:r w:rsidRPr="00153DF2">
              <w:rPr>
                <w:bCs/>
              </w:rPr>
              <w:t>1000</w:t>
            </w:r>
          </w:p>
        </w:tc>
      </w:tr>
    </w:tbl>
    <w:p w14:paraId="6A9B7EF7" w14:textId="77777777" w:rsidR="00412D73" w:rsidRDefault="00412D73" w:rsidP="00412D73"/>
    <w:tbl>
      <w:tblPr>
        <w:tblStyle w:val="TableGrid"/>
        <w:tblW w:w="8635" w:type="dxa"/>
        <w:tblLook w:val="04A0" w:firstRow="1" w:lastRow="0" w:firstColumn="1" w:lastColumn="0" w:noHBand="0" w:noVBand="1"/>
      </w:tblPr>
      <w:tblGrid>
        <w:gridCol w:w="625"/>
        <w:gridCol w:w="6300"/>
        <w:gridCol w:w="1710"/>
      </w:tblGrid>
      <w:tr w:rsidR="00412D73" w14:paraId="66CD96D4" w14:textId="77777777" w:rsidTr="00153DF2">
        <w:tc>
          <w:tcPr>
            <w:tcW w:w="8635" w:type="dxa"/>
            <w:gridSpan w:val="3"/>
          </w:tcPr>
          <w:p w14:paraId="6A62AE82" w14:textId="73E9C07A" w:rsidR="00412D73" w:rsidRPr="001F21FB" w:rsidRDefault="00412D73" w:rsidP="002D56E8">
            <w:pPr>
              <w:jc w:val="center"/>
              <w:rPr>
                <w:b/>
              </w:rPr>
            </w:pPr>
            <w:r w:rsidRPr="001F21FB">
              <w:rPr>
                <w:b/>
              </w:rPr>
              <w:t xml:space="preserve">Firm </w:t>
            </w:r>
            <w:r w:rsidR="00A15C78">
              <w:rPr>
                <w:b/>
              </w:rPr>
              <w:t xml:space="preserve">Expertise and </w:t>
            </w:r>
            <w:r w:rsidRPr="001F21FB">
              <w:rPr>
                <w:b/>
              </w:rPr>
              <w:t>Experience</w:t>
            </w:r>
          </w:p>
        </w:tc>
      </w:tr>
      <w:tr w:rsidR="00412D73" w14:paraId="54608340" w14:textId="77777777" w:rsidTr="00153DF2">
        <w:tc>
          <w:tcPr>
            <w:tcW w:w="625" w:type="dxa"/>
          </w:tcPr>
          <w:p w14:paraId="7820288A" w14:textId="77777777" w:rsidR="00412D73" w:rsidRDefault="00412D73" w:rsidP="002D56E8"/>
        </w:tc>
        <w:tc>
          <w:tcPr>
            <w:tcW w:w="6300" w:type="dxa"/>
          </w:tcPr>
          <w:p w14:paraId="04C03B0F" w14:textId="77777777" w:rsidR="00412D73" w:rsidRPr="00BE73E9" w:rsidRDefault="00412D73" w:rsidP="002D56E8">
            <w:pPr>
              <w:rPr>
                <w:b/>
              </w:rPr>
            </w:pPr>
            <w:r w:rsidRPr="00BE73E9">
              <w:rPr>
                <w:b/>
              </w:rPr>
              <w:t xml:space="preserve">Evaluation Area </w:t>
            </w:r>
          </w:p>
        </w:tc>
        <w:tc>
          <w:tcPr>
            <w:tcW w:w="1710" w:type="dxa"/>
          </w:tcPr>
          <w:p w14:paraId="5DA66AEA" w14:textId="77777777" w:rsidR="00412D73" w:rsidRPr="008C2358" w:rsidRDefault="00412D73" w:rsidP="002D56E8">
            <w:pPr>
              <w:rPr>
                <w:b/>
              </w:rPr>
            </w:pPr>
            <w:r w:rsidRPr="008C2358">
              <w:rPr>
                <w:b/>
              </w:rPr>
              <w:t xml:space="preserve">Score Weight </w:t>
            </w:r>
          </w:p>
        </w:tc>
      </w:tr>
      <w:tr w:rsidR="00412D73" w14:paraId="6C54062F" w14:textId="77777777" w:rsidTr="00153DF2">
        <w:tc>
          <w:tcPr>
            <w:tcW w:w="625" w:type="dxa"/>
          </w:tcPr>
          <w:p w14:paraId="15980BD7" w14:textId="77777777" w:rsidR="00412D73" w:rsidRDefault="00412D73" w:rsidP="002D56E8">
            <w:r>
              <w:t>1.1</w:t>
            </w:r>
          </w:p>
        </w:tc>
        <w:tc>
          <w:tcPr>
            <w:tcW w:w="6300" w:type="dxa"/>
          </w:tcPr>
          <w:p w14:paraId="050AE591" w14:textId="77777777" w:rsidR="00412D73" w:rsidRDefault="00412D73" w:rsidP="002D56E8">
            <w:r>
              <w:t xml:space="preserve">Reputation, Credibility, Reliability, Industry Standing </w:t>
            </w:r>
          </w:p>
        </w:tc>
        <w:tc>
          <w:tcPr>
            <w:tcW w:w="1710" w:type="dxa"/>
          </w:tcPr>
          <w:p w14:paraId="0E159078" w14:textId="4D479942" w:rsidR="00412D73" w:rsidRDefault="00412D73" w:rsidP="002D56E8">
            <w:r>
              <w:t xml:space="preserve">    </w:t>
            </w:r>
            <w:r w:rsidR="00A2606F">
              <w:t xml:space="preserve">100 </w:t>
            </w:r>
            <w:r>
              <w:t xml:space="preserve">Points </w:t>
            </w:r>
          </w:p>
        </w:tc>
      </w:tr>
      <w:tr w:rsidR="00412D73" w14:paraId="00867125" w14:textId="77777777" w:rsidTr="00153DF2">
        <w:tc>
          <w:tcPr>
            <w:tcW w:w="625" w:type="dxa"/>
          </w:tcPr>
          <w:p w14:paraId="6E7E3AEC" w14:textId="77777777" w:rsidR="00412D73" w:rsidRDefault="00412D73" w:rsidP="002D56E8">
            <w:r>
              <w:t>1.2</w:t>
            </w:r>
          </w:p>
        </w:tc>
        <w:tc>
          <w:tcPr>
            <w:tcW w:w="6300" w:type="dxa"/>
          </w:tcPr>
          <w:p w14:paraId="6041EA29" w14:textId="2DF85C3B" w:rsidR="00412D73" w:rsidRDefault="00412D73" w:rsidP="00A15C78">
            <w:r>
              <w:t>Organization Capacity</w:t>
            </w:r>
            <w:r w:rsidR="008C2358">
              <w:t>/ Size</w:t>
            </w:r>
            <w:r w:rsidR="00A15C78">
              <w:t xml:space="preserve"> to Demonstrate </w:t>
            </w:r>
            <w:r>
              <w:t>Ability to Provide Timely</w:t>
            </w:r>
            <w:r w:rsidR="00A15C78">
              <w:t xml:space="preserve"> Quality</w:t>
            </w:r>
            <w:r>
              <w:t xml:space="preserve"> Support </w:t>
            </w:r>
          </w:p>
          <w:p w14:paraId="5BC10048" w14:textId="1DEE8235" w:rsidR="00412D73" w:rsidRDefault="00412D73" w:rsidP="002D56E8">
            <w:pPr>
              <w:spacing w:after="0"/>
            </w:pPr>
            <w:r>
              <w:t>(As Determined Through Depth of Staffing</w:t>
            </w:r>
            <w:r w:rsidR="00A15C78">
              <w:t xml:space="preserve">, </w:t>
            </w:r>
            <w:r>
              <w:t>Management</w:t>
            </w:r>
            <w:r w:rsidR="00A15C78">
              <w:t>,</w:t>
            </w:r>
            <w:r>
              <w:t xml:space="preserve"> and Size of Firm) </w:t>
            </w:r>
          </w:p>
        </w:tc>
        <w:tc>
          <w:tcPr>
            <w:tcW w:w="1710" w:type="dxa"/>
          </w:tcPr>
          <w:p w14:paraId="1634BEBF" w14:textId="5110899B" w:rsidR="00412D73" w:rsidRDefault="00412D73" w:rsidP="002D56E8">
            <w:r>
              <w:t xml:space="preserve">    </w:t>
            </w:r>
            <w:r w:rsidR="00A2606F">
              <w:t>100 Points</w:t>
            </w:r>
          </w:p>
        </w:tc>
      </w:tr>
      <w:tr w:rsidR="00412D73" w14:paraId="23D93D14" w14:textId="77777777" w:rsidTr="00153DF2">
        <w:tc>
          <w:tcPr>
            <w:tcW w:w="625" w:type="dxa"/>
          </w:tcPr>
          <w:p w14:paraId="40AF3E0E" w14:textId="66C19BE5" w:rsidR="008C2358" w:rsidRDefault="00412D73" w:rsidP="002D56E8">
            <w:r>
              <w:t>1.3</w:t>
            </w:r>
          </w:p>
        </w:tc>
        <w:tc>
          <w:tcPr>
            <w:tcW w:w="6300" w:type="dxa"/>
          </w:tcPr>
          <w:p w14:paraId="2B52E81F" w14:textId="1D53F906" w:rsidR="00A2606F" w:rsidRDefault="00412D73" w:rsidP="00A2606F">
            <w:r>
              <w:t xml:space="preserve">Relevance </w:t>
            </w:r>
            <w:r w:rsidR="00A2606F">
              <w:t>Experience:</w:t>
            </w:r>
            <w:r>
              <w:t xml:space="preserve"> </w:t>
            </w:r>
          </w:p>
          <w:p w14:paraId="432C25E4" w14:textId="10F4BF70" w:rsidR="00412D73" w:rsidRDefault="00412D73" w:rsidP="002D56E8">
            <w:pPr>
              <w:spacing w:after="0"/>
            </w:pPr>
            <w:r>
              <w:t xml:space="preserve">MFI NGO to Business Conversion Experience  </w:t>
            </w:r>
          </w:p>
          <w:p w14:paraId="0FB67C90" w14:textId="0F281D32" w:rsidR="00412D73" w:rsidRDefault="00A2606F" w:rsidP="00153DF2">
            <w:pPr>
              <w:spacing w:after="0"/>
            </w:pPr>
            <w:r>
              <w:t>Myanmar MFI Advisory Services (Business Registration, Licensing, Legal Opinions, etc.)</w:t>
            </w:r>
            <w:r w:rsidR="00A15C78">
              <w:t xml:space="preserve">  </w:t>
            </w:r>
          </w:p>
        </w:tc>
        <w:tc>
          <w:tcPr>
            <w:tcW w:w="1710" w:type="dxa"/>
          </w:tcPr>
          <w:p w14:paraId="15C103DB" w14:textId="3B97FEA3" w:rsidR="00A2606F" w:rsidRDefault="00412D73" w:rsidP="00A2606F">
            <w:r>
              <w:t xml:space="preserve">    </w:t>
            </w:r>
            <w:r w:rsidR="00A2606F">
              <w:t>160 Points</w:t>
            </w:r>
          </w:p>
          <w:p w14:paraId="66D566E5" w14:textId="08647CAE" w:rsidR="008C2358" w:rsidRDefault="008C2358" w:rsidP="002D56E8"/>
        </w:tc>
      </w:tr>
      <w:tr w:rsidR="00412D73" w14:paraId="158B8428" w14:textId="77777777" w:rsidTr="00153DF2">
        <w:tc>
          <w:tcPr>
            <w:tcW w:w="625" w:type="dxa"/>
          </w:tcPr>
          <w:p w14:paraId="6008F298" w14:textId="77777777" w:rsidR="00412D73" w:rsidRDefault="00412D73" w:rsidP="002D56E8"/>
        </w:tc>
        <w:tc>
          <w:tcPr>
            <w:tcW w:w="6300" w:type="dxa"/>
          </w:tcPr>
          <w:p w14:paraId="524F9240" w14:textId="26158B64" w:rsidR="00412D73" w:rsidRPr="00BE73E9" w:rsidRDefault="00F95998" w:rsidP="002D56E8">
            <w:pPr>
              <w:rPr>
                <w:b/>
              </w:rPr>
            </w:pPr>
            <w:r w:rsidRPr="00BE73E9">
              <w:rPr>
                <w:b/>
              </w:rPr>
              <w:t xml:space="preserve">Sub </w:t>
            </w:r>
            <w:r w:rsidR="00412D73" w:rsidRPr="00BE73E9">
              <w:rPr>
                <w:b/>
              </w:rPr>
              <w:t xml:space="preserve">Total </w:t>
            </w:r>
          </w:p>
        </w:tc>
        <w:tc>
          <w:tcPr>
            <w:tcW w:w="1710" w:type="dxa"/>
          </w:tcPr>
          <w:p w14:paraId="51AA83B4" w14:textId="09282193" w:rsidR="00412D73" w:rsidRPr="00153DF2" w:rsidRDefault="00412D73" w:rsidP="002D56E8">
            <w:pPr>
              <w:rPr>
                <w:bCs/>
              </w:rPr>
            </w:pPr>
            <w:r w:rsidRPr="00BE73E9">
              <w:rPr>
                <w:b/>
              </w:rPr>
              <w:t xml:space="preserve">    </w:t>
            </w:r>
            <w:r w:rsidR="008C2358" w:rsidRPr="00153DF2">
              <w:rPr>
                <w:bCs/>
              </w:rPr>
              <w:t>3</w:t>
            </w:r>
            <w:r w:rsidR="00A2606F" w:rsidRPr="00153DF2">
              <w:rPr>
                <w:bCs/>
              </w:rPr>
              <w:t>6</w:t>
            </w:r>
            <w:r w:rsidRPr="00153DF2">
              <w:rPr>
                <w:bCs/>
              </w:rPr>
              <w:t xml:space="preserve">0 Points </w:t>
            </w:r>
          </w:p>
        </w:tc>
      </w:tr>
    </w:tbl>
    <w:p w14:paraId="2459BE5C" w14:textId="109FEEDA" w:rsidR="00412D73" w:rsidRDefault="00412D73" w:rsidP="00412D73"/>
    <w:p w14:paraId="629AE215" w14:textId="6AE02501" w:rsidR="00F26564" w:rsidRDefault="00F26564">
      <w:pPr>
        <w:spacing w:after="0" w:line="240" w:lineRule="auto"/>
      </w:pPr>
      <w:r>
        <w:br w:type="page"/>
      </w:r>
    </w:p>
    <w:tbl>
      <w:tblPr>
        <w:tblStyle w:val="TableGrid"/>
        <w:tblW w:w="9175" w:type="dxa"/>
        <w:tblLook w:val="04A0" w:firstRow="1" w:lastRow="0" w:firstColumn="1" w:lastColumn="0" w:noHBand="0" w:noVBand="1"/>
      </w:tblPr>
      <w:tblGrid>
        <w:gridCol w:w="625"/>
        <w:gridCol w:w="6300"/>
        <w:gridCol w:w="2238"/>
        <w:gridCol w:w="12"/>
      </w:tblGrid>
      <w:tr w:rsidR="00F26564" w:rsidRPr="001F21FB" w14:paraId="1A43BA2C" w14:textId="77777777" w:rsidTr="00007888">
        <w:trPr>
          <w:gridAfter w:val="1"/>
          <w:wAfter w:w="12" w:type="dxa"/>
        </w:trPr>
        <w:tc>
          <w:tcPr>
            <w:tcW w:w="9163" w:type="dxa"/>
            <w:gridSpan w:val="3"/>
          </w:tcPr>
          <w:p w14:paraId="6179D741" w14:textId="77777777" w:rsidR="00F26564" w:rsidRPr="001F21FB" w:rsidRDefault="00F26564" w:rsidP="00007888">
            <w:pPr>
              <w:jc w:val="center"/>
              <w:rPr>
                <w:b/>
              </w:rPr>
            </w:pPr>
            <w:r w:rsidRPr="001F21FB">
              <w:rPr>
                <w:b/>
              </w:rPr>
              <w:lastRenderedPageBreak/>
              <w:t xml:space="preserve">Proposed Methodology </w:t>
            </w:r>
          </w:p>
        </w:tc>
      </w:tr>
      <w:tr w:rsidR="00F26564" w:rsidRPr="003764A2" w14:paraId="619C5268" w14:textId="77777777" w:rsidTr="00007888">
        <w:tc>
          <w:tcPr>
            <w:tcW w:w="625" w:type="dxa"/>
          </w:tcPr>
          <w:p w14:paraId="3349F07E" w14:textId="77777777" w:rsidR="00F26564" w:rsidRDefault="00F26564" w:rsidP="00007888"/>
        </w:tc>
        <w:tc>
          <w:tcPr>
            <w:tcW w:w="6300" w:type="dxa"/>
          </w:tcPr>
          <w:p w14:paraId="369BE8B1" w14:textId="77777777" w:rsidR="00F26564" w:rsidRPr="003764A2" w:rsidRDefault="00F26564" w:rsidP="00007888">
            <w:pPr>
              <w:rPr>
                <w:b/>
              </w:rPr>
            </w:pPr>
            <w:r w:rsidRPr="003764A2">
              <w:rPr>
                <w:b/>
              </w:rPr>
              <w:t xml:space="preserve">Evaluation Area </w:t>
            </w:r>
          </w:p>
        </w:tc>
        <w:tc>
          <w:tcPr>
            <w:tcW w:w="2250" w:type="dxa"/>
            <w:gridSpan w:val="2"/>
          </w:tcPr>
          <w:p w14:paraId="163A9CC1" w14:textId="77777777" w:rsidR="00F26564" w:rsidRPr="003764A2" w:rsidRDefault="00F26564" w:rsidP="00007888">
            <w:pPr>
              <w:rPr>
                <w:b/>
              </w:rPr>
            </w:pPr>
            <w:r w:rsidRPr="003764A2">
              <w:rPr>
                <w:b/>
              </w:rPr>
              <w:t xml:space="preserve">Score Weight </w:t>
            </w:r>
          </w:p>
        </w:tc>
      </w:tr>
      <w:tr w:rsidR="00F26564" w14:paraId="74E4548D" w14:textId="77777777" w:rsidTr="00007888">
        <w:tc>
          <w:tcPr>
            <w:tcW w:w="625" w:type="dxa"/>
          </w:tcPr>
          <w:p w14:paraId="451245C2" w14:textId="77777777" w:rsidR="00F26564" w:rsidRDefault="00F26564" w:rsidP="00007888">
            <w:r>
              <w:t>1.1</w:t>
            </w:r>
          </w:p>
        </w:tc>
        <w:tc>
          <w:tcPr>
            <w:tcW w:w="6300" w:type="dxa"/>
          </w:tcPr>
          <w:p w14:paraId="690B057B" w14:textId="51FC5958" w:rsidR="00F26564" w:rsidRDefault="00F26564" w:rsidP="00007888">
            <w:r>
              <w:t xml:space="preserve"> Reasonable Proposed Approach to Fulfilling the Scope of Work </w:t>
            </w:r>
          </w:p>
        </w:tc>
        <w:tc>
          <w:tcPr>
            <w:tcW w:w="2250" w:type="dxa"/>
            <w:gridSpan w:val="2"/>
          </w:tcPr>
          <w:p w14:paraId="66DE3000" w14:textId="77777777" w:rsidR="00F26564" w:rsidRDefault="00F26564" w:rsidP="00007888">
            <w:pPr>
              <w:jc w:val="center"/>
            </w:pPr>
            <w:r>
              <w:t>90 points</w:t>
            </w:r>
          </w:p>
        </w:tc>
      </w:tr>
      <w:tr w:rsidR="00F26564" w14:paraId="58EBAFC0" w14:textId="77777777" w:rsidTr="00007888">
        <w:tc>
          <w:tcPr>
            <w:tcW w:w="625" w:type="dxa"/>
          </w:tcPr>
          <w:p w14:paraId="768C9C48" w14:textId="77777777" w:rsidR="00F26564" w:rsidRDefault="00F26564" w:rsidP="00007888">
            <w:r>
              <w:t>1.2</w:t>
            </w:r>
          </w:p>
        </w:tc>
        <w:tc>
          <w:tcPr>
            <w:tcW w:w="6300" w:type="dxa"/>
          </w:tcPr>
          <w:p w14:paraId="0B546820" w14:textId="295F8EF7" w:rsidR="00F26564" w:rsidRDefault="00F26564" w:rsidP="00007888">
            <w:pPr>
              <w:spacing w:after="0"/>
            </w:pPr>
            <w:r>
              <w:t xml:space="preserve">ToR Relevance of </w:t>
            </w:r>
            <w:r w:rsidR="00153DF2">
              <w:t>M</w:t>
            </w:r>
            <w:r>
              <w:t>ethodology is</w:t>
            </w:r>
            <w:r w:rsidR="00153DF2">
              <w:t xml:space="preserve"> W</w:t>
            </w:r>
            <w:r>
              <w:t xml:space="preserve">ell </w:t>
            </w:r>
            <w:r w:rsidR="00153DF2">
              <w:t>P</w:t>
            </w:r>
            <w:r>
              <w:t>resented</w:t>
            </w:r>
          </w:p>
        </w:tc>
        <w:tc>
          <w:tcPr>
            <w:tcW w:w="2250" w:type="dxa"/>
            <w:gridSpan w:val="2"/>
          </w:tcPr>
          <w:p w14:paraId="402B51BE" w14:textId="77777777" w:rsidR="00F26564" w:rsidRDefault="00F26564" w:rsidP="00007888">
            <w:pPr>
              <w:jc w:val="center"/>
            </w:pPr>
            <w:r>
              <w:t>100 points</w:t>
            </w:r>
          </w:p>
        </w:tc>
      </w:tr>
      <w:tr w:rsidR="00F26564" w14:paraId="2408FCCB" w14:textId="77777777" w:rsidTr="00007888">
        <w:tc>
          <w:tcPr>
            <w:tcW w:w="625" w:type="dxa"/>
          </w:tcPr>
          <w:p w14:paraId="64C24EC3" w14:textId="77777777" w:rsidR="00F26564" w:rsidRDefault="00F26564" w:rsidP="00007888">
            <w:r>
              <w:t>1.3</w:t>
            </w:r>
          </w:p>
        </w:tc>
        <w:tc>
          <w:tcPr>
            <w:tcW w:w="6300" w:type="dxa"/>
          </w:tcPr>
          <w:p w14:paraId="0D546BE7" w14:textId="3AC2EDE3" w:rsidR="00F26564" w:rsidRDefault="00F26564" w:rsidP="00007888">
            <w:pPr>
              <w:spacing w:after="0"/>
            </w:pPr>
            <w:r>
              <w:t xml:space="preserve">Clear and </w:t>
            </w:r>
            <w:r w:rsidR="00153DF2">
              <w:t>D</w:t>
            </w:r>
            <w:r>
              <w:t xml:space="preserve">irect </w:t>
            </w:r>
            <w:r w:rsidR="00153DF2">
              <w:t>P</w:t>
            </w:r>
            <w:r>
              <w:t xml:space="preserve">resentation and </w:t>
            </w:r>
            <w:r w:rsidR="00153DF2">
              <w:t>S</w:t>
            </w:r>
            <w:r>
              <w:t xml:space="preserve">cope of </w:t>
            </w:r>
            <w:r w:rsidR="00153DF2">
              <w:t>T</w:t>
            </w:r>
            <w:r>
              <w:t>ask</w:t>
            </w:r>
          </w:p>
        </w:tc>
        <w:tc>
          <w:tcPr>
            <w:tcW w:w="2250" w:type="dxa"/>
            <w:gridSpan w:val="2"/>
          </w:tcPr>
          <w:p w14:paraId="7ABC4752" w14:textId="77777777" w:rsidR="00F26564" w:rsidRDefault="00F26564" w:rsidP="00007888">
            <w:pPr>
              <w:jc w:val="center"/>
            </w:pPr>
            <w:r>
              <w:t>90 Points</w:t>
            </w:r>
          </w:p>
        </w:tc>
      </w:tr>
      <w:tr w:rsidR="00F26564" w:rsidRPr="000C32A0" w14:paraId="4500E7E1" w14:textId="77777777" w:rsidTr="00007888">
        <w:tc>
          <w:tcPr>
            <w:tcW w:w="625" w:type="dxa"/>
          </w:tcPr>
          <w:p w14:paraId="07D6AFB9" w14:textId="77777777" w:rsidR="00F26564" w:rsidRDefault="00F26564" w:rsidP="00007888"/>
        </w:tc>
        <w:tc>
          <w:tcPr>
            <w:tcW w:w="6300" w:type="dxa"/>
          </w:tcPr>
          <w:p w14:paraId="521FF39E" w14:textId="77777777" w:rsidR="00F26564" w:rsidRPr="000C32A0" w:rsidRDefault="00F26564" w:rsidP="00007888">
            <w:pPr>
              <w:rPr>
                <w:b/>
              </w:rPr>
            </w:pPr>
            <w:r w:rsidRPr="000C32A0">
              <w:rPr>
                <w:b/>
              </w:rPr>
              <w:t xml:space="preserve">Sub Total </w:t>
            </w:r>
          </w:p>
        </w:tc>
        <w:tc>
          <w:tcPr>
            <w:tcW w:w="2250" w:type="dxa"/>
            <w:gridSpan w:val="2"/>
          </w:tcPr>
          <w:p w14:paraId="2ED1E312" w14:textId="77777777" w:rsidR="00F26564" w:rsidRPr="00153DF2" w:rsidRDefault="00F26564" w:rsidP="00007888">
            <w:pPr>
              <w:jc w:val="center"/>
              <w:rPr>
                <w:bCs/>
              </w:rPr>
            </w:pPr>
            <w:r w:rsidRPr="00153DF2">
              <w:rPr>
                <w:bCs/>
              </w:rPr>
              <w:t>280 Points</w:t>
            </w:r>
          </w:p>
        </w:tc>
      </w:tr>
    </w:tbl>
    <w:p w14:paraId="33F88E5A" w14:textId="77777777" w:rsidR="00F26564" w:rsidRDefault="00F26564" w:rsidP="00412D73"/>
    <w:p w14:paraId="1B75ED53" w14:textId="77777777" w:rsidR="00412D73" w:rsidRDefault="00412D73" w:rsidP="00412D73"/>
    <w:tbl>
      <w:tblPr>
        <w:tblStyle w:val="TableGrid"/>
        <w:tblW w:w="9175" w:type="dxa"/>
        <w:tblLook w:val="04A0" w:firstRow="1" w:lastRow="0" w:firstColumn="1" w:lastColumn="0" w:noHBand="0" w:noVBand="1"/>
      </w:tblPr>
      <w:tblGrid>
        <w:gridCol w:w="625"/>
        <w:gridCol w:w="6300"/>
        <w:gridCol w:w="2238"/>
        <w:gridCol w:w="12"/>
      </w:tblGrid>
      <w:tr w:rsidR="00412D73" w14:paraId="20B841C9" w14:textId="77777777" w:rsidTr="002D56E8">
        <w:trPr>
          <w:gridAfter w:val="1"/>
          <w:wAfter w:w="12" w:type="dxa"/>
        </w:trPr>
        <w:tc>
          <w:tcPr>
            <w:tcW w:w="9163" w:type="dxa"/>
            <w:gridSpan w:val="3"/>
          </w:tcPr>
          <w:p w14:paraId="161E3A88" w14:textId="77777777" w:rsidR="00412D73" w:rsidRPr="001F21FB" w:rsidRDefault="00412D73" w:rsidP="002D56E8">
            <w:pPr>
              <w:jc w:val="center"/>
              <w:rPr>
                <w:b/>
              </w:rPr>
            </w:pPr>
            <w:r w:rsidRPr="001F21FB">
              <w:rPr>
                <w:b/>
              </w:rPr>
              <w:t xml:space="preserve">Management Structure and Key Personnel </w:t>
            </w:r>
          </w:p>
        </w:tc>
      </w:tr>
      <w:tr w:rsidR="00412D73" w14:paraId="371F00AD" w14:textId="77777777" w:rsidTr="002D56E8">
        <w:tc>
          <w:tcPr>
            <w:tcW w:w="625" w:type="dxa"/>
          </w:tcPr>
          <w:p w14:paraId="57C06F58" w14:textId="77777777" w:rsidR="00412D73" w:rsidRDefault="00412D73" w:rsidP="002D56E8"/>
        </w:tc>
        <w:tc>
          <w:tcPr>
            <w:tcW w:w="6300" w:type="dxa"/>
          </w:tcPr>
          <w:p w14:paraId="0C7C6D12" w14:textId="77777777" w:rsidR="00412D73" w:rsidRPr="00BE73E9" w:rsidRDefault="00412D73" w:rsidP="002D56E8">
            <w:pPr>
              <w:rPr>
                <w:b/>
              </w:rPr>
            </w:pPr>
            <w:r w:rsidRPr="00BE73E9">
              <w:rPr>
                <w:b/>
              </w:rPr>
              <w:t xml:space="preserve">Evaluation Area </w:t>
            </w:r>
          </w:p>
        </w:tc>
        <w:tc>
          <w:tcPr>
            <w:tcW w:w="2250" w:type="dxa"/>
            <w:gridSpan w:val="2"/>
          </w:tcPr>
          <w:p w14:paraId="1C7106CF" w14:textId="77777777" w:rsidR="00412D73" w:rsidRPr="00BE73E9" w:rsidRDefault="00412D73" w:rsidP="002D56E8">
            <w:pPr>
              <w:rPr>
                <w:b/>
              </w:rPr>
            </w:pPr>
            <w:r w:rsidRPr="00BE73E9">
              <w:rPr>
                <w:b/>
              </w:rPr>
              <w:t xml:space="preserve">Score Weight </w:t>
            </w:r>
          </w:p>
        </w:tc>
      </w:tr>
      <w:tr w:rsidR="00412D73" w14:paraId="6F8229FA" w14:textId="77777777" w:rsidTr="002D56E8">
        <w:tc>
          <w:tcPr>
            <w:tcW w:w="625" w:type="dxa"/>
          </w:tcPr>
          <w:p w14:paraId="3B69BFA5" w14:textId="77777777" w:rsidR="00412D73" w:rsidRDefault="00412D73" w:rsidP="002D56E8">
            <w:r>
              <w:t>1.1</w:t>
            </w:r>
          </w:p>
        </w:tc>
        <w:tc>
          <w:tcPr>
            <w:tcW w:w="6300" w:type="dxa"/>
          </w:tcPr>
          <w:p w14:paraId="62E9EBC4" w14:textId="0033890E" w:rsidR="00412D73" w:rsidRDefault="00F26564" w:rsidP="002D56E8">
            <w:r>
              <w:t xml:space="preserve">Partner(s) </w:t>
            </w:r>
            <w:r w:rsidR="00412D73">
              <w:t>Depth</w:t>
            </w:r>
            <w:r>
              <w:t xml:space="preserve"> and Relevance</w:t>
            </w:r>
            <w:r w:rsidR="00412D73">
              <w:t xml:space="preserve"> of Experience </w:t>
            </w:r>
          </w:p>
        </w:tc>
        <w:tc>
          <w:tcPr>
            <w:tcW w:w="2250" w:type="dxa"/>
            <w:gridSpan w:val="2"/>
          </w:tcPr>
          <w:p w14:paraId="43069B57" w14:textId="6FA903D5" w:rsidR="00412D73" w:rsidRDefault="00153DF2" w:rsidP="002D56E8">
            <w:r>
              <w:t xml:space="preserve">     120 Points</w:t>
            </w:r>
          </w:p>
        </w:tc>
      </w:tr>
      <w:tr w:rsidR="00412D73" w14:paraId="439E01C4" w14:textId="77777777" w:rsidTr="002D56E8">
        <w:tc>
          <w:tcPr>
            <w:tcW w:w="625" w:type="dxa"/>
          </w:tcPr>
          <w:p w14:paraId="6DDB9235" w14:textId="2E333161" w:rsidR="00412D73" w:rsidRDefault="00412D73" w:rsidP="002D56E8">
            <w:r>
              <w:t>1.</w:t>
            </w:r>
            <w:r w:rsidR="00454A4B">
              <w:t>2</w:t>
            </w:r>
          </w:p>
        </w:tc>
        <w:tc>
          <w:tcPr>
            <w:tcW w:w="6300" w:type="dxa"/>
          </w:tcPr>
          <w:p w14:paraId="1B84EB80" w14:textId="689CE405" w:rsidR="00412D73" w:rsidRDefault="00412D73" w:rsidP="002D56E8">
            <w:r>
              <w:t>Depth of Staff Resources (e.g. Number of Staff with Relevan</w:t>
            </w:r>
            <w:r w:rsidR="00F26564">
              <w:t xml:space="preserve">t </w:t>
            </w:r>
            <w:r>
              <w:t xml:space="preserve">Experience) </w:t>
            </w:r>
          </w:p>
        </w:tc>
        <w:tc>
          <w:tcPr>
            <w:tcW w:w="2250" w:type="dxa"/>
            <w:gridSpan w:val="2"/>
          </w:tcPr>
          <w:p w14:paraId="554B44DF" w14:textId="6FD88B46" w:rsidR="00412D73" w:rsidRDefault="00412D73" w:rsidP="002D56E8">
            <w:r>
              <w:t xml:space="preserve">     </w:t>
            </w:r>
            <w:r w:rsidR="00153DF2">
              <w:t>120</w:t>
            </w:r>
            <w:r>
              <w:t xml:space="preserve"> Points</w:t>
            </w:r>
          </w:p>
        </w:tc>
      </w:tr>
      <w:tr w:rsidR="00513DBD" w14:paraId="43EEEA74" w14:textId="77777777" w:rsidTr="002D56E8">
        <w:tc>
          <w:tcPr>
            <w:tcW w:w="625" w:type="dxa"/>
          </w:tcPr>
          <w:p w14:paraId="7DF8A4A4" w14:textId="7128BD6A" w:rsidR="00513DBD" w:rsidRDefault="00513DBD" w:rsidP="002D56E8">
            <w:r>
              <w:t>1.</w:t>
            </w:r>
            <w:r w:rsidR="00454A4B">
              <w:t>3</w:t>
            </w:r>
          </w:p>
        </w:tc>
        <w:tc>
          <w:tcPr>
            <w:tcW w:w="6300" w:type="dxa"/>
          </w:tcPr>
          <w:p w14:paraId="46D110B4" w14:textId="71B21DC5" w:rsidR="00513DBD" w:rsidRDefault="00F26564" w:rsidP="002D56E8">
            <w:r>
              <w:t xml:space="preserve">Number of years of </w:t>
            </w:r>
            <w:r w:rsidR="00513DBD">
              <w:t xml:space="preserve">demonstrated experience in </w:t>
            </w:r>
            <w:r>
              <w:t xml:space="preserve">supporting the Myanmar Financial Service Sector, </w:t>
            </w:r>
            <w:r w:rsidR="00153DF2">
              <w:t>particularly the microfinance industry</w:t>
            </w:r>
            <w:r>
              <w:t xml:space="preserve"> </w:t>
            </w:r>
            <w:r w:rsidR="00513DBD">
              <w:t xml:space="preserve"> </w:t>
            </w:r>
          </w:p>
        </w:tc>
        <w:tc>
          <w:tcPr>
            <w:tcW w:w="2250" w:type="dxa"/>
            <w:gridSpan w:val="2"/>
          </w:tcPr>
          <w:p w14:paraId="5D7A9D3C" w14:textId="5909F36A" w:rsidR="00513DBD" w:rsidRDefault="00513DBD" w:rsidP="002D56E8">
            <w:r>
              <w:t xml:space="preserve">     </w:t>
            </w:r>
            <w:r w:rsidR="00153DF2">
              <w:t>120</w:t>
            </w:r>
            <w:r>
              <w:t xml:space="preserve"> Points</w:t>
            </w:r>
          </w:p>
        </w:tc>
      </w:tr>
      <w:tr w:rsidR="00412D73" w14:paraId="70704B95" w14:textId="77777777" w:rsidTr="002D56E8">
        <w:tc>
          <w:tcPr>
            <w:tcW w:w="625" w:type="dxa"/>
          </w:tcPr>
          <w:p w14:paraId="1FB6A57B" w14:textId="77777777" w:rsidR="00412D73" w:rsidRDefault="00412D73" w:rsidP="002D56E8"/>
        </w:tc>
        <w:tc>
          <w:tcPr>
            <w:tcW w:w="6300" w:type="dxa"/>
          </w:tcPr>
          <w:p w14:paraId="3CF71B07" w14:textId="6D95FE90" w:rsidR="00412D73" w:rsidRPr="00BE73E9" w:rsidRDefault="00C92E64" w:rsidP="002D56E8">
            <w:pPr>
              <w:rPr>
                <w:b/>
              </w:rPr>
            </w:pPr>
            <w:r w:rsidRPr="00BE73E9">
              <w:rPr>
                <w:b/>
              </w:rPr>
              <w:t xml:space="preserve">Sub </w:t>
            </w:r>
            <w:r w:rsidR="00412D73" w:rsidRPr="00BE73E9">
              <w:rPr>
                <w:b/>
              </w:rPr>
              <w:t xml:space="preserve">Total </w:t>
            </w:r>
          </w:p>
        </w:tc>
        <w:tc>
          <w:tcPr>
            <w:tcW w:w="2250" w:type="dxa"/>
            <w:gridSpan w:val="2"/>
          </w:tcPr>
          <w:p w14:paraId="6ED4AFFC" w14:textId="27CECBC1" w:rsidR="00412D73" w:rsidRPr="00BE73E9" w:rsidRDefault="00412D73" w:rsidP="002D56E8">
            <w:pPr>
              <w:rPr>
                <w:b/>
              </w:rPr>
            </w:pPr>
            <w:r>
              <w:t xml:space="preserve">    </w:t>
            </w:r>
            <w:r w:rsidR="00EE2D5C">
              <w:t>360</w:t>
            </w:r>
            <w:r w:rsidRPr="00BE73E9">
              <w:rPr>
                <w:b/>
              </w:rPr>
              <w:t xml:space="preserve"> </w:t>
            </w:r>
            <w:r w:rsidRPr="00153DF2">
              <w:rPr>
                <w:bCs/>
              </w:rPr>
              <w:t xml:space="preserve">Points </w:t>
            </w:r>
          </w:p>
        </w:tc>
      </w:tr>
    </w:tbl>
    <w:p w14:paraId="1F1088D8" w14:textId="77777777" w:rsidR="00412D73" w:rsidRDefault="00412D73" w:rsidP="00412D73"/>
    <w:p w14:paraId="4AC43357" w14:textId="77777777" w:rsidR="00412D73" w:rsidRDefault="00412D73" w:rsidP="00412D73"/>
    <w:bookmarkEnd w:id="0"/>
    <w:bookmarkEnd w:id="1"/>
    <w:p w14:paraId="4432E5B8" w14:textId="2BDCBB40" w:rsidR="006F7C18" w:rsidRDefault="006F7C18" w:rsidP="009B251C">
      <w:pPr>
        <w:autoSpaceDE w:val="0"/>
        <w:autoSpaceDN w:val="0"/>
        <w:adjustRightInd w:val="0"/>
        <w:spacing w:after="0"/>
        <w:jc w:val="both"/>
        <w:rPr>
          <w:rFonts w:ascii="Arial" w:hAnsi="Arial" w:cs="Arial"/>
        </w:rPr>
      </w:pPr>
    </w:p>
    <w:sectPr w:rsidR="006F7C18" w:rsidSect="008552AB">
      <w:footerReference w:type="default" r:id="rId10"/>
      <w:pgSz w:w="11906" w:h="16838" w:code="9"/>
      <w:pgMar w:top="1440" w:right="162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6169" w14:textId="77777777" w:rsidR="00A26FE9" w:rsidRDefault="00A26FE9" w:rsidP="00321BD3">
      <w:pPr>
        <w:spacing w:after="0" w:line="240" w:lineRule="auto"/>
      </w:pPr>
      <w:r>
        <w:separator/>
      </w:r>
    </w:p>
  </w:endnote>
  <w:endnote w:type="continuationSeparator" w:id="0">
    <w:p w14:paraId="74DBBBFC" w14:textId="77777777" w:rsidR="00A26FE9" w:rsidRDefault="00A26FE9" w:rsidP="0032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32972"/>
      <w:docPartObj>
        <w:docPartGallery w:val="Page Numbers (Bottom of Page)"/>
        <w:docPartUnique/>
      </w:docPartObj>
    </w:sdtPr>
    <w:sdtEndPr>
      <w:rPr>
        <w:noProof/>
      </w:rPr>
    </w:sdtEndPr>
    <w:sdtContent>
      <w:p w14:paraId="30B3C1AC" w14:textId="22CF09DD" w:rsidR="00221520" w:rsidRDefault="002215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480E70" w14:textId="77777777" w:rsidR="00221520" w:rsidRDefault="0022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9633" w14:textId="77777777" w:rsidR="00A26FE9" w:rsidRDefault="00A26FE9" w:rsidP="00321BD3">
      <w:pPr>
        <w:spacing w:after="0" w:line="240" w:lineRule="auto"/>
      </w:pPr>
      <w:r>
        <w:separator/>
      </w:r>
    </w:p>
  </w:footnote>
  <w:footnote w:type="continuationSeparator" w:id="0">
    <w:p w14:paraId="330737E4" w14:textId="77777777" w:rsidR="00A26FE9" w:rsidRDefault="00A26FE9" w:rsidP="00321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CE2"/>
    <w:multiLevelType w:val="hybridMultilevel"/>
    <w:tmpl w:val="644E6A0E"/>
    <w:lvl w:ilvl="0" w:tplc="DA881C1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AE1ECD"/>
    <w:multiLevelType w:val="hybridMultilevel"/>
    <w:tmpl w:val="CEA8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931B6"/>
    <w:multiLevelType w:val="multilevel"/>
    <w:tmpl w:val="1E34087E"/>
    <w:lvl w:ilvl="0">
      <w:start w:val="1"/>
      <w:numFmt w:val="none"/>
      <w:pStyle w:val="Titredintercalaire"/>
      <w:suff w:val="nothing"/>
      <w:lvlText w:val="%1"/>
      <w:lvlJc w:val="left"/>
      <w:pPr>
        <w:ind w:left="0" w:firstLine="0"/>
      </w:pPr>
    </w:lvl>
    <w:lvl w:ilvl="1">
      <w:start w:val="1"/>
      <w:numFmt w:val="none"/>
      <w:pStyle w:val="Titreprincipal"/>
      <w:suff w:val="nothing"/>
      <w:lvlText w:val="%2"/>
      <w:lvlJc w:val="left"/>
      <w:pPr>
        <w:ind w:left="0" w:firstLine="0"/>
      </w:pPr>
    </w:lvl>
    <w:lvl w:ilvl="2">
      <w:start w:val="1"/>
      <w:numFmt w:val="none"/>
      <w:pStyle w:val="Titredannexe"/>
      <w:suff w:val="nothing"/>
      <w:lvlText w:val=""/>
      <w:lvlJc w:val="left"/>
      <w:pPr>
        <w:ind w:left="0" w:firstLine="0"/>
      </w:pPr>
      <w:rPr>
        <w:rFonts w:ascii="Arial Black" w:hAnsi="Tahoma" w:hint="default"/>
      </w:rPr>
    </w:lvl>
    <w:lvl w:ilvl="3">
      <w:start w:val="1"/>
      <w:numFmt w:val="upperRoman"/>
      <w:pStyle w:val="Heading1"/>
      <w:lvlText w:val="%4."/>
      <w:lvlJc w:val="left"/>
      <w:pPr>
        <w:tabs>
          <w:tab w:val="num" w:pos="720"/>
        </w:tabs>
        <w:ind w:left="510" w:hanging="510"/>
      </w:pPr>
    </w:lvl>
    <w:lvl w:ilvl="4">
      <w:start w:val="1"/>
      <w:numFmt w:val="decimal"/>
      <w:pStyle w:val="Heading2"/>
      <w:lvlText w:val="%1%5."/>
      <w:lvlJc w:val="left"/>
      <w:pPr>
        <w:tabs>
          <w:tab w:val="num" w:pos="510"/>
        </w:tabs>
        <w:ind w:left="510" w:hanging="510"/>
      </w:pPr>
    </w:lvl>
    <w:lvl w:ilvl="5">
      <w:start w:val="1"/>
      <w:numFmt w:val="decimal"/>
      <w:pStyle w:val="Heading3"/>
      <w:lvlText w:val="%5.%6"/>
      <w:lvlJc w:val="left"/>
      <w:pPr>
        <w:tabs>
          <w:tab w:val="num" w:pos="510"/>
        </w:tabs>
        <w:ind w:left="510" w:hanging="510"/>
      </w:pPr>
    </w:lvl>
    <w:lvl w:ilvl="6">
      <w:start w:val="1"/>
      <w:numFmt w:val="none"/>
      <w:pStyle w:val="Heading4"/>
      <w:suff w:val="nothing"/>
      <w:lvlText w:val=""/>
      <w:lvlJc w:val="left"/>
      <w:pPr>
        <w:ind w:left="0" w:firstLine="0"/>
      </w:pPr>
    </w:lvl>
    <w:lvl w:ilvl="7">
      <w:start w:val="1"/>
      <w:numFmt w:val="bullet"/>
      <w:pStyle w:val="Pucepourtitre"/>
      <w:lvlText w:val=""/>
      <w:lvlJc w:val="left"/>
      <w:pPr>
        <w:tabs>
          <w:tab w:val="num" w:pos="360"/>
        </w:tabs>
        <w:ind w:left="340" w:hanging="340"/>
      </w:pPr>
      <w:rPr>
        <w:rFonts w:ascii="Wingdings" w:hAnsi="Wingdings" w:hint="default"/>
        <w:sz w:val="20"/>
      </w:rPr>
    </w:lvl>
    <w:lvl w:ilvl="8">
      <w:start w:val="1"/>
      <w:numFmt w:val="none"/>
      <w:suff w:val="nothing"/>
      <w:lvlText w:val=""/>
      <w:lvlJc w:val="left"/>
      <w:pPr>
        <w:ind w:left="0" w:firstLine="0"/>
      </w:pPr>
      <w:rPr>
        <w:rFonts w:hint="default"/>
      </w:rPr>
    </w:lvl>
  </w:abstractNum>
  <w:abstractNum w:abstractNumId="4" w15:restartNumberingAfterBreak="0">
    <w:nsid w:val="097048DB"/>
    <w:multiLevelType w:val="hybridMultilevel"/>
    <w:tmpl w:val="96FE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E4FF1"/>
    <w:multiLevelType w:val="hybridMultilevel"/>
    <w:tmpl w:val="02F24636"/>
    <w:lvl w:ilvl="0" w:tplc="48090011">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40EDB"/>
    <w:multiLevelType w:val="hybridMultilevel"/>
    <w:tmpl w:val="8702C9D8"/>
    <w:lvl w:ilvl="0" w:tplc="7E6C93A4">
      <w:numFmt w:val="bullet"/>
      <w:lvlText w:val="-"/>
      <w:lvlJc w:val="left"/>
      <w:pPr>
        <w:ind w:left="420" w:hanging="360"/>
      </w:pPr>
      <w:rPr>
        <w:rFonts w:ascii="Times New Roman" w:eastAsia="Times New Roman" w:hAnsi="Times New Roman"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1D5A4227"/>
    <w:multiLevelType w:val="hybridMultilevel"/>
    <w:tmpl w:val="1D30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1513A"/>
    <w:multiLevelType w:val="hybridMultilevel"/>
    <w:tmpl w:val="DD1E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C0DA6"/>
    <w:multiLevelType w:val="hybridMultilevel"/>
    <w:tmpl w:val="B77C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A7C4F"/>
    <w:multiLevelType w:val="hybridMultilevel"/>
    <w:tmpl w:val="CFDE1020"/>
    <w:lvl w:ilvl="0" w:tplc="48090011">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A576051"/>
    <w:multiLevelType w:val="hybridMultilevel"/>
    <w:tmpl w:val="07768892"/>
    <w:lvl w:ilvl="0" w:tplc="37BA3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777DE"/>
    <w:multiLevelType w:val="hybridMultilevel"/>
    <w:tmpl w:val="ACA2648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FB263BE"/>
    <w:multiLevelType w:val="hybridMultilevel"/>
    <w:tmpl w:val="90E04AF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9CC6439"/>
    <w:multiLevelType w:val="hybridMultilevel"/>
    <w:tmpl w:val="41EC6040"/>
    <w:lvl w:ilvl="0" w:tplc="DA881C1A">
      <w:start w:val="1"/>
      <w:numFmt w:val="lowerLetter"/>
      <w:lvlText w:val="%1)"/>
      <w:lvlJc w:val="left"/>
      <w:pPr>
        <w:ind w:left="90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4A7E769B"/>
    <w:multiLevelType w:val="hybridMultilevel"/>
    <w:tmpl w:val="F394F656"/>
    <w:lvl w:ilvl="0" w:tplc="990E2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F37E9E"/>
    <w:multiLevelType w:val="hybridMultilevel"/>
    <w:tmpl w:val="831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A14DC"/>
    <w:multiLevelType w:val="hybridMultilevel"/>
    <w:tmpl w:val="DED096DC"/>
    <w:lvl w:ilvl="0" w:tplc="5D5E705C">
      <w:start w:val="1"/>
      <w:numFmt w:val="lowerLetter"/>
      <w:lvlText w:val="%1)"/>
      <w:lvlJc w:val="left"/>
      <w:pPr>
        <w:tabs>
          <w:tab w:val="num" w:pos="1620"/>
        </w:tabs>
        <w:ind w:left="1620" w:hanging="360"/>
      </w:pPr>
      <w:rPr>
        <w:rFonts w:hint="default"/>
        <w:sz w:val="22"/>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59F7363"/>
    <w:multiLevelType w:val="hybridMultilevel"/>
    <w:tmpl w:val="D01C7AAC"/>
    <w:lvl w:ilvl="0" w:tplc="F160B6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1524BCD"/>
    <w:multiLevelType w:val="hybridMultilevel"/>
    <w:tmpl w:val="5142BC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717860"/>
    <w:multiLevelType w:val="hybridMultilevel"/>
    <w:tmpl w:val="2D9ACBE6"/>
    <w:lvl w:ilvl="0" w:tplc="B0620D3C">
      <w:start w:val="2"/>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4" w15:restartNumberingAfterBreak="0">
    <w:nsid w:val="63933FA0"/>
    <w:multiLevelType w:val="hybridMultilevel"/>
    <w:tmpl w:val="38D6F0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7403FDA"/>
    <w:multiLevelType w:val="hybridMultilevel"/>
    <w:tmpl w:val="E03ABFF8"/>
    <w:lvl w:ilvl="0" w:tplc="CB9A8E48">
      <w:start w:val="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6" w15:restartNumberingAfterBreak="0">
    <w:nsid w:val="691520F1"/>
    <w:multiLevelType w:val="hybridMultilevel"/>
    <w:tmpl w:val="9190D2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EE6641"/>
    <w:multiLevelType w:val="hybridMultilevel"/>
    <w:tmpl w:val="135859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D5F234C"/>
    <w:multiLevelType w:val="hybridMultilevel"/>
    <w:tmpl w:val="692089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35C68F5"/>
    <w:multiLevelType w:val="hybridMultilevel"/>
    <w:tmpl w:val="53901F9A"/>
    <w:lvl w:ilvl="0" w:tplc="A462C9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C9126E62">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45E1057"/>
    <w:multiLevelType w:val="hybridMultilevel"/>
    <w:tmpl w:val="2688B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954D69"/>
    <w:multiLevelType w:val="hybridMultilevel"/>
    <w:tmpl w:val="17CC4AB4"/>
    <w:lvl w:ilvl="0" w:tplc="48090001">
      <w:start w:val="1"/>
      <w:numFmt w:val="bullet"/>
      <w:lvlText w:val=""/>
      <w:lvlJc w:val="left"/>
      <w:pPr>
        <w:ind w:left="1260" w:hanging="360"/>
      </w:pPr>
      <w:rPr>
        <w:rFonts w:ascii="Symbol" w:hAnsi="Symbol" w:hint="default"/>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34" w15:restartNumberingAfterBreak="0">
    <w:nsid w:val="749835DA"/>
    <w:multiLevelType w:val="hybridMultilevel"/>
    <w:tmpl w:val="E72A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3C1014"/>
    <w:multiLevelType w:val="hybridMultilevel"/>
    <w:tmpl w:val="71BC9EB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E956229"/>
    <w:multiLevelType w:val="hybridMultilevel"/>
    <w:tmpl w:val="7910ED3E"/>
    <w:lvl w:ilvl="0" w:tplc="67D01C1A">
      <w:start w:val="7"/>
      <w:numFmt w:val="bullet"/>
      <w:lvlText w:val="-"/>
      <w:lvlJc w:val="left"/>
      <w:pPr>
        <w:ind w:left="420" w:hanging="360"/>
      </w:pPr>
      <w:rPr>
        <w:rFonts w:ascii="Times New Roman" w:eastAsia="Times New Roman" w:hAnsi="Times New Roman"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31"/>
  </w:num>
  <w:num w:numId="2">
    <w:abstractNumId w:val="3"/>
  </w:num>
  <w:num w:numId="3">
    <w:abstractNumId w:val="7"/>
  </w:num>
  <w:num w:numId="4">
    <w:abstractNumId w:val="25"/>
  </w:num>
  <w:num w:numId="5">
    <w:abstractNumId w:val="22"/>
  </w:num>
  <w:num w:numId="6">
    <w:abstractNumId w:val="26"/>
  </w:num>
  <w:num w:numId="7">
    <w:abstractNumId w:val="36"/>
  </w:num>
  <w:num w:numId="8">
    <w:abstractNumId w:val="9"/>
  </w:num>
  <w:num w:numId="9">
    <w:abstractNumId w:val="17"/>
  </w:num>
  <w:num w:numId="10">
    <w:abstractNumId w:val="10"/>
  </w:num>
  <w:num w:numId="11">
    <w:abstractNumId w:val="23"/>
  </w:num>
  <w:num w:numId="12">
    <w:abstractNumId w:val="32"/>
  </w:num>
  <w:num w:numId="13">
    <w:abstractNumId w:val="34"/>
  </w:num>
  <w:num w:numId="14">
    <w:abstractNumId w:val="35"/>
  </w:num>
  <w:num w:numId="15">
    <w:abstractNumId w:val="13"/>
  </w:num>
  <w:num w:numId="16">
    <w:abstractNumId w:val="19"/>
  </w:num>
  <w:num w:numId="17">
    <w:abstractNumId w:val="30"/>
  </w:num>
  <w:num w:numId="18">
    <w:abstractNumId w:val="21"/>
  </w:num>
  <w:num w:numId="19">
    <w:abstractNumId w:val="29"/>
  </w:num>
  <w:num w:numId="20">
    <w:abstractNumId w:val="6"/>
  </w:num>
  <w:num w:numId="21">
    <w:abstractNumId w:val="1"/>
  </w:num>
  <w:num w:numId="22">
    <w:abstractNumId w:val="18"/>
  </w:num>
  <w:num w:numId="23">
    <w:abstractNumId w:val="24"/>
  </w:num>
  <w:num w:numId="24">
    <w:abstractNumId w:val="14"/>
  </w:num>
  <w:num w:numId="25">
    <w:abstractNumId w:val="12"/>
  </w:num>
  <w:num w:numId="26">
    <w:abstractNumId w:val="11"/>
  </w:num>
  <w:num w:numId="27">
    <w:abstractNumId w:val="16"/>
  </w:num>
  <w:num w:numId="28">
    <w:abstractNumId w:val="28"/>
  </w:num>
  <w:num w:numId="29">
    <w:abstractNumId w:val="5"/>
  </w:num>
  <w:num w:numId="30">
    <w:abstractNumId w:val="27"/>
  </w:num>
  <w:num w:numId="31">
    <w:abstractNumId w:val="15"/>
  </w:num>
  <w:num w:numId="32">
    <w:abstractNumId w:val="0"/>
  </w:num>
  <w:num w:numId="33">
    <w:abstractNumId w:val="33"/>
  </w:num>
  <w:num w:numId="34">
    <w:abstractNumId w:val="4"/>
  </w:num>
  <w:num w:numId="35">
    <w:abstractNumId w:val="20"/>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A0"/>
    <w:rsid w:val="00007888"/>
    <w:rsid w:val="00012E34"/>
    <w:rsid w:val="00016AFA"/>
    <w:rsid w:val="00022497"/>
    <w:rsid w:val="00024E53"/>
    <w:rsid w:val="00032169"/>
    <w:rsid w:val="000400C3"/>
    <w:rsid w:val="00045D12"/>
    <w:rsid w:val="0005334B"/>
    <w:rsid w:val="00061EB2"/>
    <w:rsid w:val="00073577"/>
    <w:rsid w:val="00074B25"/>
    <w:rsid w:val="00074ECD"/>
    <w:rsid w:val="000760B7"/>
    <w:rsid w:val="0008765E"/>
    <w:rsid w:val="00091D90"/>
    <w:rsid w:val="000A2B85"/>
    <w:rsid w:val="000C32A0"/>
    <w:rsid w:val="000C468F"/>
    <w:rsid w:val="000D4676"/>
    <w:rsid w:val="000D4EA8"/>
    <w:rsid w:val="00100CD1"/>
    <w:rsid w:val="00102B5D"/>
    <w:rsid w:val="00106F0C"/>
    <w:rsid w:val="0011498D"/>
    <w:rsid w:val="00121A4D"/>
    <w:rsid w:val="00125A8A"/>
    <w:rsid w:val="00127227"/>
    <w:rsid w:val="001319BB"/>
    <w:rsid w:val="001377A4"/>
    <w:rsid w:val="001428CA"/>
    <w:rsid w:val="001443C9"/>
    <w:rsid w:val="00145913"/>
    <w:rsid w:val="0015043D"/>
    <w:rsid w:val="00153DF2"/>
    <w:rsid w:val="001551DF"/>
    <w:rsid w:val="0015667E"/>
    <w:rsid w:val="00156B24"/>
    <w:rsid w:val="00163328"/>
    <w:rsid w:val="0016386C"/>
    <w:rsid w:val="00166DC5"/>
    <w:rsid w:val="001759B5"/>
    <w:rsid w:val="001A1764"/>
    <w:rsid w:val="001A18C8"/>
    <w:rsid w:val="001B4A5B"/>
    <w:rsid w:val="001B5600"/>
    <w:rsid w:val="001C0EE5"/>
    <w:rsid w:val="001C7032"/>
    <w:rsid w:val="001E097F"/>
    <w:rsid w:val="001E2F99"/>
    <w:rsid w:val="001F0BA4"/>
    <w:rsid w:val="001F21FB"/>
    <w:rsid w:val="001F25B4"/>
    <w:rsid w:val="001F2FE0"/>
    <w:rsid w:val="00201B5C"/>
    <w:rsid w:val="00205150"/>
    <w:rsid w:val="00206A7A"/>
    <w:rsid w:val="00220598"/>
    <w:rsid w:val="00221520"/>
    <w:rsid w:val="00224E16"/>
    <w:rsid w:val="00232EDA"/>
    <w:rsid w:val="00233880"/>
    <w:rsid w:val="00233C52"/>
    <w:rsid w:val="002413F7"/>
    <w:rsid w:val="00241875"/>
    <w:rsid w:val="002460C1"/>
    <w:rsid w:val="002509E9"/>
    <w:rsid w:val="00250B6C"/>
    <w:rsid w:val="002529EF"/>
    <w:rsid w:val="002556EC"/>
    <w:rsid w:val="002736C5"/>
    <w:rsid w:val="00280088"/>
    <w:rsid w:val="00291F8A"/>
    <w:rsid w:val="002942A0"/>
    <w:rsid w:val="00294E67"/>
    <w:rsid w:val="002A09DE"/>
    <w:rsid w:val="002A2672"/>
    <w:rsid w:val="002A2C44"/>
    <w:rsid w:val="002B0463"/>
    <w:rsid w:val="002B0630"/>
    <w:rsid w:val="002B090E"/>
    <w:rsid w:val="002B3F21"/>
    <w:rsid w:val="002C2602"/>
    <w:rsid w:val="002C409A"/>
    <w:rsid w:val="002C4F24"/>
    <w:rsid w:val="002D1119"/>
    <w:rsid w:val="002D1853"/>
    <w:rsid w:val="002D56E8"/>
    <w:rsid w:val="002E2C68"/>
    <w:rsid w:val="002E2C7D"/>
    <w:rsid w:val="002F585E"/>
    <w:rsid w:val="002F6984"/>
    <w:rsid w:val="003070AE"/>
    <w:rsid w:val="00315BA6"/>
    <w:rsid w:val="00321BD3"/>
    <w:rsid w:val="00321FD7"/>
    <w:rsid w:val="003273C9"/>
    <w:rsid w:val="00332FEB"/>
    <w:rsid w:val="00333EA6"/>
    <w:rsid w:val="003369A4"/>
    <w:rsid w:val="003378E9"/>
    <w:rsid w:val="00354504"/>
    <w:rsid w:val="0035574D"/>
    <w:rsid w:val="00357A1A"/>
    <w:rsid w:val="00360D02"/>
    <w:rsid w:val="003700BB"/>
    <w:rsid w:val="00372A5C"/>
    <w:rsid w:val="003764A2"/>
    <w:rsid w:val="00376F9E"/>
    <w:rsid w:val="00381EDE"/>
    <w:rsid w:val="00391387"/>
    <w:rsid w:val="003C3E27"/>
    <w:rsid w:val="003C73C6"/>
    <w:rsid w:val="003D262C"/>
    <w:rsid w:val="003D4492"/>
    <w:rsid w:val="003E0A42"/>
    <w:rsid w:val="003E70D7"/>
    <w:rsid w:val="003E7F63"/>
    <w:rsid w:val="003F0FBC"/>
    <w:rsid w:val="00401D7E"/>
    <w:rsid w:val="00401F74"/>
    <w:rsid w:val="00410D56"/>
    <w:rsid w:val="00412D73"/>
    <w:rsid w:val="00424CAD"/>
    <w:rsid w:val="00426531"/>
    <w:rsid w:val="00427EC8"/>
    <w:rsid w:val="00432617"/>
    <w:rsid w:val="00445072"/>
    <w:rsid w:val="00454A4B"/>
    <w:rsid w:val="00457578"/>
    <w:rsid w:val="00473F24"/>
    <w:rsid w:val="00474C76"/>
    <w:rsid w:val="004757F3"/>
    <w:rsid w:val="004871FA"/>
    <w:rsid w:val="00492DD5"/>
    <w:rsid w:val="004B3274"/>
    <w:rsid w:val="004B6E97"/>
    <w:rsid w:val="004C38AB"/>
    <w:rsid w:val="004D16DE"/>
    <w:rsid w:val="004D2EBC"/>
    <w:rsid w:val="004D5C61"/>
    <w:rsid w:val="004E06B8"/>
    <w:rsid w:val="004F053F"/>
    <w:rsid w:val="004F44E3"/>
    <w:rsid w:val="00507967"/>
    <w:rsid w:val="00513DBD"/>
    <w:rsid w:val="0051485A"/>
    <w:rsid w:val="00524FEC"/>
    <w:rsid w:val="00526E1B"/>
    <w:rsid w:val="00532A04"/>
    <w:rsid w:val="005345F8"/>
    <w:rsid w:val="00536C9F"/>
    <w:rsid w:val="005373B3"/>
    <w:rsid w:val="005452AC"/>
    <w:rsid w:val="005510D7"/>
    <w:rsid w:val="00571A37"/>
    <w:rsid w:val="00576F59"/>
    <w:rsid w:val="00577284"/>
    <w:rsid w:val="0058511F"/>
    <w:rsid w:val="00585529"/>
    <w:rsid w:val="00593E29"/>
    <w:rsid w:val="005A01D8"/>
    <w:rsid w:val="005A2C3B"/>
    <w:rsid w:val="005A4493"/>
    <w:rsid w:val="005A5757"/>
    <w:rsid w:val="005A7200"/>
    <w:rsid w:val="005C75D7"/>
    <w:rsid w:val="005D77B3"/>
    <w:rsid w:val="00614F4A"/>
    <w:rsid w:val="00617109"/>
    <w:rsid w:val="0062774B"/>
    <w:rsid w:val="00640CE0"/>
    <w:rsid w:val="00641BC6"/>
    <w:rsid w:val="00643CEF"/>
    <w:rsid w:val="0064552E"/>
    <w:rsid w:val="00654A8A"/>
    <w:rsid w:val="006762C5"/>
    <w:rsid w:val="00687D79"/>
    <w:rsid w:val="00691673"/>
    <w:rsid w:val="00691DE5"/>
    <w:rsid w:val="006925BE"/>
    <w:rsid w:val="006A4455"/>
    <w:rsid w:val="006C230B"/>
    <w:rsid w:val="006D25C9"/>
    <w:rsid w:val="006D3398"/>
    <w:rsid w:val="006E6150"/>
    <w:rsid w:val="006E73FE"/>
    <w:rsid w:val="006F2018"/>
    <w:rsid w:val="006F7C18"/>
    <w:rsid w:val="007108E1"/>
    <w:rsid w:val="00713909"/>
    <w:rsid w:val="00715030"/>
    <w:rsid w:val="007315EF"/>
    <w:rsid w:val="00756BC1"/>
    <w:rsid w:val="0076629E"/>
    <w:rsid w:val="0078223F"/>
    <w:rsid w:val="00796087"/>
    <w:rsid w:val="00796B59"/>
    <w:rsid w:val="007A02C4"/>
    <w:rsid w:val="007A5DE5"/>
    <w:rsid w:val="007B1FB2"/>
    <w:rsid w:val="007B2AD8"/>
    <w:rsid w:val="007B6D43"/>
    <w:rsid w:val="007C6150"/>
    <w:rsid w:val="007D128C"/>
    <w:rsid w:val="007D4406"/>
    <w:rsid w:val="007F6321"/>
    <w:rsid w:val="007F747D"/>
    <w:rsid w:val="0080378B"/>
    <w:rsid w:val="0080435E"/>
    <w:rsid w:val="008131D3"/>
    <w:rsid w:val="00820D8C"/>
    <w:rsid w:val="00824ACA"/>
    <w:rsid w:val="0083266E"/>
    <w:rsid w:val="008340A1"/>
    <w:rsid w:val="008403D9"/>
    <w:rsid w:val="008552AB"/>
    <w:rsid w:val="0087057F"/>
    <w:rsid w:val="00882ADC"/>
    <w:rsid w:val="008851B1"/>
    <w:rsid w:val="0089675E"/>
    <w:rsid w:val="008A4F96"/>
    <w:rsid w:val="008A6943"/>
    <w:rsid w:val="008B08C3"/>
    <w:rsid w:val="008B15AB"/>
    <w:rsid w:val="008B3D4E"/>
    <w:rsid w:val="008C0B76"/>
    <w:rsid w:val="008C2358"/>
    <w:rsid w:val="008C299B"/>
    <w:rsid w:val="008D61A4"/>
    <w:rsid w:val="008E73C6"/>
    <w:rsid w:val="008F54ED"/>
    <w:rsid w:val="008F6BBF"/>
    <w:rsid w:val="009015E2"/>
    <w:rsid w:val="009057F7"/>
    <w:rsid w:val="00905DEA"/>
    <w:rsid w:val="00930B4E"/>
    <w:rsid w:val="0095635E"/>
    <w:rsid w:val="009741A3"/>
    <w:rsid w:val="00974B15"/>
    <w:rsid w:val="00981A24"/>
    <w:rsid w:val="009836D8"/>
    <w:rsid w:val="00985130"/>
    <w:rsid w:val="00994158"/>
    <w:rsid w:val="009A2009"/>
    <w:rsid w:val="009A7F1D"/>
    <w:rsid w:val="009B0123"/>
    <w:rsid w:val="009B01B5"/>
    <w:rsid w:val="009B251C"/>
    <w:rsid w:val="009C445C"/>
    <w:rsid w:val="009C4E3F"/>
    <w:rsid w:val="009C5A34"/>
    <w:rsid w:val="009D0C05"/>
    <w:rsid w:val="009D6067"/>
    <w:rsid w:val="009E0C91"/>
    <w:rsid w:val="00A011E1"/>
    <w:rsid w:val="00A05A2E"/>
    <w:rsid w:val="00A06D0A"/>
    <w:rsid w:val="00A1351F"/>
    <w:rsid w:val="00A13B3A"/>
    <w:rsid w:val="00A15C78"/>
    <w:rsid w:val="00A20CDE"/>
    <w:rsid w:val="00A21688"/>
    <w:rsid w:val="00A2606F"/>
    <w:rsid w:val="00A26FE9"/>
    <w:rsid w:val="00A51C8A"/>
    <w:rsid w:val="00A60363"/>
    <w:rsid w:val="00A60BE2"/>
    <w:rsid w:val="00A62D4C"/>
    <w:rsid w:val="00A73E9E"/>
    <w:rsid w:val="00A7485E"/>
    <w:rsid w:val="00A96B2C"/>
    <w:rsid w:val="00AB5BBC"/>
    <w:rsid w:val="00AE3ABB"/>
    <w:rsid w:val="00AE683A"/>
    <w:rsid w:val="00AF008D"/>
    <w:rsid w:val="00AF4CC5"/>
    <w:rsid w:val="00AF6379"/>
    <w:rsid w:val="00B04763"/>
    <w:rsid w:val="00B46BD8"/>
    <w:rsid w:val="00B5182F"/>
    <w:rsid w:val="00B5299F"/>
    <w:rsid w:val="00B825FE"/>
    <w:rsid w:val="00B87863"/>
    <w:rsid w:val="00B96F73"/>
    <w:rsid w:val="00BA0271"/>
    <w:rsid w:val="00BA05B3"/>
    <w:rsid w:val="00BA29BE"/>
    <w:rsid w:val="00BA7D1B"/>
    <w:rsid w:val="00BB046F"/>
    <w:rsid w:val="00BB21AD"/>
    <w:rsid w:val="00BB284C"/>
    <w:rsid w:val="00BB5681"/>
    <w:rsid w:val="00BD1214"/>
    <w:rsid w:val="00BD22B6"/>
    <w:rsid w:val="00BD697B"/>
    <w:rsid w:val="00BE652F"/>
    <w:rsid w:val="00BE73E9"/>
    <w:rsid w:val="00BF0800"/>
    <w:rsid w:val="00BF2032"/>
    <w:rsid w:val="00C01985"/>
    <w:rsid w:val="00C05571"/>
    <w:rsid w:val="00C0783F"/>
    <w:rsid w:val="00C1070A"/>
    <w:rsid w:val="00C130D4"/>
    <w:rsid w:val="00C16909"/>
    <w:rsid w:val="00C36D14"/>
    <w:rsid w:val="00C40E40"/>
    <w:rsid w:val="00C6493A"/>
    <w:rsid w:val="00C72DE3"/>
    <w:rsid w:val="00C77187"/>
    <w:rsid w:val="00C838BB"/>
    <w:rsid w:val="00C87482"/>
    <w:rsid w:val="00C9230F"/>
    <w:rsid w:val="00C92E64"/>
    <w:rsid w:val="00CA5938"/>
    <w:rsid w:val="00CB443E"/>
    <w:rsid w:val="00CC16FE"/>
    <w:rsid w:val="00CD2C36"/>
    <w:rsid w:val="00CD5F69"/>
    <w:rsid w:val="00CD7808"/>
    <w:rsid w:val="00D02B47"/>
    <w:rsid w:val="00D12C54"/>
    <w:rsid w:val="00D17B80"/>
    <w:rsid w:val="00D22940"/>
    <w:rsid w:val="00D31118"/>
    <w:rsid w:val="00D32285"/>
    <w:rsid w:val="00D326FF"/>
    <w:rsid w:val="00D372E7"/>
    <w:rsid w:val="00D51150"/>
    <w:rsid w:val="00D56990"/>
    <w:rsid w:val="00D56BBF"/>
    <w:rsid w:val="00D61E86"/>
    <w:rsid w:val="00D64632"/>
    <w:rsid w:val="00D84D63"/>
    <w:rsid w:val="00D84FB5"/>
    <w:rsid w:val="00D854D9"/>
    <w:rsid w:val="00DB629A"/>
    <w:rsid w:val="00DC6F47"/>
    <w:rsid w:val="00DD0104"/>
    <w:rsid w:val="00DE348C"/>
    <w:rsid w:val="00DE60A4"/>
    <w:rsid w:val="00DE62C9"/>
    <w:rsid w:val="00DE6CBC"/>
    <w:rsid w:val="00DF34D8"/>
    <w:rsid w:val="00DF3775"/>
    <w:rsid w:val="00E06CB5"/>
    <w:rsid w:val="00E07601"/>
    <w:rsid w:val="00E3485D"/>
    <w:rsid w:val="00E7431D"/>
    <w:rsid w:val="00E939FA"/>
    <w:rsid w:val="00EB2349"/>
    <w:rsid w:val="00EC7AC7"/>
    <w:rsid w:val="00ED46A8"/>
    <w:rsid w:val="00ED4D13"/>
    <w:rsid w:val="00EE2D5C"/>
    <w:rsid w:val="00EE5699"/>
    <w:rsid w:val="00EF20C1"/>
    <w:rsid w:val="00EF2CAC"/>
    <w:rsid w:val="00EF4138"/>
    <w:rsid w:val="00EF53D5"/>
    <w:rsid w:val="00EF6EFC"/>
    <w:rsid w:val="00F0108B"/>
    <w:rsid w:val="00F1363C"/>
    <w:rsid w:val="00F2461E"/>
    <w:rsid w:val="00F26564"/>
    <w:rsid w:val="00F400EE"/>
    <w:rsid w:val="00F441A9"/>
    <w:rsid w:val="00F44FCF"/>
    <w:rsid w:val="00F605DE"/>
    <w:rsid w:val="00F61E0F"/>
    <w:rsid w:val="00F628AD"/>
    <w:rsid w:val="00F91A5F"/>
    <w:rsid w:val="00F95998"/>
    <w:rsid w:val="00F959ED"/>
    <w:rsid w:val="00FA5B10"/>
    <w:rsid w:val="00FB0245"/>
    <w:rsid w:val="00FB1161"/>
    <w:rsid w:val="00FB1EF9"/>
    <w:rsid w:val="00FB3739"/>
    <w:rsid w:val="00FB37EA"/>
    <w:rsid w:val="00FB469A"/>
    <w:rsid w:val="00FC2FC4"/>
    <w:rsid w:val="00FC65DB"/>
    <w:rsid w:val="00FD3699"/>
    <w:rsid w:val="00FE2BDB"/>
    <w:rsid w:val="00FF1E5F"/>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C54F"/>
  <w15:docId w15:val="{24BD1E96-E3F3-4D86-8DA6-362EBCEB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D63"/>
    <w:pPr>
      <w:spacing w:after="200" w:line="276" w:lineRule="auto"/>
    </w:pPr>
    <w:rPr>
      <w:sz w:val="22"/>
      <w:szCs w:val="22"/>
    </w:rPr>
  </w:style>
  <w:style w:type="paragraph" w:styleId="Heading1">
    <w:name w:val="heading 1"/>
    <w:basedOn w:val="Normal"/>
    <w:next w:val="Normal"/>
    <w:link w:val="Heading1Char"/>
    <w:qFormat/>
    <w:rsid w:val="00DF34D8"/>
    <w:pPr>
      <w:keepNext/>
      <w:numPr>
        <w:ilvl w:val="3"/>
        <w:numId w:val="2"/>
      </w:numPr>
      <w:pBdr>
        <w:bottom w:val="single" w:sz="2" w:space="5" w:color="auto"/>
      </w:pBdr>
      <w:tabs>
        <w:tab w:val="clear" w:pos="720"/>
        <w:tab w:val="left" w:pos="510"/>
      </w:tabs>
      <w:suppressAutoHyphens/>
      <w:spacing w:before="780" w:after="180" w:line="300" w:lineRule="atLeast"/>
      <w:outlineLvl w:val="0"/>
    </w:pPr>
    <w:rPr>
      <w:rFonts w:ascii="Arial" w:eastAsia="Times New Roman" w:hAnsi="Arial"/>
      <w:b/>
      <w:caps/>
      <w:kern w:val="28"/>
      <w:sz w:val="24"/>
      <w:szCs w:val="20"/>
      <w:lang w:val="fr-FR" w:eastAsia="fr-FR"/>
    </w:rPr>
  </w:style>
  <w:style w:type="paragraph" w:styleId="Heading2">
    <w:name w:val="heading 2"/>
    <w:basedOn w:val="Normal"/>
    <w:next w:val="Normal"/>
    <w:link w:val="Heading2Char"/>
    <w:qFormat/>
    <w:rsid w:val="00DF34D8"/>
    <w:pPr>
      <w:keepNext/>
      <w:numPr>
        <w:ilvl w:val="4"/>
        <w:numId w:val="2"/>
      </w:numPr>
      <w:suppressAutoHyphens/>
      <w:spacing w:before="400" w:after="80" w:line="240" w:lineRule="auto"/>
      <w:outlineLvl w:val="1"/>
    </w:pPr>
    <w:rPr>
      <w:rFonts w:ascii="Arial" w:eastAsia="Times New Roman" w:hAnsi="Arial"/>
      <w:b/>
      <w:sz w:val="25"/>
      <w:szCs w:val="20"/>
      <w:lang w:val="fr-FR" w:eastAsia="fr-FR"/>
    </w:rPr>
  </w:style>
  <w:style w:type="paragraph" w:styleId="Heading3">
    <w:name w:val="heading 3"/>
    <w:basedOn w:val="Normal"/>
    <w:next w:val="Normal"/>
    <w:link w:val="Heading3Char"/>
    <w:qFormat/>
    <w:rsid w:val="00DF34D8"/>
    <w:pPr>
      <w:keepNext/>
      <w:numPr>
        <w:ilvl w:val="5"/>
        <w:numId w:val="2"/>
      </w:numPr>
      <w:suppressAutoHyphens/>
      <w:spacing w:before="240" w:after="60" w:line="240" w:lineRule="auto"/>
      <w:outlineLvl w:val="2"/>
    </w:pPr>
    <w:rPr>
      <w:rFonts w:ascii="Arial" w:eastAsia="Times New Roman" w:hAnsi="Arial"/>
      <w:b/>
      <w:szCs w:val="20"/>
      <w:lang w:val="x-none" w:eastAsia="x-none"/>
    </w:rPr>
  </w:style>
  <w:style w:type="paragraph" w:styleId="Heading4">
    <w:name w:val="heading 4"/>
    <w:basedOn w:val="Normal"/>
    <w:next w:val="Normal"/>
    <w:link w:val="Heading4Char"/>
    <w:qFormat/>
    <w:rsid w:val="00DF34D8"/>
    <w:pPr>
      <w:keepNext/>
      <w:numPr>
        <w:ilvl w:val="6"/>
        <w:numId w:val="2"/>
      </w:numPr>
      <w:suppressAutoHyphens/>
      <w:spacing w:before="140" w:after="0" w:line="240" w:lineRule="auto"/>
      <w:outlineLvl w:val="3"/>
    </w:pPr>
    <w:rPr>
      <w:rFonts w:ascii="Times New Roman" w:eastAsia="Times New Roman" w:hAnsi="Times New Roman"/>
      <w:i/>
      <w:sz w:val="24"/>
      <w:szCs w:val="20"/>
      <w:lang w:val="x-none" w:eastAsia="x-none"/>
    </w:rPr>
  </w:style>
  <w:style w:type="paragraph" w:styleId="Heading8">
    <w:name w:val="heading 8"/>
    <w:basedOn w:val="Normal"/>
    <w:next w:val="Normal"/>
    <w:link w:val="Heading8Char"/>
    <w:uiPriority w:val="9"/>
    <w:semiHidden/>
    <w:unhideWhenUsed/>
    <w:qFormat/>
    <w:rsid w:val="00F44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34D8"/>
    <w:rPr>
      <w:rFonts w:ascii="Arial" w:eastAsia="Times New Roman" w:hAnsi="Arial"/>
      <w:b/>
      <w:caps/>
      <w:kern w:val="28"/>
      <w:sz w:val="24"/>
      <w:lang w:val="fr-FR" w:eastAsia="fr-FR"/>
    </w:rPr>
  </w:style>
  <w:style w:type="character" w:customStyle="1" w:styleId="Heading2Char">
    <w:name w:val="Heading 2 Char"/>
    <w:link w:val="Heading2"/>
    <w:rsid w:val="00DF34D8"/>
    <w:rPr>
      <w:rFonts w:ascii="Arial" w:eastAsia="Times New Roman" w:hAnsi="Arial"/>
      <w:b/>
      <w:sz w:val="25"/>
      <w:lang w:val="fr-FR" w:eastAsia="fr-FR"/>
    </w:rPr>
  </w:style>
  <w:style w:type="character" w:customStyle="1" w:styleId="Heading3Char">
    <w:name w:val="Heading 3 Char"/>
    <w:link w:val="Heading3"/>
    <w:rsid w:val="00DF34D8"/>
    <w:rPr>
      <w:rFonts w:ascii="Arial" w:eastAsia="Times New Roman" w:hAnsi="Arial"/>
      <w:b/>
      <w:sz w:val="22"/>
      <w:lang w:val="x-none" w:eastAsia="x-none"/>
    </w:rPr>
  </w:style>
  <w:style w:type="character" w:customStyle="1" w:styleId="Heading4Char">
    <w:name w:val="Heading 4 Char"/>
    <w:link w:val="Heading4"/>
    <w:rsid w:val="00DF34D8"/>
    <w:rPr>
      <w:rFonts w:ascii="Times New Roman" w:eastAsia="Times New Roman" w:hAnsi="Times New Roman"/>
      <w:i/>
      <w:sz w:val="24"/>
      <w:lang w:val="x-none" w:eastAsia="x-none"/>
    </w:rPr>
  </w:style>
  <w:style w:type="paragraph" w:customStyle="1" w:styleId="Titredintercalaire">
    <w:name w:val="Titre d'intercalaire"/>
    <w:basedOn w:val="Normal"/>
    <w:next w:val="Normal"/>
    <w:rsid w:val="00DF34D8"/>
    <w:pPr>
      <w:numPr>
        <w:numId w:val="2"/>
      </w:numPr>
      <w:suppressAutoHyphens/>
      <w:spacing w:before="4600" w:after="0" w:line="680" w:lineRule="exact"/>
      <w:ind w:left="1276"/>
      <w:outlineLvl w:val="0"/>
    </w:pPr>
    <w:rPr>
      <w:rFonts w:ascii="Arial Black" w:eastAsia="Times New Roman" w:hAnsi="Arial Black"/>
      <w:b/>
      <w:w w:val="90"/>
      <w:sz w:val="48"/>
      <w:szCs w:val="20"/>
      <w:lang w:val="fr-FR" w:eastAsia="fr-FR"/>
    </w:rPr>
  </w:style>
  <w:style w:type="paragraph" w:customStyle="1" w:styleId="Titreprincipal">
    <w:name w:val="Titre principal"/>
    <w:basedOn w:val="Normal"/>
    <w:next w:val="Normal"/>
    <w:rsid w:val="00DF34D8"/>
    <w:pPr>
      <w:keepNext/>
      <w:pageBreakBefore/>
      <w:numPr>
        <w:ilvl w:val="1"/>
        <w:numId w:val="2"/>
      </w:numPr>
      <w:suppressAutoHyphens/>
      <w:spacing w:before="1200" w:after="600" w:line="480" w:lineRule="exact"/>
      <w:jc w:val="center"/>
      <w:outlineLvl w:val="0"/>
    </w:pPr>
    <w:rPr>
      <w:rFonts w:ascii="Arial" w:eastAsia="Times New Roman" w:hAnsi="Arial"/>
      <w:b/>
      <w:sz w:val="40"/>
      <w:szCs w:val="20"/>
      <w:lang w:val="fr-FR" w:eastAsia="fr-FR"/>
    </w:rPr>
  </w:style>
  <w:style w:type="paragraph" w:customStyle="1" w:styleId="Pucepourtitre">
    <w:name w:val="Puce pour titre"/>
    <w:basedOn w:val="Normal"/>
    <w:next w:val="Normal"/>
    <w:rsid w:val="00DF34D8"/>
    <w:pPr>
      <w:keepNext/>
      <w:numPr>
        <w:ilvl w:val="7"/>
        <w:numId w:val="2"/>
      </w:numPr>
      <w:tabs>
        <w:tab w:val="clear" w:pos="360"/>
        <w:tab w:val="num" w:pos="340"/>
      </w:tabs>
      <w:suppressAutoHyphens/>
      <w:spacing w:before="180" w:after="0" w:line="240" w:lineRule="auto"/>
      <w:outlineLvl w:val="4"/>
    </w:pPr>
    <w:rPr>
      <w:rFonts w:ascii="Times New Roman" w:eastAsia="Times New Roman" w:hAnsi="Times New Roman"/>
      <w:b/>
      <w:szCs w:val="20"/>
      <w:lang w:val="fr-FR" w:eastAsia="fr-FR"/>
    </w:rPr>
  </w:style>
  <w:style w:type="paragraph" w:customStyle="1" w:styleId="Titredannexe">
    <w:name w:val="Titre d'annexe"/>
    <w:basedOn w:val="Normal"/>
    <w:next w:val="Normal"/>
    <w:rsid w:val="00DF34D8"/>
    <w:pPr>
      <w:pageBreakBefore/>
      <w:numPr>
        <w:ilvl w:val="2"/>
        <w:numId w:val="2"/>
      </w:numPr>
      <w:suppressAutoHyphens/>
      <w:spacing w:before="120" w:after="960" w:line="240" w:lineRule="auto"/>
      <w:jc w:val="center"/>
      <w:outlineLvl w:val="0"/>
    </w:pPr>
    <w:rPr>
      <w:rFonts w:ascii="Arial" w:eastAsia="Times New Roman" w:hAnsi="Arial"/>
      <w:b/>
      <w:sz w:val="28"/>
      <w:szCs w:val="20"/>
      <w:lang w:val="fr-FR" w:eastAsia="fr-FR"/>
    </w:rPr>
  </w:style>
  <w:style w:type="paragraph" w:customStyle="1" w:styleId="Default">
    <w:name w:val="Default"/>
    <w:rsid w:val="00291F8A"/>
    <w:pPr>
      <w:autoSpaceDE w:val="0"/>
      <w:autoSpaceDN w:val="0"/>
      <w:adjustRightInd w:val="0"/>
    </w:pPr>
    <w:rPr>
      <w:rFonts w:cs="Calibri"/>
      <w:color w:val="000000"/>
      <w:sz w:val="24"/>
      <w:szCs w:val="24"/>
    </w:rPr>
  </w:style>
  <w:style w:type="character" w:styleId="Hyperlink">
    <w:name w:val="Hyperlink"/>
    <w:uiPriority w:val="99"/>
    <w:unhideWhenUsed/>
    <w:rsid w:val="00C16909"/>
    <w:rPr>
      <w:color w:val="0000FF"/>
      <w:u w:val="single"/>
    </w:rPr>
  </w:style>
  <w:style w:type="paragraph" w:styleId="BalloonText">
    <w:name w:val="Balloon Text"/>
    <w:basedOn w:val="Normal"/>
    <w:link w:val="BalloonTextChar"/>
    <w:uiPriority w:val="99"/>
    <w:semiHidden/>
    <w:unhideWhenUsed/>
    <w:rsid w:val="00A96B2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6B2C"/>
    <w:rPr>
      <w:rFonts w:ascii="Tahoma" w:hAnsi="Tahoma" w:cs="Tahoma"/>
      <w:sz w:val="16"/>
      <w:szCs w:val="16"/>
      <w:lang w:val="en-US" w:eastAsia="en-US"/>
    </w:rPr>
  </w:style>
  <w:style w:type="character" w:styleId="CommentReference">
    <w:name w:val="annotation reference"/>
    <w:uiPriority w:val="99"/>
    <w:semiHidden/>
    <w:unhideWhenUsed/>
    <w:rsid w:val="001A1764"/>
    <w:rPr>
      <w:sz w:val="16"/>
      <w:szCs w:val="16"/>
    </w:rPr>
  </w:style>
  <w:style w:type="paragraph" w:styleId="CommentText">
    <w:name w:val="annotation text"/>
    <w:basedOn w:val="Normal"/>
    <w:link w:val="CommentTextChar"/>
    <w:uiPriority w:val="99"/>
    <w:semiHidden/>
    <w:unhideWhenUsed/>
    <w:rsid w:val="001A1764"/>
    <w:rPr>
      <w:sz w:val="20"/>
      <w:szCs w:val="20"/>
    </w:rPr>
  </w:style>
  <w:style w:type="character" w:customStyle="1" w:styleId="CommentTextChar">
    <w:name w:val="Comment Text Char"/>
    <w:link w:val="CommentText"/>
    <w:uiPriority w:val="99"/>
    <w:semiHidden/>
    <w:rsid w:val="001A1764"/>
    <w:rPr>
      <w:lang w:val="en-US" w:eastAsia="en-US"/>
    </w:rPr>
  </w:style>
  <w:style w:type="paragraph" w:styleId="CommentSubject">
    <w:name w:val="annotation subject"/>
    <w:basedOn w:val="CommentText"/>
    <w:next w:val="CommentText"/>
    <w:link w:val="CommentSubjectChar"/>
    <w:uiPriority w:val="99"/>
    <w:semiHidden/>
    <w:unhideWhenUsed/>
    <w:rsid w:val="001A1764"/>
    <w:rPr>
      <w:b/>
      <w:bCs/>
    </w:rPr>
  </w:style>
  <w:style w:type="character" w:customStyle="1" w:styleId="CommentSubjectChar">
    <w:name w:val="Comment Subject Char"/>
    <w:link w:val="CommentSubject"/>
    <w:uiPriority w:val="99"/>
    <w:semiHidden/>
    <w:rsid w:val="001A1764"/>
    <w:rPr>
      <w:b/>
      <w:bCs/>
      <w:lang w:val="en-US" w:eastAsia="en-US"/>
    </w:rPr>
  </w:style>
  <w:style w:type="paragraph" w:styleId="Header">
    <w:name w:val="header"/>
    <w:basedOn w:val="Normal"/>
    <w:link w:val="HeaderChar"/>
    <w:uiPriority w:val="99"/>
    <w:unhideWhenUsed/>
    <w:rsid w:val="00321BD3"/>
    <w:pPr>
      <w:tabs>
        <w:tab w:val="center" w:pos="4680"/>
        <w:tab w:val="right" w:pos="9360"/>
      </w:tabs>
    </w:pPr>
  </w:style>
  <w:style w:type="character" w:customStyle="1" w:styleId="HeaderChar">
    <w:name w:val="Header Char"/>
    <w:link w:val="Header"/>
    <w:uiPriority w:val="99"/>
    <w:rsid w:val="00321BD3"/>
    <w:rPr>
      <w:sz w:val="22"/>
      <w:szCs w:val="22"/>
    </w:rPr>
  </w:style>
  <w:style w:type="paragraph" w:styleId="Footer">
    <w:name w:val="footer"/>
    <w:basedOn w:val="Normal"/>
    <w:link w:val="FooterChar"/>
    <w:uiPriority w:val="99"/>
    <w:unhideWhenUsed/>
    <w:rsid w:val="00321BD3"/>
    <w:pPr>
      <w:tabs>
        <w:tab w:val="center" w:pos="4680"/>
        <w:tab w:val="right" w:pos="9360"/>
      </w:tabs>
    </w:pPr>
  </w:style>
  <w:style w:type="character" w:customStyle="1" w:styleId="FooterChar">
    <w:name w:val="Footer Char"/>
    <w:link w:val="Footer"/>
    <w:uiPriority w:val="99"/>
    <w:rsid w:val="00321BD3"/>
    <w:rPr>
      <w:sz w:val="22"/>
      <w:szCs w:val="22"/>
    </w:rPr>
  </w:style>
  <w:style w:type="paragraph" w:styleId="ListParagraph">
    <w:name w:val="List Paragraph"/>
    <w:basedOn w:val="Normal"/>
    <w:uiPriority w:val="34"/>
    <w:qFormat/>
    <w:rsid w:val="004C38AB"/>
    <w:pPr>
      <w:ind w:left="720"/>
      <w:contextualSpacing/>
    </w:pPr>
  </w:style>
  <w:style w:type="table" w:styleId="TableGrid">
    <w:name w:val="Table Grid"/>
    <w:basedOn w:val="TableNormal"/>
    <w:uiPriority w:val="59"/>
    <w:rsid w:val="006E6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A01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1D8"/>
  </w:style>
  <w:style w:type="character" w:styleId="FootnoteReference">
    <w:name w:val="footnote reference"/>
    <w:basedOn w:val="DefaultParagraphFont"/>
    <w:semiHidden/>
    <w:unhideWhenUsed/>
    <w:rsid w:val="005A01D8"/>
    <w:rPr>
      <w:vertAlign w:val="superscript"/>
    </w:rPr>
  </w:style>
  <w:style w:type="character" w:styleId="UnresolvedMention">
    <w:name w:val="Unresolved Mention"/>
    <w:basedOn w:val="DefaultParagraphFont"/>
    <w:uiPriority w:val="99"/>
    <w:semiHidden/>
    <w:unhideWhenUsed/>
    <w:rsid w:val="00EE5699"/>
    <w:rPr>
      <w:color w:val="605E5C"/>
      <w:shd w:val="clear" w:color="auto" w:fill="E1DFDD"/>
    </w:rPr>
  </w:style>
  <w:style w:type="character" w:customStyle="1" w:styleId="Heading8Char">
    <w:name w:val="Heading 8 Char"/>
    <w:basedOn w:val="DefaultParagraphFont"/>
    <w:link w:val="Heading8"/>
    <w:uiPriority w:val="9"/>
    <w:semiHidden/>
    <w:rsid w:val="00F44FCF"/>
    <w:rPr>
      <w:rFonts w:asciiTheme="majorHAnsi" w:eastAsiaTheme="majorEastAsia" w:hAnsiTheme="majorHAnsi" w:cstheme="majorBidi"/>
      <w:color w:val="272727" w:themeColor="text1" w:themeTint="D8"/>
      <w:sz w:val="21"/>
      <w:szCs w:val="21"/>
    </w:rPr>
  </w:style>
  <w:style w:type="table" w:styleId="GridTable4">
    <w:name w:val="Grid Table 4"/>
    <w:basedOn w:val="TableNormal"/>
    <w:uiPriority w:val="49"/>
    <w:rsid w:val="008B08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D17B80"/>
    <w:pPr>
      <w:spacing w:before="100" w:beforeAutospacing="1" w:after="100" w:afterAutospacing="1" w:line="240" w:lineRule="auto"/>
    </w:pPr>
    <w:rPr>
      <w:rFonts w:ascii="Times New Roman" w:hAnsi="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mm@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mm@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0DBA-579C-4CBB-BF85-DE9E56AD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1377</Words>
  <Characters>7849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9208</CharactersWithSpaces>
  <SharedDoc>false</SharedDoc>
  <HLinks>
    <vt:vector size="18" baseType="variant">
      <vt:variant>
        <vt:i4>4522034</vt:i4>
      </vt:variant>
      <vt:variant>
        <vt:i4>6</vt:i4>
      </vt:variant>
      <vt:variant>
        <vt:i4>0</vt:i4>
      </vt:variant>
      <vt:variant>
        <vt:i4>5</vt:i4>
      </vt:variant>
      <vt:variant>
        <vt:lpwstr>lepoutre@gret.org</vt:lpwstr>
      </vt:variant>
      <vt:variant>
        <vt:lpwstr/>
      </vt:variant>
      <vt:variant>
        <vt:i4>6946892</vt:i4>
      </vt:variant>
      <vt:variant>
        <vt:i4>3</vt:i4>
      </vt:variant>
      <vt:variant>
        <vt:i4>0</vt:i4>
      </vt:variant>
      <vt:variant>
        <vt:i4>5</vt:i4>
      </vt:variant>
      <vt:variant>
        <vt:lpwstr>mailto:aiuknawl@gmail.com</vt:lpwstr>
      </vt:variant>
      <vt:variant>
        <vt:lpwstr/>
      </vt:variant>
      <vt:variant>
        <vt:i4>3997708</vt:i4>
      </vt:variant>
      <vt:variant>
        <vt:i4>0</vt:i4>
      </vt:variant>
      <vt:variant>
        <vt:i4>0</vt:i4>
      </vt:variant>
      <vt:variant>
        <vt:i4>5</vt:i4>
      </vt:variant>
      <vt:variant>
        <vt:lpwstr>mailto:gret.chin.pm@gmail.com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Nay Myo Win</cp:lastModifiedBy>
  <cp:revision>29</cp:revision>
  <cp:lastPrinted>2020-03-25T08:28:00Z</cp:lastPrinted>
  <dcterms:created xsi:type="dcterms:W3CDTF">2020-03-25T08:32:00Z</dcterms:created>
  <dcterms:modified xsi:type="dcterms:W3CDTF">2020-04-06T09:51:00Z</dcterms:modified>
</cp:coreProperties>
</file>