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7A764" w14:textId="77777777" w:rsidR="001B67F1" w:rsidRPr="001B67F1" w:rsidRDefault="001B67F1" w:rsidP="001B67F1">
      <w:pPr>
        <w:spacing w:after="120"/>
        <w:jc w:val="center"/>
        <w:rPr>
          <w:rFonts w:ascii="Century Gothic" w:hAnsi="Century Gothic"/>
          <w:b/>
          <w:bCs/>
        </w:rPr>
      </w:pPr>
      <w:r w:rsidRPr="001B67F1">
        <w:rPr>
          <w:rFonts w:ascii="Century Gothic" w:hAnsi="Century Gothic"/>
          <w:b/>
          <w:bCs/>
        </w:rPr>
        <w:t>Q &amp; A No. 1</w:t>
      </w:r>
    </w:p>
    <w:p w14:paraId="420D6FC9" w14:textId="77777777" w:rsidR="001B67F1" w:rsidRDefault="001B67F1" w:rsidP="00C12E91">
      <w:pPr>
        <w:spacing w:after="120"/>
        <w:jc w:val="both"/>
        <w:rPr>
          <w:rFonts w:ascii="Century Gothic" w:hAnsi="Century Gothic"/>
        </w:rPr>
      </w:pPr>
    </w:p>
    <w:p w14:paraId="18863E4D" w14:textId="77777777" w:rsidR="00C12E91" w:rsidRDefault="00C12E91" w:rsidP="00C12E91">
      <w:pPr>
        <w:spacing w:after="120"/>
        <w:jc w:val="both"/>
      </w:pPr>
      <w:r>
        <w:rPr>
          <w:rFonts w:ascii="Century Gothic" w:hAnsi="Century Gothic"/>
        </w:rPr>
        <w:t>“</w:t>
      </w:r>
      <w:r>
        <w:rPr>
          <w:rFonts w:ascii="Century Gothic" w:hAnsi="Century Gothic"/>
          <w:b/>
          <w:bCs/>
        </w:rPr>
        <w:t>Preparations of the Designs and Supervision for Repair and Retrofitting of the objects of Lot I</w:t>
      </w:r>
      <w:r w:rsidR="00947EBC">
        <w:rPr>
          <w:rFonts w:ascii="Century Gothic" w:hAnsi="Century Gothic"/>
          <w:b/>
          <w:bCs/>
        </w:rPr>
        <w:t xml:space="preserve"> and Lot II</w:t>
      </w:r>
      <w:r>
        <w:rPr>
          <w:rFonts w:ascii="Century Gothic" w:hAnsi="Century Gothic"/>
        </w:rPr>
        <w:t>”, under the “EU4Schools” Action.</w:t>
      </w:r>
    </w:p>
    <w:p w14:paraId="7110C000" w14:textId="77777777" w:rsidR="00C12E91" w:rsidRDefault="00C12E91" w:rsidP="00C12E91">
      <w:pPr>
        <w:jc w:val="both"/>
      </w:pPr>
      <w:r>
        <w:rPr>
          <w:rFonts w:ascii="Century Gothic" w:hAnsi="Century Gothic"/>
        </w:rPr>
        <w:t> </w:t>
      </w:r>
    </w:p>
    <w:p w14:paraId="2AA2AA66" w14:textId="77777777" w:rsidR="00890F58" w:rsidRPr="001B67F1" w:rsidRDefault="00890F58" w:rsidP="00C12E91">
      <w:pPr>
        <w:jc w:val="both"/>
        <w:rPr>
          <w:rFonts w:ascii="Century Gothic" w:hAnsi="Century Gothic"/>
          <w:b/>
          <w:bCs/>
        </w:rPr>
      </w:pPr>
      <w:r w:rsidRPr="001B67F1">
        <w:rPr>
          <w:rFonts w:ascii="Century Gothic" w:hAnsi="Century Gothic"/>
          <w:b/>
          <w:bCs/>
        </w:rPr>
        <w:t>Question No.1:</w:t>
      </w:r>
    </w:p>
    <w:p w14:paraId="3D6FE232" w14:textId="77777777" w:rsidR="00C12E91" w:rsidRDefault="00C12E91" w:rsidP="00C12E91">
      <w:pPr>
        <w:jc w:val="both"/>
      </w:pPr>
      <w:r>
        <w:rPr>
          <w:rFonts w:ascii="Century Gothic" w:hAnsi="Century Gothic"/>
        </w:rPr>
        <w:t> </w:t>
      </w:r>
    </w:p>
    <w:p w14:paraId="08457B86" w14:textId="77777777" w:rsidR="00C12E91" w:rsidRPr="001B67F1" w:rsidRDefault="00C12E91" w:rsidP="00C12E91">
      <w:pPr>
        <w:jc w:val="both"/>
      </w:pPr>
      <w:r w:rsidRPr="001B67F1">
        <w:rPr>
          <w:rFonts w:ascii="Century Gothic" w:hAnsi="Century Gothic"/>
        </w:rPr>
        <w:t>In Annex 1 – Description of the Requirements (</w:t>
      </w:r>
      <w:proofErr w:type="spellStart"/>
      <w:r w:rsidRPr="001B67F1">
        <w:rPr>
          <w:rFonts w:ascii="Century Gothic" w:hAnsi="Century Gothic"/>
        </w:rPr>
        <w:t>pg</w:t>
      </w:r>
      <w:proofErr w:type="spellEnd"/>
      <w:r w:rsidRPr="001B67F1">
        <w:rPr>
          <w:rFonts w:ascii="Century Gothic" w:hAnsi="Century Gothic"/>
        </w:rPr>
        <w:t xml:space="preserve"> 3 of </w:t>
      </w:r>
      <w:proofErr w:type="spellStart"/>
      <w:r w:rsidRPr="001B67F1">
        <w:rPr>
          <w:rFonts w:ascii="Century Gothic" w:hAnsi="Century Gothic"/>
        </w:rPr>
        <w:t>RfP</w:t>
      </w:r>
      <w:proofErr w:type="spellEnd"/>
      <w:r w:rsidRPr="001B67F1">
        <w:rPr>
          <w:rFonts w:ascii="Century Gothic" w:hAnsi="Century Gothic"/>
        </w:rPr>
        <w:t>), 3</w:t>
      </w:r>
      <w:r w:rsidRPr="001B67F1">
        <w:rPr>
          <w:rFonts w:ascii="Century Gothic" w:hAnsi="Century Gothic"/>
          <w:vertAlign w:val="superscript"/>
        </w:rPr>
        <w:t>rd</w:t>
      </w:r>
      <w:r w:rsidRPr="001B67F1">
        <w:rPr>
          <w:rFonts w:ascii="Century Gothic" w:hAnsi="Century Gothic"/>
        </w:rPr>
        <w:t xml:space="preserve"> column of the table, in the last sentence of the 2</w:t>
      </w:r>
      <w:r w:rsidRPr="001B67F1">
        <w:rPr>
          <w:rFonts w:ascii="Century Gothic" w:hAnsi="Century Gothic"/>
          <w:vertAlign w:val="superscript"/>
        </w:rPr>
        <w:t>nd</w:t>
      </w:r>
      <w:r w:rsidRPr="001B67F1">
        <w:rPr>
          <w:rFonts w:ascii="Century Gothic" w:hAnsi="Century Gothic"/>
        </w:rPr>
        <w:t xml:space="preserve"> paragraph it is written “</w:t>
      </w:r>
      <w:r w:rsidRPr="001B67F1">
        <w:rPr>
          <w:rFonts w:ascii="Century Gothic" w:hAnsi="Century Gothic"/>
          <w:lang w:val="en-GB"/>
        </w:rPr>
        <w:t>Detailed design must be completed within 30 calendar days after signing the contract from both parties;</w:t>
      </w:r>
    </w:p>
    <w:p w14:paraId="6CA0719C" w14:textId="77777777" w:rsidR="00C12E91" w:rsidRPr="001B67F1" w:rsidRDefault="00C12E91" w:rsidP="00C12E91">
      <w:pPr>
        <w:jc w:val="both"/>
      </w:pPr>
      <w:r w:rsidRPr="001B67F1">
        <w:rPr>
          <w:rFonts w:ascii="Century Gothic" w:hAnsi="Century Gothic"/>
          <w:lang w:val="en-GB"/>
        </w:rPr>
        <w:t> </w:t>
      </w:r>
    </w:p>
    <w:p w14:paraId="623354C5" w14:textId="77777777" w:rsidR="00C12E91" w:rsidRPr="001B67F1" w:rsidRDefault="00C12E91" w:rsidP="00C12E91">
      <w:pPr>
        <w:jc w:val="both"/>
      </w:pPr>
      <w:r w:rsidRPr="001B67F1">
        <w:rPr>
          <w:rFonts w:ascii="Century Gothic" w:hAnsi="Century Gothic"/>
        </w:rPr>
        <w:t>In Annex 1 – Description of the Requirements (</w:t>
      </w:r>
      <w:proofErr w:type="spellStart"/>
      <w:r w:rsidRPr="001B67F1">
        <w:rPr>
          <w:rFonts w:ascii="Century Gothic" w:hAnsi="Century Gothic"/>
        </w:rPr>
        <w:t>pg</w:t>
      </w:r>
      <w:proofErr w:type="spellEnd"/>
      <w:r w:rsidRPr="001B67F1">
        <w:rPr>
          <w:rFonts w:ascii="Century Gothic" w:hAnsi="Century Gothic"/>
        </w:rPr>
        <w:t xml:space="preserve"> 5 of </w:t>
      </w:r>
      <w:proofErr w:type="spellStart"/>
      <w:r w:rsidRPr="001B67F1">
        <w:rPr>
          <w:rFonts w:ascii="Century Gothic" w:hAnsi="Century Gothic"/>
        </w:rPr>
        <w:t>RfP</w:t>
      </w:r>
      <w:proofErr w:type="spellEnd"/>
      <w:r w:rsidRPr="001B67F1">
        <w:rPr>
          <w:rFonts w:ascii="Century Gothic" w:hAnsi="Century Gothic"/>
        </w:rPr>
        <w:t>), 16</w:t>
      </w:r>
      <w:r w:rsidRPr="001B67F1">
        <w:rPr>
          <w:rFonts w:ascii="Century Gothic" w:hAnsi="Century Gothic"/>
          <w:vertAlign w:val="superscript"/>
        </w:rPr>
        <w:t>th</w:t>
      </w:r>
      <w:r w:rsidRPr="001B67F1">
        <w:rPr>
          <w:rFonts w:ascii="Century Gothic" w:hAnsi="Century Gothic"/>
        </w:rPr>
        <w:t xml:space="preserve"> column of the table, it is written:</w:t>
      </w:r>
    </w:p>
    <w:p w14:paraId="6648075E" w14:textId="77777777" w:rsidR="00C12E91" w:rsidRPr="001B67F1" w:rsidRDefault="00C12E91" w:rsidP="00C12E91">
      <w:pPr>
        <w:jc w:val="both"/>
      </w:pPr>
      <w:r w:rsidRPr="001B67F1">
        <w:rPr>
          <w:rFonts w:ascii="Century Gothic" w:hAnsi="Century Gothic"/>
          <w:lang w:val="en-GB"/>
        </w:rPr>
        <w:t>Implementation Schedule indicating breakdown and timing of activities/sub-activities.</w:t>
      </w:r>
    </w:p>
    <w:p w14:paraId="744FA060" w14:textId="77777777" w:rsidR="00C12E91" w:rsidRPr="001B67F1" w:rsidRDefault="00C12E91" w:rsidP="00C12E91">
      <w:pPr>
        <w:spacing w:after="160" w:line="252" w:lineRule="auto"/>
        <w:jc w:val="both"/>
      </w:pPr>
      <w:r w:rsidRPr="001B67F1">
        <w:rPr>
          <w:rFonts w:ascii="Century Gothic" w:hAnsi="Century Gothic"/>
          <w:lang w:val="en-GB"/>
        </w:rPr>
        <w:t xml:space="preserve">Required. Please submit the time schedule table. </w:t>
      </w:r>
    </w:p>
    <w:p w14:paraId="2DC86D0D" w14:textId="77777777" w:rsidR="00C12E91" w:rsidRPr="001B67F1" w:rsidRDefault="00C12E91" w:rsidP="00C12E91">
      <w:pPr>
        <w:pStyle w:val="gmail-msolistparagraph"/>
        <w:spacing w:line="360" w:lineRule="auto"/>
        <w:ind w:left="720"/>
        <w:jc w:val="both"/>
      </w:pPr>
      <w:r w:rsidRPr="001B67F1">
        <w:rPr>
          <w:rFonts w:ascii="Symbol" w:hAnsi="Symbol"/>
          <w:lang w:val="en-GB"/>
        </w:rPr>
        <w:t></w:t>
      </w:r>
      <w:r w:rsidRPr="001B67F1">
        <w:rPr>
          <w:rFonts w:ascii="Times New Roman" w:hAnsi="Times New Roman" w:cs="Times New Roman"/>
          <w:sz w:val="14"/>
          <w:szCs w:val="14"/>
          <w:lang w:val="en-GB"/>
        </w:rPr>
        <w:t xml:space="preserve">         </w:t>
      </w:r>
      <w:r w:rsidRPr="001B67F1">
        <w:rPr>
          <w:rFonts w:ascii="Century Gothic" w:hAnsi="Century Gothic"/>
          <w:lang w:val="en-GB"/>
        </w:rPr>
        <w:t>Preparation of Preliminary Project Ideas – 15 days for the contract signature;</w:t>
      </w:r>
    </w:p>
    <w:p w14:paraId="7D0C4E08" w14:textId="77777777" w:rsidR="00C12E91" w:rsidRPr="001B67F1" w:rsidRDefault="00C12E91" w:rsidP="00C12E91">
      <w:pPr>
        <w:pStyle w:val="gmail-msolistparagraph"/>
        <w:spacing w:line="360" w:lineRule="auto"/>
        <w:ind w:left="720"/>
        <w:jc w:val="both"/>
      </w:pPr>
      <w:r w:rsidRPr="001B67F1">
        <w:rPr>
          <w:rFonts w:ascii="Symbol" w:hAnsi="Symbol"/>
          <w:lang w:val="en-GB"/>
        </w:rPr>
        <w:t></w:t>
      </w:r>
      <w:r w:rsidRPr="001B67F1">
        <w:rPr>
          <w:rFonts w:ascii="Times New Roman" w:hAnsi="Times New Roman" w:cs="Times New Roman"/>
          <w:sz w:val="14"/>
          <w:szCs w:val="14"/>
          <w:lang w:val="en-GB"/>
        </w:rPr>
        <w:t xml:space="preserve">         </w:t>
      </w:r>
      <w:r w:rsidRPr="001B67F1">
        <w:rPr>
          <w:rFonts w:ascii="Century Gothic" w:hAnsi="Century Gothic"/>
          <w:lang w:val="en-GB"/>
        </w:rPr>
        <w:t>Preparation of Detailed Technical Design – 30 days after approval of the Preliminary Project Idea;</w:t>
      </w:r>
    </w:p>
    <w:p w14:paraId="5C1A7F97" w14:textId="77777777" w:rsidR="00C12E91" w:rsidRPr="001B67F1" w:rsidRDefault="00C12E91" w:rsidP="00C12E91">
      <w:pPr>
        <w:jc w:val="both"/>
      </w:pPr>
      <w:r w:rsidRPr="001B67F1">
        <w:rPr>
          <w:rFonts w:ascii="Century Gothic" w:hAnsi="Century Gothic"/>
          <w:lang w:val="en-GB"/>
        </w:rPr>
        <w:t> </w:t>
      </w:r>
    </w:p>
    <w:p w14:paraId="7F9DB944" w14:textId="77777777" w:rsidR="00C12E91" w:rsidRPr="001B67F1" w:rsidRDefault="00C12E91" w:rsidP="00C12E91">
      <w:pPr>
        <w:spacing w:before="100" w:beforeAutospacing="1" w:after="100" w:afterAutospacing="1" w:line="360" w:lineRule="auto"/>
        <w:jc w:val="both"/>
      </w:pPr>
      <w:r w:rsidRPr="001B67F1">
        <w:rPr>
          <w:rFonts w:ascii="Century Gothic" w:hAnsi="Century Gothic"/>
          <w:lang w:val="en-GB"/>
        </w:rPr>
        <w:t>In Annex 4 – Terms of Reference, Section VI – Design Implementation, it is also foreseen the following timeline about the overall process design:</w:t>
      </w:r>
    </w:p>
    <w:p w14:paraId="60D957BE" w14:textId="77777777" w:rsidR="00C12E91" w:rsidRPr="001B67F1" w:rsidRDefault="00C12E91" w:rsidP="00C12E91">
      <w:pPr>
        <w:spacing w:before="100" w:beforeAutospacing="1" w:after="100" w:afterAutospacing="1" w:line="252" w:lineRule="auto"/>
        <w:jc w:val="both"/>
      </w:pPr>
      <w:r w:rsidRPr="001B67F1">
        <w:rPr>
          <w:rFonts w:ascii="Century Gothic" w:hAnsi="Century Gothic"/>
          <w:lang w:val="en-GB"/>
        </w:rPr>
        <w:t xml:space="preserve">Time for preparation of Phase I </w:t>
      </w:r>
      <w:r w:rsidRPr="001B67F1">
        <w:rPr>
          <w:rFonts w:ascii="Century Gothic" w:hAnsi="Century Gothic"/>
          <w:i/>
          <w:iCs/>
          <w:lang w:val="en-GB"/>
        </w:rPr>
        <w:t xml:space="preserve">Design task analyse </w:t>
      </w:r>
      <w:r w:rsidRPr="001B67F1">
        <w:rPr>
          <w:rFonts w:ascii="Century Gothic" w:hAnsi="Century Gothic"/>
          <w:lang w:val="en-GB"/>
        </w:rPr>
        <w:t xml:space="preserve">+ Phase II </w:t>
      </w:r>
      <w:r w:rsidRPr="001B67F1">
        <w:rPr>
          <w:rFonts w:ascii="Century Gothic" w:hAnsi="Century Gothic"/>
          <w:i/>
          <w:iCs/>
          <w:lang w:val="en-GB"/>
        </w:rPr>
        <w:t>Design Preliminary Ideas</w:t>
      </w:r>
      <w:r w:rsidRPr="001B67F1">
        <w:rPr>
          <w:rFonts w:ascii="Century Gothic" w:hAnsi="Century Gothic"/>
          <w:lang w:val="en-GB"/>
        </w:rPr>
        <w:t xml:space="preserve"> – 15 (fifteen days) </w:t>
      </w:r>
    </w:p>
    <w:p w14:paraId="0D07FF8D" w14:textId="77777777" w:rsidR="00C12E91" w:rsidRPr="001B67F1" w:rsidRDefault="00C12E91" w:rsidP="00C12E91">
      <w:pPr>
        <w:jc w:val="both"/>
      </w:pPr>
      <w:r w:rsidRPr="001B67F1">
        <w:rPr>
          <w:rFonts w:ascii="Century Gothic" w:hAnsi="Century Gothic"/>
        </w:rPr>
        <w:t> </w:t>
      </w:r>
    </w:p>
    <w:p w14:paraId="06E36A71" w14:textId="77777777" w:rsidR="00C12E91" w:rsidRPr="001B67F1" w:rsidRDefault="00C12E91" w:rsidP="00C12E91">
      <w:pPr>
        <w:jc w:val="both"/>
      </w:pPr>
      <w:r w:rsidRPr="001B67F1">
        <w:rPr>
          <w:rFonts w:ascii="Century Gothic" w:hAnsi="Century Gothic"/>
          <w:lang w:val="sq-AL"/>
        </w:rPr>
        <w:t xml:space="preserve">Time for preparation of Phase III </w:t>
      </w:r>
      <w:r w:rsidRPr="001B67F1">
        <w:rPr>
          <w:rFonts w:ascii="Century Gothic" w:hAnsi="Century Gothic"/>
          <w:i/>
          <w:iCs/>
          <w:lang w:val="en-GB"/>
        </w:rPr>
        <w:t>Preparation of the Detailed Technical Design</w:t>
      </w:r>
      <w:r w:rsidRPr="001B67F1">
        <w:rPr>
          <w:rFonts w:ascii="Century Gothic" w:hAnsi="Century Gothic"/>
          <w:lang w:val="sq-AL"/>
        </w:rPr>
        <w:t xml:space="preserve"> + Phase IV Construction Permit Approval Project + Phase V </w:t>
      </w:r>
      <w:r w:rsidRPr="001B67F1">
        <w:rPr>
          <w:rFonts w:ascii="Century Gothic" w:hAnsi="Century Gothic"/>
          <w:i/>
          <w:iCs/>
          <w:lang w:val="sq-AL"/>
        </w:rPr>
        <w:t>Final Cost Estimation</w:t>
      </w:r>
      <w:r w:rsidRPr="001B67F1">
        <w:rPr>
          <w:rFonts w:ascii="Century Gothic" w:hAnsi="Century Gothic"/>
          <w:lang w:val="sq-AL"/>
        </w:rPr>
        <w:t xml:space="preserve"> – 30 (thirty) days</w:t>
      </w:r>
    </w:p>
    <w:p w14:paraId="5D771697" w14:textId="77777777" w:rsidR="00C12E91" w:rsidRPr="001B67F1" w:rsidRDefault="00C12E91" w:rsidP="00C12E91">
      <w:pPr>
        <w:jc w:val="both"/>
      </w:pPr>
      <w:r w:rsidRPr="001B67F1">
        <w:rPr>
          <w:rFonts w:ascii="Century Gothic" w:hAnsi="Century Gothic"/>
        </w:rPr>
        <w:t> </w:t>
      </w:r>
    </w:p>
    <w:p w14:paraId="3CAA78C5" w14:textId="77777777" w:rsidR="00C12E91" w:rsidRPr="001B67F1" w:rsidRDefault="00C12E91" w:rsidP="00C12E91">
      <w:pPr>
        <w:jc w:val="both"/>
      </w:pPr>
      <w:r w:rsidRPr="001B67F1">
        <w:rPr>
          <w:rFonts w:ascii="Century Gothic" w:hAnsi="Century Gothic"/>
        </w:rPr>
        <w:t>Based on the above and the number of buildings to be investigated and designed our assumption is that the Design implementation period including Preliminary and Detailed design is 15 + 30 = 45 days from the contract signature.</w:t>
      </w:r>
    </w:p>
    <w:p w14:paraId="72E7F634" w14:textId="77777777" w:rsidR="00C12E91" w:rsidRDefault="00C12E91" w:rsidP="00C12E91">
      <w:pPr>
        <w:jc w:val="both"/>
        <w:rPr>
          <w:rFonts w:ascii="Century Gothic" w:hAnsi="Century Gothic"/>
        </w:rPr>
      </w:pPr>
      <w:r w:rsidRPr="001B67F1">
        <w:rPr>
          <w:rFonts w:ascii="Century Gothic" w:hAnsi="Century Gothic"/>
        </w:rPr>
        <w:t>Please, kindly confirm if our assumption is right.</w:t>
      </w:r>
      <w:r>
        <w:rPr>
          <w:rFonts w:ascii="Century Gothic" w:hAnsi="Century Gothic"/>
        </w:rPr>
        <w:t xml:space="preserve">  </w:t>
      </w:r>
    </w:p>
    <w:p w14:paraId="47DD2486" w14:textId="77777777" w:rsidR="001B67F1" w:rsidRDefault="001B67F1" w:rsidP="00C12E91">
      <w:pPr>
        <w:jc w:val="both"/>
        <w:rPr>
          <w:rFonts w:ascii="Century Gothic" w:hAnsi="Century Gothic"/>
        </w:rPr>
      </w:pPr>
    </w:p>
    <w:p w14:paraId="09CEF76F" w14:textId="77777777" w:rsidR="001B67F1" w:rsidRDefault="001B67F1" w:rsidP="00C12E91">
      <w:pPr>
        <w:jc w:val="both"/>
        <w:rPr>
          <w:rFonts w:ascii="Century Gothic" w:hAnsi="Century Gothic"/>
        </w:rPr>
      </w:pPr>
    </w:p>
    <w:p w14:paraId="63F70D20" w14:textId="77777777" w:rsidR="00890F58" w:rsidRPr="001B67F1" w:rsidRDefault="00890F58" w:rsidP="00C12E91">
      <w:pPr>
        <w:jc w:val="both"/>
        <w:rPr>
          <w:rFonts w:ascii="Century Gothic" w:hAnsi="Century Gothic"/>
          <w:b/>
          <w:bCs/>
        </w:rPr>
      </w:pPr>
      <w:r w:rsidRPr="001B67F1">
        <w:rPr>
          <w:rFonts w:ascii="Century Gothic" w:hAnsi="Century Gothic"/>
          <w:b/>
          <w:bCs/>
        </w:rPr>
        <w:t>Answer 1:</w:t>
      </w:r>
    </w:p>
    <w:p w14:paraId="17BF807C" w14:textId="77777777" w:rsidR="00890F58" w:rsidRDefault="00890F58" w:rsidP="00C12E91">
      <w:pPr>
        <w:jc w:val="both"/>
        <w:rPr>
          <w:rFonts w:ascii="Century Gothic" w:hAnsi="Century Gothic"/>
        </w:rPr>
      </w:pPr>
    </w:p>
    <w:p w14:paraId="28B0D231" w14:textId="77777777" w:rsidR="00890F58" w:rsidRPr="00890F58" w:rsidRDefault="00890F58" w:rsidP="00890F58">
      <w:pPr>
        <w:spacing w:before="100" w:beforeAutospacing="1" w:after="100" w:afterAutospacing="1" w:line="252" w:lineRule="auto"/>
        <w:jc w:val="both"/>
      </w:pPr>
      <w:r w:rsidRPr="00890F58">
        <w:rPr>
          <w:rFonts w:ascii="Century Gothic" w:hAnsi="Century Gothic"/>
        </w:rPr>
        <w:t xml:space="preserve">The Design implementation period is </w:t>
      </w:r>
      <w:r w:rsidRPr="00890F58">
        <w:rPr>
          <w:rFonts w:ascii="Century Gothic" w:hAnsi="Century Gothic"/>
          <w:b/>
          <w:bCs/>
        </w:rPr>
        <w:t>45 days</w:t>
      </w:r>
      <w:r w:rsidRPr="00890F58">
        <w:rPr>
          <w:rFonts w:ascii="Century Gothic" w:hAnsi="Century Gothic"/>
        </w:rPr>
        <w:t xml:space="preserve">: </w:t>
      </w:r>
      <w:r w:rsidRPr="00890F58">
        <w:rPr>
          <w:rFonts w:ascii="Century Gothic" w:hAnsi="Century Gothic"/>
          <w:lang w:val="en-GB"/>
        </w:rPr>
        <w:t xml:space="preserve">– 15 (fifteen days) </w:t>
      </w:r>
      <w:r w:rsidRPr="00890F58">
        <w:rPr>
          <w:rFonts w:ascii="Century Gothic" w:hAnsi="Century Gothic"/>
        </w:rPr>
        <w:t xml:space="preserve">for the preparation of </w:t>
      </w:r>
      <w:r w:rsidRPr="00890F58">
        <w:rPr>
          <w:rFonts w:ascii="Century Gothic" w:hAnsi="Century Gothic"/>
          <w:lang w:val="en-GB"/>
        </w:rPr>
        <w:t xml:space="preserve">Phase I </w:t>
      </w:r>
      <w:r w:rsidRPr="00890F58">
        <w:rPr>
          <w:rFonts w:ascii="Century Gothic" w:hAnsi="Century Gothic"/>
          <w:i/>
          <w:iCs/>
          <w:lang w:val="en-GB"/>
        </w:rPr>
        <w:t xml:space="preserve">Design task analyse </w:t>
      </w:r>
      <w:r w:rsidRPr="00890F58">
        <w:rPr>
          <w:rFonts w:ascii="Century Gothic" w:hAnsi="Century Gothic"/>
          <w:lang w:val="en-GB"/>
        </w:rPr>
        <w:t xml:space="preserve">+ Phase II </w:t>
      </w:r>
      <w:r w:rsidRPr="00890F58">
        <w:rPr>
          <w:rFonts w:ascii="Century Gothic" w:hAnsi="Century Gothic"/>
          <w:i/>
          <w:iCs/>
          <w:lang w:val="en-GB"/>
        </w:rPr>
        <w:t>Design Preliminary Ideas</w:t>
      </w:r>
      <w:r w:rsidRPr="00890F58">
        <w:rPr>
          <w:rFonts w:ascii="Century Gothic" w:hAnsi="Century Gothic"/>
          <w:lang w:val="en-GB"/>
        </w:rPr>
        <w:t xml:space="preserve"> </w:t>
      </w:r>
      <w:r>
        <w:rPr>
          <w:rFonts w:ascii="Century Gothic" w:hAnsi="Century Gothic"/>
          <w:lang w:val="en-GB"/>
        </w:rPr>
        <w:t>and</w:t>
      </w:r>
      <w:r w:rsidRPr="00890F58">
        <w:rPr>
          <w:rFonts w:ascii="Century Gothic" w:hAnsi="Century Gothic"/>
          <w:lang w:val="en-GB"/>
        </w:rPr>
        <w:t xml:space="preserve"> </w:t>
      </w:r>
      <w:r w:rsidRPr="00890F58">
        <w:rPr>
          <w:rFonts w:ascii="Century Gothic" w:hAnsi="Century Gothic"/>
          <w:lang w:val="sq-AL"/>
        </w:rPr>
        <w:t xml:space="preserve">– 30 (thirty) days for preparation of Phase III </w:t>
      </w:r>
      <w:r w:rsidRPr="00890F58">
        <w:rPr>
          <w:rFonts w:ascii="Century Gothic" w:hAnsi="Century Gothic"/>
          <w:i/>
          <w:iCs/>
          <w:lang w:val="en-GB"/>
        </w:rPr>
        <w:t>Preparation of the Detailed Technical Design</w:t>
      </w:r>
      <w:r w:rsidRPr="00890F58">
        <w:rPr>
          <w:rFonts w:ascii="Century Gothic" w:hAnsi="Century Gothic"/>
          <w:lang w:val="sq-AL"/>
        </w:rPr>
        <w:t xml:space="preserve"> + Phase IV Construction Permit Approval Project + Phase V </w:t>
      </w:r>
      <w:r w:rsidRPr="00890F58">
        <w:rPr>
          <w:rFonts w:ascii="Century Gothic" w:hAnsi="Century Gothic"/>
          <w:i/>
          <w:iCs/>
          <w:lang w:val="sq-AL"/>
        </w:rPr>
        <w:t>Final Cost Estimation</w:t>
      </w:r>
      <w:r w:rsidRPr="00890F58">
        <w:rPr>
          <w:rFonts w:ascii="Century Gothic" w:hAnsi="Century Gothic"/>
          <w:lang w:val="sq-AL"/>
        </w:rPr>
        <w:t>.</w:t>
      </w:r>
    </w:p>
    <w:p w14:paraId="227C5DAC" w14:textId="77777777" w:rsidR="00890F58" w:rsidRDefault="00890F58" w:rsidP="00890F58">
      <w:pPr>
        <w:jc w:val="both"/>
        <w:rPr>
          <w:rFonts w:ascii="Century Gothic" w:hAnsi="Century Gothic"/>
        </w:rPr>
      </w:pPr>
    </w:p>
    <w:p w14:paraId="182247FC" w14:textId="77777777" w:rsidR="00890F58" w:rsidRDefault="00890F58" w:rsidP="00C12E91">
      <w:pPr>
        <w:jc w:val="both"/>
      </w:pPr>
    </w:p>
    <w:p w14:paraId="7630405F" w14:textId="77777777" w:rsidR="00C12E91" w:rsidRDefault="00C12E91" w:rsidP="00C12E91">
      <w:pPr>
        <w:jc w:val="both"/>
      </w:pPr>
      <w:r>
        <w:rPr>
          <w:rFonts w:ascii="Century Gothic" w:hAnsi="Century Gothic"/>
        </w:rPr>
        <w:t> </w:t>
      </w:r>
    </w:p>
    <w:p w14:paraId="342274B3" w14:textId="77777777" w:rsidR="00C12E91" w:rsidRPr="001B67F1" w:rsidRDefault="00890F58" w:rsidP="00C12E91">
      <w:pPr>
        <w:jc w:val="both"/>
        <w:rPr>
          <w:rFonts w:ascii="Century Gothic" w:hAnsi="Century Gothic"/>
          <w:b/>
          <w:bCs/>
        </w:rPr>
      </w:pPr>
      <w:r w:rsidRPr="001B67F1">
        <w:rPr>
          <w:rFonts w:ascii="Century Gothic" w:hAnsi="Century Gothic"/>
          <w:b/>
          <w:bCs/>
        </w:rPr>
        <w:t>Question</w:t>
      </w:r>
      <w:r w:rsidR="00C12E91" w:rsidRPr="001B67F1">
        <w:rPr>
          <w:rFonts w:ascii="Century Gothic" w:hAnsi="Century Gothic"/>
          <w:b/>
          <w:bCs/>
        </w:rPr>
        <w:t xml:space="preserve"> No. 2</w:t>
      </w:r>
    </w:p>
    <w:p w14:paraId="28E3B7FE" w14:textId="77777777" w:rsidR="00890F58" w:rsidRDefault="00890F58" w:rsidP="00C12E91">
      <w:pPr>
        <w:jc w:val="both"/>
      </w:pPr>
    </w:p>
    <w:p w14:paraId="43165142" w14:textId="77777777" w:rsidR="00C12E91" w:rsidRDefault="00C12E91" w:rsidP="00C12E91">
      <w:pPr>
        <w:jc w:val="both"/>
      </w:pPr>
      <w:r>
        <w:rPr>
          <w:rFonts w:ascii="Century Gothic" w:hAnsi="Century Gothic"/>
          <w:u w:val="single"/>
        </w:rPr>
        <w:t>In Annex 5</w:t>
      </w:r>
      <w:r>
        <w:rPr>
          <w:rFonts w:ascii="Century Gothic" w:hAnsi="Century Gothic"/>
        </w:rPr>
        <w:t xml:space="preserve"> – Minimum qualification requirements and eligibility criteria, there is a list of documents to be submitted by the tenderer. Most of the required documents are issued by the Albanian state authorities and are in the Albanian language, beside the notarial certified copies of the documents is needed any translation in English of such documents or they are accepted in their original language (Albanian)? </w:t>
      </w:r>
    </w:p>
    <w:p w14:paraId="4A381D7A" w14:textId="77777777" w:rsidR="00C12E91" w:rsidRDefault="00C12E91" w:rsidP="00C12E91">
      <w:pPr>
        <w:jc w:val="both"/>
      </w:pPr>
      <w:r>
        <w:rPr>
          <w:rFonts w:ascii="Century Gothic" w:hAnsi="Century Gothic"/>
        </w:rPr>
        <w:t xml:space="preserve">If an English translation will be needed, please kindly confirm if based on IFI’s best practices a free English translation (not certified by a licensed English translator) is accepted </w:t>
      </w:r>
    </w:p>
    <w:p w14:paraId="65CFBC9E" w14:textId="77777777" w:rsidR="00C12E91" w:rsidRDefault="00C12E91" w:rsidP="00C12E91">
      <w:pPr>
        <w:jc w:val="both"/>
        <w:rPr>
          <w:rFonts w:ascii="Century Gothic" w:hAnsi="Century Gothic"/>
        </w:rPr>
      </w:pPr>
      <w:r>
        <w:rPr>
          <w:rFonts w:ascii="Century Gothic" w:hAnsi="Century Gothic"/>
        </w:rPr>
        <w:t> </w:t>
      </w:r>
    </w:p>
    <w:p w14:paraId="6D83D76E" w14:textId="77777777" w:rsidR="00890F58" w:rsidRDefault="00890F58" w:rsidP="00C12E91">
      <w:pPr>
        <w:jc w:val="both"/>
        <w:rPr>
          <w:rFonts w:ascii="Century Gothic" w:hAnsi="Century Gothic"/>
        </w:rPr>
      </w:pPr>
    </w:p>
    <w:p w14:paraId="75EC9596" w14:textId="77777777" w:rsidR="00890F58" w:rsidRPr="001B67F1" w:rsidRDefault="00890F58" w:rsidP="00C12E91">
      <w:pPr>
        <w:jc w:val="both"/>
        <w:rPr>
          <w:rFonts w:ascii="Century Gothic" w:hAnsi="Century Gothic"/>
          <w:b/>
          <w:bCs/>
        </w:rPr>
      </w:pPr>
      <w:r w:rsidRPr="001B67F1">
        <w:rPr>
          <w:rFonts w:ascii="Century Gothic" w:hAnsi="Century Gothic"/>
          <w:b/>
          <w:bCs/>
        </w:rPr>
        <w:t>Answer No. 2</w:t>
      </w:r>
    </w:p>
    <w:p w14:paraId="10339ACC" w14:textId="77777777" w:rsidR="00890F58" w:rsidRDefault="00890F58" w:rsidP="00C12E91">
      <w:pPr>
        <w:jc w:val="both"/>
        <w:rPr>
          <w:rFonts w:ascii="Century Gothic" w:hAnsi="Century Gothic"/>
        </w:rPr>
      </w:pPr>
    </w:p>
    <w:p w14:paraId="26C64EF7" w14:textId="77777777" w:rsidR="001B67F1" w:rsidRDefault="00890F58" w:rsidP="00C12E91">
      <w:pPr>
        <w:jc w:val="both"/>
        <w:rPr>
          <w:rFonts w:ascii="Century Gothic" w:hAnsi="Century Gothic"/>
        </w:rPr>
      </w:pPr>
      <w:r>
        <w:rPr>
          <w:rFonts w:ascii="Century Gothic" w:hAnsi="Century Gothic"/>
        </w:rPr>
        <w:t xml:space="preserve">All documents should be translated in English language and </w:t>
      </w:r>
      <w:r w:rsidR="001B67F1">
        <w:rPr>
          <w:rFonts w:ascii="Century Gothic" w:hAnsi="Century Gothic"/>
        </w:rPr>
        <w:t xml:space="preserve">should </w:t>
      </w:r>
      <w:r>
        <w:rPr>
          <w:rFonts w:ascii="Century Gothic" w:hAnsi="Century Gothic"/>
        </w:rPr>
        <w:t>be notarized.</w:t>
      </w:r>
    </w:p>
    <w:p w14:paraId="20D01ED1" w14:textId="77777777" w:rsidR="00E052C8" w:rsidRDefault="00E052C8" w:rsidP="00C12E91">
      <w:pPr>
        <w:jc w:val="both"/>
        <w:rPr>
          <w:rFonts w:ascii="Century Gothic" w:hAnsi="Century Gothic"/>
        </w:rPr>
      </w:pPr>
    </w:p>
    <w:p w14:paraId="6B3AFD88" w14:textId="77777777" w:rsidR="00E052C8" w:rsidRDefault="00E052C8" w:rsidP="00C12E91">
      <w:pPr>
        <w:jc w:val="both"/>
        <w:rPr>
          <w:rFonts w:ascii="Century Gothic" w:hAnsi="Century Gothic"/>
        </w:rPr>
      </w:pPr>
    </w:p>
    <w:p w14:paraId="511D40CB" w14:textId="77777777" w:rsidR="00E052C8" w:rsidRDefault="00E052C8" w:rsidP="00C12E91">
      <w:pPr>
        <w:jc w:val="both"/>
        <w:rPr>
          <w:rFonts w:ascii="Century Gothic" w:hAnsi="Century Gothic"/>
        </w:rPr>
      </w:pPr>
    </w:p>
    <w:p w14:paraId="6A4B8548" w14:textId="77777777" w:rsidR="00947EBC" w:rsidRPr="001B67F1" w:rsidRDefault="00947EBC" w:rsidP="00947EBC">
      <w:pPr>
        <w:jc w:val="both"/>
        <w:rPr>
          <w:rFonts w:ascii="Century Gothic" w:hAnsi="Century Gothic"/>
          <w:b/>
          <w:bCs/>
        </w:rPr>
      </w:pPr>
      <w:r w:rsidRPr="001B67F1">
        <w:rPr>
          <w:rFonts w:ascii="Century Gothic" w:hAnsi="Century Gothic"/>
          <w:b/>
          <w:bCs/>
        </w:rPr>
        <w:t xml:space="preserve">Question No. </w:t>
      </w:r>
      <w:r>
        <w:rPr>
          <w:rFonts w:ascii="Century Gothic" w:hAnsi="Century Gothic"/>
          <w:b/>
          <w:bCs/>
        </w:rPr>
        <w:t>3</w:t>
      </w:r>
    </w:p>
    <w:p w14:paraId="6E451DAE" w14:textId="77777777" w:rsidR="00947EBC" w:rsidRDefault="00947EBC" w:rsidP="00C12E91">
      <w:pPr>
        <w:jc w:val="both"/>
        <w:rPr>
          <w:rFonts w:ascii="Century Gothic" w:hAnsi="Century Gothic"/>
        </w:rPr>
      </w:pPr>
    </w:p>
    <w:p w14:paraId="49961360" w14:textId="77777777" w:rsidR="00E87C6E" w:rsidRDefault="00947EBC" w:rsidP="00E87C6E">
      <w:pPr>
        <w:pStyle w:val="xmsonormal"/>
        <w:rPr>
          <w:rFonts w:ascii="Century Gothic" w:hAnsi="Century Gothic"/>
          <w:sz w:val="22"/>
          <w:szCs w:val="22"/>
        </w:rPr>
      </w:pPr>
      <w:r w:rsidRPr="00E87C6E">
        <w:rPr>
          <w:rFonts w:ascii="Century Gothic" w:hAnsi="Century Gothic"/>
          <w:sz w:val="22"/>
          <w:szCs w:val="22"/>
        </w:rPr>
        <w:t>With regards to Minimum Qualification Requirements and Eligibility Criteria, specifically item 2.3 which outlines the license categories required:</w:t>
      </w:r>
    </w:p>
    <w:p w14:paraId="7F74C6CA" w14:textId="7CA1F035" w:rsidR="00947EBC" w:rsidRPr="00E87C6E" w:rsidRDefault="00E87C6E" w:rsidP="00E87C6E">
      <w:pPr>
        <w:pStyle w:val="xmsonormal"/>
        <w:rPr>
          <w:rFonts w:ascii="Century Gothic" w:hAnsi="Century Gothic"/>
          <w:sz w:val="22"/>
          <w:szCs w:val="22"/>
        </w:rPr>
      </w:pPr>
      <w:r>
        <w:rPr>
          <w:rFonts w:ascii="Century Gothic" w:hAnsi="Century Gothic"/>
          <w:sz w:val="22"/>
          <w:szCs w:val="22"/>
        </w:rPr>
        <w:t>-</w:t>
      </w:r>
      <w:r w:rsidR="00947EBC" w:rsidRPr="00E87C6E">
        <w:rPr>
          <w:rFonts w:ascii="Century Gothic" w:hAnsi="Century Gothic"/>
          <w:sz w:val="22"/>
          <w:szCs w:val="22"/>
        </w:rPr>
        <w:t>    In case the proposal is submitted as a Joint Venture, can members of the Joint Venture contribute part of the required license categories such that the aggregated license categories of the Joint Venture fulfill this requirement?</w:t>
      </w:r>
    </w:p>
    <w:p w14:paraId="3DFB3AA1" w14:textId="77777777" w:rsidR="00947EBC" w:rsidRDefault="00947EBC" w:rsidP="00947EBC">
      <w:pPr>
        <w:pStyle w:val="xmsolistparagraph"/>
        <w:ind w:left="1069" w:hanging="360"/>
      </w:pPr>
    </w:p>
    <w:p w14:paraId="6A050715" w14:textId="77777777" w:rsidR="00947EBC" w:rsidRPr="001B67F1" w:rsidRDefault="00947EBC" w:rsidP="00947EBC">
      <w:pPr>
        <w:jc w:val="both"/>
        <w:rPr>
          <w:rFonts w:ascii="Century Gothic" w:hAnsi="Century Gothic"/>
          <w:b/>
          <w:bCs/>
        </w:rPr>
      </w:pPr>
      <w:r w:rsidRPr="001B67F1">
        <w:rPr>
          <w:rFonts w:ascii="Century Gothic" w:hAnsi="Century Gothic"/>
          <w:b/>
          <w:bCs/>
        </w:rPr>
        <w:t xml:space="preserve">Answer No. </w:t>
      </w:r>
      <w:r>
        <w:rPr>
          <w:rFonts w:ascii="Century Gothic" w:hAnsi="Century Gothic"/>
          <w:b/>
          <w:bCs/>
        </w:rPr>
        <w:t>3</w:t>
      </w:r>
    </w:p>
    <w:p w14:paraId="564BA051" w14:textId="77777777" w:rsidR="00C069BA" w:rsidRDefault="00C069BA" w:rsidP="00B26D9D">
      <w:pPr>
        <w:jc w:val="both"/>
        <w:rPr>
          <w:rFonts w:ascii="Century Gothic" w:hAnsi="Century Gothic"/>
        </w:rPr>
      </w:pPr>
    </w:p>
    <w:p w14:paraId="340A4474" w14:textId="77777777" w:rsidR="003C4449" w:rsidRDefault="003C4449" w:rsidP="00B26D9D">
      <w:pPr>
        <w:jc w:val="both"/>
        <w:rPr>
          <w:rFonts w:ascii="Century Gothic" w:hAnsi="Century Gothic"/>
        </w:rPr>
      </w:pPr>
    </w:p>
    <w:p w14:paraId="1049584A" w14:textId="77777777" w:rsidR="003C4449" w:rsidRDefault="003C4449" w:rsidP="003C4449">
      <w:pPr>
        <w:jc w:val="both"/>
        <w:rPr>
          <w:rFonts w:ascii="Century Gothic" w:hAnsi="Century Gothic"/>
        </w:rPr>
      </w:pPr>
      <w:r w:rsidRPr="00B26D9D">
        <w:rPr>
          <w:rFonts w:ascii="Century Gothic" w:hAnsi="Century Gothic"/>
        </w:rPr>
        <w:t xml:space="preserve">The description of the organization of the JV, must clearly define the expected role of each of the entity in the joint venture in delivering the requirements of the RFP, both in the Proposal and the JV Agreement.  All entities that comprise the JV, shall be subject to the eligibility and qualification assessment by UNDP. </w:t>
      </w:r>
    </w:p>
    <w:p w14:paraId="1C1C99EA" w14:textId="77777777" w:rsidR="003C4449" w:rsidRDefault="003C4449" w:rsidP="00B26D9D">
      <w:pPr>
        <w:jc w:val="both"/>
        <w:rPr>
          <w:rFonts w:ascii="Century Gothic" w:hAnsi="Century Gothic"/>
        </w:rPr>
      </w:pPr>
    </w:p>
    <w:p w14:paraId="2144B3D7" w14:textId="08F0E20C" w:rsidR="00C069BA" w:rsidRPr="00E03A61" w:rsidRDefault="00C069BA" w:rsidP="00E03A61">
      <w:pPr>
        <w:pStyle w:val="xmsonormal"/>
        <w:rPr>
          <w:rFonts w:ascii="Century Gothic" w:hAnsi="Century Gothic"/>
          <w:sz w:val="22"/>
          <w:szCs w:val="22"/>
        </w:rPr>
      </w:pPr>
      <w:r w:rsidRPr="00E03A61">
        <w:rPr>
          <w:rFonts w:ascii="Century Gothic" w:hAnsi="Century Gothic"/>
          <w:sz w:val="22"/>
          <w:szCs w:val="22"/>
        </w:rPr>
        <w:t>In Annex 1- Description of Requirements, in the sub-title “Criteria for the Assessment of Proposal” is specified:</w:t>
      </w:r>
    </w:p>
    <w:p w14:paraId="789D704B" w14:textId="77777777" w:rsidR="00C069BA" w:rsidRPr="00E03A61" w:rsidRDefault="00C069BA" w:rsidP="00E03A61">
      <w:pPr>
        <w:pStyle w:val="xmsonormal"/>
        <w:rPr>
          <w:rFonts w:ascii="Century Gothic" w:hAnsi="Century Gothic"/>
          <w:sz w:val="22"/>
          <w:szCs w:val="22"/>
        </w:rPr>
      </w:pPr>
    </w:p>
    <w:p w14:paraId="371DCFF3" w14:textId="77777777" w:rsidR="00C069BA" w:rsidRPr="00E03A61" w:rsidRDefault="00C069BA" w:rsidP="00E03A61">
      <w:pPr>
        <w:pStyle w:val="xmsonormal"/>
        <w:rPr>
          <w:rFonts w:ascii="Century Gothic" w:hAnsi="Century Gothic"/>
          <w:sz w:val="22"/>
          <w:szCs w:val="22"/>
        </w:rPr>
      </w:pPr>
      <w:r w:rsidRPr="00E03A61">
        <w:rPr>
          <w:rFonts w:ascii="Century Gothic" w:hAnsi="Century Gothic"/>
          <w:sz w:val="22"/>
          <w:szCs w:val="22"/>
        </w:rPr>
        <w:lastRenderedPageBreak/>
        <w:t xml:space="preserve">Eligibility criteria and fulfilment of minimum qualification requirements </w:t>
      </w:r>
    </w:p>
    <w:p w14:paraId="0DBF67AF" w14:textId="77777777" w:rsidR="00C069BA" w:rsidRPr="00E03A61" w:rsidRDefault="00C069BA" w:rsidP="00E03A61">
      <w:pPr>
        <w:pStyle w:val="PlainText"/>
        <w:spacing w:before="40" w:after="40"/>
        <w:jc w:val="both"/>
        <w:rPr>
          <w:rFonts w:ascii="Century Gothic" w:hAnsi="Century Gothic" w:cs="Times New Roman"/>
          <w:bCs/>
          <w:noProof w:val="0"/>
          <w:snapToGrid w:val="0"/>
          <w:sz w:val="22"/>
          <w:szCs w:val="22"/>
          <w:lang w:val="en-US"/>
        </w:rPr>
      </w:pPr>
      <w:bookmarkStart w:id="0" w:name="_GoBack"/>
      <w:r w:rsidRPr="00E03A61">
        <w:rPr>
          <w:rFonts w:ascii="Century Gothic" w:hAnsi="Century Gothic" w:cs="Times New Roman"/>
          <w:bCs/>
          <w:noProof w:val="0"/>
          <w:snapToGrid w:val="0"/>
          <w:sz w:val="22"/>
          <w:szCs w:val="22"/>
          <w:lang w:val="en-US"/>
        </w:rPr>
        <w:t xml:space="preserve">Eligibility criteria and minimum requirement will be evaluated on Pass/Fail basis.  If the Proposal is submitted as a Joint Venture/Consortium/Association, each member should meet minimum criteria, unless otherwise specified in the criterion. </w:t>
      </w:r>
    </w:p>
    <w:p w14:paraId="02F96637" w14:textId="77777777" w:rsidR="00C069BA" w:rsidRPr="00E03A61" w:rsidRDefault="00C069BA" w:rsidP="00E03A61">
      <w:pPr>
        <w:pStyle w:val="PlainText"/>
        <w:spacing w:before="40" w:after="40"/>
        <w:jc w:val="both"/>
        <w:rPr>
          <w:rFonts w:ascii="Century Gothic" w:hAnsi="Century Gothic" w:cs="Times New Roman"/>
          <w:bCs/>
          <w:noProof w:val="0"/>
          <w:snapToGrid w:val="0"/>
          <w:sz w:val="22"/>
          <w:szCs w:val="22"/>
          <w:lang w:val="en-US"/>
        </w:rPr>
      </w:pPr>
    </w:p>
    <w:p w14:paraId="34D303F4" w14:textId="68CCBDC9" w:rsidR="00C069BA" w:rsidRPr="00E03A61" w:rsidRDefault="00C069BA" w:rsidP="00E03A61">
      <w:pPr>
        <w:pStyle w:val="PlainText"/>
        <w:spacing w:before="40" w:after="40"/>
        <w:jc w:val="both"/>
        <w:rPr>
          <w:rFonts w:ascii="Century Gothic" w:hAnsi="Century Gothic" w:cs="Times New Roman"/>
          <w:bCs/>
          <w:noProof w:val="0"/>
          <w:snapToGrid w:val="0"/>
          <w:sz w:val="22"/>
          <w:szCs w:val="22"/>
          <w:lang w:val="en-US"/>
        </w:rPr>
      </w:pPr>
      <w:r w:rsidRPr="00E03A61">
        <w:rPr>
          <w:rFonts w:ascii="Century Gothic" w:hAnsi="Century Gothic" w:cs="Times New Roman"/>
          <w:bCs/>
          <w:noProof w:val="0"/>
          <w:snapToGrid w:val="0"/>
          <w:sz w:val="22"/>
          <w:szCs w:val="22"/>
          <w:lang w:val="en-US"/>
        </w:rPr>
        <w:t>Fulfilment of Minimum Qualification Requirements and Eligibility Criteria are explained in detail in Annex 5.</w:t>
      </w:r>
    </w:p>
    <w:bookmarkEnd w:id="0"/>
    <w:p w14:paraId="1199BCFC" w14:textId="50B22B32" w:rsidR="003C4449" w:rsidRDefault="003C4449" w:rsidP="00C069BA">
      <w:pPr>
        <w:jc w:val="both"/>
        <w:rPr>
          <w:rFonts w:ascii="Century Gothic" w:hAnsi="Century Gothic"/>
          <w:b/>
          <w:snapToGrid w:val="0"/>
        </w:rPr>
      </w:pPr>
    </w:p>
    <w:p w14:paraId="5E2FF2F5" w14:textId="70887A04" w:rsidR="00794632" w:rsidRDefault="00794632" w:rsidP="00C069BA">
      <w:pPr>
        <w:jc w:val="both"/>
        <w:rPr>
          <w:rFonts w:ascii="Century Gothic" w:hAnsi="Century Gothic"/>
          <w:b/>
          <w:snapToGrid w:val="0"/>
        </w:rPr>
      </w:pPr>
    </w:p>
    <w:p w14:paraId="400BEABE" w14:textId="77777777" w:rsidR="00794632" w:rsidRPr="00794632" w:rsidRDefault="00794632" w:rsidP="00794632">
      <w:pPr>
        <w:pStyle w:val="PlainText"/>
        <w:spacing w:before="40" w:after="40"/>
        <w:jc w:val="both"/>
        <w:rPr>
          <w:rFonts w:ascii="Century Gothic" w:hAnsi="Century Gothic"/>
          <w:bCs/>
          <w:snapToGrid w:val="0"/>
          <w:sz w:val="22"/>
          <w:szCs w:val="22"/>
        </w:rPr>
      </w:pPr>
      <w:r w:rsidRPr="00794632">
        <w:rPr>
          <w:rFonts w:ascii="Century Gothic" w:hAnsi="Century Gothic"/>
          <w:bCs/>
          <w:snapToGrid w:val="0"/>
          <w:sz w:val="22"/>
          <w:szCs w:val="22"/>
        </w:rPr>
        <w:t xml:space="preserve">In this context, </w:t>
      </w:r>
    </w:p>
    <w:p w14:paraId="01728BCC" w14:textId="4C8DF859" w:rsidR="00794632" w:rsidRPr="00794632" w:rsidRDefault="00794632" w:rsidP="00794632">
      <w:pPr>
        <w:pStyle w:val="PlainText"/>
        <w:spacing w:before="40" w:after="40"/>
        <w:jc w:val="both"/>
        <w:rPr>
          <w:rFonts w:ascii="Century Gothic" w:hAnsi="Century Gothic" w:cs="Times New Roman"/>
          <w:bCs/>
          <w:noProof w:val="0"/>
          <w:snapToGrid w:val="0"/>
          <w:sz w:val="22"/>
          <w:szCs w:val="22"/>
          <w:lang w:val="en-US"/>
        </w:rPr>
      </w:pPr>
      <w:r w:rsidRPr="00794632">
        <w:rPr>
          <w:rFonts w:ascii="Century Gothic" w:hAnsi="Century Gothic"/>
          <w:bCs/>
          <w:snapToGrid w:val="0"/>
          <w:sz w:val="22"/>
          <w:szCs w:val="22"/>
        </w:rPr>
        <w:t xml:space="preserve">1 - </w:t>
      </w:r>
      <w:r w:rsidRPr="00794632">
        <w:rPr>
          <w:rFonts w:ascii="Century Gothic" w:hAnsi="Century Gothic" w:cs="Times New Roman"/>
          <w:bCs/>
          <w:noProof w:val="0"/>
          <w:snapToGrid w:val="0"/>
          <w:sz w:val="22"/>
          <w:szCs w:val="22"/>
          <w:lang w:val="en-US"/>
        </w:rPr>
        <w:t>Registration to perform the requested services as a legal entity and</w:t>
      </w:r>
    </w:p>
    <w:p w14:paraId="0749E1EF" w14:textId="7D7D5697" w:rsidR="00794632" w:rsidRPr="00794632" w:rsidRDefault="00794632" w:rsidP="00794632">
      <w:pPr>
        <w:pStyle w:val="PlainText"/>
        <w:spacing w:before="40" w:after="40"/>
        <w:jc w:val="both"/>
        <w:rPr>
          <w:rFonts w:ascii="Century Gothic" w:hAnsi="Century Gothic" w:cs="Times New Roman"/>
          <w:bCs/>
          <w:noProof w:val="0"/>
          <w:snapToGrid w:val="0"/>
          <w:sz w:val="22"/>
          <w:szCs w:val="22"/>
          <w:lang w:val="en-US"/>
        </w:rPr>
      </w:pPr>
      <w:r w:rsidRPr="00794632">
        <w:rPr>
          <w:rFonts w:ascii="Century Gothic" w:hAnsi="Century Gothic" w:cs="Times New Roman"/>
          <w:bCs/>
          <w:noProof w:val="0"/>
          <w:snapToGrid w:val="0"/>
          <w:sz w:val="22"/>
          <w:szCs w:val="22"/>
          <w:lang w:val="en-US"/>
        </w:rPr>
        <w:t xml:space="preserve"> 2- </w:t>
      </w:r>
      <w:r w:rsidRPr="00794632">
        <w:rPr>
          <w:rFonts w:ascii="Century Gothic" w:hAnsi="Century Gothic" w:cs="Times New Roman"/>
          <w:bCs/>
          <w:sz w:val="22"/>
          <w:szCs w:val="22"/>
        </w:rPr>
        <w:t>Profile – describing the nature of business, field of expertise, licenses, certifications, accreditations</w:t>
      </w:r>
      <w:r w:rsidRPr="00794632">
        <w:rPr>
          <w:rFonts w:ascii="Century Gothic" w:hAnsi="Century Gothic" w:cs="Times New Roman"/>
          <w:bCs/>
          <w:sz w:val="22"/>
          <w:szCs w:val="22"/>
          <w:lang w:val="en-US"/>
        </w:rPr>
        <w:t>;</w:t>
      </w:r>
    </w:p>
    <w:p w14:paraId="3EBDE390" w14:textId="60F484A4" w:rsidR="00794632" w:rsidRPr="00C069BA" w:rsidRDefault="00794632" w:rsidP="00C069BA">
      <w:pPr>
        <w:jc w:val="both"/>
        <w:rPr>
          <w:rFonts w:ascii="Century Gothic" w:hAnsi="Century Gothic"/>
          <w:b/>
          <w:snapToGrid w:val="0"/>
        </w:rPr>
      </w:pPr>
    </w:p>
    <w:p w14:paraId="49DB922E" w14:textId="3EB95832" w:rsidR="00C069BA" w:rsidRDefault="003C4449" w:rsidP="00B26D9D">
      <w:pPr>
        <w:jc w:val="both"/>
        <w:rPr>
          <w:rFonts w:ascii="Century Gothic" w:hAnsi="Century Gothic"/>
        </w:rPr>
      </w:pPr>
      <w:r w:rsidRPr="00794632">
        <w:rPr>
          <w:rFonts w:ascii="Century Gothic" w:hAnsi="Century Gothic"/>
          <w:b/>
          <w:bCs/>
        </w:rPr>
        <w:t xml:space="preserve">are </w:t>
      </w:r>
      <w:r w:rsidR="00865F50" w:rsidRPr="00794632">
        <w:rPr>
          <w:rFonts w:ascii="Century Gothic" w:hAnsi="Century Gothic"/>
          <w:b/>
          <w:bCs/>
        </w:rPr>
        <w:t>mandatory</w:t>
      </w:r>
      <w:r>
        <w:rPr>
          <w:rFonts w:ascii="Century Gothic" w:hAnsi="Century Gothic"/>
        </w:rPr>
        <w:t xml:space="preserve"> </w:t>
      </w:r>
      <w:r w:rsidR="00794632">
        <w:rPr>
          <w:rFonts w:ascii="Century Gothic" w:hAnsi="Century Gothic"/>
        </w:rPr>
        <w:t>for</w:t>
      </w:r>
      <w:r>
        <w:rPr>
          <w:rFonts w:ascii="Century Gothic" w:hAnsi="Century Gothic"/>
        </w:rPr>
        <w:t xml:space="preserve"> each member of </w:t>
      </w:r>
      <w:r w:rsidR="00794632">
        <w:rPr>
          <w:rFonts w:ascii="Century Gothic" w:hAnsi="Century Gothic"/>
        </w:rPr>
        <w:t xml:space="preserve">the </w:t>
      </w:r>
      <w:r>
        <w:rPr>
          <w:rFonts w:ascii="Century Gothic" w:hAnsi="Century Gothic"/>
        </w:rPr>
        <w:t>JV. The other requirements (experience, financial standing and personnel) can be aggregated</w:t>
      </w:r>
      <w:r w:rsidR="00865F50">
        <w:rPr>
          <w:rFonts w:ascii="Century Gothic" w:hAnsi="Century Gothic"/>
        </w:rPr>
        <w:t xml:space="preserve"> in accordance with JV Agreement.</w:t>
      </w:r>
      <w:r>
        <w:rPr>
          <w:rFonts w:ascii="Century Gothic" w:hAnsi="Century Gothic"/>
        </w:rPr>
        <w:t xml:space="preserve"> </w:t>
      </w:r>
    </w:p>
    <w:p w14:paraId="0BF1F2D6" w14:textId="77777777" w:rsidR="00C069BA" w:rsidRDefault="00C069BA" w:rsidP="00B26D9D">
      <w:pPr>
        <w:jc w:val="both"/>
        <w:rPr>
          <w:rFonts w:ascii="Century Gothic" w:hAnsi="Century Gothic"/>
        </w:rPr>
      </w:pPr>
    </w:p>
    <w:p w14:paraId="2DCA8DEE" w14:textId="77777777" w:rsidR="00C069BA" w:rsidRDefault="00C069BA" w:rsidP="00B26D9D">
      <w:pPr>
        <w:jc w:val="both"/>
        <w:rPr>
          <w:rFonts w:ascii="Century Gothic" w:hAnsi="Century Gothic"/>
        </w:rPr>
      </w:pPr>
    </w:p>
    <w:sectPr w:rsidR="00C06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4244C"/>
    <w:multiLevelType w:val="hybridMultilevel"/>
    <w:tmpl w:val="5C8A9232"/>
    <w:lvl w:ilvl="0" w:tplc="EC1EF674">
      <w:start w:val="9"/>
      <w:numFmt w:val="bullet"/>
      <w:lvlText w:val="-"/>
      <w:lvlJc w:val="left"/>
      <w:pPr>
        <w:ind w:left="720" w:hanging="360"/>
      </w:pPr>
      <w:rPr>
        <w:rFonts w:ascii="Century Gothic" w:eastAsia="Times New Roman" w:hAnsi="Century Gothic"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867BD"/>
    <w:multiLevelType w:val="multilevel"/>
    <w:tmpl w:val="C494E122"/>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 w15:restartNumberingAfterBreak="0">
    <w:nsid w:val="4BA23DBD"/>
    <w:multiLevelType w:val="hybridMultilevel"/>
    <w:tmpl w:val="38FA5100"/>
    <w:lvl w:ilvl="0" w:tplc="D9D8D14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91"/>
    <w:rsid w:val="001B67F1"/>
    <w:rsid w:val="001C0DED"/>
    <w:rsid w:val="001E1DEB"/>
    <w:rsid w:val="003C4449"/>
    <w:rsid w:val="00402591"/>
    <w:rsid w:val="00746989"/>
    <w:rsid w:val="00794632"/>
    <w:rsid w:val="00865F50"/>
    <w:rsid w:val="00890F58"/>
    <w:rsid w:val="00947EBC"/>
    <w:rsid w:val="009865AD"/>
    <w:rsid w:val="009E17E7"/>
    <w:rsid w:val="00B26D9D"/>
    <w:rsid w:val="00B3793B"/>
    <w:rsid w:val="00C069BA"/>
    <w:rsid w:val="00C12E91"/>
    <w:rsid w:val="00CD4CB9"/>
    <w:rsid w:val="00D955F0"/>
    <w:rsid w:val="00DD5A2E"/>
    <w:rsid w:val="00DF0B44"/>
    <w:rsid w:val="00E03A61"/>
    <w:rsid w:val="00E052C8"/>
    <w:rsid w:val="00E8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A7D8"/>
  <w15:chartTrackingRefBased/>
  <w15:docId w15:val="{F5AC20C8-72B5-4C59-8F13-D99693D6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2E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C12E91"/>
  </w:style>
  <w:style w:type="paragraph" w:customStyle="1" w:styleId="xmsonormal">
    <w:name w:val="x_msonormal"/>
    <w:basedOn w:val="Normal"/>
    <w:rsid w:val="00947EBC"/>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947EBC"/>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34"/>
    <w:qFormat/>
    <w:locked/>
    <w:rsid w:val="00C069BA"/>
    <w:rPr>
      <w:kern w:val="28"/>
      <w:szCs w:val="24"/>
      <w:lang w:val="en-GB"/>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C069BA"/>
    <w:pPr>
      <w:widowControl w:val="0"/>
      <w:overflowPunct w:val="0"/>
      <w:adjustRightInd w:val="0"/>
      <w:spacing w:line="360" w:lineRule="auto"/>
      <w:ind w:left="720"/>
      <w:contextualSpacing/>
    </w:pPr>
    <w:rPr>
      <w:rFonts w:asciiTheme="minorHAnsi" w:hAnsiTheme="minorHAnsi" w:cstheme="minorBidi"/>
      <w:kern w:val="28"/>
      <w:szCs w:val="24"/>
      <w:lang w:val="en-GB"/>
    </w:rPr>
  </w:style>
  <w:style w:type="character" w:styleId="CommentReference">
    <w:name w:val="annotation reference"/>
    <w:basedOn w:val="DefaultParagraphFont"/>
    <w:uiPriority w:val="99"/>
    <w:semiHidden/>
    <w:unhideWhenUsed/>
    <w:rsid w:val="00865F50"/>
    <w:rPr>
      <w:sz w:val="16"/>
      <w:szCs w:val="16"/>
    </w:rPr>
  </w:style>
  <w:style w:type="paragraph" w:styleId="CommentText">
    <w:name w:val="annotation text"/>
    <w:basedOn w:val="Normal"/>
    <w:link w:val="CommentTextChar"/>
    <w:uiPriority w:val="99"/>
    <w:semiHidden/>
    <w:unhideWhenUsed/>
    <w:rsid w:val="00865F50"/>
    <w:rPr>
      <w:sz w:val="20"/>
      <w:szCs w:val="20"/>
    </w:rPr>
  </w:style>
  <w:style w:type="character" w:customStyle="1" w:styleId="CommentTextChar">
    <w:name w:val="Comment Text Char"/>
    <w:basedOn w:val="DefaultParagraphFont"/>
    <w:link w:val="CommentText"/>
    <w:uiPriority w:val="99"/>
    <w:semiHidden/>
    <w:rsid w:val="00865F5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65F50"/>
    <w:rPr>
      <w:b/>
      <w:bCs/>
    </w:rPr>
  </w:style>
  <w:style w:type="character" w:customStyle="1" w:styleId="CommentSubjectChar">
    <w:name w:val="Comment Subject Char"/>
    <w:basedOn w:val="CommentTextChar"/>
    <w:link w:val="CommentSubject"/>
    <w:uiPriority w:val="99"/>
    <w:semiHidden/>
    <w:rsid w:val="00865F50"/>
    <w:rPr>
      <w:rFonts w:ascii="Calibri" w:hAnsi="Calibri" w:cs="Calibri"/>
      <w:b/>
      <w:bCs/>
      <w:sz w:val="20"/>
      <w:szCs w:val="20"/>
    </w:rPr>
  </w:style>
  <w:style w:type="paragraph" w:styleId="BalloonText">
    <w:name w:val="Balloon Text"/>
    <w:basedOn w:val="Normal"/>
    <w:link w:val="BalloonTextChar"/>
    <w:uiPriority w:val="99"/>
    <w:semiHidden/>
    <w:unhideWhenUsed/>
    <w:rsid w:val="00865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F50"/>
    <w:rPr>
      <w:rFonts w:ascii="Segoe UI" w:hAnsi="Segoe UI" w:cs="Segoe UI"/>
      <w:sz w:val="18"/>
      <w:szCs w:val="18"/>
    </w:rPr>
  </w:style>
  <w:style w:type="paragraph" w:styleId="PlainText">
    <w:name w:val="Plain Text"/>
    <w:basedOn w:val="Normal"/>
    <w:link w:val="PlainTextChar"/>
    <w:uiPriority w:val="99"/>
    <w:semiHidden/>
    <w:unhideWhenUsed/>
    <w:rsid w:val="00794632"/>
    <w:rPr>
      <w:rFonts w:ascii="Courier New" w:eastAsia="Times New Roman" w:hAnsi="Courier New" w:cs="Courier New"/>
      <w:noProof/>
      <w:sz w:val="20"/>
      <w:szCs w:val="20"/>
      <w:lang w:val="en-GB"/>
    </w:rPr>
  </w:style>
  <w:style w:type="character" w:customStyle="1" w:styleId="PlainTextChar">
    <w:name w:val="Plain Text Char"/>
    <w:basedOn w:val="DefaultParagraphFont"/>
    <w:link w:val="PlainText"/>
    <w:uiPriority w:val="99"/>
    <w:semiHidden/>
    <w:rsid w:val="00794632"/>
    <w:rPr>
      <w:rFonts w:ascii="Courier New" w:eastAsia="Times New Roman" w:hAnsi="Courier New" w:cs="Courier New"/>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4489">
      <w:bodyDiv w:val="1"/>
      <w:marLeft w:val="0"/>
      <w:marRight w:val="0"/>
      <w:marTop w:val="0"/>
      <w:marBottom w:val="0"/>
      <w:divBdr>
        <w:top w:val="none" w:sz="0" w:space="0" w:color="auto"/>
        <w:left w:val="none" w:sz="0" w:space="0" w:color="auto"/>
        <w:bottom w:val="none" w:sz="0" w:space="0" w:color="auto"/>
        <w:right w:val="none" w:sz="0" w:space="0" w:color="auto"/>
      </w:divBdr>
    </w:div>
    <w:div w:id="166750182">
      <w:bodyDiv w:val="1"/>
      <w:marLeft w:val="0"/>
      <w:marRight w:val="0"/>
      <w:marTop w:val="0"/>
      <w:marBottom w:val="0"/>
      <w:divBdr>
        <w:top w:val="none" w:sz="0" w:space="0" w:color="auto"/>
        <w:left w:val="none" w:sz="0" w:space="0" w:color="auto"/>
        <w:bottom w:val="none" w:sz="0" w:space="0" w:color="auto"/>
        <w:right w:val="none" w:sz="0" w:space="0" w:color="auto"/>
      </w:divBdr>
    </w:div>
    <w:div w:id="907614751">
      <w:bodyDiv w:val="1"/>
      <w:marLeft w:val="0"/>
      <w:marRight w:val="0"/>
      <w:marTop w:val="0"/>
      <w:marBottom w:val="0"/>
      <w:divBdr>
        <w:top w:val="none" w:sz="0" w:space="0" w:color="auto"/>
        <w:left w:val="none" w:sz="0" w:space="0" w:color="auto"/>
        <w:bottom w:val="none" w:sz="0" w:space="0" w:color="auto"/>
        <w:right w:val="none" w:sz="0" w:space="0" w:color="auto"/>
      </w:divBdr>
    </w:div>
    <w:div w:id="13490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Gjenovefa Brovina</dc:creator>
  <cp:keywords/>
  <dc:description/>
  <cp:lastModifiedBy>Suhejla Dibra</cp:lastModifiedBy>
  <cp:revision>3</cp:revision>
  <dcterms:created xsi:type="dcterms:W3CDTF">2020-05-11T10:32:00Z</dcterms:created>
  <dcterms:modified xsi:type="dcterms:W3CDTF">2020-05-11T10:32:00Z</dcterms:modified>
</cp:coreProperties>
</file>