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C0051" w14:textId="36E21D77" w:rsidR="00CF504E" w:rsidRPr="009C2FD5" w:rsidRDefault="00CF504E" w:rsidP="00CF504E">
      <w:pPr>
        <w:rPr>
          <w:rFonts w:ascii="Calibri" w:hAnsi="Calibri" w:cs="Calibri"/>
          <w:b/>
        </w:rPr>
      </w:pPr>
      <w:r w:rsidRPr="009C2FD5">
        <w:rPr>
          <w:rFonts w:ascii="Calibri" w:hAnsi="Calibri" w:cs="Calibri"/>
          <w:b/>
        </w:rPr>
        <w:t>Annex 2.</w:t>
      </w:r>
    </w:p>
    <w:p w14:paraId="41250B47" w14:textId="77777777" w:rsidR="00CF504E" w:rsidRPr="009C2FD5" w:rsidRDefault="00CF504E" w:rsidP="00CF504E">
      <w:pPr>
        <w:jc w:val="center"/>
        <w:rPr>
          <w:rFonts w:ascii="Calibri" w:hAnsi="Calibri" w:cs="Calibri"/>
          <w:b/>
        </w:rPr>
      </w:pPr>
      <w:r w:rsidRPr="009C2FD5">
        <w:rPr>
          <w:rFonts w:ascii="Calibri" w:hAnsi="Calibri" w:cs="Calibri"/>
          <w:b/>
        </w:rPr>
        <w:t>FORM FOR SUBMITTING SUPPLIER’S QUOTATION</w:t>
      </w:r>
      <w:r w:rsidRPr="009C2FD5">
        <w:rPr>
          <w:rStyle w:val="FootnoteReference"/>
          <w:rFonts w:ascii="Calibri" w:hAnsi="Calibri" w:cs="Calibri"/>
          <w:b/>
        </w:rPr>
        <w:footnoteReference w:id="1"/>
      </w:r>
    </w:p>
    <w:p w14:paraId="08C070FF" w14:textId="59BB9744" w:rsidR="00C90F15" w:rsidRPr="00C90F15" w:rsidRDefault="00CF504E" w:rsidP="00C90F15">
      <w:pPr>
        <w:jc w:val="center"/>
        <w:rPr>
          <w:rFonts w:ascii="Calibri" w:hAnsi="Calibri" w:cs="Calibri"/>
          <w:b/>
          <w:i/>
        </w:rPr>
      </w:pPr>
      <w:r w:rsidRPr="009C2FD5">
        <w:rPr>
          <w:rFonts w:ascii="Calibri" w:hAnsi="Calibri" w:cs="Calibri"/>
          <w:b/>
          <w:i/>
        </w:rPr>
        <w:t>(This Form must be submitted only using the Supplier’s Official Letterhead/Stationery</w:t>
      </w:r>
      <w:r w:rsidRPr="009C2FD5">
        <w:rPr>
          <w:rStyle w:val="FootnoteReference"/>
          <w:rFonts w:ascii="Calibri" w:hAnsi="Calibri" w:cs="Calibri"/>
          <w:b/>
          <w:i/>
        </w:rPr>
        <w:footnoteReference w:id="2"/>
      </w:r>
      <w:r w:rsidRPr="009C2FD5">
        <w:rPr>
          <w:rFonts w:ascii="Calibri" w:hAnsi="Calibri" w:cs="Calibri"/>
          <w:b/>
          <w:i/>
        </w:rPr>
        <w:t>)</w:t>
      </w:r>
    </w:p>
    <w:p w14:paraId="2205F4D2" w14:textId="3C1CC0BF" w:rsidR="00CF504E" w:rsidRPr="009C2FD5" w:rsidRDefault="00CF504E" w:rsidP="00CF504E">
      <w:pPr>
        <w:tabs>
          <w:tab w:val="left" w:pos="9630"/>
        </w:tabs>
        <w:spacing w:before="120"/>
        <w:jc w:val="both"/>
        <w:rPr>
          <w:rFonts w:asciiTheme="minorHAnsi" w:hAnsiTheme="minorHAnsi" w:cstheme="minorHAnsi"/>
          <w:snapToGrid w:val="0"/>
        </w:rPr>
      </w:pPr>
      <w:r w:rsidRPr="00C73658">
        <w:rPr>
          <w:rFonts w:asciiTheme="minorHAnsi" w:hAnsiTheme="minorHAnsi" w:cstheme="minorHAnsi"/>
          <w:snapToGrid w:val="0"/>
        </w:rPr>
        <w:t>We, the undersigned, hereby accept in full the UNDP General</w:t>
      </w:r>
      <w:r w:rsidR="00442D55" w:rsidRPr="00C73658">
        <w:rPr>
          <w:rFonts w:asciiTheme="minorHAnsi" w:hAnsiTheme="minorHAnsi" w:cstheme="minorHAnsi"/>
          <w:snapToGrid w:val="0"/>
        </w:rPr>
        <w:t xml:space="preserve"> </w:t>
      </w:r>
      <w:r w:rsidRPr="00C73658">
        <w:rPr>
          <w:rFonts w:asciiTheme="minorHAnsi" w:hAnsiTheme="minorHAnsi" w:cstheme="minorHAnsi"/>
          <w:snapToGrid w:val="0"/>
        </w:rPr>
        <w:t xml:space="preserve">Conditions </w:t>
      </w:r>
      <w:r w:rsidR="00442D55" w:rsidRPr="00C73658">
        <w:rPr>
          <w:rFonts w:asciiTheme="minorHAnsi" w:hAnsiTheme="minorHAnsi" w:cstheme="minorHAnsi"/>
          <w:snapToGrid w:val="0"/>
        </w:rPr>
        <w:t>of</w:t>
      </w:r>
      <w:r w:rsidRPr="00C73658">
        <w:rPr>
          <w:rFonts w:asciiTheme="minorHAnsi" w:hAnsiTheme="minorHAnsi" w:cstheme="minorHAnsi"/>
          <w:snapToGrid w:val="0"/>
        </w:rPr>
        <w:t xml:space="preserve"> Contracts</w:t>
      </w:r>
      <w:r w:rsidR="00442D55" w:rsidRPr="00C73658">
        <w:rPr>
          <w:rFonts w:asciiTheme="minorHAnsi" w:hAnsiTheme="minorHAnsi" w:cstheme="minorHAnsi"/>
          <w:snapToGrid w:val="0"/>
        </w:rPr>
        <w:t xml:space="preserve"> for Civil Works</w:t>
      </w:r>
      <w:r w:rsidRPr="00C73658">
        <w:rPr>
          <w:rFonts w:asciiTheme="minorHAnsi" w:hAnsiTheme="minorHAnsi" w:cstheme="minorHAnsi"/>
          <w:snapToGrid w:val="0"/>
        </w:rPr>
        <w:t xml:space="preserve"> and hereby offer to supply the items listed below</w:t>
      </w:r>
      <w:r w:rsidR="00F2438E" w:rsidRPr="00C73658">
        <w:rPr>
          <w:rFonts w:asciiTheme="minorHAnsi" w:hAnsiTheme="minorHAnsi" w:cstheme="minorHAnsi"/>
          <w:snapToGrid w:val="0"/>
        </w:rPr>
        <w:t xml:space="preserve"> </w:t>
      </w:r>
      <w:r w:rsidRPr="00C73658">
        <w:rPr>
          <w:rFonts w:asciiTheme="minorHAnsi" w:hAnsiTheme="minorHAnsi" w:cstheme="minorHAnsi"/>
          <w:snapToGrid w:val="0"/>
        </w:rPr>
        <w:t xml:space="preserve">in </w:t>
      </w:r>
      <w:r w:rsidR="003078C5" w:rsidRPr="00C73658">
        <w:rPr>
          <w:rFonts w:asciiTheme="minorHAnsi" w:hAnsiTheme="minorHAnsi" w:cstheme="minorHAnsi"/>
          <w:snapToGrid w:val="0"/>
        </w:rPr>
        <w:t>6 weeks</w:t>
      </w:r>
      <w:r w:rsidRPr="00C73658">
        <w:rPr>
          <w:rFonts w:asciiTheme="minorHAnsi" w:hAnsiTheme="minorHAnsi" w:cstheme="minorHAnsi"/>
          <w:snapToGrid w:val="0"/>
        </w:rPr>
        <w:t>, in conformity with the specification and requirements of UNDP as per RFQ Reference No</w:t>
      </w:r>
      <w:r w:rsidRPr="00C73658">
        <w:rPr>
          <w:rFonts w:asciiTheme="minorHAnsi" w:hAnsiTheme="minorHAnsi" w:cstheme="minorHAnsi"/>
          <w:snapToGrid w:val="0"/>
          <w:shd w:val="clear" w:color="auto" w:fill="FFFFFF" w:themeFill="background1"/>
        </w:rPr>
        <w:t>: 0</w:t>
      </w:r>
      <w:r w:rsidR="00327EF7" w:rsidRPr="00C73658">
        <w:rPr>
          <w:rFonts w:asciiTheme="minorHAnsi" w:hAnsiTheme="minorHAnsi" w:cstheme="minorHAnsi"/>
          <w:snapToGrid w:val="0"/>
          <w:shd w:val="clear" w:color="auto" w:fill="FFFFFF" w:themeFill="background1"/>
        </w:rPr>
        <w:t>30</w:t>
      </w:r>
      <w:r w:rsidRPr="00C73658">
        <w:rPr>
          <w:rFonts w:asciiTheme="minorHAnsi" w:hAnsiTheme="minorHAnsi" w:cstheme="minorHAnsi"/>
          <w:snapToGrid w:val="0"/>
          <w:shd w:val="clear" w:color="auto" w:fill="FFFFFF" w:themeFill="background1"/>
        </w:rPr>
        <w:t>/20</w:t>
      </w:r>
      <w:r w:rsidR="00327EF7" w:rsidRPr="00C73658">
        <w:rPr>
          <w:rFonts w:asciiTheme="minorHAnsi" w:hAnsiTheme="minorHAnsi" w:cstheme="minorHAnsi"/>
          <w:snapToGrid w:val="0"/>
          <w:shd w:val="clear" w:color="auto" w:fill="FFFFFF" w:themeFill="background1"/>
        </w:rPr>
        <w:t>20</w:t>
      </w:r>
      <w:r w:rsidRPr="00C73658">
        <w:rPr>
          <w:rFonts w:asciiTheme="minorHAnsi" w:hAnsiTheme="minorHAnsi" w:cstheme="minorHAnsi"/>
          <w:snapToGrid w:val="0"/>
          <w:shd w:val="clear" w:color="auto" w:fill="FFFFFF" w:themeFill="background1"/>
        </w:rPr>
        <w:t>:</w:t>
      </w:r>
    </w:p>
    <w:p w14:paraId="4320CA68" w14:textId="77777777" w:rsidR="00C90F15" w:rsidRDefault="00C90F15" w:rsidP="00CF504E">
      <w:pPr>
        <w:pStyle w:val="ListParagraph"/>
        <w:spacing w:line="240" w:lineRule="auto"/>
        <w:ind w:left="0"/>
        <w:jc w:val="both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</w:p>
    <w:p w14:paraId="1A7C1A60" w14:textId="77777777" w:rsidR="00C015AC" w:rsidRPr="009C2FD5" w:rsidRDefault="00C015AC" w:rsidP="00CF504E">
      <w:pPr>
        <w:pStyle w:val="ListParagraph"/>
        <w:spacing w:line="240" w:lineRule="auto"/>
        <w:ind w:left="0"/>
        <w:jc w:val="both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bookmarkStart w:id="0" w:name="_GoBack"/>
      <w:bookmarkEnd w:id="0"/>
    </w:p>
    <w:p w14:paraId="77E57E75" w14:textId="2A562138" w:rsidR="00C90F15" w:rsidRDefault="00CF504E" w:rsidP="00F145CB">
      <w:pPr>
        <w:pStyle w:val="ListParagraph"/>
        <w:spacing w:before="60" w:after="60" w:line="240" w:lineRule="auto"/>
        <w:ind w:left="0"/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9C2FD5">
        <w:rPr>
          <w:rFonts w:asciiTheme="minorHAnsi" w:eastAsia="Arial Unicode MS" w:hAnsiTheme="minorHAnsi" w:cstheme="minorHAnsi"/>
          <w:b/>
          <w:sz w:val="20"/>
          <w:szCs w:val="20"/>
        </w:rPr>
        <w:t>Table 1: Price Schedule Form</w:t>
      </w:r>
      <w:r w:rsidR="000A5D21" w:rsidRPr="009C2FD5">
        <w:rPr>
          <w:rFonts w:asciiTheme="minorHAnsi" w:eastAsia="Arial Unicode MS" w:hAnsiTheme="minorHAnsi" w:cstheme="minorHAnsi"/>
          <w:b/>
          <w:sz w:val="20"/>
          <w:szCs w:val="20"/>
        </w:rPr>
        <w:t xml:space="preserve"> </w:t>
      </w:r>
    </w:p>
    <w:p w14:paraId="4545259A" w14:textId="77777777" w:rsidR="00C90F15" w:rsidRDefault="00C90F15" w:rsidP="00F145CB">
      <w:pPr>
        <w:pStyle w:val="ListParagraph"/>
        <w:spacing w:before="60" w:after="60" w:line="240" w:lineRule="auto"/>
        <w:ind w:left="0"/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</w:p>
    <w:tbl>
      <w:tblPr>
        <w:tblStyle w:val="TableGrid"/>
        <w:tblW w:w="10605" w:type="dxa"/>
        <w:tblInd w:w="108" w:type="dxa"/>
        <w:tblLook w:val="04A0" w:firstRow="1" w:lastRow="0" w:firstColumn="1" w:lastColumn="0" w:noHBand="0" w:noVBand="1"/>
      </w:tblPr>
      <w:tblGrid>
        <w:gridCol w:w="641"/>
        <w:gridCol w:w="5538"/>
        <w:gridCol w:w="800"/>
        <w:gridCol w:w="983"/>
        <w:gridCol w:w="996"/>
        <w:gridCol w:w="1647"/>
      </w:tblGrid>
      <w:tr w:rsidR="00465D85" w:rsidRPr="009C2FD5" w14:paraId="01EA3A0D" w14:textId="77777777" w:rsidTr="00A10755">
        <w:trPr>
          <w:trHeight w:val="332"/>
        </w:trPr>
        <w:tc>
          <w:tcPr>
            <w:tcW w:w="641" w:type="dxa"/>
          </w:tcPr>
          <w:p w14:paraId="4FFEC43D" w14:textId="77777777" w:rsidR="00465D85" w:rsidRPr="00B904EE" w:rsidRDefault="00465D85" w:rsidP="003606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04EE">
              <w:rPr>
                <w:rFonts w:asciiTheme="minorHAnsi" w:hAnsiTheme="minorHAnsi" w:cstheme="minorHAnsi"/>
                <w:b/>
              </w:rPr>
              <w:t>No:</w:t>
            </w:r>
          </w:p>
        </w:tc>
        <w:tc>
          <w:tcPr>
            <w:tcW w:w="5538" w:type="dxa"/>
          </w:tcPr>
          <w:p w14:paraId="7BBB488D" w14:textId="77777777" w:rsidR="00465D85" w:rsidRPr="00B904EE" w:rsidRDefault="00465D85" w:rsidP="003606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04EE">
              <w:rPr>
                <w:rFonts w:asciiTheme="minorHAnsi" w:hAnsiTheme="minorHAnsi" w:cstheme="minorHAnsi"/>
                <w:b/>
              </w:rPr>
              <w:t>Work Item</w:t>
            </w:r>
          </w:p>
        </w:tc>
        <w:tc>
          <w:tcPr>
            <w:tcW w:w="800" w:type="dxa"/>
          </w:tcPr>
          <w:p w14:paraId="5ADB34BE" w14:textId="77777777" w:rsidR="00465D85" w:rsidRPr="00B904EE" w:rsidRDefault="00465D85" w:rsidP="003606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04EE">
              <w:rPr>
                <w:rFonts w:asciiTheme="minorHAnsi" w:hAnsiTheme="minorHAnsi" w:cstheme="minorHAnsi"/>
                <w:b/>
              </w:rPr>
              <w:t>Unit</w:t>
            </w:r>
          </w:p>
        </w:tc>
        <w:tc>
          <w:tcPr>
            <w:tcW w:w="983" w:type="dxa"/>
          </w:tcPr>
          <w:p w14:paraId="3036A65E" w14:textId="7ACC1096" w:rsidR="00465D85" w:rsidRPr="00B904EE" w:rsidRDefault="00465D85" w:rsidP="003606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04EE">
              <w:rPr>
                <w:rFonts w:asciiTheme="minorHAnsi" w:hAnsiTheme="minorHAnsi" w:cstheme="minorHAnsi"/>
                <w:b/>
              </w:rPr>
              <w:t>Unit price</w:t>
            </w:r>
          </w:p>
        </w:tc>
        <w:tc>
          <w:tcPr>
            <w:tcW w:w="996" w:type="dxa"/>
          </w:tcPr>
          <w:p w14:paraId="2683500A" w14:textId="3DC4567C" w:rsidR="00465D85" w:rsidRPr="00B904EE" w:rsidRDefault="00465D85" w:rsidP="003606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04EE">
              <w:rPr>
                <w:rFonts w:asciiTheme="minorHAnsi" w:hAnsiTheme="minorHAnsi" w:cstheme="minorHAnsi"/>
                <w:b/>
              </w:rPr>
              <w:t>Quantity</w:t>
            </w:r>
          </w:p>
        </w:tc>
        <w:tc>
          <w:tcPr>
            <w:tcW w:w="1647" w:type="dxa"/>
          </w:tcPr>
          <w:p w14:paraId="16A26282" w14:textId="77777777" w:rsidR="00465D85" w:rsidRPr="00B904EE" w:rsidRDefault="00465D85" w:rsidP="003606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04EE">
              <w:rPr>
                <w:rFonts w:asciiTheme="minorHAnsi" w:hAnsiTheme="minorHAnsi" w:cstheme="minorHAnsi"/>
                <w:b/>
              </w:rPr>
              <w:t xml:space="preserve">Total </w:t>
            </w:r>
          </w:p>
          <w:p w14:paraId="6EA9C4A7" w14:textId="77777777" w:rsidR="00465D85" w:rsidRPr="00B904EE" w:rsidRDefault="00465D85" w:rsidP="003606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04EE">
              <w:rPr>
                <w:rFonts w:asciiTheme="minorHAnsi" w:hAnsiTheme="minorHAnsi" w:cstheme="minorHAnsi"/>
                <w:b/>
              </w:rPr>
              <w:t xml:space="preserve">in Euro </w:t>
            </w:r>
          </w:p>
        </w:tc>
      </w:tr>
      <w:tr w:rsidR="00465D85" w:rsidRPr="009C2FD5" w14:paraId="71A4C0ED" w14:textId="77777777" w:rsidTr="00A10755">
        <w:trPr>
          <w:trHeight w:val="571"/>
        </w:trPr>
        <w:tc>
          <w:tcPr>
            <w:tcW w:w="641" w:type="dxa"/>
            <w:vMerge w:val="restart"/>
          </w:tcPr>
          <w:p w14:paraId="04A1AE8C" w14:textId="77777777" w:rsidR="00465D85" w:rsidRPr="00B904EE" w:rsidRDefault="00465D85" w:rsidP="00465D85">
            <w:pPr>
              <w:jc w:val="center"/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</w:rPr>
              <w:t>1</w:t>
            </w:r>
          </w:p>
          <w:p w14:paraId="07B0EE85" w14:textId="62C63C42" w:rsidR="00465D85" w:rsidRPr="00B904EE" w:rsidRDefault="00465D85" w:rsidP="00465D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38" w:type="dxa"/>
          </w:tcPr>
          <w:p w14:paraId="672637B5" w14:textId="4C8E066D" w:rsidR="00465D85" w:rsidRPr="00B904EE" w:rsidRDefault="00465D85" w:rsidP="00465D85">
            <w:pPr>
              <w:spacing w:before="120" w:after="120"/>
              <w:rPr>
                <w:rFonts w:asciiTheme="minorHAnsi" w:hAnsiTheme="minorHAnsi" w:cstheme="minorHAnsi"/>
                <w:b/>
                <w:u w:val="single"/>
                <w:lang w:val="el-GR"/>
              </w:rPr>
            </w:pPr>
            <w:r w:rsidRPr="00B904EE">
              <w:rPr>
                <w:rFonts w:asciiTheme="minorHAnsi" w:hAnsiTheme="minorHAnsi" w:cstheme="minorHAnsi"/>
                <w:b/>
                <w:u w:val="single"/>
              </w:rPr>
              <w:t>PRELIMINARIES</w:t>
            </w:r>
            <w:r w:rsidRPr="00B904EE">
              <w:rPr>
                <w:rFonts w:asciiTheme="minorHAnsi" w:hAnsiTheme="minorHAnsi" w:cstheme="minorHAnsi"/>
                <w:b/>
                <w:u w:val="single"/>
                <w:lang w:val="el-GR"/>
              </w:rPr>
              <w:t xml:space="preserve"> *</w:t>
            </w:r>
          </w:p>
          <w:p w14:paraId="29BB06A3" w14:textId="47CA83EE" w:rsidR="00465D85" w:rsidRPr="00B904EE" w:rsidRDefault="00465D85" w:rsidP="00465D85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904EE">
              <w:rPr>
                <w:rFonts w:asciiTheme="minorHAnsi" w:hAnsiTheme="minorHAnsi" w:cstheme="minorHAnsi"/>
                <w:b/>
                <w:sz w:val="20"/>
                <w:szCs w:val="20"/>
              </w:rPr>
              <w:t>Insurances</w:t>
            </w:r>
            <w:r w:rsidRPr="00B904E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B904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904EE">
              <w:rPr>
                <w:rFonts w:asciiTheme="minorHAnsi" w:hAnsiTheme="minorHAnsi" w:cstheme="minorHAnsi"/>
                <w:sz w:val="20"/>
                <w:szCs w:val="20"/>
              </w:rPr>
              <w:t xml:space="preserve">within 72 hours of being given the site (employer’s liability insurance up to 5000 Euro). </w:t>
            </w:r>
          </w:p>
        </w:tc>
        <w:tc>
          <w:tcPr>
            <w:tcW w:w="800" w:type="dxa"/>
            <w:vAlign w:val="center"/>
          </w:tcPr>
          <w:p w14:paraId="06FA560A" w14:textId="430A05DB" w:rsidR="00465D85" w:rsidRPr="00B904EE" w:rsidRDefault="00465D85" w:rsidP="00465D85">
            <w:pPr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  <w:color w:val="000000"/>
              </w:rPr>
              <w:t>sum</w:t>
            </w:r>
          </w:p>
        </w:tc>
        <w:tc>
          <w:tcPr>
            <w:tcW w:w="983" w:type="dxa"/>
            <w:vAlign w:val="center"/>
          </w:tcPr>
          <w:p w14:paraId="11BD97EC" w14:textId="6C2EE3C1" w:rsidR="00465D85" w:rsidRPr="00B904EE" w:rsidRDefault="00465D85" w:rsidP="00465D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vAlign w:val="center"/>
          </w:tcPr>
          <w:p w14:paraId="4CC3614C" w14:textId="05312BE7" w:rsidR="00465D85" w:rsidRPr="00B904EE" w:rsidRDefault="00465D85" w:rsidP="00465D85">
            <w:pPr>
              <w:jc w:val="center"/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7" w:type="dxa"/>
            <w:vAlign w:val="center"/>
          </w:tcPr>
          <w:p w14:paraId="7E788C21" w14:textId="19D8BFEE" w:rsidR="00465D85" w:rsidRPr="00B904EE" w:rsidRDefault="00465D85" w:rsidP="00465D8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65D85" w:rsidRPr="009C2FD5" w14:paraId="2002E493" w14:textId="77777777" w:rsidTr="00A10755">
        <w:trPr>
          <w:trHeight w:val="571"/>
        </w:trPr>
        <w:tc>
          <w:tcPr>
            <w:tcW w:w="641" w:type="dxa"/>
            <w:vMerge/>
          </w:tcPr>
          <w:p w14:paraId="11C1B01C" w14:textId="0D4E01A4" w:rsidR="00465D85" w:rsidRPr="00B904EE" w:rsidRDefault="00465D85" w:rsidP="00465D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38" w:type="dxa"/>
          </w:tcPr>
          <w:p w14:paraId="4E8DDC2B" w14:textId="5922729E" w:rsidR="00465D85" w:rsidRPr="00B904EE" w:rsidRDefault="00465D85" w:rsidP="00465D85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904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Site </w:t>
            </w:r>
            <w:proofErr w:type="spellStart"/>
            <w:r w:rsidRPr="00B904EE">
              <w:rPr>
                <w:rFonts w:asciiTheme="minorHAnsi" w:hAnsiTheme="minorHAnsi" w:cstheme="minorHAnsi"/>
                <w:b/>
                <w:sz w:val="20"/>
                <w:szCs w:val="20"/>
              </w:rPr>
              <w:t>mobilisation</w:t>
            </w:r>
            <w:proofErr w:type="spellEnd"/>
            <w:r w:rsidRPr="00B904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</w:t>
            </w:r>
            <w:proofErr w:type="spellStart"/>
            <w:r w:rsidRPr="00B904EE">
              <w:rPr>
                <w:rFonts w:asciiTheme="minorHAnsi" w:hAnsiTheme="minorHAnsi" w:cstheme="minorHAnsi"/>
                <w:b/>
                <w:sz w:val="20"/>
                <w:szCs w:val="20"/>
              </w:rPr>
              <w:t>demobilisation</w:t>
            </w:r>
            <w:proofErr w:type="spellEnd"/>
            <w:r w:rsidRPr="00B904EE">
              <w:rPr>
                <w:rFonts w:asciiTheme="minorHAnsi" w:hAnsiTheme="minorHAnsi" w:cstheme="minorHAnsi"/>
                <w:sz w:val="20"/>
                <w:szCs w:val="20"/>
              </w:rPr>
              <w:t xml:space="preserve"> (including insurances as per General Conditions of Contract)</w:t>
            </w:r>
          </w:p>
        </w:tc>
        <w:tc>
          <w:tcPr>
            <w:tcW w:w="800" w:type="dxa"/>
            <w:vAlign w:val="center"/>
          </w:tcPr>
          <w:p w14:paraId="33443EBB" w14:textId="02EBB4DF" w:rsidR="00465D85" w:rsidRPr="00B904EE" w:rsidRDefault="00465D85" w:rsidP="00465D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vAlign w:val="center"/>
          </w:tcPr>
          <w:p w14:paraId="2E770978" w14:textId="77777777" w:rsidR="00465D85" w:rsidRPr="00B904EE" w:rsidRDefault="00465D85" w:rsidP="00465D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vAlign w:val="center"/>
          </w:tcPr>
          <w:p w14:paraId="5C274EFE" w14:textId="13B8AAA4" w:rsidR="00465D85" w:rsidRPr="00B904EE" w:rsidRDefault="00465D85" w:rsidP="00465D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7" w:type="dxa"/>
            <w:vAlign w:val="center"/>
          </w:tcPr>
          <w:p w14:paraId="6B0E55EA" w14:textId="0F1FA6ED" w:rsidR="00465D85" w:rsidRPr="00B904EE" w:rsidRDefault="00465D85" w:rsidP="00465D8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65D85" w:rsidRPr="009C2FD5" w14:paraId="401C3AA6" w14:textId="77777777" w:rsidTr="00A10755">
        <w:trPr>
          <w:trHeight w:val="571"/>
        </w:trPr>
        <w:tc>
          <w:tcPr>
            <w:tcW w:w="641" w:type="dxa"/>
            <w:vMerge/>
          </w:tcPr>
          <w:p w14:paraId="2D122C0A" w14:textId="77777777" w:rsidR="00465D85" w:rsidRPr="00B904EE" w:rsidRDefault="00465D85" w:rsidP="00465D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38" w:type="dxa"/>
          </w:tcPr>
          <w:p w14:paraId="2D304883" w14:textId="4261B153" w:rsidR="00465D85" w:rsidRPr="00B904EE" w:rsidRDefault="00465D85" w:rsidP="00465D85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4EE">
              <w:rPr>
                <w:rFonts w:asciiTheme="minorHAnsi" w:hAnsiTheme="minorHAnsi" w:cstheme="minorHAnsi"/>
                <w:b/>
                <w:sz w:val="20"/>
                <w:szCs w:val="20"/>
              </w:rPr>
              <w:t>Record the condition of the site</w:t>
            </w:r>
            <w:r w:rsidRPr="00B904EE">
              <w:rPr>
                <w:rFonts w:asciiTheme="minorHAnsi" w:hAnsiTheme="minorHAnsi" w:cstheme="minorHAnsi"/>
                <w:sz w:val="20"/>
                <w:szCs w:val="20"/>
              </w:rPr>
              <w:t xml:space="preserve">: including </w:t>
            </w:r>
            <w:r w:rsidR="0019603C" w:rsidRPr="00B904EE">
              <w:rPr>
                <w:rFonts w:asciiTheme="minorHAnsi" w:hAnsiTheme="minorHAnsi" w:cstheme="minorHAnsi"/>
                <w:sz w:val="20"/>
                <w:szCs w:val="20"/>
              </w:rPr>
              <w:t xml:space="preserve">measured </w:t>
            </w:r>
            <w:r w:rsidRPr="00B904EE">
              <w:rPr>
                <w:rFonts w:asciiTheme="minorHAnsi" w:hAnsiTheme="minorHAnsi" w:cstheme="minorHAnsi"/>
                <w:sz w:val="20"/>
                <w:szCs w:val="20"/>
              </w:rPr>
              <w:t>drawing</w:t>
            </w:r>
            <w:r w:rsidR="0019603C" w:rsidRPr="00B904EE">
              <w:rPr>
                <w:rFonts w:asciiTheme="minorHAnsi" w:hAnsiTheme="minorHAnsi" w:cstheme="minorHAnsi"/>
                <w:sz w:val="20"/>
                <w:szCs w:val="20"/>
              </w:rPr>
              <w:t xml:space="preserve"> (plan)</w:t>
            </w:r>
            <w:r w:rsidRPr="00B904EE">
              <w:rPr>
                <w:rFonts w:asciiTheme="minorHAnsi" w:hAnsiTheme="minorHAnsi" w:cstheme="minorHAnsi"/>
                <w:sz w:val="20"/>
                <w:szCs w:val="20"/>
              </w:rPr>
              <w:t xml:space="preserve"> indicating tombs and vegetation,</w:t>
            </w:r>
            <w:r w:rsidR="0019603C" w:rsidRPr="00B904EE">
              <w:rPr>
                <w:rFonts w:asciiTheme="minorHAnsi" w:hAnsiTheme="minorHAnsi" w:cstheme="minorHAnsi"/>
                <w:sz w:val="20"/>
                <w:szCs w:val="20"/>
              </w:rPr>
              <w:t xml:space="preserve"> and perimeter wall</w:t>
            </w:r>
            <w:r w:rsidRPr="00B904EE">
              <w:rPr>
                <w:rFonts w:asciiTheme="minorHAnsi" w:hAnsiTheme="minorHAnsi" w:cstheme="minorHAnsi"/>
                <w:sz w:val="20"/>
                <w:szCs w:val="20"/>
              </w:rPr>
              <w:t xml:space="preserve"> before the installation (by an architect). </w:t>
            </w:r>
          </w:p>
        </w:tc>
        <w:tc>
          <w:tcPr>
            <w:tcW w:w="800" w:type="dxa"/>
            <w:vAlign w:val="center"/>
          </w:tcPr>
          <w:p w14:paraId="305A8B01" w14:textId="78559138" w:rsidR="00465D85" w:rsidRPr="00B904EE" w:rsidRDefault="00465D85" w:rsidP="00465D85">
            <w:pPr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83" w:type="dxa"/>
            <w:vAlign w:val="center"/>
          </w:tcPr>
          <w:p w14:paraId="115BF5A9" w14:textId="5DE45C6C" w:rsidR="00465D85" w:rsidRPr="00B904EE" w:rsidRDefault="00465D85" w:rsidP="00465D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vAlign w:val="center"/>
          </w:tcPr>
          <w:p w14:paraId="1C936ECC" w14:textId="757F33A7" w:rsidR="00465D85" w:rsidRPr="00B904EE" w:rsidRDefault="00465D85" w:rsidP="00465D85">
            <w:pPr>
              <w:jc w:val="center"/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647" w:type="dxa"/>
            <w:vAlign w:val="center"/>
          </w:tcPr>
          <w:p w14:paraId="5F0E3BE2" w14:textId="2B47CD27" w:rsidR="00465D85" w:rsidRPr="00B904EE" w:rsidRDefault="00465D85" w:rsidP="00465D8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65D85" w:rsidRPr="009C2FD5" w14:paraId="39B6D86A" w14:textId="77777777" w:rsidTr="0019603C">
        <w:trPr>
          <w:trHeight w:val="1435"/>
        </w:trPr>
        <w:tc>
          <w:tcPr>
            <w:tcW w:w="641" w:type="dxa"/>
            <w:vMerge/>
          </w:tcPr>
          <w:p w14:paraId="0B2F86B4" w14:textId="77777777" w:rsidR="00465D85" w:rsidRPr="00B904EE" w:rsidRDefault="00465D85" w:rsidP="00465D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38" w:type="dxa"/>
          </w:tcPr>
          <w:p w14:paraId="394F6176" w14:textId="11D0B448" w:rsidR="00465D85" w:rsidRPr="00B904EE" w:rsidRDefault="00465D85" w:rsidP="00465D85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4EE">
              <w:rPr>
                <w:rFonts w:asciiTheme="minorHAnsi" w:hAnsiTheme="minorHAnsi" w:cstheme="minorHAnsi"/>
                <w:b/>
                <w:sz w:val="20"/>
                <w:szCs w:val="20"/>
              </w:rPr>
              <w:t>Contractor site facilities</w:t>
            </w:r>
            <w:r w:rsidRPr="00B904EE">
              <w:rPr>
                <w:rFonts w:asciiTheme="minorHAnsi" w:hAnsiTheme="minorHAnsi" w:cstheme="minorHAnsi"/>
                <w:sz w:val="20"/>
                <w:szCs w:val="20"/>
              </w:rPr>
              <w:t>: installation, maintenance, upkeep and removal of covered space for meetings, resting/eating</w:t>
            </w:r>
            <w:r w:rsidRPr="00B904E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B904EE">
              <w:rPr>
                <w:rFonts w:asciiTheme="minorHAnsi" w:hAnsiTheme="minorHAnsi" w:cstheme="minorHAnsi"/>
                <w:sz w:val="20"/>
                <w:szCs w:val="20"/>
              </w:rPr>
              <w:t xml:space="preserve">for the site personnel space and for storage of materials and sanitary facilities </w:t>
            </w:r>
            <w:r w:rsidR="0019603C" w:rsidRPr="00B904EE">
              <w:rPr>
                <w:rFonts w:asciiTheme="minorHAnsi" w:hAnsiTheme="minorHAnsi" w:cstheme="minorHAnsi"/>
                <w:sz w:val="20"/>
                <w:szCs w:val="20"/>
              </w:rPr>
              <w:t>as described in Annex 1.1</w:t>
            </w:r>
            <w:r w:rsidRPr="00B904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vAlign w:val="center"/>
          </w:tcPr>
          <w:p w14:paraId="355ABCF1" w14:textId="54B8C68D" w:rsidR="00465D85" w:rsidRPr="00B904EE" w:rsidRDefault="00465D85" w:rsidP="00465D85">
            <w:pPr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  <w:color w:val="000000"/>
              </w:rPr>
              <w:t>sum</w:t>
            </w:r>
          </w:p>
        </w:tc>
        <w:tc>
          <w:tcPr>
            <w:tcW w:w="983" w:type="dxa"/>
            <w:vAlign w:val="center"/>
          </w:tcPr>
          <w:p w14:paraId="74683627" w14:textId="1CBA7813" w:rsidR="00465D85" w:rsidRPr="00B904EE" w:rsidRDefault="00465D85" w:rsidP="00465D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vAlign w:val="center"/>
          </w:tcPr>
          <w:p w14:paraId="750F318E" w14:textId="2D54E0AE" w:rsidR="00465D85" w:rsidRPr="00B904EE" w:rsidRDefault="00465D85" w:rsidP="00465D85">
            <w:pPr>
              <w:jc w:val="center"/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7" w:type="dxa"/>
            <w:vAlign w:val="center"/>
          </w:tcPr>
          <w:p w14:paraId="62ED03C7" w14:textId="7C9613C7" w:rsidR="00465D85" w:rsidRPr="00B904EE" w:rsidRDefault="00465D85" w:rsidP="00465D8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65D85" w:rsidRPr="009C2FD5" w14:paraId="657AB796" w14:textId="77777777" w:rsidTr="00A10755">
        <w:trPr>
          <w:trHeight w:val="571"/>
        </w:trPr>
        <w:tc>
          <w:tcPr>
            <w:tcW w:w="641" w:type="dxa"/>
            <w:vMerge/>
          </w:tcPr>
          <w:p w14:paraId="3290FA40" w14:textId="77777777" w:rsidR="00465D85" w:rsidRPr="00B904EE" w:rsidRDefault="00465D85" w:rsidP="00465D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38" w:type="dxa"/>
          </w:tcPr>
          <w:p w14:paraId="7EDD452F" w14:textId="14C875CD" w:rsidR="00465D85" w:rsidRPr="00B904EE" w:rsidRDefault="00465D85" w:rsidP="00465D85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4EE">
              <w:rPr>
                <w:rFonts w:asciiTheme="minorHAnsi" w:hAnsiTheme="minorHAnsi" w:cstheme="minorHAnsi"/>
                <w:b/>
                <w:sz w:val="20"/>
                <w:szCs w:val="20"/>
              </w:rPr>
              <w:t>Temporary power and light system</w:t>
            </w:r>
            <w:r w:rsidRPr="00B904EE">
              <w:rPr>
                <w:rFonts w:asciiTheme="minorHAnsi" w:hAnsiTheme="minorHAnsi" w:cstheme="minorHAnsi"/>
                <w:sz w:val="20"/>
                <w:szCs w:val="20"/>
              </w:rPr>
              <w:t>: thoroughly insulated and waterproof + all required wiring, lamps, switches, fuses, receptacles, etc. inspected and approved by the electricity authority</w:t>
            </w:r>
            <w:r w:rsidRPr="00B904E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B904EE">
              <w:rPr>
                <w:rFonts w:asciiTheme="minorHAnsi" w:hAnsiTheme="minorHAnsi" w:cstheme="minorHAnsi"/>
                <w:sz w:val="20"/>
                <w:szCs w:val="20"/>
              </w:rPr>
              <w:t xml:space="preserve">if necessary. </w:t>
            </w:r>
          </w:p>
        </w:tc>
        <w:tc>
          <w:tcPr>
            <w:tcW w:w="800" w:type="dxa"/>
            <w:vAlign w:val="center"/>
          </w:tcPr>
          <w:p w14:paraId="09B41769" w14:textId="1FC6A482" w:rsidR="00465D85" w:rsidRPr="00B904EE" w:rsidRDefault="00465D85" w:rsidP="00465D85">
            <w:pPr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  <w:color w:val="000000"/>
              </w:rPr>
              <w:t>sum</w:t>
            </w:r>
          </w:p>
        </w:tc>
        <w:tc>
          <w:tcPr>
            <w:tcW w:w="983" w:type="dxa"/>
            <w:vAlign w:val="center"/>
          </w:tcPr>
          <w:p w14:paraId="1DD4649E" w14:textId="389D2667" w:rsidR="00465D85" w:rsidRPr="00B904EE" w:rsidRDefault="00465D85" w:rsidP="00465D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vAlign w:val="center"/>
          </w:tcPr>
          <w:p w14:paraId="5CF2CA05" w14:textId="37DEA9B4" w:rsidR="00465D85" w:rsidRPr="00B904EE" w:rsidRDefault="00465D85" w:rsidP="00465D85">
            <w:pPr>
              <w:jc w:val="center"/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7" w:type="dxa"/>
            <w:vAlign w:val="center"/>
          </w:tcPr>
          <w:p w14:paraId="693D0877" w14:textId="2481A57E" w:rsidR="00465D85" w:rsidRPr="00B904EE" w:rsidRDefault="00465D85" w:rsidP="00465D8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65D85" w:rsidRPr="009C2FD5" w14:paraId="4BDA3F43" w14:textId="77777777" w:rsidTr="00A10755">
        <w:trPr>
          <w:trHeight w:val="571"/>
        </w:trPr>
        <w:tc>
          <w:tcPr>
            <w:tcW w:w="641" w:type="dxa"/>
            <w:vMerge/>
          </w:tcPr>
          <w:p w14:paraId="5C094F31" w14:textId="77777777" w:rsidR="00465D85" w:rsidRPr="00B904EE" w:rsidRDefault="00465D85" w:rsidP="00465D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38" w:type="dxa"/>
          </w:tcPr>
          <w:p w14:paraId="6C2FF8B8" w14:textId="2AC5C4D9" w:rsidR="00465D85" w:rsidRPr="00B904EE" w:rsidRDefault="00465D85" w:rsidP="00465D85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4EE">
              <w:rPr>
                <w:rFonts w:asciiTheme="minorHAnsi" w:hAnsiTheme="minorHAnsi" w:cstheme="minorHAnsi"/>
                <w:b/>
                <w:sz w:val="20"/>
                <w:szCs w:val="20"/>
              </w:rPr>
              <w:t>Temporary water</w:t>
            </w:r>
            <w:r w:rsidRPr="00B904EE">
              <w:rPr>
                <w:rFonts w:asciiTheme="minorHAnsi" w:hAnsiTheme="minorHAnsi" w:cstheme="minorHAnsi"/>
                <w:sz w:val="20"/>
                <w:szCs w:val="20"/>
              </w:rPr>
              <w:t>: ensuring temporary water mains connection or potable water store in polyethylene tanks.</w:t>
            </w:r>
          </w:p>
        </w:tc>
        <w:tc>
          <w:tcPr>
            <w:tcW w:w="800" w:type="dxa"/>
            <w:vAlign w:val="center"/>
          </w:tcPr>
          <w:p w14:paraId="07659698" w14:textId="37A27630" w:rsidR="00465D85" w:rsidRPr="00B904EE" w:rsidRDefault="00465D85" w:rsidP="00465D85">
            <w:pPr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  <w:color w:val="000000"/>
              </w:rPr>
              <w:t>sum</w:t>
            </w:r>
          </w:p>
        </w:tc>
        <w:tc>
          <w:tcPr>
            <w:tcW w:w="983" w:type="dxa"/>
            <w:vAlign w:val="center"/>
          </w:tcPr>
          <w:p w14:paraId="7B027B29" w14:textId="7FD70B6A" w:rsidR="00465D85" w:rsidRPr="00B904EE" w:rsidRDefault="00465D85" w:rsidP="00465D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vAlign w:val="center"/>
          </w:tcPr>
          <w:p w14:paraId="5F4F007C" w14:textId="11CE3B93" w:rsidR="00465D85" w:rsidRPr="00B904EE" w:rsidRDefault="00465D85" w:rsidP="00465D85">
            <w:pPr>
              <w:jc w:val="center"/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7" w:type="dxa"/>
            <w:vAlign w:val="center"/>
          </w:tcPr>
          <w:p w14:paraId="74D288E2" w14:textId="1CB69157" w:rsidR="00465D85" w:rsidRPr="00B904EE" w:rsidRDefault="00465D85" w:rsidP="00465D8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65D85" w:rsidRPr="009C2FD5" w14:paraId="2F8E5FB2" w14:textId="77777777" w:rsidTr="00A10755">
        <w:trPr>
          <w:trHeight w:val="416"/>
        </w:trPr>
        <w:tc>
          <w:tcPr>
            <w:tcW w:w="641" w:type="dxa"/>
            <w:vMerge/>
          </w:tcPr>
          <w:p w14:paraId="41A34DCB" w14:textId="77777777" w:rsidR="00465D85" w:rsidRPr="00B904EE" w:rsidRDefault="00465D85" w:rsidP="00465D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38" w:type="dxa"/>
          </w:tcPr>
          <w:p w14:paraId="30EC3FB6" w14:textId="3AE7628B" w:rsidR="00465D85" w:rsidRPr="00B904EE" w:rsidRDefault="00465D85" w:rsidP="00465D85">
            <w:pPr>
              <w:pStyle w:val="Style12"/>
              <w:numPr>
                <w:ilvl w:val="0"/>
                <w:numId w:val="2"/>
              </w:numPr>
              <w:kinsoku w:val="0"/>
              <w:autoSpaceDE/>
              <w:autoSpaceDN/>
              <w:spacing w:before="120" w:after="120"/>
              <w:ind w:left="714" w:right="0" w:hanging="357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B904EE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Project signboard</w:t>
            </w:r>
            <w:r w:rsidRPr="00B904EE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: 1.20 x 1.20 m with texts given by the Engineer, erected on suitable supports in positions within the site. </w:t>
            </w:r>
          </w:p>
        </w:tc>
        <w:tc>
          <w:tcPr>
            <w:tcW w:w="800" w:type="dxa"/>
            <w:vAlign w:val="center"/>
          </w:tcPr>
          <w:p w14:paraId="7254F039" w14:textId="62B7CDD1" w:rsidR="00465D85" w:rsidRPr="00B904EE" w:rsidRDefault="00465D85" w:rsidP="00465D85">
            <w:pPr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  <w:color w:val="000000"/>
              </w:rPr>
              <w:t>sum</w:t>
            </w:r>
          </w:p>
        </w:tc>
        <w:tc>
          <w:tcPr>
            <w:tcW w:w="983" w:type="dxa"/>
            <w:vAlign w:val="center"/>
          </w:tcPr>
          <w:p w14:paraId="5B5F029B" w14:textId="77DDE514" w:rsidR="00465D85" w:rsidRPr="00B904EE" w:rsidRDefault="00465D85" w:rsidP="00465D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vAlign w:val="center"/>
          </w:tcPr>
          <w:p w14:paraId="3F90A302" w14:textId="3587C818" w:rsidR="00465D85" w:rsidRPr="00B904EE" w:rsidRDefault="00465D85" w:rsidP="00465D85">
            <w:pPr>
              <w:jc w:val="center"/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7" w:type="dxa"/>
            <w:vAlign w:val="center"/>
          </w:tcPr>
          <w:p w14:paraId="2ACA5793" w14:textId="22F283C9" w:rsidR="00465D85" w:rsidRPr="00B904EE" w:rsidRDefault="00465D85" w:rsidP="00465D8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65D85" w:rsidRPr="009C2FD5" w14:paraId="57506972" w14:textId="77777777" w:rsidTr="00A10755">
        <w:trPr>
          <w:trHeight w:val="571"/>
        </w:trPr>
        <w:tc>
          <w:tcPr>
            <w:tcW w:w="641" w:type="dxa"/>
            <w:vMerge/>
          </w:tcPr>
          <w:p w14:paraId="0A66A42E" w14:textId="77777777" w:rsidR="00465D85" w:rsidRPr="00B904EE" w:rsidRDefault="00465D85" w:rsidP="00465D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38" w:type="dxa"/>
          </w:tcPr>
          <w:p w14:paraId="1EB52FDD" w14:textId="0997B5AE" w:rsidR="00465D85" w:rsidRPr="00B904EE" w:rsidRDefault="00465D85" w:rsidP="00465D85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4EE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Health &amp; Safety</w:t>
            </w:r>
            <w:r w:rsidRPr="00B904EE">
              <w:rPr>
                <w:rFonts w:asciiTheme="minorHAnsi" w:eastAsia="Arial Unicode MS" w:hAnsiTheme="minorHAnsi" w:cstheme="minorHAnsi"/>
                <w:sz w:val="20"/>
                <w:szCs w:val="20"/>
              </w:rPr>
              <w:t>: HS Plan prepared by the designated HS officer and report by the HS officer every 2 weeks.</w:t>
            </w:r>
          </w:p>
        </w:tc>
        <w:tc>
          <w:tcPr>
            <w:tcW w:w="800" w:type="dxa"/>
            <w:vAlign w:val="center"/>
          </w:tcPr>
          <w:p w14:paraId="27F9E66E" w14:textId="5C6BD2BA" w:rsidR="00465D85" w:rsidRPr="00B904EE" w:rsidRDefault="00465D85" w:rsidP="00465D85">
            <w:pPr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  <w:color w:val="000000"/>
              </w:rPr>
              <w:t>sum</w:t>
            </w:r>
          </w:p>
        </w:tc>
        <w:tc>
          <w:tcPr>
            <w:tcW w:w="983" w:type="dxa"/>
            <w:vAlign w:val="center"/>
          </w:tcPr>
          <w:p w14:paraId="4932BE82" w14:textId="16AA2EF9" w:rsidR="00465D85" w:rsidRPr="00B904EE" w:rsidRDefault="00465D85" w:rsidP="00465D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vAlign w:val="center"/>
          </w:tcPr>
          <w:p w14:paraId="3909D39E" w14:textId="5FDE447C" w:rsidR="00465D85" w:rsidRPr="00B904EE" w:rsidRDefault="00465D85" w:rsidP="00465D85">
            <w:pPr>
              <w:jc w:val="center"/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7" w:type="dxa"/>
            <w:vAlign w:val="center"/>
          </w:tcPr>
          <w:p w14:paraId="49081D14" w14:textId="4CB66CF1" w:rsidR="00465D85" w:rsidRPr="00B904EE" w:rsidRDefault="00465D85" w:rsidP="00465D8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B435D" w:rsidRPr="009C2FD5" w14:paraId="5A0E52A3" w14:textId="77777777" w:rsidTr="00A10755">
        <w:trPr>
          <w:trHeight w:val="717"/>
        </w:trPr>
        <w:tc>
          <w:tcPr>
            <w:tcW w:w="641" w:type="dxa"/>
          </w:tcPr>
          <w:p w14:paraId="2A07AAE7" w14:textId="77777777" w:rsidR="00CB435D" w:rsidRPr="00B904EE" w:rsidRDefault="00CB435D" w:rsidP="00CB435D">
            <w:pPr>
              <w:jc w:val="center"/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38" w:type="dxa"/>
          </w:tcPr>
          <w:p w14:paraId="03342F0C" w14:textId="4425A75B" w:rsidR="00CB435D" w:rsidRPr="00B904EE" w:rsidRDefault="00CB435D" w:rsidP="00CB435D">
            <w:pPr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</w:rPr>
              <w:t>General site cleaning and</w:t>
            </w:r>
            <w:r w:rsidR="63DC5712" w:rsidRPr="00B904EE">
              <w:rPr>
                <w:rFonts w:asciiTheme="minorHAnsi" w:hAnsiTheme="minorHAnsi" w:cstheme="minorHAnsi"/>
              </w:rPr>
              <w:t xml:space="preserve"> p</w:t>
            </w:r>
            <w:r w:rsidRPr="00B904EE">
              <w:rPr>
                <w:rFonts w:asciiTheme="minorHAnsi" w:hAnsiTheme="minorHAnsi" w:cstheme="minorHAnsi"/>
              </w:rPr>
              <w:t xml:space="preserve">runing of trees, bushes and vegetation removal (without the use of herbicide), </w:t>
            </w:r>
            <w:proofErr w:type="gramStart"/>
            <w:r w:rsidRPr="00B904EE">
              <w:rPr>
                <w:rFonts w:asciiTheme="minorHAnsi" w:hAnsiTheme="minorHAnsi" w:cstheme="minorHAnsi"/>
              </w:rPr>
              <w:t>taking into account</w:t>
            </w:r>
            <w:proofErr w:type="gramEnd"/>
            <w:r w:rsidRPr="00B904EE">
              <w:rPr>
                <w:rFonts w:asciiTheme="minorHAnsi" w:hAnsiTheme="minorHAnsi" w:cstheme="minorHAnsi"/>
              </w:rPr>
              <w:t xml:space="preserve"> all the requirements of the Health &amp; Safety Plan.</w:t>
            </w:r>
          </w:p>
        </w:tc>
        <w:tc>
          <w:tcPr>
            <w:tcW w:w="800" w:type="dxa"/>
            <w:vAlign w:val="center"/>
          </w:tcPr>
          <w:p w14:paraId="03FD8BA5" w14:textId="6CC388D9" w:rsidR="00CB435D" w:rsidRPr="00B904EE" w:rsidRDefault="00CB435D" w:rsidP="00CB435D">
            <w:pPr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  <w:color w:val="000000"/>
              </w:rPr>
              <w:t>sum</w:t>
            </w:r>
          </w:p>
        </w:tc>
        <w:tc>
          <w:tcPr>
            <w:tcW w:w="983" w:type="dxa"/>
            <w:vAlign w:val="center"/>
          </w:tcPr>
          <w:p w14:paraId="493A57FC" w14:textId="4D79FB4D" w:rsidR="00CB435D" w:rsidRPr="00B904EE" w:rsidRDefault="00CB435D" w:rsidP="00CB43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vAlign w:val="center"/>
          </w:tcPr>
          <w:p w14:paraId="30E2F9D5" w14:textId="276D30F2" w:rsidR="00CB435D" w:rsidRPr="00B904EE" w:rsidRDefault="00CB435D" w:rsidP="00CB435D">
            <w:pPr>
              <w:jc w:val="center"/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7" w:type="dxa"/>
            <w:vAlign w:val="center"/>
          </w:tcPr>
          <w:p w14:paraId="0E973664" w14:textId="0ABA34C9" w:rsidR="00CB435D" w:rsidRPr="00B904EE" w:rsidRDefault="00CB435D" w:rsidP="00CB435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B435D" w:rsidRPr="009C2FD5" w14:paraId="6FEE0D49" w14:textId="77777777" w:rsidTr="00A10755">
        <w:trPr>
          <w:trHeight w:val="409"/>
        </w:trPr>
        <w:tc>
          <w:tcPr>
            <w:tcW w:w="641" w:type="dxa"/>
          </w:tcPr>
          <w:p w14:paraId="3B7C7330" w14:textId="4B4952FB" w:rsidR="00CB435D" w:rsidRPr="00B904EE" w:rsidRDefault="00CB435D" w:rsidP="00CB435D">
            <w:pPr>
              <w:jc w:val="center"/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538" w:type="dxa"/>
          </w:tcPr>
          <w:p w14:paraId="305BCA7C" w14:textId="3AE76C8A" w:rsidR="00CB435D" w:rsidRPr="00B904EE" w:rsidRDefault="00CB435D" w:rsidP="00CB435D">
            <w:pPr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</w:rPr>
              <w:t>Repairs on the perimeter walls as described in Annex 1</w:t>
            </w:r>
          </w:p>
        </w:tc>
        <w:tc>
          <w:tcPr>
            <w:tcW w:w="800" w:type="dxa"/>
            <w:vAlign w:val="center"/>
          </w:tcPr>
          <w:p w14:paraId="4C73CCEA" w14:textId="1DA9D435" w:rsidR="00CB435D" w:rsidRPr="00B904EE" w:rsidRDefault="00CB435D" w:rsidP="00CB435D">
            <w:pPr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83" w:type="dxa"/>
            <w:vAlign w:val="center"/>
          </w:tcPr>
          <w:p w14:paraId="011CF767" w14:textId="5BAAA218" w:rsidR="00CB435D" w:rsidRPr="00B904EE" w:rsidRDefault="00CB435D" w:rsidP="00CB43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vAlign w:val="center"/>
          </w:tcPr>
          <w:p w14:paraId="11890CFE" w14:textId="31FD56B6" w:rsidR="00CB435D" w:rsidRPr="00B904EE" w:rsidRDefault="00CB435D" w:rsidP="00CB435D">
            <w:pPr>
              <w:jc w:val="center"/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647" w:type="dxa"/>
            <w:vAlign w:val="center"/>
          </w:tcPr>
          <w:p w14:paraId="51C439E6" w14:textId="2487B7FF" w:rsidR="00CB435D" w:rsidRPr="00B904EE" w:rsidRDefault="00CB435D" w:rsidP="00CB435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B435D" w:rsidRPr="009C2FD5" w14:paraId="3F257883" w14:textId="77777777" w:rsidTr="00A10755">
        <w:trPr>
          <w:trHeight w:val="717"/>
        </w:trPr>
        <w:tc>
          <w:tcPr>
            <w:tcW w:w="641" w:type="dxa"/>
          </w:tcPr>
          <w:p w14:paraId="1AC824D3" w14:textId="3AE97178" w:rsidR="00CB435D" w:rsidRPr="00B904EE" w:rsidRDefault="00CB435D" w:rsidP="00CB435D">
            <w:pPr>
              <w:jc w:val="center"/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</w:rPr>
              <w:t>3a.</w:t>
            </w:r>
          </w:p>
        </w:tc>
        <w:tc>
          <w:tcPr>
            <w:tcW w:w="5538" w:type="dxa"/>
          </w:tcPr>
          <w:p w14:paraId="0B39630F" w14:textId="02A45758" w:rsidR="00CB435D" w:rsidRPr="00B904EE" w:rsidRDefault="00CB435D" w:rsidP="00E705A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04EE">
              <w:rPr>
                <w:rFonts w:asciiTheme="minorHAnsi" w:hAnsiTheme="minorHAnsi" w:cstheme="minorHAnsi"/>
                <w:bCs/>
                <w:sz w:val="20"/>
                <w:szCs w:val="20"/>
              </w:rPr>
              <w:t>Reconstruction of the perimeter stone wall in areas where it needs to be completed up to its original height as described in Annex 1</w:t>
            </w:r>
          </w:p>
        </w:tc>
        <w:tc>
          <w:tcPr>
            <w:tcW w:w="800" w:type="dxa"/>
            <w:vAlign w:val="center"/>
          </w:tcPr>
          <w:p w14:paraId="3399F6F7" w14:textId="60B10712" w:rsidR="00CB435D" w:rsidRPr="00B904EE" w:rsidRDefault="00CB435D" w:rsidP="00CB435D">
            <w:pPr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  <w:color w:val="000000"/>
              </w:rPr>
              <w:t>m2</w:t>
            </w:r>
          </w:p>
        </w:tc>
        <w:tc>
          <w:tcPr>
            <w:tcW w:w="983" w:type="dxa"/>
            <w:vAlign w:val="center"/>
          </w:tcPr>
          <w:p w14:paraId="3E54E4DD" w14:textId="3C196CDA" w:rsidR="00CB435D" w:rsidRPr="00B904EE" w:rsidRDefault="00CB435D" w:rsidP="00CB43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vAlign w:val="center"/>
          </w:tcPr>
          <w:p w14:paraId="34A42445" w14:textId="15BB2A04" w:rsidR="00CB435D" w:rsidRPr="00B904EE" w:rsidRDefault="00CB435D" w:rsidP="00CB435D">
            <w:pPr>
              <w:jc w:val="center"/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7" w:type="dxa"/>
            <w:vAlign w:val="center"/>
          </w:tcPr>
          <w:p w14:paraId="181029EF" w14:textId="05AA753A" w:rsidR="00CB435D" w:rsidRPr="00B904EE" w:rsidRDefault="00CB435D" w:rsidP="00CB435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B435D" w:rsidRPr="009C2FD5" w14:paraId="7E3AEAD1" w14:textId="77777777" w:rsidTr="00A10755">
        <w:trPr>
          <w:trHeight w:val="717"/>
        </w:trPr>
        <w:tc>
          <w:tcPr>
            <w:tcW w:w="641" w:type="dxa"/>
          </w:tcPr>
          <w:p w14:paraId="316536FB" w14:textId="69F50C94" w:rsidR="00CB435D" w:rsidRPr="00B904EE" w:rsidRDefault="00CB435D" w:rsidP="00CB435D">
            <w:pPr>
              <w:jc w:val="center"/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</w:rPr>
              <w:t>3b.</w:t>
            </w:r>
          </w:p>
        </w:tc>
        <w:tc>
          <w:tcPr>
            <w:tcW w:w="5538" w:type="dxa"/>
          </w:tcPr>
          <w:p w14:paraId="12FB16E6" w14:textId="43468D76" w:rsidR="00CB435D" w:rsidRPr="00B904EE" w:rsidRDefault="00CB435D" w:rsidP="00E705A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04E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Lime capping where needed further than part to be reconstructed (provisional) </w:t>
            </w:r>
          </w:p>
        </w:tc>
        <w:tc>
          <w:tcPr>
            <w:tcW w:w="800" w:type="dxa"/>
            <w:vAlign w:val="center"/>
          </w:tcPr>
          <w:p w14:paraId="45AA359E" w14:textId="7CDE6226" w:rsidR="00CB435D" w:rsidRPr="00B904EE" w:rsidRDefault="00CB435D" w:rsidP="00CB435D">
            <w:pPr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  <w:color w:val="000000"/>
              </w:rPr>
              <w:t>m (linear)</w:t>
            </w:r>
          </w:p>
        </w:tc>
        <w:tc>
          <w:tcPr>
            <w:tcW w:w="983" w:type="dxa"/>
            <w:vAlign w:val="center"/>
          </w:tcPr>
          <w:p w14:paraId="694B521A" w14:textId="3671C3E2" w:rsidR="00CB435D" w:rsidRPr="00B904EE" w:rsidRDefault="00CB435D" w:rsidP="00CB43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vAlign w:val="center"/>
          </w:tcPr>
          <w:p w14:paraId="2DD7D3DA" w14:textId="0DF0DDC9" w:rsidR="00CB435D" w:rsidRPr="00B904EE" w:rsidRDefault="00CB435D" w:rsidP="00CB435D">
            <w:pPr>
              <w:jc w:val="center"/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1647" w:type="dxa"/>
            <w:vAlign w:val="center"/>
          </w:tcPr>
          <w:p w14:paraId="4BE729C9" w14:textId="775FDF66" w:rsidR="00CB435D" w:rsidRPr="00B904EE" w:rsidRDefault="00CB435D" w:rsidP="00CB435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B435D" w:rsidRPr="009C2FD5" w14:paraId="645D6E6C" w14:textId="77777777" w:rsidTr="00A10755">
        <w:trPr>
          <w:trHeight w:val="717"/>
        </w:trPr>
        <w:tc>
          <w:tcPr>
            <w:tcW w:w="641" w:type="dxa"/>
          </w:tcPr>
          <w:p w14:paraId="40B23EC2" w14:textId="294FA73C" w:rsidR="00CB435D" w:rsidRPr="00B904EE" w:rsidRDefault="00CB435D" w:rsidP="00CB435D">
            <w:pPr>
              <w:jc w:val="center"/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</w:rPr>
              <w:t>3c.</w:t>
            </w:r>
          </w:p>
        </w:tc>
        <w:tc>
          <w:tcPr>
            <w:tcW w:w="5538" w:type="dxa"/>
          </w:tcPr>
          <w:p w14:paraId="111E6DF9" w14:textId="09649187" w:rsidR="00CB435D" w:rsidRPr="00B904EE" w:rsidRDefault="00CB435D" w:rsidP="00E705A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04EE">
              <w:rPr>
                <w:rFonts w:asciiTheme="minorHAnsi" w:hAnsiTheme="minorHAnsi" w:cstheme="minorHAnsi"/>
                <w:bCs/>
                <w:sz w:val="20"/>
                <w:szCs w:val="20"/>
              </w:rPr>
              <w:t>Repointing where needed further than part to be reconstructed (provisional)</w:t>
            </w:r>
          </w:p>
        </w:tc>
        <w:tc>
          <w:tcPr>
            <w:tcW w:w="800" w:type="dxa"/>
            <w:vAlign w:val="center"/>
          </w:tcPr>
          <w:p w14:paraId="576DA699" w14:textId="7D5A2638" w:rsidR="00CB435D" w:rsidRPr="00B904EE" w:rsidRDefault="00CB435D" w:rsidP="00CB435D">
            <w:pPr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  <w:color w:val="000000"/>
              </w:rPr>
              <w:t>m2</w:t>
            </w:r>
          </w:p>
        </w:tc>
        <w:tc>
          <w:tcPr>
            <w:tcW w:w="983" w:type="dxa"/>
            <w:vAlign w:val="center"/>
          </w:tcPr>
          <w:p w14:paraId="6C87CE7C" w14:textId="45748307" w:rsidR="00CB435D" w:rsidRPr="00B904EE" w:rsidRDefault="00CB435D" w:rsidP="00CB43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vAlign w:val="center"/>
          </w:tcPr>
          <w:p w14:paraId="249D1DD1" w14:textId="71AF00F3" w:rsidR="00CB435D" w:rsidRPr="00B904EE" w:rsidRDefault="00CB435D" w:rsidP="00CB435D">
            <w:pPr>
              <w:jc w:val="center"/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647" w:type="dxa"/>
            <w:vAlign w:val="center"/>
          </w:tcPr>
          <w:p w14:paraId="3A8D936C" w14:textId="340A4823" w:rsidR="00CB435D" w:rsidRPr="00B904EE" w:rsidRDefault="00CB435D" w:rsidP="00CB435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B435D" w:rsidRPr="009C2FD5" w14:paraId="555096B5" w14:textId="77777777" w:rsidTr="00A10755">
        <w:trPr>
          <w:trHeight w:val="457"/>
        </w:trPr>
        <w:tc>
          <w:tcPr>
            <w:tcW w:w="641" w:type="dxa"/>
          </w:tcPr>
          <w:p w14:paraId="40E0BDC3" w14:textId="53DCA760" w:rsidR="00CB435D" w:rsidRPr="00B904EE" w:rsidRDefault="00CB435D" w:rsidP="00CB435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B904E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538" w:type="dxa"/>
          </w:tcPr>
          <w:p w14:paraId="08DCCA4B" w14:textId="6AE9FA86" w:rsidR="00CB435D" w:rsidRPr="00B904EE" w:rsidRDefault="00CB435D" w:rsidP="00CB435D">
            <w:pPr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</w:rPr>
              <w:t>Painting of the existing metal members of the cemetery perimeter wall as described in Annex 1</w:t>
            </w:r>
          </w:p>
        </w:tc>
        <w:tc>
          <w:tcPr>
            <w:tcW w:w="800" w:type="dxa"/>
            <w:vAlign w:val="center"/>
          </w:tcPr>
          <w:p w14:paraId="19495AAB" w14:textId="45D9F227" w:rsidR="00CB435D" w:rsidRPr="00B904EE" w:rsidRDefault="00CB435D" w:rsidP="00CB435D">
            <w:pPr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  <w:color w:val="000000"/>
              </w:rPr>
              <w:t>sum</w:t>
            </w:r>
          </w:p>
        </w:tc>
        <w:tc>
          <w:tcPr>
            <w:tcW w:w="983" w:type="dxa"/>
            <w:vAlign w:val="center"/>
          </w:tcPr>
          <w:p w14:paraId="52F41962" w14:textId="21D379CA" w:rsidR="00CB435D" w:rsidRPr="00B904EE" w:rsidRDefault="00CB435D" w:rsidP="00CB43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vAlign w:val="center"/>
          </w:tcPr>
          <w:p w14:paraId="2E28072C" w14:textId="070F5341" w:rsidR="00CB435D" w:rsidRPr="00B904EE" w:rsidRDefault="00CB435D" w:rsidP="00CB435D">
            <w:pPr>
              <w:jc w:val="center"/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7" w:type="dxa"/>
            <w:vAlign w:val="center"/>
          </w:tcPr>
          <w:p w14:paraId="50A7ED8A" w14:textId="097E38C4" w:rsidR="00CB435D" w:rsidRPr="00B904EE" w:rsidRDefault="00CB435D" w:rsidP="00CB435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A10755" w:rsidRPr="009C2FD5" w14:paraId="6768944F" w14:textId="77777777" w:rsidTr="00A10755">
        <w:trPr>
          <w:trHeight w:val="457"/>
        </w:trPr>
        <w:tc>
          <w:tcPr>
            <w:tcW w:w="641" w:type="dxa"/>
          </w:tcPr>
          <w:p w14:paraId="6ADB9092" w14:textId="49FC015E" w:rsidR="00A10755" w:rsidRPr="00B904EE" w:rsidRDefault="00A10755" w:rsidP="00A10755">
            <w:pPr>
              <w:jc w:val="center"/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538" w:type="dxa"/>
          </w:tcPr>
          <w:p w14:paraId="04461E83" w14:textId="0BE04AB0" w:rsidR="00A10755" w:rsidRPr="00B904EE" w:rsidRDefault="00A10755" w:rsidP="00A10755">
            <w:pPr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</w:rPr>
              <w:t xml:space="preserve">Provisional amount for instructions by the UNDP Engineer for </w:t>
            </w:r>
            <w:r w:rsidR="00873094" w:rsidRPr="00B904EE">
              <w:rPr>
                <w:rFonts w:asciiTheme="minorHAnsi" w:hAnsiTheme="minorHAnsi" w:cstheme="minorHAnsi"/>
              </w:rPr>
              <w:t>contingencies</w:t>
            </w:r>
          </w:p>
        </w:tc>
        <w:tc>
          <w:tcPr>
            <w:tcW w:w="800" w:type="dxa"/>
          </w:tcPr>
          <w:p w14:paraId="110D499B" w14:textId="57514919" w:rsidR="00A10755" w:rsidRPr="00B904EE" w:rsidRDefault="00A10755" w:rsidP="00A10755">
            <w:pPr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</w:rPr>
              <w:t>sum</w:t>
            </w:r>
          </w:p>
        </w:tc>
        <w:tc>
          <w:tcPr>
            <w:tcW w:w="983" w:type="dxa"/>
          </w:tcPr>
          <w:p w14:paraId="45CD73C2" w14:textId="646E1C45" w:rsidR="00A10755" w:rsidRPr="00B904EE" w:rsidRDefault="00A10755" w:rsidP="00A10755">
            <w:pPr>
              <w:jc w:val="center"/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996" w:type="dxa"/>
          </w:tcPr>
          <w:p w14:paraId="75DEB902" w14:textId="6F3F7B40" w:rsidR="00A10755" w:rsidRPr="00B904EE" w:rsidRDefault="00A10755" w:rsidP="00A10755">
            <w:pPr>
              <w:jc w:val="center"/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47" w:type="dxa"/>
          </w:tcPr>
          <w:p w14:paraId="7C6C7244" w14:textId="71682D93" w:rsidR="00A10755" w:rsidRPr="00B904EE" w:rsidRDefault="00A10755" w:rsidP="00A10755">
            <w:pPr>
              <w:jc w:val="right"/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</w:rPr>
              <w:t>500</w:t>
            </w:r>
          </w:p>
        </w:tc>
      </w:tr>
      <w:tr w:rsidR="00345C39" w:rsidRPr="009C2FD5" w14:paraId="2D485824" w14:textId="77777777" w:rsidTr="00F66BE3">
        <w:trPr>
          <w:trHeight w:val="287"/>
        </w:trPr>
        <w:tc>
          <w:tcPr>
            <w:tcW w:w="7962" w:type="dxa"/>
            <w:gridSpan w:val="4"/>
          </w:tcPr>
          <w:p w14:paraId="2A479664" w14:textId="77777777" w:rsidR="00345C39" w:rsidRPr="00B904EE" w:rsidRDefault="00345C39" w:rsidP="003606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</w:tcPr>
          <w:p w14:paraId="0DF84610" w14:textId="65A5F226" w:rsidR="00345C39" w:rsidRPr="00B904EE" w:rsidRDefault="00345C39" w:rsidP="003606CA">
            <w:pPr>
              <w:rPr>
                <w:rFonts w:asciiTheme="minorHAnsi" w:hAnsiTheme="minorHAnsi" w:cstheme="minorHAnsi"/>
              </w:rPr>
            </w:pPr>
            <w:r w:rsidRPr="00B904EE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647" w:type="dxa"/>
          </w:tcPr>
          <w:p w14:paraId="08A4972D" w14:textId="132BDF12" w:rsidR="00345C39" w:rsidRPr="00B904EE" w:rsidRDefault="00345C39" w:rsidP="003606C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14:paraId="4B6A18CC" w14:textId="77777777" w:rsidR="002156FC" w:rsidRPr="009C2FD5" w:rsidRDefault="002156FC" w:rsidP="002156FC">
      <w:pPr>
        <w:rPr>
          <w:b/>
          <w:bCs/>
          <w:u w:val="single"/>
        </w:rPr>
      </w:pPr>
    </w:p>
    <w:p w14:paraId="67F8DB90" w14:textId="11F091A8" w:rsidR="00CF504E" w:rsidRPr="009C2FD5" w:rsidRDefault="00CF504E" w:rsidP="009C2FD5">
      <w:pPr>
        <w:pStyle w:val="ListParagraph"/>
        <w:spacing w:before="60" w:after="60" w:line="240" w:lineRule="auto"/>
        <w:ind w:left="0"/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</w:p>
    <w:p w14:paraId="09426CC4" w14:textId="77777777" w:rsidR="00CF504E" w:rsidRPr="009C2FD5" w:rsidRDefault="00CF504E" w:rsidP="00CF504E">
      <w:pPr>
        <w:jc w:val="both"/>
        <w:rPr>
          <w:rFonts w:asciiTheme="minorHAnsi" w:hAnsiTheme="minorHAnsi" w:cs="Calibri"/>
        </w:rPr>
      </w:pPr>
      <w:r w:rsidRPr="009C2FD5">
        <w:rPr>
          <w:rFonts w:asciiTheme="minorHAnsi" w:eastAsia="Calibri" w:hAnsiTheme="minorHAnsi" w:cs="Calibri"/>
        </w:rPr>
        <w:t xml:space="preserve">We hereby confirm that we are not included in the UN Security Council 1267/1989 list, UN Procurement Division List or other UN Ineligibility List. </w:t>
      </w:r>
      <w:r w:rsidRPr="009C2FD5">
        <w:rPr>
          <w:rFonts w:asciiTheme="minorHAnsi" w:hAnsiTheme="minorHAnsi" w:cs="Calibri"/>
        </w:rPr>
        <w:t>All other information that we have not provided automatically implies our full compliance with the requirements, terms and conditions of the RFQ.</w:t>
      </w:r>
    </w:p>
    <w:p w14:paraId="545349F5" w14:textId="77777777" w:rsidR="00CF504E" w:rsidRPr="009C2FD5" w:rsidRDefault="00CF504E" w:rsidP="00CF504E">
      <w:pPr>
        <w:rPr>
          <w:rFonts w:asciiTheme="minorHAnsi" w:hAnsiTheme="minorHAnsi" w:cs="Calibri"/>
        </w:rPr>
      </w:pPr>
    </w:p>
    <w:p w14:paraId="1A492308" w14:textId="77777777" w:rsidR="00CF504E" w:rsidRPr="009C2FD5" w:rsidRDefault="00CF504E" w:rsidP="00CF504E">
      <w:pPr>
        <w:ind w:left="3960"/>
        <w:rPr>
          <w:rFonts w:asciiTheme="minorHAnsi" w:hAnsiTheme="minorHAnsi" w:cs="Calibri"/>
          <w:i/>
        </w:rPr>
      </w:pPr>
      <w:r w:rsidRPr="009C2FD5">
        <w:rPr>
          <w:rFonts w:asciiTheme="minorHAnsi" w:hAnsiTheme="minorHAnsi" w:cs="Calibri"/>
          <w:i/>
        </w:rPr>
        <w:t>[Name and Signature of the Supplier’s Authorized Person]</w:t>
      </w:r>
    </w:p>
    <w:p w14:paraId="02D1BA62" w14:textId="77777777" w:rsidR="00CF504E" w:rsidRPr="009C2FD5" w:rsidRDefault="00CF504E" w:rsidP="00CF504E">
      <w:pPr>
        <w:ind w:left="3960"/>
        <w:rPr>
          <w:rFonts w:asciiTheme="minorHAnsi" w:hAnsiTheme="minorHAnsi" w:cs="Calibri"/>
          <w:i/>
        </w:rPr>
      </w:pPr>
      <w:r w:rsidRPr="009C2FD5">
        <w:rPr>
          <w:rFonts w:asciiTheme="minorHAnsi" w:hAnsiTheme="minorHAnsi" w:cs="Calibri"/>
          <w:i/>
        </w:rPr>
        <w:t>[Designation]</w:t>
      </w:r>
    </w:p>
    <w:p w14:paraId="42E7F839" w14:textId="77777777" w:rsidR="00CF504E" w:rsidRPr="009C2FD5" w:rsidRDefault="00CF504E" w:rsidP="00CF504E">
      <w:pPr>
        <w:ind w:left="3960"/>
        <w:rPr>
          <w:rFonts w:asciiTheme="minorHAnsi" w:hAnsiTheme="minorHAnsi" w:cs="Calibri"/>
          <w:i/>
        </w:rPr>
      </w:pPr>
      <w:r w:rsidRPr="009C2FD5">
        <w:rPr>
          <w:rFonts w:asciiTheme="minorHAnsi" w:hAnsiTheme="minorHAnsi" w:cs="Calibri"/>
          <w:i/>
        </w:rPr>
        <w:t>[Date]</w:t>
      </w:r>
    </w:p>
    <w:sectPr w:rsidR="00CF504E" w:rsidRPr="009C2FD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0F0D5" w14:textId="77777777" w:rsidR="00BA3DE9" w:rsidRDefault="00BA3DE9" w:rsidP="00CF504E">
      <w:r>
        <w:separator/>
      </w:r>
    </w:p>
  </w:endnote>
  <w:endnote w:type="continuationSeparator" w:id="0">
    <w:p w14:paraId="3A1F2CBA" w14:textId="77777777" w:rsidR="00BA3DE9" w:rsidRDefault="00BA3DE9" w:rsidP="00CF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11BB3" w14:textId="77777777" w:rsidR="00BA3DE9" w:rsidRDefault="00BA3DE9" w:rsidP="00CF504E">
      <w:r>
        <w:separator/>
      </w:r>
    </w:p>
  </w:footnote>
  <w:footnote w:type="continuationSeparator" w:id="0">
    <w:p w14:paraId="1263736B" w14:textId="77777777" w:rsidR="00BA3DE9" w:rsidRDefault="00BA3DE9" w:rsidP="00CF504E">
      <w:r>
        <w:continuationSeparator/>
      </w:r>
    </w:p>
  </w:footnote>
  <w:footnote w:id="1">
    <w:p w14:paraId="7F996201" w14:textId="02E860DA" w:rsidR="002A60E9" w:rsidRDefault="002A60E9" w:rsidP="002A60E9">
      <w:pPr>
        <w:pStyle w:val="FootnoteText"/>
        <w:rPr>
          <w:b/>
          <w:i/>
        </w:rPr>
      </w:pPr>
      <w:r w:rsidRPr="002A60E9">
        <w:rPr>
          <w:b/>
          <w:i/>
        </w:rPr>
        <w:t>* With the signing of the contract, a work plan should be submitted showing all the work</w:t>
      </w:r>
      <w:r>
        <w:rPr>
          <w:b/>
          <w:i/>
        </w:rPr>
        <w:t>s</w:t>
      </w:r>
      <w:r w:rsidRPr="002A60E9">
        <w:rPr>
          <w:b/>
          <w:i/>
        </w:rPr>
        <w:t xml:space="preserve"> completed </w:t>
      </w:r>
      <w:r w:rsidR="006A42FA">
        <w:rPr>
          <w:b/>
          <w:i/>
        </w:rPr>
        <w:t>6 weeks</w:t>
      </w:r>
      <w:r w:rsidRPr="002A60E9">
        <w:rPr>
          <w:b/>
          <w:i/>
        </w:rPr>
        <w:t>.</w:t>
      </w:r>
    </w:p>
    <w:p w14:paraId="27D84D22" w14:textId="77777777" w:rsidR="006632E0" w:rsidRDefault="006632E0" w:rsidP="002A60E9">
      <w:pPr>
        <w:pStyle w:val="FootnoteText"/>
        <w:rPr>
          <w:b/>
          <w:i/>
        </w:rPr>
      </w:pPr>
    </w:p>
    <w:p w14:paraId="5E68D453" w14:textId="521B1881" w:rsidR="00DC7CAA" w:rsidRPr="002A60E9" w:rsidRDefault="00DC7CAA" w:rsidP="008073E2">
      <w:pPr>
        <w:pStyle w:val="FootnoteText"/>
        <w:jc w:val="both"/>
        <w:rPr>
          <w:b/>
          <w:i/>
        </w:rPr>
      </w:pPr>
      <w:r>
        <w:rPr>
          <w:b/>
          <w:i/>
        </w:rPr>
        <w:t xml:space="preserve">** Supplier is responsible to consider </w:t>
      </w:r>
      <w:proofErr w:type="gramStart"/>
      <w:r>
        <w:rPr>
          <w:b/>
          <w:i/>
        </w:rPr>
        <w:t>all</w:t>
      </w:r>
      <w:r w:rsidRPr="00DC7CAA">
        <w:rPr>
          <w:b/>
          <w:i/>
        </w:rPr>
        <w:t xml:space="preserve"> of</w:t>
      </w:r>
      <w:proofErr w:type="gramEnd"/>
      <w:r w:rsidRPr="00DC7CAA">
        <w:rPr>
          <w:b/>
          <w:i/>
        </w:rPr>
        <w:t xml:space="preserve"> the costs </w:t>
      </w:r>
      <w:r w:rsidR="00EE3719">
        <w:rPr>
          <w:b/>
          <w:i/>
        </w:rPr>
        <w:t xml:space="preserve">required by </w:t>
      </w:r>
      <w:r w:rsidR="008073E2">
        <w:rPr>
          <w:b/>
          <w:i/>
        </w:rPr>
        <w:t xml:space="preserve">the </w:t>
      </w:r>
      <w:r w:rsidR="00EE3719">
        <w:rPr>
          <w:b/>
          <w:i/>
        </w:rPr>
        <w:t>general conditions of the</w:t>
      </w:r>
      <w:r w:rsidR="008073E2">
        <w:rPr>
          <w:b/>
          <w:i/>
        </w:rPr>
        <w:t xml:space="preserve"> contract</w:t>
      </w:r>
      <w:r w:rsidR="00EE3719">
        <w:rPr>
          <w:b/>
          <w:i/>
        </w:rPr>
        <w:t xml:space="preserve"> </w:t>
      </w:r>
      <w:r w:rsidRPr="00DC7CAA">
        <w:rPr>
          <w:b/>
          <w:i/>
        </w:rPr>
        <w:t xml:space="preserve">that'll occur </w:t>
      </w:r>
      <w:r w:rsidR="00EE3719">
        <w:rPr>
          <w:b/>
          <w:i/>
        </w:rPr>
        <w:t>including</w:t>
      </w:r>
      <w:r w:rsidR="008073E2">
        <w:rPr>
          <w:b/>
          <w:i/>
        </w:rPr>
        <w:t xml:space="preserve"> </w:t>
      </w:r>
      <w:r w:rsidR="00A96A78">
        <w:rPr>
          <w:b/>
          <w:i/>
        </w:rPr>
        <w:t>e</w:t>
      </w:r>
      <w:r w:rsidR="00E750AB" w:rsidRPr="008073E2">
        <w:rPr>
          <w:b/>
          <w:i/>
        </w:rPr>
        <w:t>mployer’s liability insurance up to 5000 Euro</w:t>
      </w:r>
      <w:r w:rsidR="00A96A78">
        <w:rPr>
          <w:b/>
          <w:i/>
        </w:rPr>
        <w:t xml:space="preserve"> to be</w:t>
      </w:r>
      <w:r w:rsidR="008073E2" w:rsidRPr="008073E2">
        <w:rPr>
          <w:b/>
          <w:i/>
        </w:rPr>
        <w:t xml:space="preserve"> within 72 hours of being given the site</w:t>
      </w:r>
      <w:r w:rsidRPr="00DC7CAA">
        <w:rPr>
          <w:b/>
          <w:i/>
        </w:rPr>
        <w:t>.</w:t>
      </w:r>
    </w:p>
    <w:p w14:paraId="7F157F36" w14:textId="77777777" w:rsidR="002A60E9" w:rsidRPr="002A60E9" w:rsidRDefault="002A60E9" w:rsidP="002A60E9">
      <w:pPr>
        <w:pStyle w:val="FootnoteText"/>
        <w:rPr>
          <w:i/>
        </w:rPr>
      </w:pPr>
    </w:p>
    <w:p w14:paraId="582A8C82" w14:textId="36816934" w:rsidR="00CF504E" w:rsidRPr="002A60E9" w:rsidRDefault="002A60E9" w:rsidP="002A60E9">
      <w:pPr>
        <w:pStyle w:val="FootnoteText"/>
        <w:rPr>
          <w:i/>
        </w:rPr>
      </w:pPr>
      <w:r w:rsidRPr="002A60E9">
        <w:rPr>
          <w:i/>
        </w:rPr>
        <w:t>1</w:t>
      </w:r>
      <w:r w:rsidRPr="002A60E9">
        <w:rPr>
          <w:i/>
          <w:lang w:val="en-GB"/>
        </w:rPr>
        <w:t xml:space="preserve"> </w:t>
      </w:r>
      <w:r w:rsidR="00CF504E" w:rsidRPr="002A60E9">
        <w:rPr>
          <w:i/>
        </w:rPr>
        <w:t xml:space="preserve">This serves as a guide to the Supplier in preparing the quotation and price schedule. </w:t>
      </w:r>
    </w:p>
  </w:footnote>
  <w:footnote w:id="2">
    <w:p w14:paraId="735D33FC" w14:textId="77777777" w:rsidR="00CF504E" w:rsidRPr="007E6019" w:rsidRDefault="00CF504E" w:rsidP="00CF504E">
      <w:pPr>
        <w:pStyle w:val="FootnoteText"/>
        <w:rPr>
          <w:i/>
          <w:lang w:val="en-PH"/>
        </w:rPr>
      </w:pPr>
      <w:r w:rsidRPr="002A60E9">
        <w:footnoteRef/>
      </w:r>
      <w:r w:rsidRPr="007E6019">
        <w:rPr>
          <w:i/>
        </w:rPr>
        <w:t xml:space="preserve"> Official </w:t>
      </w:r>
      <w:r w:rsidRPr="002A60E9">
        <w:rPr>
          <w:i/>
        </w:rPr>
        <w:t>Letterhead/Stationery must indicate contact details – addresses, email, phone and fax numbers – for verification purposes</w:t>
      </w:r>
      <w:r>
        <w:rPr>
          <w:i/>
          <w:lang w:val="en-P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35771" w14:textId="47F590D2" w:rsidR="00327EF7" w:rsidRPr="00853118" w:rsidRDefault="00327EF7" w:rsidP="00327EF7">
    <w:pPr>
      <w:pStyle w:val="Header"/>
      <w:ind w:left="2880"/>
      <w:jc w:val="right"/>
      <w:rPr>
        <w:rFonts w:ascii="Calibri" w:hAnsi="Calibri" w:cs="Arial"/>
        <w:iCs/>
        <w:sz w:val="16"/>
        <w:szCs w:val="16"/>
      </w:rPr>
    </w:pPr>
    <w:r w:rsidRPr="00853118">
      <w:rPr>
        <w:rFonts w:ascii="Calibri" w:hAnsi="Calibri" w:cs="Arial"/>
        <w:iCs/>
        <w:noProof/>
        <w:sz w:val="16"/>
        <w:szCs w:val="16"/>
        <w:lang w:val="en-GB" w:eastAsia="en-GB"/>
      </w:rPr>
      <w:t xml:space="preserve">UNDP CYP RFQ 030 2020 – Annex </w:t>
    </w:r>
    <w:r>
      <w:rPr>
        <w:rFonts w:ascii="Calibri" w:hAnsi="Calibri" w:cs="Arial"/>
        <w:iCs/>
        <w:noProof/>
        <w:sz w:val="16"/>
        <w:szCs w:val="16"/>
        <w:lang w:val="en-GB" w:eastAsia="en-GB"/>
      </w:rPr>
      <w:t>2</w:t>
    </w:r>
  </w:p>
  <w:p w14:paraId="1AE1B87B" w14:textId="77777777" w:rsidR="00B43EEB" w:rsidRDefault="00B43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B0E4E"/>
    <w:multiLevelType w:val="hybridMultilevel"/>
    <w:tmpl w:val="0EB2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34A83"/>
    <w:multiLevelType w:val="hybridMultilevel"/>
    <w:tmpl w:val="0DE2DA48"/>
    <w:lvl w:ilvl="0" w:tplc="587ACD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D336B"/>
    <w:multiLevelType w:val="hybridMultilevel"/>
    <w:tmpl w:val="A0242A42"/>
    <w:lvl w:ilvl="0" w:tplc="1DFA509E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18D"/>
    <w:rsid w:val="0002118D"/>
    <w:rsid w:val="00021C3D"/>
    <w:rsid w:val="000426C6"/>
    <w:rsid w:val="00056216"/>
    <w:rsid w:val="000A2CCF"/>
    <w:rsid w:val="000A5D21"/>
    <w:rsid w:val="001171CA"/>
    <w:rsid w:val="001223DD"/>
    <w:rsid w:val="00167AF0"/>
    <w:rsid w:val="0019603C"/>
    <w:rsid w:val="001E075D"/>
    <w:rsid w:val="001E3419"/>
    <w:rsid w:val="002156FC"/>
    <w:rsid w:val="002300ED"/>
    <w:rsid w:val="0025231D"/>
    <w:rsid w:val="00255C04"/>
    <w:rsid w:val="00286E68"/>
    <w:rsid w:val="00287488"/>
    <w:rsid w:val="00293177"/>
    <w:rsid w:val="002A34D7"/>
    <w:rsid w:val="002A60E9"/>
    <w:rsid w:val="002E6CDE"/>
    <w:rsid w:val="002F65CA"/>
    <w:rsid w:val="003078C5"/>
    <w:rsid w:val="00327EF7"/>
    <w:rsid w:val="00345C39"/>
    <w:rsid w:val="003879B1"/>
    <w:rsid w:val="003B79C9"/>
    <w:rsid w:val="003E657A"/>
    <w:rsid w:val="003F2716"/>
    <w:rsid w:val="00442D55"/>
    <w:rsid w:val="00451A5A"/>
    <w:rsid w:val="004652F5"/>
    <w:rsid w:val="00465D85"/>
    <w:rsid w:val="004A0E01"/>
    <w:rsid w:val="004C33DF"/>
    <w:rsid w:val="004E4EFB"/>
    <w:rsid w:val="005A1C7A"/>
    <w:rsid w:val="005C5C6F"/>
    <w:rsid w:val="00616080"/>
    <w:rsid w:val="006539AE"/>
    <w:rsid w:val="006632E0"/>
    <w:rsid w:val="00695894"/>
    <w:rsid w:val="006A42FA"/>
    <w:rsid w:val="006A738D"/>
    <w:rsid w:val="006E4338"/>
    <w:rsid w:val="00725100"/>
    <w:rsid w:val="00762C11"/>
    <w:rsid w:val="007C0024"/>
    <w:rsid w:val="008073E2"/>
    <w:rsid w:val="00826624"/>
    <w:rsid w:val="00855CBE"/>
    <w:rsid w:val="00873094"/>
    <w:rsid w:val="00926FAF"/>
    <w:rsid w:val="00992882"/>
    <w:rsid w:val="00994F98"/>
    <w:rsid w:val="009C2FD5"/>
    <w:rsid w:val="009C4665"/>
    <w:rsid w:val="009D08B0"/>
    <w:rsid w:val="009F5DB3"/>
    <w:rsid w:val="00A10755"/>
    <w:rsid w:val="00A131F8"/>
    <w:rsid w:val="00A96A78"/>
    <w:rsid w:val="00AE556E"/>
    <w:rsid w:val="00B24BBD"/>
    <w:rsid w:val="00B307C4"/>
    <w:rsid w:val="00B43EEB"/>
    <w:rsid w:val="00B6215B"/>
    <w:rsid w:val="00B827FC"/>
    <w:rsid w:val="00B82E6E"/>
    <w:rsid w:val="00B904EE"/>
    <w:rsid w:val="00BA3DE9"/>
    <w:rsid w:val="00BF6C06"/>
    <w:rsid w:val="00C015AC"/>
    <w:rsid w:val="00C22087"/>
    <w:rsid w:val="00C73658"/>
    <w:rsid w:val="00C87570"/>
    <w:rsid w:val="00C90F15"/>
    <w:rsid w:val="00CB435D"/>
    <w:rsid w:val="00CF0BF6"/>
    <w:rsid w:val="00CF504E"/>
    <w:rsid w:val="00D11E21"/>
    <w:rsid w:val="00D94D36"/>
    <w:rsid w:val="00DA0869"/>
    <w:rsid w:val="00DC7CAA"/>
    <w:rsid w:val="00E066DB"/>
    <w:rsid w:val="00E705A8"/>
    <w:rsid w:val="00E750AB"/>
    <w:rsid w:val="00ED3B4E"/>
    <w:rsid w:val="00EE3719"/>
    <w:rsid w:val="00F03303"/>
    <w:rsid w:val="00F145CB"/>
    <w:rsid w:val="00F2438E"/>
    <w:rsid w:val="596470D7"/>
    <w:rsid w:val="5B9A47F3"/>
    <w:rsid w:val="63DC5712"/>
    <w:rsid w:val="7C51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ED06"/>
  <w15:docId w15:val="{C424D22C-83AF-40AF-A8DD-F107C6C3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5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F50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04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04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F504E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59"/>
    <w:rsid w:val="00CF5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2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08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2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087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 12"/>
    <w:basedOn w:val="Normal"/>
    <w:uiPriority w:val="99"/>
    <w:rsid w:val="00C90F15"/>
    <w:pPr>
      <w:widowControl w:val="0"/>
      <w:autoSpaceDE w:val="0"/>
      <w:autoSpaceDN w:val="0"/>
      <w:spacing w:before="252"/>
      <w:ind w:left="2520" w:right="72"/>
      <w:jc w:val="both"/>
    </w:pPr>
    <w:rPr>
      <w:rFonts w:ascii="Arial" w:hAnsi="Arial" w:cs="Arial"/>
      <w:sz w:val="21"/>
      <w:szCs w:val="21"/>
      <w:lang w:val="en-GB" w:eastAsia="el-GR"/>
    </w:rPr>
  </w:style>
  <w:style w:type="paragraph" w:customStyle="1" w:styleId="Default">
    <w:name w:val="Default"/>
    <w:rsid w:val="00167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66C5BD7121D4E9A5A07B0F80A20D5" ma:contentTypeVersion="13" ma:contentTypeDescription="Create a new document." ma:contentTypeScope="" ma:versionID="38c486969d3bcd61f29b061b940a91ba">
  <xsd:schema xmlns:xsd="http://www.w3.org/2001/XMLSchema" xmlns:xs="http://www.w3.org/2001/XMLSchema" xmlns:p="http://schemas.microsoft.com/office/2006/metadata/properties" xmlns:ns3="6e2e1cef-77a8-46be-9507-f5de5c1189ca" xmlns:ns4="fab36f6f-7bd3-4822-ba49-550c91451bea" targetNamespace="http://schemas.microsoft.com/office/2006/metadata/properties" ma:root="true" ma:fieldsID="ae0a47f86eb9e9c40b65c201628a9bab" ns3:_="" ns4:_="">
    <xsd:import namespace="6e2e1cef-77a8-46be-9507-f5de5c1189ca"/>
    <xsd:import namespace="fab36f6f-7bd3-4822-ba49-550c91451b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e1cef-77a8-46be-9507-f5de5c118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36f6f-7bd3-4822-ba49-550c91451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E48CD-564B-4DA2-BE6B-E22B3C416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e1cef-77a8-46be-9507-f5de5c1189ca"/>
    <ds:schemaRef ds:uri="fab36f6f-7bd3-4822-ba49-550c91451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72C8B4-F829-4CD0-9EFD-FBFE681130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5648BB-8D59-43D6-AF5D-65BBF6645C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Siandou</dc:creator>
  <cp:lastModifiedBy>Mert Inal</cp:lastModifiedBy>
  <cp:revision>27</cp:revision>
  <dcterms:created xsi:type="dcterms:W3CDTF">2020-01-30T08:29:00Z</dcterms:created>
  <dcterms:modified xsi:type="dcterms:W3CDTF">2020-03-27T09:42:00Z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0x0101008D766C5BD7121D4E9A5A07B0F80A20D5</vt:lpwstr>
  </property>
</Properties>
</file>