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BBE" w:rsidRPr="00E023CA" w:rsidRDefault="00BE1BBE" w:rsidP="0070521F">
      <w:pPr>
        <w:autoSpaceDE w:val="0"/>
        <w:autoSpaceDN w:val="0"/>
        <w:adjustRightInd w:val="0"/>
        <w:rPr>
          <w:rFonts w:cs="Arial"/>
          <w:color w:val="000000"/>
          <w:lang w:eastAsia="da-DK"/>
        </w:rPr>
      </w:pPr>
    </w:p>
    <w:p w:rsidR="00F37D1C" w:rsidRPr="00FE2656" w:rsidRDefault="00F37D1C" w:rsidP="0070521F">
      <w:pPr>
        <w:autoSpaceDE w:val="0"/>
        <w:autoSpaceDN w:val="0"/>
        <w:adjustRightInd w:val="0"/>
        <w:rPr>
          <w:rFonts w:cs="Arial"/>
          <w:color w:val="000000"/>
          <w:lang w:eastAsia="da-DK"/>
        </w:rPr>
      </w:pPr>
      <w:r w:rsidRPr="00FE2656">
        <w:rPr>
          <w:rFonts w:cs="Arial"/>
          <w:b/>
          <w:bCs/>
          <w:color w:val="000000"/>
          <w:lang w:eastAsia="da-DK"/>
        </w:rPr>
        <w:t xml:space="preserve">Location: </w:t>
      </w:r>
      <w:r w:rsidRPr="00FE2656">
        <w:rPr>
          <w:rFonts w:cs="Arial"/>
          <w:color w:val="000000"/>
          <w:lang w:eastAsia="da-DK"/>
        </w:rPr>
        <w:t xml:space="preserve">South Africa </w:t>
      </w:r>
    </w:p>
    <w:p w:rsidR="00F37D1C" w:rsidRPr="005E124A" w:rsidRDefault="00F37D1C" w:rsidP="0070521F">
      <w:pPr>
        <w:autoSpaceDE w:val="0"/>
        <w:autoSpaceDN w:val="0"/>
        <w:adjustRightInd w:val="0"/>
        <w:rPr>
          <w:rFonts w:cs="Arial"/>
          <w:color w:val="000000"/>
          <w:lang w:eastAsia="da-DK"/>
        </w:rPr>
      </w:pPr>
      <w:r w:rsidRPr="005E124A">
        <w:rPr>
          <w:rFonts w:cs="Arial"/>
          <w:b/>
          <w:bCs/>
          <w:color w:val="000000"/>
          <w:lang w:eastAsia="da-DK"/>
        </w:rPr>
        <w:t xml:space="preserve">Application Deadline: </w:t>
      </w:r>
      <w:r w:rsidR="00797EA6" w:rsidRPr="005E124A">
        <w:rPr>
          <w:rFonts w:cs="Arial"/>
          <w:b/>
          <w:bCs/>
          <w:color w:val="000000"/>
          <w:lang w:eastAsia="da-DK"/>
        </w:rPr>
        <w:t>30 June 2020</w:t>
      </w:r>
    </w:p>
    <w:p w:rsidR="00F37D1C" w:rsidRPr="005E124A" w:rsidRDefault="00F37D1C" w:rsidP="0070521F">
      <w:pPr>
        <w:autoSpaceDE w:val="0"/>
        <w:autoSpaceDN w:val="0"/>
        <w:adjustRightInd w:val="0"/>
        <w:rPr>
          <w:rFonts w:cs="Arial"/>
          <w:color w:val="000000"/>
          <w:lang w:eastAsia="da-DK"/>
        </w:rPr>
      </w:pPr>
      <w:r w:rsidRPr="005E124A">
        <w:rPr>
          <w:rFonts w:cs="Arial"/>
          <w:b/>
          <w:bCs/>
          <w:color w:val="000000"/>
          <w:lang w:eastAsia="da-DK"/>
        </w:rPr>
        <w:t xml:space="preserve">Type of Contract: </w:t>
      </w:r>
      <w:r w:rsidRPr="005E124A">
        <w:rPr>
          <w:rFonts w:cs="Arial"/>
          <w:color w:val="000000"/>
          <w:lang w:eastAsia="da-DK"/>
        </w:rPr>
        <w:t>Consultant, Individual Contract</w:t>
      </w:r>
    </w:p>
    <w:p w:rsidR="00F37D1C" w:rsidRPr="005E124A" w:rsidRDefault="00F37D1C" w:rsidP="0070521F">
      <w:pPr>
        <w:autoSpaceDE w:val="0"/>
        <w:autoSpaceDN w:val="0"/>
        <w:adjustRightInd w:val="0"/>
        <w:rPr>
          <w:rFonts w:cs="Arial"/>
          <w:color w:val="000000"/>
          <w:lang w:eastAsia="da-DK"/>
        </w:rPr>
      </w:pPr>
      <w:r w:rsidRPr="005E124A">
        <w:rPr>
          <w:rFonts w:cs="Arial"/>
          <w:b/>
          <w:bCs/>
          <w:color w:val="000000"/>
          <w:lang w:eastAsia="da-DK"/>
        </w:rPr>
        <w:t xml:space="preserve">Languages Required: </w:t>
      </w:r>
      <w:r w:rsidRPr="005E124A">
        <w:rPr>
          <w:rFonts w:cs="Arial"/>
          <w:color w:val="000000"/>
          <w:lang w:eastAsia="da-DK"/>
        </w:rPr>
        <w:t xml:space="preserve">English </w:t>
      </w:r>
    </w:p>
    <w:p w:rsidR="00F37D1C" w:rsidRPr="005E124A" w:rsidRDefault="00F37D1C" w:rsidP="0070521F">
      <w:pPr>
        <w:autoSpaceDE w:val="0"/>
        <w:autoSpaceDN w:val="0"/>
        <w:adjustRightInd w:val="0"/>
        <w:rPr>
          <w:rFonts w:cs="Arial"/>
          <w:color w:val="000000"/>
          <w:lang w:eastAsia="da-DK"/>
        </w:rPr>
      </w:pPr>
      <w:r w:rsidRPr="005E124A">
        <w:rPr>
          <w:rFonts w:cs="Arial"/>
          <w:b/>
          <w:bCs/>
          <w:color w:val="000000"/>
          <w:lang w:eastAsia="da-DK"/>
        </w:rPr>
        <w:t>Starting Date: (date when the selected candidate</w:t>
      </w:r>
      <w:r w:rsidR="00D928E0" w:rsidRPr="005E124A">
        <w:rPr>
          <w:rFonts w:cs="Arial"/>
          <w:b/>
          <w:bCs/>
          <w:color w:val="000000"/>
          <w:lang w:eastAsia="da-DK"/>
        </w:rPr>
        <w:t>/</w:t>
      </w:r>
      <w:proofErr w:type="spellStart"/>
      <w:r w:rsidR="00D928E0" w:rsidRPr="005E124A">
        <w:rPr>
          <w:rFonts w:cs="Arial"/>
          <w:b/>
          <w:bCs/>
          <w:color w:val="000000"/>
          <w:lang w:eastAsia="da-DK"/>
        </w:rPr>
        <w:t>organisation</w:t>
      </w:r>
      <w:proofErr w:type="spellEnd"/>
      <w:r w:rsidRPr="005E124A">
        <w:rPr>
          <w:rFonts w:cs="Arial"/>
          <w:b/>
          <w:bCs/>
          <w:color w:val="000000"/>
          <w:lang w:eastAsia="da-DK"/>
        </w:rPr>
        <w:t xml:space="preserve"> is expected to start)</w:t>
      </w:r>
      <w:r w:rsidRPr="005E124A">
        <w:rPr>
          <w:rFonts w:cs="Arial"/>
          <w:color w:val="000000"/>
          <w:lang w:eastAsia="da-DK"/>
        </w:rPr>
        <w:t xml:space="preserve">: Immediate </w:t>
      </w:r>
    </w:p>
    <w:p w:rsidR="00F37D1C" w:rsidRPr="00FE2656" w:rsidRDefault="00F37D1C" w:rsidP="0070521F">
      <w:pPr>
        <w:autoSpaceDE w:val="0"/>
        <w:autoSpaceDN w:val="0"/>
        <w:adjustRightInd w:val="0"/>
        <w:rPr>
          <w:rFonts w:cs="Arial"/>
          <w:color w:val="000000"/>
          <w:lang w:eastAsia="da-DK"/>
        </w:rPr>
      </w:pPr>
      <w:r w:rsidRPr="005E124A">
        <w:rPr>
          <w:rFonts w:cs="Arial"/>
          <w:b/>
          <w:bCs/>
          <w:color w:val="000000"/>
          <w:lang w:eastAsia="da-DK"/>
        </w:rPr>
        <w:t xml:space="preserve">Expected Duration of Assignment: </w:t>
      </w:r>
      <w:r w:rsidR="00797EA6" w:rsidRPr="005E124A">
        <w:rPr>
          <w:rFonts w:cs="Arial"/>
          <w:color w:val="000000"/>
          <w:lang w:eastAsia="da-DK"/>
        </w:rPr>
        <w:t>17</w:t>
      </w:r>
      <w:r w:rsidR="00BE1BBE" w:rsidRPr="005E124A">
        <w:rPr>
          <w:rFonts w:cs="Arial"/>
          <w:color w:val="000000"/>
          <w:lang w:eastAsia="da-DK"/>
        </w:rPr>
        <w:t xml:space="preserve"> Months</w:t>
      </w:r>
      <w:r w:rsidRPr="005E124A">
        <w:rPr>
          <w:rFonts w:cs="Arial"/>
          <w:color w:val="000000"/>
          <w:lang w:eastAsia="da-DK"/>
        </w:rPr>
        <w:t xml:space="preserve"> </w:t>
      </w:r>
      <w:r w:rsidR="00BE1BBE" w:rsidRPr="005E124A">
        <w:rPr>
          <w:rFonts w:cs="Arial"/>
          <w:color w:val="000000"/>
          <w:lang w:eastAsia="da-DK"/>
        </w:rPr>
        <w:t xml:space="preserve">(Completed by </w:t>
      </w:r>
      <w:r w:rsidR="00085069" w:rsidRPr="005E124A">
        <w:rPr>
          <w:rFonts w:cs="Arial"/>
          <w:color w:val="000000"/>
          <w:lang w:eastAsia="da-DK"/>
        </w:rPr>
        <w:t>30 November</w:t>
      </w:r>
      <w:r w:rsidR="00BE1BBE" w:rsidRPr="005E124A">
        <w:rPr>
          <w:rFonts w:cs="Arial"/>
          <w:color w:val="000000"/>
          <w:lang w:eastAsia="da-DK"/>
        </w:rPr>
        <w:t xml:space="preserve"> 2021)</w:t>
      </w:r>
    </w:p>
    <w:p w:rsidR="00F37D1C" w:rsidRPr="00FE2656" w:rsidRDefault="00F37D1C" w:rsidP="0070521F">
      <w:pPr>
        <w:autoSpaceDE w:val="0"/>
        <w:autoSpaceDN w:val="0"/>
        <w:adjustRightInd w:val="0"/>
        <w:rPr>
          <w:rFonts w:cs="Arial"/>
          <w:color w:val="000000"/>
          <w:lang w:eastAsia="da-DK"/>
        </w:rPr>
      </w:pPr>
      <w:r w:rsidRPr="00FE2656">
        <w:rPr>
          <w:rFonts w:cs="Arial"/>
          <w:b/>
          <w:bCs/>
          <w:color w:val="000000"/>
          <w:lang w:eastAsia="da-DK"/>
        </w:rPr>
        <w:t xml:space="preserve">Title: </w:t>
      </w:r>
      <w:r w:rsidR="00076811" w:rsidRPr="00FE2656">
        <w:rPr>
          <w:rFonts w:cs="Arial"/>
          <w:color w:val="000000"/>
          <w:lang w:eastAsia="da-DK"/>
        </w:rPr>
        <w:t xml:space="preserve">Sustainable Landscape Management Financing Strategy and Platform for </w:t>
      </w:r>
      <w:r w:rsidRPr="00FE2656">
        <w:rPr>
          <w:rFonts w:cs="Arial"/>
          <w:color w:val="000000"/>
          <w:lang w:eastAsia="da-DK"/>
        </w:rPr>
        <w:t>South Africa</w:t>
      </w:r>
    </w:p>
    <w:p w:rsidR="00F37D1C" w:rsidRPr="00FE2656" w:rsidRDefault="00F37D1C" w:rsidP="0070521F">
      <w:pPr>
        <w:autoSpaceDE w:val="0"/>
        <w:autoSpaceDN w:val="0"/>
        <w:adjustRightInd w:val="0"/>
        <w:rPr>
          <w:rFonts w:cs="Arial"/>
          <w:color w:val="000000"/>
          <w:lang w:eastAsia="da-DK"/>
        </w:rPr>
      </w:pPr>
    </w:p>
    <w:p w:rsidR="00F37D1C" w:rsidRPr="00FE2656" w:rsidRDefault="00F37D1C" w:rsidP="0070521F">
      <w:pPr>
        <w:autoSpaceDE w:val="0"/>
        <w:autoSpaceDN w:val="0"/>
        <w:adjustRightInd w:val="0"/>
        <w:rPr>
          <w:rFonts w:cs="Arial"/>
          <w:b/>
          <w:bCs/>
          <w:color w:val="000000"/>
          <w:lang w:eastAsia="da-DK"/>
        </w:rPr>
      </w:pPr>
      <w:r w:rsidRPr="00FE2656">
        <w:rPr>
          <w:rFonts w:cs="Arial"/>
          <w:b/>
          <w:bCs/>
          <w:color w:val="000000"/>
          <w:lang w:eastAsia="da-DK"/>
        </w:rPr>
        <w:t xml:space="preserve">1. INTRODUCTION </w:t>
      </w:r>
    </w:p>
    <w:p w:rsidR="00B11437" w:rsidRPr="00FE2656" w:rsidRDefault="00B11437" w:rsidP="0070521F">
      <w:pPr>
        <w:autoSpaceDE w:val="0"/>
        <w:autoSpaceDN w:val="0"/>
        <w:adjustRightInd w:val="0"/>
        <w:rPr>
          <w:rFonts w:cs="Arial"/>
          <w:color w:val="000000"/>
          <w:lang w:eastAsia="da-DK"/>
        </w:rPr>
      </w:pPr>
    </w:p>
    <w:p w:rsidR="00B11437" w:rsidRPr="001C40E0" w:rsidRDefault="00B11437" w:rsidP="0070521F">
      <w:pPr>
        <w:autoSpaceDE w:val="0"/>
        <w:autoSpaceDN w:val="0"/>
        <w:adjustRightInd w:val="0"/>
        <w:rPr>
          <w:rFonts w:cs="Arial"/>
          <w:color w:val="000000"/>
          <w:lang w:val="en-GB" w:eastAsia="da-DK"/>
        </w:rPr>
      </w:pPr>
      <w:r w:rsidRPr="00FE2656">
        <w:rPr>
          <w:rFonts w:cs="Arial"/>
          <w:bCs/>
          <w:color w:val="000000"/>
          <w:lang w:val="en-GB" w:eastAsia="da-DK"/>
        </w:rPr>
        <w:t xml:space="preserve">The </w:t>
      </w:r>
      <w:r w:rsidRPr="00FE2656">
        <w:rPr>
          <w:rFonts w:cs="Arial"/>
          <w:bCs/>
          <w:i/>
          <w:iCs/>
          <w:color w:val="000000"/>
          <w:lang w:val="en-GB" w:eastAsia="da-DK"/>
        </w:rPr>
        <w:t>“Securing multiple ecosystems benefit through SLM in the productive but degraded landscapes of South Africa (</w:t>
      </w:r>
      <w:r w:rsidR="00BA44D7" w:rsidRPr="00FE2656">
        <w:rPr>
          <w:rFonts w:cs="Arial"/>
          <w:bCs/>
          <w:i/>
          <w:iCs/>
          <w:color w:val="000000"/>
          <w:lang w:val="en-GB" w:eastAsia="da-DK"/>
        </w:rPr>
        <w:t>herein referred</w:t>
      </w:r>
      <w:r w:rsidR="00BA44D7" w:rsidRPr="001C40E0">
        <w:rPr>
          <w:rFonts w:cs="Arial"/>
          <w:bCs/>
          <w:i/>
          <w:iCs/>
          <w:color w:val="000000"/>
          <w:lang w:val="en-GB" w:eastAsia="da-DK"/>
        </w:rPr>
        <w:t xml:space="preserve"> to as the GEF 5 </w:t>
      </w:r>
      <w:r w:rsidRPr="001C40E0">
        <w:rPr>
          <w:rFonts w:cs="Arial"/>
          <w:bCs/>
          <w:i/>
          <w:iCs/>
          <w:color w:val="000000"/>
          <w:lang w:val="en-GB" w:eastAsia="da-DK"/>
        </w:rPr>
        <w:t>SLM Project)”</w:t>
      </w:r>
      <w:r w:rsidRPr="001C40E0">
        <w:rPr>
          <w:rFonts w:cs="Arial"/>
          <w:bCs/>
          <w:color w:val="000000"/>
          <w:lang w:val="en-GB" w:eastAsia="da-DK"/>
        </w:rPr>
        <w:t xml:space="preserve"> is funded by the Global Environment Facility (GEF), implemented by </w:t>
      </w:r>
      <w:r w:rsidR="00D86586" w:rsidRPr="001C40E0">
        <w:rPr>
          <w:rFonts w:cs="Arial"/>
          <w:bCs/>
          <w:color w:val="000000"/>
          <w:lang w:val="en-GB" w:eastAsia="da-DK"/>
        </w:rPr>
        <w:t>the United Nations Development Programme (</w:t>
      </w:r>
      <w:r w:rsidRPr="001C40E0">
        <w:rPr>
          <w:rFonts w:cs="Arial"/>
          <w:bCs/>
          <w:color w:val="000000"/>
          <w:lang w:val="en-GB" w:eastAsia="da-DK"/>
        </w:rPr>
        <w:t>UNDP</w:t>
      </w:r>
      <w:r w:rsidR="00D86586" w:rsidRPr="001C40E0">
        <w:rPr>
          <w:rFonts w:cs="Arial"/>
          <w:bCs/>
          <w:color w:val="000000"/>
          <w:lang w:val="en-GB" w:eastAsia="da-DK"/>
        </w:rPr>
        <w:t>)</w:t>
      </w:r>
      <w:r w:rsidRPr="001C40E0">
        <w:rPr>
          <w:rFonts w:cs="Arial"/>
          <w:bCs/>
          <w:color w:val="000000"/>
          <w:lang w:val="en-GB" w:eastAsia="da-DK"/>
        </w:rPr>
        <w:t xml:space="preserve"> and three Responsible Parties</w:t>
      </w:r>
      <w:r w:rsidR="00D86586" w:rsidRPr="001C40E0">
        <w:rPr>
          <w:rFonts w:cs="Arial"/>
          <w:bCs/>
          <w:color w:val="000000"/>
          <w:lang w:val="en-GB" w:eastAsia="da-DK"/>
        </w:rPr>
        <w:t>. The Responsible Parties are</w:t>
      </w:r>
      <w:r w:rsidRPr="001C40E0">
        <w:rPr>
          <w:rFonts w:cs="Arial"/>
          <w:bCs/>
          <w:color w:val="000000"/>
          <w:lang w:val="en-GB" w:eastAsia="da-DK"/>
        </w:rPr>
        <w:t xml:space="preserve"> the Council for Scientific and Industrial Research (CSIR), the Endangered Wildlife Trust (EWT) and Rhodes University (RU)</w:t>
      </w:r>
      <w:r w:rsidR="00D928E0" w:rsidRPr="001C40E0">
        <w:rPr>
          <w:rFonts w:cs="Arial"/>
          <w:bCs/>
          <w:color w:val="000000"/>
          <w:lang w:val="en-GB" w:eastAsia="da-DK"/>
        </w:rPr>
        <w:t xml:space="preserve"> on behalf of the Department of Environment, Forestry and Fisheries (DEFF) as Implementing Partner to this GEF 5 SLM Project.</w:t>
      </w:r>
    </w:p>
    <w:p w:rsidR="00B11437" w:rsidRPr="001C40E0" w:rsidRDefault="00B11437" w:rsidP="0070521F">
      <w:pPr>
        <w:autoSpaceDE w:val="0"/>
        <w:autoSpaceDN w:val="0"/>
        <w:adjustRightInd w:val="0"/>
        <w:rPr>
          <w:rFonts w:cs="Arial"/>
          <w:color w:val="000000"/>
          <w:lang w:val="en-GB" w:eastAsia="da-DK"/>
        </w:rPr>
      </w:pPr>
    </w:p>
    <w:p w:rsidR="00B11437" w:rsidRPr="001C40E0" w:rsidRDefault="00B11437" w:rsidP="0070521F">
      <w:pPr>
        <w:autoSpaceDE w:val="0"/>
        <w:autoSpaceDN w:val="0"/>
        <w:adjustRightInd w:val="0"/>
        <w:rPr>
          <w:rFonts w:cs="Arial"/>
          <w:color w:val="000000"/>
          <w:lang w:val="en-GB" w:eastAsia="da-DK"/>
        </w:rPr>
      </w:pPr>
      <w:r w:rsidRPr="001C40E0">
        <w:rPr>
          <w:rFonts w:cs="Arial"/>
          <w:color w:val="000000"/>
          <w:lang w:val="en-GB" w:eastAsia="da-DK"/>
        </w:rPr>
        <w:t xml:space="preserve">South Africa’s long-term vision is to establish a “green economy” underpinned by healthy and functioning ecosystems. The key rationale of the </w:t>
      </w:r>
      <w:r w:rsidR="00D86586" w:rsidRPr="001C40E0">
        <w:rPr>
          <w:rFonts w:cs="Arial"/>
          <w:color w:val="000000"/>
          <w:lang w:val="en-GB" w:eastAsia="da-DK"/>
        </w:rPr>
        <w:t>GEF 5 SLM P</w:t>
      </w:r>
      <w:r w:rsidRPr="001C40E0">
        <w:rPr>
          <w:rFonts w:cs="Arial"/>
          <w:color w:val="000000"/>
          <w:lang w:val="en-GB" w:eastAsia="da-DK"/>
        </w:rPr>
        <w:t>roject is to support the national efforts to arresting land degradation and achieving sustainable land management (SLM), which are essential for achieving this vision.</w:t>
      </w:r>
    </w:p>
    <w:p w:rsidR="00B11437" w:rsidRPr="001C40E0" w:rsidRDefault="00B11437" w:rsidP="0070521F">
      <w:pPr>
        <w:autoSpaceDE w:val="0"/>
        <w:autoSpaceDN w:val="0"/>
        <w:adjustRightInd w:val="0"/>
        <w:rPr>
          <w:rFonts w:cs="Arial"/>
          <w:color w:val="000000"/>
          <w:lang w:val="en-GB" w:eastAsia="da-DK"/>
        </w:rPr>
      </w:pPr>
      <w:r w:rsidRPr="001C40E0">
        <w:rPr>
          <w:rFonts w:cs="Arial"/>
          <w:color w:val="000000"/>
          <w:lang w:val="en-GB" w:eastAsia="da-DK"/>
        </w:rPr>
        <w:t xml:space="preserve">The objective of the project is “to strengthen the enabling environment for the adoption of knowledge-based SLM models for land management and land/ecosystem rehabilitation in support of the green economy and resilient livelihoods through capacity building, improved governance and financial incentives demonstrated in the Karoo, Eastern Cape and </w:t>
      </w:r>
      <w:proofErr w:type="spellStart"/>
      <w:r w:rsidRPr="001C40E0">
        <w:rPr>
          <w:rFonts w:cs="Arial"/>
          <w:color w:val="000000"/>
          <w:lang w:val="en-GB" w:eastAsia="da-DK"/>
        </w:rPr>
        <w:t>Olifants</w:t>
      </w:r>
      <w:proofErr w:type="spellEnd"/>
      <w:r w:rsidRPr="001C40E0">
        <w:rPr>
          <w:rFonts w:cs="Arial"/>
          <w:color w:val="000000"/>
          <w:lang w:val="en-GB" w:eastAsia="da-DK"/>
        </w:rPr>
        <w:t xml:space="preserve"> landscapes.”</w:t>
      </w:r>
    </w:p>
    <w:p w:rsidR="00B11437" w:rsidRPr="001C40E0" w:rsidRDefault="00B11437" w:rsidP="0070521F">
      <w:pPr>
        <w:autoSpaceDE w:val="0"/>
        <w:autoSpaceDN w:val="0"/>
        <w:adjustRightInd w:val="0"/>
        <w:rPr>
          <w:rFonts w:cs="Arial"/>
          <w:b/>
          <w:color w:val="000000"/>
          <w:lang w:val="en-GB" w:eastAsia="da-DK"/>
        </w:rPr>
      </w:pPr>
    </w:p>
    <w:p w:rsidR="00B11437" w:rsidRPr="001C40E0" w:rsidRDefault="00B11437" w:rsidP="0070521F">
      <w:pPr>
        <w:autoSpaceDE w:val="0"/>
        <w:autoSpaceDN w:val="0"/>
        <w:adjustRightInd w:val="0"/>
        <w:rPr>
          <w:rFonts w:cs="Arial"/>
          <w:color w:val="000000"/>
          <w:lang w:val="en-ZA" w:eastAsia="da-DK"/>
        </w:rPr>
      </w:pPr>
      <w:r w:rsidRPr="001C40E0">
        <w:rPr>
          <w:rFonts w:cs="Arial"/>
          <w:color w:val="000000"/>
          <w:lang w:val="en-ZA" w:eastAsia="da-DK"/>
        </w:rPr>
        <w:t xml:space="preserve">The design of the project includes four outcomes: </w:t>
      </w:r>
    </w:p>
    <w:p w:rsidR="00B11437" w:rsidRPr="001C40E0" w:rsidRDefault="00B11437" w:rsidP="0070521F">
      <w:pPr>
        <w:numPr>
          <w:ilvl w:val="0"/>
          <w:numId w:val="5"/>
        </w:numPr>
        <w:autoSpaceDE w:val="0"/>
        <w:autoSpaceDN w:val="0"/>
        <w:adjustRightInd w:val="0"/>
        <w:rPr>
          <w:rFonts w:cs="Arial"/>
          <w:color w:val="000000"/>
          <w:lang w:val="en-ZA" w:eastAsia="da-DK"/>
        </w:rPr>
      </w:pPr>
      <w:r w:rsidRPr="001C40E0">
        <w:rPr>
          <w:rFonts w:cs="Arial"/>
          <w:color w:val="000000"/>
          <w:lang w:val="en-ZA" w:eastAsia="da-DK"/>
        </w:rPr>
        <w:t>“</w:t>
      </w:r>
      <w:r w:rsidRPr="001C40E0">
        <w:rPr>
          <w:rFonts w:cs="Arial"/>
          <w:color w:val="000000"/>
          <w:lang w:val="en-GB" w:eastAsia="da-DK"/>
        </w:rPr>
        <w:t xml:space="preserve">Economically viable, climate-smart land/ecosystem rehabilitation and management practices operationalised across 67,300 hectares of the Karoo, Eastern Cape and </w:t>
      </w:r>
      <w:proofErr w:type="spellStart"/>
      <w:r w:rsidRPr="001C40E0">
        <w:rPr>
          <w:rFonts w:cs="Arial"/>
          <w:color w:val="000000"/>
          <w:lang w:val="en-GB" w:eastAsia="da-DK"/>
        </w:rPr>
        <w:t>Olifants</w:t>
      </w:r>
      <w:proofErr w:type="spellEnd"/>
      <w:r w:rsidRPr="001C40E0">
        <w:rPr>
          <w:rFonts w:cs="Arial"/>
          <w:color w:val="000000"/>
          <w:lang w:val="en-GB" w:eastAsia="da-DK"/>
        </w:rPr>
        <w:t xml:space="preserve"> landscapes (with potential for upscaling to cover 150,000 hectares)</w:t>
      </w:r>
      <w:r w:rsidR="007226E6">
        <w:rPr>
          <w:rFonts w:cs="Arial"/>
          <w:color w:val="000000"/>
          <w:lang w:val="en-ZA" w:eastAsia="da-DK"/>
        </w:rPr>
        <w:t>”;</w:t>
      </w:r>
    </w:p>
    <w:p w:rsidR="00B11437" w:rsidRPr="001C40E0" w:rsidRDefault="00B11437" w:rsidP="0070521F">
      <w:pPr>
        <w:numPr>
          <w:ilvl w:val="0"/>
          <w:numId w:val="5"/>
        </w:numPr>
        <w:autoSpaceDE w:val="0"/>
        <w:autoSpaceDN w:val="0"/>
        <w:adjustRightInd w:val="0"/>
        <w:rPr>
          <w:rFonts w:cs="Arial"/>
          <w:color w:val="000000"/>
          <w:lang w:val="en-ZA" w:eastAsia="da-DK"/>
        </w:rPr>
      </w:pPr>
      <w:r w:rsidRPr="001C40E0">
        <w:rPr>
          <w:rFonts w:cs="Arial"/>
          <w:color w:val="000000"/>
          <w:lang w:val="en-ZA" w:eastAsia="da-DK"/>
        </w:rPr>
        <w:t>“</w:t>
      </w:r>
      <w:r w:rsidRPr="001C40E0">
        <w:rPr>
          <w:rFonts w:cs="Arial"/>
          <w:color w:val="000000"/>
          <w:lang w:val="en-GB" w:eastAsia="da-DK"/>
        </w:rPr>
        <w:t xml:space="preserve">Increased knowledge and institutional capacity of </w:t>
      </w:r>
      <w:r w:rsidR="009E3156" w:rsidRPr="001C40E0">
        <w:rPr>
          <w:rFonts w:cs="Arial"/>
          <w:color w:val="000000"/>
          <w:lang w:val="en-GB" w:eastAsia="da-DK"/>
        </w:rPr>
        <w:t>DE</w:t>
      </w:r>
      <w:r w:rsidR="009E3156">
        <w:rPr>
          <w:rFonts w:cs="Arial"/>
          <w:color w:val="000000"/>
          <w:lang w:val="en-GB" w:eastAsia="da-DK"/>
        </w:rPr>
        <w:t>FF</w:t>
      </w:r>
      <w:r w:rsidRPr="001C40E0">
        <w:rPr>
          <w:rFonts w:cs="Arial"/>
          <w:color w:val="000000"/>
          <w:lang w:val="en-GB" w:eastAsia="da-DK"/>
        </w:rPr>
        <w:t>, DAFF, DWA, relevant departments and local communities to reduce degradation from livestock and crop production and to restore currently degraded lands through the application of knowledge-based land management practices.</w:t>
      </w:r>
      <w:r w:rsidR="007226E6">
        <w:rPr>
          <w:rFonts w:cs="Arial"/>
          <w:color w:val="000000"/>
          <w:lang w:val="en-ZA" w:eastAsia="da-DK"/>
        </w:rPr>
        <w:t>”;</w:t>
      </w:r>
    </w:p>
    <w:p w:rsidR="00B11437" w:rsidRPr="001C40E0" w:rsidRDefault="00B11437" w:rsidP="0070521F">
      <w:pPr>
        <w:numPr>
          <w:ilvl w:val="0"/>
          <w:numId w:val="5"/>
        </w:numPr>
        <w:autoSpaceDE w:val="0"/>
        <w:autoSpaceDN w:val="0"/>
        <w:adjustRightInd w:val="0"/>
        <w:rPr>
          <w:rFonts w:cs="Arial"/>
          <w:color w:val="000000"/>
          <w:lang w:val="en-ZA" w:eastAsia="da-DK"/>
        </w:rPr>
      </w:pPr>
      <w:r w:rsidRPr="001C40E0">
        <w:rPr>
          <w:rFonts w:cs="Arial"/>
          <w:color w:val="000000"/>
          <w:lang w:val="en-ZA" w:eastAsia="da-DK"/>
        </w:rPr>
        <w:t>“</w:t>
      </w:r>
      <w:r w:rsidRPr="001C40E0">
        <w:rPr>
          <w:rFonts w:cs="Arial"/>
          <w:iCs/>
          <w:color w:val="000000"/>
          <w:lang w:val="en-GB" w:eastAsia="da-DK"/>
        </w:rPr>
        <w:t xml:space="preserve">Enabling environment for promoting rehabilitation of degraded land through carbon sequestration (including accessing and capitalising on carbon markets and the preparation of </w:t>
      </w:r>
      <w:r w:rsidR="009E3156">
        <w:t>monitoring, reporting and verification</w:t>
      </w:r>
      <w:r w:rsidRPr="001C40E0">
        <w:rPr>
          <w:rFonts w:cs="Arial"/>
          <w:iCs/>
          <w:color w:val="000000"/>
          <w:lang w:val="en-GB" w:eastAsia="da-DK"/>
        </w:rPr>
        <w:t xml:space="preserve"> documentation) in the Eastern Cape strengthened</w:t>
      </w:r>
      <w:r w:rsidRPr="001C40E0">
        <w:rPr>
          <w:rFonts w:cs="Arial"/>
          <w:color w:val="000000"/>
          <w:lang w:val="en-ZA" w:eastAsia="da-DK"/>
        </w:rPr>
        <w:t>”; and</w:t>
      </w:r>
    </w:p>
    <w:p w:rsidR="00B11437" w:rsidRPr="001C40E0" w:rsidRDefault="00B11437" w:rsidP="0070521F">
      <w:pPr>
        <w:numPr>
          <w:ilvl w:val="0"/>
          <w:numId w:val="5"/>
        </w:numPr>
        <w:autoSpaceDE w:val="0"/>
        <w:autoSpaceDN w:val="0"/>
        <w:adjustRightInd w:val="0"/>
        <w:rPr>
          <w:rFonts w:cs="Arial"/>
          <w:iCs/>
          <w:color w:val="000000"/>
          <w:lang w:val="en-GB" w:eastAsia="da-DK"/>
        </w:rPr>
      </w:pPr>
      <w:r w:rsidRPr="001C40E0">
        <w:rPr>
          <w:rFonts w:cs="Arial"/>
          <w:color w:val="000000"/>
          <w:lang w:val="en-ZA" w:eastAsia="da-DK"/>
        </w:rPr>
        <w:t>“</w:t>
      </w:r>
      <w:bookmarkStart w:id="0" w:name="_Hlk38791621"/>
      <w:r w:rsidRPr="001C40E0">
        <w:rPr>
          <w:rFonts w:cs="Arial"/>
          <w:iCs/>
          <w:color w:val="000000"/>
          <w:lang w:val="en-GB" w:eastAsia="da-DK"/>
        </w:rPr>
        <w:t>Financing and governance frameworks strengthened to support the adoption of SLM approaches.</w:t>
      </w:r>
      <w:bookmarkEnd w:id="0"/>
      <w:r w:rsidRPr="001C40E0">
        <w:rPr>
          <w:rFonts w:cs="Arial"/>
          <w:color w:val="000000"/>
          <w:lang w:val="en-ZA" w:eastAsia="da-DK"/>
        </w:rPr>
        <w:t>”</w:t>
      </w:r>
    </w:p>
    <w:p w:rsidR="00B11437" w:rsidRPr="001C40E0" w:rsidRDefault="00B854C3" w:rsidP="0070521F">
      <w:pPr>
        <w:autoSpaceDE w:val="0"/>
        <w:autoSpaceDN w:val="0"/>
        <w:adjustRightInd w:val="0"/>
        <w:rPr>
          <w:rFonts w:cs="Arial"/>
          <w:iCs/>
          <w:color w:val="000000"/>
          <w:lang w:val="en-GB" w:eastAsia="da-DK"/>
        </w:rPr>
      </w:pPr>
      <w:r w:rsidRPr="001C40E0">
        <w:rPr>
          <w:rFonts w:cs="Arial"/>
          <w:color w:val="000000"/>
          <w:lang w:val="en-ZA" w:eastAsia="da-DK"/>
        </w:rPr>
        <w:t>These four outcomes are implemented through a range of project outcomes and activities.</w:t>
      </w:r>
    </w:p>
    <w:p w:rsidR="00F37D1C" w:rsidRPr="001C40E0" w:rsidRDefault="00F37D1C" w:rsidP="0070521F">
      <w:pPr>
        <w:autoSpaceDE w:val="0"/>
        <w:autoSpaceDN w:val="0"/>
        <w:adjustRightInd w:val="0"/>
        <w:rPr>
          <w:rFonts w:cs="Arial"/>
          <w:color w:val="000000"/>
          <w:lang w:eastAsia="da-DK"/>
        </w:rPr>
      </w:pPr>
    </w:p>
    <w:p w:rsidR="00F37D1C" w:rsidRPr="001C40E0" w:rsidRDefault="00F37D1C" w:rsidP="0070521F">
      <w:pPr>
        <w:autoSpaceDE w:val="0"/>
        <w:autoSpaceDN w:val="0"/>
        <w:adjustRightInd w:val="0"/>
        <w:rPr>
          <w:rFonts w:cs="Arial"/>
          <w:color w:val="000000"/>
          <w:lang w:eastAsia="da-DK"/>
        </w:rPr>
      </w:pPr>
      <w:r w:rsidRPr="001C40E0">
        <w:rPr>
          <w:rFonts w:cs="Arial"/>
          <w:b/>
          <w:bCs/>
          <w:color w:val="000000"/>
          <w:lang w:eastAsia="da-DK"/>
        </w:rPr>
        <w:t>2. BACKGROUND</w:t>
      </w:r>
    </w:p>
    <w:p w:rsidR="00145E39" w:rsidRPr="001C40E0" w:rsidRDefault="00145E39" w:rsidP="0070521F">
      <w:pPr>
        <w:autoSpaceDE w:val="0"/>
        <w:autoSpaceDN w:val="0"/>
        <w:adjustRightInd w:val="0"/>
        <w:rPr>
          <w:rFonts w:cs="Arial"/>
          <w:color w:val="000000"/>
          <w:lang w:eastAsia="da-DK"/>
        </w:rPr>
      </w:pPr>
    </w:p>
    <w:p w:rsidR="00D928E0" w:rsidRPr="001C40E0" w:rsidRDefault="00F37D1C" w:rsidP="0070521F">
      <w:pPr>
        <w:autoSpaceDE w:val="0"/>
        <w:autoSpaceDN w:val="0"/>
        <w:adjustRightInd w:val="0"/>
        <w:rPr>
          <w:rFonts w:cs="Arial"/>
          <w:color w:val="000000"/>
          <w:lang w:eastAsia="da-DK"/>
        </w:rPr>
      </w:pPr>
      <w:r w:rsidRPr="001C40E0">
        <w:rPr>
          <w:rFonts w:cs="Arial"/>
          <w:color w:val="000000"/>
          <w:lang w:eastAsia="da-DK"/>
        </w:rPr>
        <w:t xml:space="preserve">This Terms of Reference (TOR) relates to the </w:t>
      </w:r>
      <w:r w:rsidR="00D928E0" w:rsidRPr="001C40E0">
        <w:rPr>
          <w:rFonts w:cs="Arial"/>
          <w:color w:val="000000"/>
          <w:lang w:eastAsia="da-DK"/>
        </w:rPr>
        <w:t xml:space="preserve">GEF 5 SLM Project Component 2: </w:t>
      </w:r>
      <w:r w:rsidR="00D928E0" w:rsidRPr="001C40E0">
        <w:rPr>
          <w:rFonts w:cs="Arial"/>
          <w:i/>
          <w:iCs/>
          <w:color w:val="000000"/>
          <w:lang w:eastAsia="da-DK"/>
        </w:rPr>
        <w:t>Financial and policy mechanisms for the adoption of SLM devised and implemented and governance systems support SLM</w:t>
      </w:r>
      <w:r w:rsidR="00D928E0" w:rsidRPr="001C40E0">
        <w:rPr>
          <w:rFonts w:cs="Arial"/>
          <w:color w:val="000000"/>
          <w:lang w:eastAsia="da-DK"/>
        </w:rPr>
        <w:t xml:space="preserve">, more specifically, Outcome 4: </w:t>
      </w:r>
      <w:r w:rsidR="00D928E0" w:rsidRPr="0089734A">
        <w:rPr>
          <w:rFonts w:cs="Arial"/>
          <w:i/>
          <w:color w:val="000000"/>
          <w:lang w:val="en-GB" w:eastAsia="da-DK"/>
        </w:rPr>
        <w:t>Financing and governance frameworks strengthened to support the adoption of SLM approaches</w:t>
      </w:r>
      <w:r w:rsidR="00D928E0" w:rsidRPr="001C40E0">
        <w:rPr>
          <w:rFonts w:cs="Arial"/>
          <w:iCs/>
          <w:color w:val="000000"/>
          <w:lang w:val="en-GB" w:eastAsia="da-DK"/>
        </w:rPr>
        <w:t>.</w:t>
      </w:r>
    </w:p>
    <w:p w:rsidR="00D928E0" w:rsidRPr="001C40E0" w:rsidRDefault="00D928E0" w:rsidP="0070521F">
      <w:pPr>
        <w:autoSpaceDE w:val="0"/>
        <w:autoSpaceDN w:val="0"/>
        <w:adjustRightInd w:val="0"/>
        <w:rPr>
          <w:rFonts w:cs="Arial"/>
          <w:color w:val="000000"/>
          <w:lang w:eastAsia="da-DK"/>
        </w:rPr>
      </w:pPr>
    </w:p>
    <w:p w:rsidR="000967A5" w:rsidRPr="001C40E0" w:rsidRDefault="000967A5" w:rsidP="0070521F">
      <w:pPr>
        <w:autoSpaceDE w:val="0"/>
        <w:autoSpaceDN w:val="0"/>
        <w:adjustRightInd w:val="0"/>
        <w:rPr>
          <w:rFonts w:cs="Arial"/>
          <w:color w:val="000000"/>
          <w:lang w:eastAsia="da-DK"/>
        </w:rPr>
      </w:pPr>
      <w:r w:rsidRPr="001C40E0">
        <w:rPr>
          <w:rFonts w:cs="Arial"/>
          <w:color w:val="000000"/>
          <w:lang w:eastAsia="da-DK"/>
        </w:rPr>
        <w:t>South Africa’s landscapes underpin human health and well-being as well as a sustainable economy</w:t>
      </w:r>
      <w:r w:rsidR="00D928E0" w:rsidRPr="001C40E0">
        <w:rPr>
          <w:rFonts w:cs="Arial"/>
          <w:color w:val="000000"/>
          <w:lang w:eastAsia="da-DK"/>
        </w:rPr>
        <w:t xml:space="preserve">. The agricultural sector </w:t>
      </w:r>
      <w:r w:rsidR="00BA44D7" w:rsidRPr="001C40E0">
        <w:rPr>
          <w:rFonts w:cs="Arial"/>
          <w:color w:val="000000"/>
          <w:lang w:eastAsia="da-DK"/>
        </w:rPr>
        <w:t xml:space="preserve">is the dominant land use in South Africa, occupying 80% of the land surface to </w:t>
      </w:r>
      <w:r w:rsidR="00D928E0" w:rsidRPr="001C40E0">
        <w:rPr>
          <w:rFonts w:cs="Arial"/>
          <w:color w:val="000000"/>
          <w:lang w:eastAsia="da-DK"/>
        </w:rPr>
        <w:t>produc</w:t>
      </w:r>
      <w:r w:rsidR="00BA44D7" w:rsidRPr="001C40E0">
        <w:rPr>
          <w:rFonts w:cs="Arial"/>
          <w:color w:val="000000"/>
          <w:lang w:eastAsia="da-DK"/>
        </w:rPr>
        <w:t xml:space="preserve">e </w:t>
      </w:r>
      <w:r w:rsidR="00D928E0" w:rsidRPr="001C40E0">
        <w:rPr>
          <w:rFonts w:cs="Arial"/>
          <w:color w:val="000000"/>
          <w:lang w:eastAsia="da-DK"/>
        </w:rPr>
        <w:t>food and fiber sources.</w:t>
      </w:r>
      <w:r w:rsidR="00D86586" w:rsidRPr="001C40E0">
        <w:rPr>
          <w:rFonts w:cs="Arial"/>
          <w:color w:val="000000"/>
          <w:lang w:eastAsia="da-DK"/>
        </w:rPr>
        <w:t xml:space="preserve"> Unsustainable agricultural and land management practices</w:t>
      </w:r>
      <w:r w:rsidR="00BA44D7" w:rsidRPr="001C40E0">
        <w:rPr>
          <w:rFonts w:cs="Arial"/>
          <w:color w:val="000000"/>
          <w:lang w:eastAsia="da-DK"/>
        </w:rPr>
        <w:t xml:space="preserve"> </w:t>
      </w:r>
      <w:r w:rsidR="00D86586" w:rsidRPr="001C40E0">
        <w:rPr>
          <w:rFonts w:cs="Arial"/>
          <w:color w:val="000000"/>
          <w:lang w:eastAsia="da-DK"/>
        </w:rPr>
        <w:t>lead to the degradation of soil, water and vegetation resources</w:t>
      </w:r>
      <w:r w:rsidR="00C829E3" w:rsidRPr="001C40E0">
        <w:rPr>
          <w:rFonts w:cs="Arial"/>
          <w:color w:val="000000"/>
          <w:lang w:eastAsia="da-DK"/>
        </w:rPr>
        <w:t xml:space="preserve"> </w:t>
      </w:r>
      <w:r w:rsidR="00BA44D7" w:rsidRPr="001C40E0">
        <w:rPr>
          <w:rFonts w:cs="Arial"/>
          <w:color w:val="000000"/>
          <w:lang w:eastAsia="da-DK"/>
        </w:rPr>
        <w:t>with</w:t>
      </w:r>
      <w:r w:rsidR="00C829E3" w:rsidRPr="001C40E0">
        <w:rPr>
          <w:rFonts w:cs="Arial"/>
          <w:color w:val="000000"/>
          <w:lang w:eastAsia="da-DK"/>
        </w:rPr>
        <w:t xml:space="preserve"> a negative impact on the provisioning and maintenance of ecosystem services</w:t>
      </w:r>
      <w:r w:rsidR="00D86586" w:rsidRPr="001C40E0">
        <w:rPr>
          <w:rFonts w:cs="Arial"/>
          <w:color w:val="000000"/>
          <w:lang w:eastAsia="da-DK"/>
        </w:rPr>
        <w:t xml:space="preserve">. </w:t>
      </w:r>
      <w:r w:rsidR="00C829E3" w:rsidRPr="001C40E0">
        <w:rPr>
          <w:rFonts w:cs="Arial"/>
          <w:color w:val="000000"/>
          <w:lang w:eastAsia="da-DK"/>
        </w:rPr>
        <w:t>Th</w:t>
      </w:r>
      <w:r w:rsidR="00BA44D7" w:rsidRPr="001C40E0">
        <w:rPr>
          <w:rFonts w:cs="Arial"/>
          <w:color w:val="000000"/>
          <w:lang w:eastAsia="da-DK"/>
        </w:rPr>
        <w:t>e breakdown in ecosystem services</w:t>
      </w:r>
      <w:r w:rsidR="00C829E3" w:rsidRPr="001C40E0">
        <w:rPr>
          <w:rFonts w:cs="Arial"/>
          <w:color w:val="000000"/>
          <w:lang w:eastAsia="da-DK"/>
        </w:rPr>
        <w:t xml:space="preserve"> </w:t>
      </w:r>
      <w:r w:rsidR="00D86586" w:rsidRPr="001C40E0">
        <w:rPr>
          <w:rFonts w:cs="Arial"/>
          <w:color w:val="000000"/>
          <w:lang w:eastAsia="da-DK"/>
        </w:rPr>
        <w:t>affect</w:t>
      </w:r>
      <w:r w:rsidR="00BA44D7" w:rsidRPr="001C40E0">
        <w:rPr>
          <w:rFonts w:cs="Arial"/>
          <w:color w:val="000000"/>
          <w:lang w:eastAsia="da-DK"/>
        </w:rPr>
        <w:t>s</w:t>
      </w:r>
      <w:r w:rsidR="00D86586" w:rsidRPr="001C40E0">
        <w:rPr>
          <w:rFonts w:cs="Arial"/>
          <w:color w:val="000000"/>
          <w:lang w:eastAsia="da-DK"/>
        </w:rPr>
        <w:t xml:space="preserve"> the </w:t>
      </w:r>
      <w:r w:rsidR="00C829E3" w:rsidRPr="001C40E0">
        <w:rPr>
          <w:rFonts w:cs="Arial"/>
          <w:color w:val="000000"/>
          <w:lang w:eastAsia="da-DK"/>
        </w:rPr>
        <w:t>long-term</w:t>
      </w:r>
      <w:r w:rsidR="00D86586" w:rsidRPr="001C40E0">
        <w:rPr>
          <w:rFonts w:cs="Arial"/>
          <w:color w:val="000000"/>
          <w:lang w:eastAsia="da-DK"/>
        </w:rPr>
        <w:t xml:space="preserve"> sustainability of the agricultural sector</w:t>
      </w:r>
      <w:r w:rsidR="00BA44D7" w:rsidRPr="001C40E0">
        <w:rPr>
          <w:rFonts w:cs="Arial"/>
          <w:color w:val="000000"/>
          <w:lang w:eastAsia="da-DK"/>
        </w:rPr>
        <w:t>, the economy reliant on the sector and the livelihoods reliant on agriculture.</w:t>
      </w:r>
    </w:p>
    <w:p w:rsidR="00D928E0" w:rsidRPr="001C40E0" w:rsidRDefault="00D928E0" w:rsidP="0070521F">
      <w:pPr>
        <w:autoSpaceDE w:val="0"/>
        <w:autoSpaceDN w:val="0"/>
        <w:adjustRightInd w:val="0"/>
        <w:rPr>
          <w:rFonts w:cs="Arial"/>
          <w:color w:val="000000"/>
          <w:lang w:eastAsia="da-DK"/>
        </w:rPr>
      </w:pPr>
    </w:p>
    <w:p w:rsidR="00962E72" w:rsidRPr="001C40E0" w:rsidRDefault="000967A5" w:rsidP="0070521F">
      <w:pPr>
        <w:autoSpaceDE w:val="0"/>
        <w:autoSpaceDN w:val="0"/>
        <w:adjustRightInd w:val="0"/>
        <w:rPr>
          <w:rFonts w:cs="Arial"/>
          <w:color w:val="000000"/>
          <w:lang w:eastAsia="da-DK"/>
        </w:rPr>
      </w:pPr>
      <w:r w:rsidRPr="001C40E0">
        <w:rPr>
          <w:rFonts w:cs="Arial"/>
          <w:color w:val="000000"/>
          <w:lang w:eastAsia="da-DK"/>
        </w:rPr>
        <w:t>Landscapes that are safeguarded and well-managed lead to food and water security, climate change resilience, job creation in new green sectors, and provide vital protection to biodiversity and ecological infrastructure</w:t>
      </w:r>
      <w:r w:rsidR="00D86586" w:rsidRPr="001C40E0">
        <w:rPr>
          <w:rFonts w:cs="Arial"/>
          <w:color w:val="000000"/>
          <w:lang w:eastAsia="da-DK"/>
        </w:rPr>
        <w:t xml:space="preserve">. </w:t>
      </w:r>
      <w:r w:rsidR="00962E72" w:rsidRPr="001C40E0">
        <w:rPr>
          <w:rFonts w:cs="Arial"/>
          <w:color w:val="000000"/>
          <w:lang w:eastAsia="da-DK"/>
        </w:rPr>
        <w:t xml:space="preserve">The United Nations defines sustainable land management (SLM) as “the use of land resources, including soils, water, animals and plants, for the production of goods to meet changing human needs, while simultaneously ensuring the long-term productive potential of these resources and the maintenance of their environmental functions”. </w:t>
      </w:r>
      <w:proofErr w:type="spellStart"/>
      <w:r w:rsidR="00962E72" w:rsidRPr="001C40E0">
        <w:rPr>
          <w:rFonts w:cs="Arial"/>
          <w:color w:val="000000"/>
          <w:lang w:eastAsia="da-DK"/>
        </w:rPr>
        <w:t>TerrAfrica</w:t>
      </w:r>
      <w:proofErr w:type="spellEnd"/>
      <w:r w:rsidR="00962E72" w:rsidRPr="001C40E0">
        <w:rPr>
          <w:rFonts w:cs="Arial"/>
          <w:color w:val="000000"/>
          <w:lang w:eastAsia="da-DK"/>
        </w:rPr>
        <w:t xml:space="preserve"> (2005) defines SLM as “the adoption of land-use systems that through appropriate management </w:t>
      </w:r>
      <w:r w:rsidR="00962E72" w:rsidRPr="001C40E0">
        <w:rPr>
          <w:rFonts w:cs="Arial"/>
          <w:color w:val="000000"/>
          <w:lang w:eastAsia="da-DK"/>
        </w:rPr>
        <w:lastRenderedPageBreak/>
        <w:t>practices enable land users to maximize the economic and social benefits from the land while maintaining or enhancing the ecological support functions of the land resources”.</w:t>
      </w:r>
    </w:p>
    <w:p w:rsidR="00962E72" w:rsidRPr="001C40E0" w:rsidRDefault="00962E72" w:rsidP="0070521F">
      <w:pPr>
        <w:autoSpaceDE w:val="0"/>
        <w:autoSpaceDN w:val="0"/>
        <w:adjustRightInd w:val="0"/>
        <w:rPr>
          <w:rFonts w:cs="Arial"/>
          <w:color w:val="000000"/>
          <w:lang w:eastAsia="da-DK"/>
        </w:rPr>
      </w:pPr>
    </w:p>
    <w:p w:rsidR="000967A5" w:rsidRPr="001C40E0" w:rsidRDefault="00D86586" w:rsidP="0070521F">
      <w:pPr>
        <w:autoSpaceDE w:val="0"/>
        <w:autoSpaceDN w:val="0"/>
        <w:adjustRightInd w:val="0"/>
        <w:rPr>
          <w:rFonts w:cs="Arial"/>
          <w:color w:val="000000"/>
          <w:lang w:eastAsia="da-DK"/>
        </w:rPr>
      </w:pPr>
      <w:r w:rsidRPr="001C40E0">
        <w:rPr>
          <w:rFonts w:cs="Arial"/>
          <w:color w:val="000000"/>
          <w:lang w:eastAsia="da-DK"/>
        </w:rPr>
        <w:t>S</w:t>
      </w:r>
      <w:r w:rsidR="000967A5" w:rsidRPr="001C40E0">
        <w:rPr>
          <w:rFonts w:cs="Arial"/>
          <w:color w:val="000000"/>
          <w:lang w:eastAsia="da-DK"/>
        </w:rPr>
        <w:t>ustainable Land</w:t>
      </w:r>
      <w:r w:rsidR="00BA44D7" w:rsidRPr="001C40E0">
        <w:rPr>
          <w:rFonts w:cs="Arial"/>
          <w:color w:val="000000"/>
          <w:lang w:eastAsia="da-DK"/>
        </w:rPr>
        <w:t xml:space="preserve"> </w:t>
      </w:r>
      <w:r w:rsidR="000967A5" w:rsidRPr="001C40E0">
        <w:rPr>
          <w:rFonts w:cs="Arial"/>
          <w:color w:val="000000"/>
          <w:lang w:eastAsia="da-DK"/>
        </w:rPr>
        <w:t xml:space="preserve">Management (SLM) </w:t>
      </w:r>
      <w:r w:rsidRPr="001C40E0">
        <w:rPr>
          <w:rFonts w:cs="Arial"/>
          <w:color w:val="000000"/>
          <w:lang w:eastAsia="da-DK"/>
        </w:rPr>
        <w:t xml:space="preserve">in general and the </w:t>
      </w:r>
      <w:r w:rsidR="00BA44D7" w:rsidRPr="001C40E0">
        <w:rPr>
          <w:rFonts w:cs="Arial"/>
          <w:color w:val="000000"/>
          <w:lang w:eastAsia="da-DK"/>
        </w:rPr>
        <w:t xml:space="preserve">GEF5 </w:t>
      </w:r>
      <w:r w:rsidRPr="001C40E0">
        <w:rPr>
          <w:rFonts w:cs="Arial"/>
          <w:color w:val="000000"/>
          <w:lang w:eastAsia="da-DK"/>
        </w:rPr>
        <w:t xml:space="preserve">SLM Project specifically </w:t>
      </w:r>
      <w:r w:rsidR="000967A5" w:rsidRPr="001C40E0">
        <w:rPr>
          <w:rFonts w:cs="Arial"/>
          <w:color w:val="000000"/>
          <w:lang w:eastAsia="da-DK"/>
        </w:rPr>
        <w:t xml:space="preserve">seeks to address </w:t>
      </w:r>
      <w:r w:rsidR="00C829E3" w:rsidRPr="001C40E0">
        <w:rPr>
          <w:rFonts w:cs="Arial"/>
          <w:color w:val="000000"/>
          <w:lang w:eastAsia="da-DK"/>
        </w:rPr>
        <w:t>the key drivers and direct pressures of land degradation, to capacitate, encourage and equip land users to adopt and maintain SLM better practices</w:t>
      </w:r>
      <w:r w:rsidR="009E6276" w:rsidRPr="001C40E0">
        <w:rPr>
          <w:rFonts w:cs="Arial"/>
          <w:color w:val="000000"/>
          <w:lang w:eastAsia="da-DK"/>
        </w:rPr>
        <w:t xml:space="preserve"> and by doing that, build resilience </w:t>
      </w:r>
      <w:r w:rsidR="00962E72" w:rsidRPr="001C40E0">
        <w:rPr>
          <w:rFonts w:cs="Arial"/>
          <w:color w:val="000000"/>
          <w:lang w:eastAsia="da-DK"/>
        </w:rPr>
        <w:t>towards the effects of land degradation processes, climate change and variability.</w:t>
      </w:r>
    </w:p>
    <w:p w:rsidR="00D86586" w:rsidRPr="001C40E0" w:rsidRDefault="00D86586" w:rsidP="0070521F">
      <w:pPr>
        <w:autoSpaceDE w:val="0"/>
        <w:autoSpaceDN w:val="0"/>
        <w:adjustRightInd w:val="0"/>
        <w:rPr>
          <w:rFonts w:cs="Arial"/>
          <w:color w:val="000000"/>
          <w:lang w:eastAsia="da-DK"/>
        </w:rPr>
      </w:pPr>
    </w:p>
    <w:p w:rsidR="000967A5" w:rsidRPr="001C40E0" w:rsidRDefault="00D86586" w:rsidP="0070521F">
      <w:pPr>
        <w:autoSpaceDE w:val="0"/>
        <w:autoSpaceDN w:val="0"/>
        <w:adjustRightInd w:val="0"/>
        <w:rPr>
          <w:rFonts w:cs="Arial"/>
          <w:color w:val="000000"/>
          <w:lang w:eastAsia="da-DK"/>
        </w:rPr>
      </w:pPr>
      <w:r w:rsidRPr="001C40E0">
        <w:rPr>
          <w:rFonts w:cs="Arial"/>
          <w:color w:val="000000"/>
          <w:lang w:eastAsia="da-DK"/>
        </w:rPr>
        <w:t>I</w:t>
      </w:r>
      <w:r w:rsidR="000967A5" w:rsidRPr="001C40E0">
        <w:rPr>
          <w:rFonts w:cs="Arial"/>
          <w:color w:val="000000"/>
          <w:lang w:eastAsia="da-DK"/>
        </w:rPr>
        <w:t>mportantly, there are synergies with other areas of landscape level conservation, such as protected and conserved area expansion</w:t>
      </w:r>
      <w:r w:rsidR="00DA5A00" w:rsidRPr="001C40E0">
        <w:rPr>
          <w:rFonts w:cs="Arial"/>
          <w:color w:val="000000"/>
          <w:lang w:eastAsia="da-DK"/>
        </w:rPr>
        <w:t xml:space="preserve">, the Biodiversity Stewardship </w:t>
      </w:r>
      <w:proofErr w:type="spellStart"/>
      <w:r w:rsidR="00DA5A00" w:rsidRPr="001C40E0">
        <w:rPr>
          <w:rFonts w:cs="Arial"/>
          <w:color w:val="000000"/>
          <w:lang w:eastAsia="da-DK"/>
        </w:rPr>
        <w:t>Programme</w:t>
      </w:r>
      <w:proofErr w:type="spellEnd"/>
      <w:r w:rsidR="00DA5A00" w:rsidRPr="001C40E0">
        <w:rPr>
          <w:rFonts w:cs="Arial"/>
          <w:color w:val="000000"/>
          <w:lang w:eastAsia="da-DK"/>
        </w:rPr>
        <w:t xml:space="preserve">, Ecosystem-based Adaptation and initiatives like The Sustainable Initiative of South Africa (SIZA) and the Natural Resources </w:t>
      </w:r>
      <w:proofErr w:type="spellStart"/>
      <w:r w:rsidR="00DA5A00" w:rsidRPr="001C40E0">
        <w:rPr>
          <w:rFonts w:cs="Arial"/>
          <w:color w:val="000000"/>
          <w:lang w:eastAsia="da-DK"/>
        </w:rPr>
        <w:t>Programmes</w:t>
      </w:r>
      <w:proofErr w:type="spellEnd"/>
      <w:r w:rsidR="00DA5A00" w:rsidRPr="001C40E0">
        <w:rPr>
          <w:rFonts w:cs="Arial"/>
          <w:color w:val="000000"/>
          <w:lang w:eastAsia="da-DK"/>
        </w:rPr>
        <w:t xml:space="preserve"> of the DEFF and the </w:t>
      </w:r>
      <w:proofErr w:type="spellStart"/>
      <w:r w:rsidR="00DA5A00" w:rsidRPr="001C40E0">
        <w:rPr>
          <w:rFonts w:cs="Arial"/>
          <w:color w:val="000000"/>
          <w:lang w:eastAsia="da-DK"/>
        </w:rPr>
        <w:t>Landcare</w:t>
      </w:r>
      <w:proofErr w:type="spellEnd"/>
      <w:r w:rsidR="00DA5A00" w:rsidRPr="001C40E0">
        <w:rPr>
          <w:rFonts w:cs="Arial"/>
          <w:color w:val="000000"/>
          <w:lang w:eastAsia="da-DK"/>
        </w:rPr>
        <w:t xml:space="preserve"> Program of the Department of Agriculture, Rural Development and Land Reform, </w:t>
      </w:r>
      <w:r w:rsidR="000967A5" w:rsidRPr="001C40E0">
        <w:rPr>
          <w:rFonts w:cs="Arial"/>
          <w:color w:val="000000"/>
          <w:lang w:eastAsia="da-DK"/>
        </w:rPr>
        <w:t>that if harnessed</w:t>
      </w:r>
      <w:r w:rsidR="001C40E0" w:rsidRPr="001C40E0">
        <w:rPr>
          <w:rFonts w:cs="Arial"/>
          <w:color w:val="000000"/>
          <w:lang w:eastAsia="da-DK"/>
        </w:rPr>
        <w:t>,</w:t>
      </w:r>
      <w:r w:rsidR="000967A5" w:rsidRPr="001C40E0">
        <w:rPr>
          <w:rFonts w:cs="Arial"/>
          <w:color w:val="000000"/>
          <w:lang w:eastAsia="da-DK"/>
        </w:rPr>
        <w:t xml:space="preserve"> will assist in delivering the objectives of sustainable landscapes</w:t>
      </w:r>
      <w:r w:rsidRPr="001C40E0">
        <w:rPr>
          <w:rFonts w:cs="Arial"/>
          <w:color w:val="000000"/>
          <w:lang w:eastAsia="da-DK"/>
        </w:rPr>
        <w:t xml:space="preserve">. </w:t>
      </w:r>
      <w:r w:rsidR="000967A5" w:rsidRPr="001C40E0">
        <w:rPr>
          <w:rFonts w:cs="Arial"/>
          <w:color w:val="000000"/>
          <w:lang w:eastAsia="da-DK"/>
        </w:rPr>
        <w:t xml:space="preserve">If SLM and other landscape interventions are to fully achieve their </w:t>
      </w:r>
      <w:r w:rsidR="00DA5A00" w:rsidRPr="001C40E0">
        <w:rPr>
          <w:rFonts w:cs="Arial"/>
          <w:color w:val="000000"/>
          <w:lang w:eastAsia="da-DK"/>
        </w:rPr>
        <w:t>objectives,</w:t>
      </w:r>
      <w:r w:rsidR="000967A5" w:rsidRPr="001C40E0">
        <w:rPr>
          <w:rFonts w:cs="Arial"/>
          <w:color w:val="000000"/>
          <w:lang w:eastAsia="da-DK"/>
        </w:rPr>
        <w:t xml:space="preserve"> they require adequate financing and resourcing</w:t>
      </w:r>
      <w:r w:rsidRPr="001C40E0">
        <w:rPr>
          <w:rFonts w:cs="Arial"/>
          <w:color w:val="000000"/>
          <w:lang w:eastAsia="da-DK"/>
        </w:rPr>
        <w:t>.</w:t>
      </w:r>
    </w:p>
    <w:p w:rsidR="00D86586" w:rsidRPr="001C40E0" w:rsidRDefault="00D86586" w:rsidP="0070521F">
      <w:pPr>
        <w:autoSpaceDE w:val="0"/>
        <w:autoSpaceDN w:val="0"/>
        <w:adjustRightInd w:val="0"/>
        <w:rPr>
          <w:rFonts w:cs="Arial"/>
          <w:color w:val="000000"/>
          <w:lang w:eastAsia="da-DK"/>
        </w:rPr>
      </w:pPr>
    </w:p>
    <w:p w:rsidR="000967A5" w:rsidRPr="001C40E0" w:rsidRDefault="00D86586" w:rsidP="0070521F">
      <w:pPr>
        <w:autoSpaceDE w:val="0"/>
        <w:autoSpaceDN w:val="0"/>
        <w:adjustRightInd w:val="0"/>
        <w:rPr>
          <w:rFonts w:cs="Arial"/>
          <w:color w:val="000000"/>
          <w:lang w:eastAsia="da-DK"/>
        </w:rPr>
      </w:pPr>
      <w:r w:rsidRPr="001C40E0">
        <w:rPr>
          <w:rFonts w:cs="Arial"/>
          <w:color w:val="000000"/>
          <w:lang w:eastAsia="da-DK"/>
        </w:rPr>
        <w:t>C</w:t>
      </w:r>
      <w:r w:rsidR="000967A5" w:rsidRPr="001C40E0">
        <w:rPr>
          <w:rFonts w:cs="Arial"/>
          <w:color w:val="000000"/>
          <w:lang w:eastAsia="da-DK"/>
        </w:rPr>
        <w:t xml:space="preserve">urrently, SLM, along with many other areas of landscape conservation, are heavily </w:t>
      </w:r>
      <w:r w:rsidRPr="001C40E0">
        <w:rPr>
          <w:rFonts w:cs="Arial"/>
          <w:color w:val="000000"/>
          <w:lang w:eastAsia="da-DK"/>
        </w:rPr>
        <w:t>u</w:t>
      </w:r>
      <w:r w:rsidR="000967A5" w:rsidRPr="001C40E0">
        <w:rPr>
          <w:rFonts w:cs="Arial"/>
          <w:color w:val="000000"/>
          <w:lang w:eastAsia="da-DK"/>
        </w:rPr>
        <w:t>nderfunded and have little or no financial sustainability that is independent of traditional grant or funding mechanisms</w:t>
      </w:r>
      <w:r w:rsidRPr="001C40E0">
        <w:rPr>
          <w:rFonts w:cs="Arial"/>
          <w:color w:val="000000"/>
          <w:lang w:eastAsia="da-DK"/>
        </w:rPr>
        <w:t>. T</w:t>
      </w:r>
      <w:r w:rsidR="000967A5" w:rsidRPr="001C40E0">
        <w:rPr>
          <w:rFonts w:cs="Arial"/>
          <w:color w:val="000000"/>
          <w:lang w:eastAsia="da-DK"/>
        </w:rPr>
        <w:t xml:space="preserve">his lack of financial sustainability and innovation impacts the level of SLM conducted and the scale at which </w:t>
      </w:r>
      <w:r w:rsidRPr="001C40E0">
        <w:rPr>
          <w:rFonts w:cs="Arial"/>
          <w:color w:val="000000"/>
          <w:lang w:eastAsia="da-DK"/>
        </w:rPr>
        <w:t xml:space="preserve">land degradation </w:t>
      </w:r>
      <w:r w:rsidR="000967A5" w:rsidRPr="001C40E0">
        <w:rPr>
          <w:rFonts w:cs="Arial"/>
          <w:color w:val="000000"/>
          <w:lang w:eastAsia="da-DK"/>
        </w:rPr>
        <w:t>problems can be addressed</w:t>
      </w:r>
      <w:r w:rsidRPr="001C40E0">
        <w:rPr>
          <w:rFonts w:cs="Arial"/>
          <w:color w:val="000000"/>
          <w:lang w:eastAsia="da-DK"/>
        </w:rPr>
        <w:t xml:space="preserve">. </w:t>
      </w:r>
      <w:r w:rsidR="000967A5" w:rsidRPr="001C40E0">
        <w:rPr>
          <w:rFonts w:cs="Arial"/>
          <w:color w:val="000000"/>
          <w:lang w:eastAsia="da-DK"/>
        </w:rPr>
        <w:t>If sustainable landscapes are to be addressed and fully achieve their ultimate impact, the finance gap for landscapes needs to be systematically addressed.</w:t>
      </w:r>
    </w:p>
    <w:p w:rsidR="000967A5" w:rsidRPr="001C40E0" w:rsidRDefault="000967A5" w:rsidP="0070521F">
      <w:pPr>
        <w:autoSpaceDE w:val="0"/>
        <w:autoSpaceDN w:val="0"/>
        <w:adjustRightInd w:val="0"/>
        <w:rPr>
          <w:rFonts w:cs="Arial"/>
          <w:color w:val="000000"/>
          <w:lang w:eastAsia="da-DK"/>
        </w:rPr>
      </w:pPr>
    </w:p>
    <w:p w:rsidR="00F37D1C" w:rsidRPr="001C40E0" w:rsidRDefault="00F37D1C" w:rsidP="0070521F">
      <w:pPr>
        <w:autoSpaceDE w:val="0"/>
        <w:autoSpaceDN w:val="0"/>
        <w:adjustRightInd w:val="0"/>
        <w:rPr>
          <w:rFonts w:cs="Arial"/>
          <w:color w:val="000000"/>
          <w:lang w:eastAsia="da-DK"/>
        </w:rPr>
      </w:pPr>
    </w:p>
    <w:p w:rsidR="00F37D1C" w:rsidRPr="001C40E0" w:rsidRDefault="00F37D1C" w:rsidP="0070521F">
      <w:pPr>
        <w:autoSpaceDE w:val="0"/>
        <w:autoSpaceDN w:val="0"/>
        <w:adjustRightInd w:val="0"/>
        <w:rPr>
          <w:rFonts w:cs="Arial"/>
          <w:color w:val="000000"/>
          <w:lang w:eastAsia="da-DK"/>
        </w:rPr>
      </w:pPr>
      <w:r w:rsidRPr="001C40E0">
        <w:rPr>
          <w:rFonts w:cs="Arial"/>
          <w:b/>
          <w:bCs/>
          <w:color w:val="000000"/>
          <w:lang w:eastAsia="da-DK"/>
        </w:rPr>
        <w:t xml:space="preserve">3. OBJECTIVE </w:t>
      </w:r>
    </w:p>
    <w:p w:rsidR="00145E39" w:rsidRPr="001C40E0" w:rsidRDefault="00145E39" w:rsidP="0070521F">
      <w:pPr>
        <w:autoSpaceDE w:val="0"/>
        <w:autoSpaceDN w:val="0"/>
        <w:adjustRightInd w:val="0"/>
        <w:rPr>
          <w:rFonts w:cs="Arial"/>
          <w:color w:val="000000"/>
          <w:lang w:eastAsia="da-DK"/>
        </w:rPr>
      </w:pPr>
    </w:p>
    <w:p w:rsidR="00A6031A" w:rsidRDefault="00145E39" w:rsidP="00A6031A">
      <w:pPr>
        <w:numPr>
          <w:ilvl w:val="0"/>
          <w:numId w:val="2"/>
        </w:numPr>
        <w:autoSpaceDE w:val="0"/>
        <w:autoSpaceDN w:val="0"/>
        <w:adjustRightInd w:val="0"/>
        <w:rPr>
          <w:rFonts w:cs="Arial"/>
          <w:color w:val="000000"/>
          <w:lang w:eastAsia="da-DK"/>
        </w:rPr>
      </w:pPr>
      <w:r w:rsidRPr="001C40E0">
        <w:rPr>
          <w:rFonts w:cs="Arial"/>
          <w:color w:val="000000"/>
          <w:lang w:eastAsia="da-DK"/>
        </w:rPr>
        <w:t xml:space="preserve">In addressing the above challenge, </w:t>
      </w:r>
      <w:r w:rsidR="00A6031A">
        <w:rPr>
          <w:rFonts w:cs="Arial"/>
          <w:color w:val="000000"/>
          <w:lang w:eastAsia="da-DK"/>
        </w:rPr>
        <w:t>and to achieve the project outcome of strengthening finance and governance frameworks to support the adoption of SLM approaches, the project seeks to achieve two main targets:</w:t>
      </w:r>
    </w:p>
    <w:p w:rsidR="00A6031A" w:rsidRDefault="00A6031A" w:rsidP="00A6031A">
      <w:pPr>
        <w:pStyle w:val="ListParagraph"/>
        <w:numPr>
          <w:ilvl w:val="0"/>
          <w:numId w:val="8"/>
        </w:numPr>
        <w:autoSpaceDE w:val="0"/>
        <w:autoSpaceDN w:val="0"/>
        <w:adjustRightInd w:val="0"/>
        <w:rPr>
          <w:rFonts w:cs="Arial"/>
          <w:color w:val="000000"/>
          <w:lang w:eastAsia="da-DK"/>
        </w:rPr>
      </w:pPr>
      <w:r w:rsidRPr="00A6031A">
        <w:rPr>
          <w:rFonts w:cs="Arial"/>
          <w:color w:val="000000"/>
          <w:lang w:eastAsia="da-DK"/>
        </w:rPr>
        <w:t xml:space="preserve">SLM practices are mainstreamed into national and subnational strategies for development and land-use planning </w:t>
      </w:r>
      <w:r>
        <w:rPr>
          <w:rFonts w:cs="Arial"/>
          <w:color w:val="000000"/>
          <w:lang w:eastAsia="da-DK"/>
        </w:rPr>
        <w:t>and</w:t>
      </w:r>
    </w:p>
    <w:p w:rsidR="00A6031A" w:rsidRDefault="00A6031A" w:rsidP="00A6031A">
      <w:pPr>
        <w:pStyle w:val="ListParagraph"/>
        <w:numPr>
          <w:ilvl w:val="0"/>
          <w:numId w:val="8"/>
        </w:numPr>
        <w:autoSpaceDE w:val="0"/>
        <w:autoSpaceDN w:val="0"/>
        <w:adjustRightInd w:val="0"/>
        <w:rPr>
          <w:rFonts w:cs="Arial"/>
          <w:color w:val="000000"/>
          <w:lang w:eastAsia="da-DK"/>
        </w:rPr>
      </w:pPr>
      <w:r w:rsidRPr="00A6031A">
        <w:rPr>
          <w:rFonts w:cs="Arial"/>
          <w:color w:val="000000"/>
          <w:lang w:eastAsia="da-DK"/>
        </w:rPr>
        <w:t>SLM objectives are mainstreamed into public expenditure, agricultural subsidies and land reform incentives</w:t>
      </w:r>
      <w:r w:rsidR="006B75CC">
        <w:rPr>
          <w:rFonts w:cs="Arial"/>
          <w:color w:val="000000"/>
          <w:lang w:eastAsia="da-DK"/>
        </w:rPr>
        <w:t>.</w:t>
      </w:r>
    </w:p>
    <w:p w:rsidR="00A6031A" w:rsidRDefault="00A6031A" w:rsidP="0089734A">
      <w:pPr>
        <w:pStyle w:val="ListParagraph"/>
        <w:numPr>
          <w:ilvl w:val="0"/>
          <w:numId w:val="0"/>
        </w:numPr>
        <w:autoSpaceDE w:val="0"/>
        <w:autoSpaceDN w:val="0"/>
        <w:adjustRightInd w:val="0"/>
        <w:ind w:left="720"/>
        <w:rPr>
          <w:rFonts w:cs="Arial"/>
          <w:color w:val="000000"/>
          <w:lang w:eastAsia="da-DK"/>
        </w:rPr>
      </w:pPr>
    </w:p>
    <w:p w:rsidR="00145E39" w:rsidRPr="00A6031A" w:rsidRDefault="00A6031A" w:rsidP="0089734A">
      <w:pPr>
        <w:pStyle w:val="ListParagraph"/>
        <w:numPr>
          <w:ilvl w:val="0"/>
          <w:numId w:val="9"/>
        </w:numPr>
        <w:autoSpaceDE w:val="0"/>
        <w:autoSpaceDN w:val="0"/>
        <w:adjustRightInd w:val="0"/>
        <w:rPr>
          <w:rFonts w:cs="Arial"/>
          <w:color w:val="000000"/>
          <w:lang w:eastAsia="da-DK"/>
        </w:rPr>
      </w:pPr>
      <w:r>
        <w:rPr>
          <w:rFonts w:cs="Arial"/>
          <w:color w:val="000000"/>
          <w:lang w:eastAsia="da-DK"/>
        </w:rPr>
        <w:t>Since project inception, the sustainable financing and governance support landscape has progressed, making it important to achieve project targets through building on existing</w:t>
      </w:r>
      <w:r w:rsidR="00D87383">
        <w:rPr>
          <w:rFonts w:cs="Arial"/>
          <w:color w:val="000000"/>
          <w:lang w:eastAsia="da-DK"/>
        </w:rPr>
        <w:t xml:space="preserve"> structures for application into SLM. We hence suggest </w:t>
      </w:r>
      <w:r w:rsidR="00EF7926">
        <w:rPr>
          <w:rFonts w:cs="Arial"/>
          <w:color w:val="000000"/>
          <w:lang w:eastAsia="da-DK"/>
        </w:rPr>
        <w:t>four</w:t>
      </w:r>
      <w:r w:rsidR="00D87383">
        <w:rPr>
          <w:rFonts w:cs="Arial"/>
          <w:color w:val="000000"/>
          <w:lang w:eastAsia="da-DK"/>
        </w:rPr>
        <w:t xml:space="preserve"> main objectives</w:t>
      </w:r>
      <w:r w:rsidR="00C7555E">
        <w:rPr>
          <w:rFonts w:cs="Arial"/>
          <w:color w:val="000000"/>
          <w:lang w:eastAsia="da-DK"/>
        </w:rPr>
        <w:t xml:space="preserve"> to achieve the above targets</w:t>
      </w:r>
      <w:r w:rsidR="00D87383">
        <w:rPr>
          <w:rFonts w:cs="Arial"/>
          <w:color w:val="000000"/>
          <w:lang w:eastAsia="da-DK"/>
        </w:rPr>
        <w:t>:</w:t>
      </w:r>
    </w:p>
    <w:p w:rsidR="00EF7926" w:rsidRDefault="00EF7926" w:rsidP="00E023CA">
      <w:pPr>
        <w:numPr>
          <w:ilvl w:val="0"/>
          <w:numId w:val="11"/>
        </w:numPr>
        <w:autoSpaceDE w:val="0"/>
        <w:autoSpaceDN w:val="0"/>
        <w:adjustRightInd w:val="0"/>
        <w:rPr>
          <w:rFonts w:cs="Arial"/>
          <w:color w:val="000000"/>
          <w:lang w:eastAsia="da-DK"/>
        </w:rPr>
      </w:pPr>
      <w:r>
        <w:rPr>
          <w:rFonts w:cs="Arial"/>
          <w:color w:val="000000"/>
          <w:lang w:eastAsia="da-DK"/>
        </w:rPr>
        <w:t>D</w:t>
      </w:r>
      <w:r w:rsidR="00D87383">
        <w:rPr>
          <w:rFonts w:cs="Arial"/>
          <w:color w:val="000000"/>
          <w:lang w:eastAsia="da-DK"/>
        </w:rPr>
        <w:t>evelop an</w:t>
      </w:r>
      <w:r w:rsidR="00145E39" w:rsidRPr="001C40E0">
        <w:rPr>
          <w:rFonts w:cs="Arial"/>
          <w:color w:val="000000"/>
          <w:lang w:eastAsia="da-DK"/>
        </w:rPr>
        <w:t xml:space="preserve"> SLM Finance Strategy </w:t>
      </w:r>
      <w:r w:rsidR="00D87383">
        <w:rPr>
          <w:rFonts w:cs="Arial"/>
          <w:color w:val="000000"/>
          <w:lang w:eastAsia="da-DK"/>
        </w:rPr>
        <w:t>with</w:t>
      </w:r>
      <w:r w:rsidR="004350CA">
        <w:rPr>
          <w:rFonts w:cs="Arial"/>
          <w:color w:val="000000"/>
          <w:lang w:eastAsia="da-DK"/>
        </w:rPr>
        <w:t xml:space="preserve">in the agricultural sector for </w:t>
      </w:r>
      <w:r>
        <w:rPr>
          <w:rFonts w:cs="Arial"/>
          <w:color w:val="000000"/>
          <w:lang w:eastAsia="da-DK"/>
        </w:rPr>
        <w:t xml:space="preserve">integrative </w:t>
      </w:r>
      <w:r w:rsidR="004350CA">
        <w:rPr>
          <w:rFonts w:cs="Arial"/>
          <w:color w:val="000000"/>
          <w:lang w:eastAsia="da-DK"/>
        </w:rPr>
        <w:t>mainstreaming into national and sub-national policies</w:t>
      </w:r>
      <w:r>
        <w:rPr>
          <w:rFonts w:cs="Arial"/>
          <w:color w:val="000000"/>
          <w:lang w:eastAsia="da-DK"/>
        </w:rPr>
        <w:t>.</w:t>
      </w:r>
    </w:p>
    <w:p w:rsidR="00145E39" w:rsidRPr="001C40E0" w:rsidRDefault="00EF7926" w:rsidP="0089734A">
      <w:pPr>
        <w:numPr>
          <w:ilvl w:val="0"/>
          <w:numId w:val="11"/>
        </w:numPr>
        <w:autoSpaceDE w:val="0"/>
        <w:autoSpaceDN w:val="0"/>
        <w:adjustRightInd w:val="0"/>
        <w:rPr>
          <w:rFonts w:cs="Arial"/>
          <w:color w:val="000000"/>
          <w:lang w:eastAsia="da-DK"/>
        </w:rPr>
      </w:pPr>
      <w:r>
        <w:rPr>
          <w:rFonts w:cs="Arial"/>
          <w:color w:val="000000"/>
          <w:lang w:eastAsia="da-DK"/>
        </w:rPr>
        <w:t>Identify through the strategy a set of key recommendations</w:t>
      </w:r>
      <w:r w:rsidR="00145E39" w:rsidRPr="001C40E0">
        <w:rPr>
          <w:rFonts w:cs="Arial"/>
          <w:color w:val="000000"/>
          <w:lang w:eastAsia="da-DK"/>
        </w:rPr>
        <w:t xml:space="preserve"> towards sustainably financing SLM in South Africa</w:t>
      </w:r>
      <w:r>
        <w:rPr>
          <w:rFonts w:cs="Arial"/>
          <w:color w:val="000000"/>
          <w:lang w:eastAsia="da-DK"/>
        </w:rPr>
        <w:t xml:space="preserve"> with the most viable solutions</w:t>
      </w:r>
      <w:r w:rsidR="00145E39" w:rsidRPr="001C40E0">
        <w:rPr>
          <w:rFonts w:cs="Arial"/>
          <w:color w:val="000000"/>
          <w:lang w:eastAsia="da-DK"/>
        </w:rPr>
        <w:t>;</w:t>
      </w:r>
    </w:p>
    <w:p w:rsidR="00145E39" w:rsidRPr="001C40E0" w:rsidRDefault="00EF7926" w:rsidP="0089734A">
      <w:pPr>
        <w:numPr>
          <w:ilvl w:val="0"/>
          <w:numId w:val="11"/>
        </w:numPr>
        <w:autoSpaceDE w:val="0"/>
        <w:autoSpaceDN w:val="0"/>
        <w:adjustRightInd w:val="0"/>
        <w:rPr>
          <w:rFonts w:cs="Arial"/>
          <w:color w:val="000000"/>
          <w:lang w:eastAsia="da-DK"/>
        </w:rPr>
      </w:pPr>
      <w:r>
        <w:rPr>
          <w:rFonts w:cs="Arial"/>
          <w:color w:val="000000"/>
          <w:lang w:eastAsia="da-DK"/>
        </w:rPr>
        <w:t>C</w:t>
      </w:r>
      <w:r w:rsidR="00145E39" w:rsidRPr="001C40E0">
        <w:rPr>
          <w:rFonts w:cs="Arial"/>
          <w:color w:val="000000"/>
          <w:lang w:eastAsia="da-DK"/>
        </w:rPr>
        <w:t>reat</w:t>
      </w:r>
      <w:r w:rsidR="00D87383">
        <w:rPr>
          <w:rFonts w:cs="Arial"/>
          <w:color w:val="000000"/>
          <w:lang w:eastAsia="da-DK"/>
        </w:rPr>
        <w:t>e</w:t>
      </w:r>
      <w:r w:rsidR="00145E39" w:rsidRPr="001C40E0">
        <w:rPr>
          <w:rFonts w:cs="Arial"/>
          <w:color w:val="000000"/>
          <w:lang w:eastAsia="da-DK"/>
        </w:rPr>
        <w:t xml:space="preserve"> a roadmap</w:t>
      </w:r>
      <w:r>
        <w:rPr>
          <w:rFonts w:cs="Arial"/>
          <w:color w:val="000000"/>
          <w:lang w:eastAsia="da-DK"/>
        </w:rPr>
        <w:t xml:space="preserve"> through an enabling environment</w:t>
      </w:r>
      <w:r w:rsidR="00145E39" w:rsidRPr="001C40E0">
        <w:rPr>
          <w:rFonts w:cs="Arial"/>
          <w:color w:val="000000"/>
          <w:lang w:eastAsia="da-DK"/>
        </w:rPr>
        <w:t xml:space="preserve"> to implement these recommendations for addressing the finance gap by systematically detailing potential finance solutions that could be piloted</w:t>
      </w:r>
      <w:r>
        <w:rPr>
          <w:rFonts w:cs="Arial"/>
          <w:color w:val="000000"/>
          <w:lang w:eastAsia="da-DK"/>
        </w:rPr>
        <w:t>;</w:t>
      </w:r>
    </w:p>
    <w:p w:rsidR="00145E39" w:rsidRPr="00EF7926" w:rsidRDefault="00EF7926" w:rsidP="0089734A">
      <w:pPr>
        <w:numPr>
          <w:ilvl w:val="0"/>
          <w:numId w:val="11"/>
        </w:numPr>
        <w:autoSpaceDE w:val="0"/>
        <w:autoSpaceDN w:val="0"/>
        <w:adjustRightInd w:val="0"/>
        <w:rPr>
          <w:rFonts w:cs="Arial"/>
          <w:color w:val="000000"/>
          <w:lang w:eastAsia="da-DK"/>
        </w:rPr>
      </w:pPr>
      <w:r>
        <w:rPr>
          <w:rFonts w:cs="Arial"/>
          <w:color w:val="000000"/>
          <w:lang w:eastAsia="da-DK"/>
        </w:rPr>
        <w:t>I</w:t>
      </w:r>
      <w:r w:rsidR="00D87383">
        <w:rPr>
          <w:rFonts w:cs="Arial"/>
          <w:color w:val="000000"/>
          <w:lang w:eastAsia="da-DK"/>
        </w:rPr>
        <w:t>mplement the</w:t>
      </w:r>
      <w:r w:rsidR="00D8565B" w:rsidRPr="001C40E0">
        <w:rPr>
          <w:rFonts w:cs="Arial"/>
          <w:color w:val="000000"/>
          <w:lang w:eastAsia="da-DK"/>
        </w:rPr>
        <w:t xml:space="preserve"> </w:t>
      </w:r>
      <w:r w:rsidR="00085069">
        <w:rPr>
          <w:rFonts w:cs="Arial"/>
          <w:color w:val="000000"/>
          <w:lang w:eastAsia="da-DK"/>
        </w:rPr>
        <w:t>SLM Finance S</w:t>
      </w:r>
      <w:r w:rsidR="00D8565B" w:rsidRPr="001C40E0">
        <w:rPr>
          <w:rFonts w:cs="Arial"/>
          <w:color w:val="000000"/>
          <w:lang w:eastAsia="da-DK"/>
        </w:rPr>
        <w:t>trategy</w:t>
      </w:r>
      <w:r w:rsidR="00D87383">
        <w:rPr>
          <w:rFonts w:cs="Arial"/>
          <w:color w:val="000000"/>
          <w:lang w:eastAsia="da-DK"/>
        </w:rPr>
        <w:t xml:space="preserve">, </w:t>
      </w:r>
      <w:r w:rsidR="00D8565B" w:rsidRPr="001C40E0">
        <w:rPr>
          <w:rFonts w:cs="Arial"/>
          <w:color w:val="000000"/>
          <w:lang w:eastAsia="da-DK"/>
        </w:rPr>
        <w:t xml:space="preserve">piloted in </w:t>
      </w:r>
      <w:r w:rsidR="00BA533A" w:rsidRPr="001C40E0">
        <w:rPr>
          <w:rFonts w:cs="Arial"/>
          <w:color w:val="000000"/>
          <w:lang w:eastAsia="da-DK"/>
        </w:rPr>
        <w:t xml:space="preserve">at least one of the </w:t>
      </w:r>
      <w:r w:rsidR="00D8565B" w:rsidRPr="001C40E0">
        <w:rPr>
          <w:rFonts w:cs="Arial"/>
          <w:color w:val="000000"/>
          <w:lang w:eastAsia="da-DK"/>
        </w:rPr>
        <w:t xml:space="preserve">three project landscapes </w:t>
      </w:r>
      <w:r>
        <w:rPr>
          <w:rFonts w:cs="Arial"/>
          <w:color w:val="000000"/>
          <w:lang w:eastAsia="da-DK"/>
        </w:rPr>
        <w:t xml:space="preserve">(Eastern Cape, Karoo, </w:t>
      </w:r>
      <w:proofErr w:type="spellStart"/>
      <w:r>
        <w:rPr>
          <w:rFonts w:cs="Arial"/>
          <w:color w:val="000000"/>
          <w:lang w:eastAsia="da-DK"/>
        </w:rPr>
        <w:t>Olifants</w:t>
      </w:r>
      <w:proofErr w:type="spellEnd"/>
      <w:r>
        <w:rPr>
          <w:rFonts w:cs="Arial"/>
          <w:color w:val="000000"/>
          <w:lang w:eastAsia="da-DK"/>
        </w:rPr>
        <w:t xml:space="preserve">) </w:t>
      </w:r>
      <w:r w:rsidR="00D8565B" w:rsidRPr="001C40E0">
        <w:rPr>
          <w:rFonts w:cs="Arial"/>
          <w:color w:val="000000"/>
          <w:lang w:eastAsia="da-DK"/>
        </w:rPr>
        <w:t>with the help and assistance of the Responsible Parties</w:t>
      </w:r>
      <w:r w:rsidR="001C40E0" w:rsidRPr="001C40E0">
        <w:rPr>
          <w:rFonts w:cs="Arial"/>
          <w:color w:val="000000"/>
          <w:lang w:eastAsia="da-DK"/>
        </w:rPr>
        <w:t>,</w:t>
      </w:r>
      <w:r w:rsidR="00D8565B" w:rsidRPr="001C40E0">
        <w:rPr>
          <w:rFonts w:cs="Arial"/>
          <w:color w:val="000000"/>
          <w:lang w:eastAsia="da-DK"/>
        </w:rPr>
        <w:t xml:space="preserve"> responsible for that landscape.</w:t>
      </w:r>
    </w:p>
    <w:p w:rsidR="000967A5" w:rsidRPr="0089734A" w:rsidRDefault="000967A5" w:rsidP="0070521F"/>
    <w:p w:rsidR="000967A5" w:rsidRDefault="000967A5" w:rsidP="0070521F">
      <w:pPr>
        <w:rPr>
          <w:b/>
          <w:bCs/>
        </w:rPr>
      </w:pPr>
      <w:r w:rsidRPr="0089734A">
        <w:rPr>
          <w:b/>
          <w:bCs/>
        </w:rPr>
        <w:t>4. SCOPE OF WORK</w:t>
      </w:r>
    </w:p>
    <w:p w:rsidR="003F4047" w:rsidRPr="0089734A" w:rsidRDefault="003F4047" w:rsidP="0070521F">
      <w:r>
        <w:t xml:space="preserve">The selected consultant will work closely with the Project Manager of the GEF5 SLM Project and the respective Responsible Party project managers in the landscapes to achieve the objectives and targets. The efforts of the consultant will have the support of the project Implementing Partners, DEFF and DALRRD. </w:t>
      </w:r>
    </w:p>
    <w:p w:rsidR="000967A5" w:rsidRPr="0089734A" w:rsidRDefault="000967A5" w:rsidP="0070521F"/>
    <w:p w:rsidR="00E023CA" w:rsidRPr="0089734A" w:rsidRDefault="00D97CD4" w:rsidP="0070521F">
      <w:pPr>
        <w:rPr>
          <w:b/>
          <w:bCs/>
        </w:rPr>
      </w:pPr>
      <w:r w:rsidRPr="0089734A">
        <w:rPr>
          <w:b/>
          <w:bCs/>
        </w:rPr>
        <w:t xml:space="preserve">4.1 Development of </w:t>
      </w:r>
      <w:r w:rsidR="001C40E0" w:rsidRPr="0089734A">
        <w:rPr>
          <w:b/>
          <w:bCs/>
        </w:rPr>
        <w:t xml:space="preserve">a </w:t>
      </w:r>
      <w:r w:rsidRPr="0089734A">
        <w:rPr>
          <w:b/>
          <w:bCs/>
        </w:rPr>
        <w:t>Sustainable Land Management (SLM) Finance Strategy</w:t>
      </w:r>
    </w:p>
    <w:p w:rsidR="00E023CA" w:rsidRPr="0089734A" w:rsidRDefault="00E023CA" w:rsidP="0070521F"/>
    <w:p w:rsidR="00854CE7" w:rsidRDefault="00145E39" w:rsidP="0089734A">
      <w:r w:rsidRPr="0089734A">
        <w:t xml:space="preserve">The </w:t>
      </w:r>
      <w:r w:rsidR="00123509">
        <w:t>SLM Finance S</w:t>
      </w:r>
      <w:r w:rsidRPr="0089734A">
        <w:t>trategy should detail</w:t>
      </w:r>
      <w:r w:rsidR="00E023CA">
        <w:t>:</w:t>
      </w:r>
    </w:p>
    <w:p w:rsidR="00854CE7" w:rsidRDefault="00145E39">
      <w:pPr>
        <w:pStyle w:val="ListParagraph"/>
      </w:pPr>
      <w:r w:rsidRPr="0089734A">
        <w:t>the most viable possible finance solutions and their critical success factors</w:t>
      </w:r>
      <w:r w:rsidR="00085069">
        <w:t>,</w:t>
      </w:r>
      <w:r w:rsidR="00DF5D44">
        <w:t xml:space="preserve"> taking into account the strengthening of governance capacities required for the finance solutions to be successful;</w:t>
      </w:r>
    </w:p>
    <w:p w:rsidR="00854CE7" w:rsidRDefault="00145E39" w:rsidP="0089734A">
      <w:pPr>
        <w:pStyle w:val="ListParagraph"/>
        <w:numPr>
          <w:ilvl w:val="0"/>
          <w:numId w:val="16"/>
        </w:numPr>
      </w:pPr>
      <w:r w:rsidRPr="0089734A">
        <w:t xml:space="preserve">determine how </w:t>
      </w:r>
      <w:r w:rsidR="00854CE7">
        <w:t xml:space="preserve">finance solutions </w:t>
      </w:r>
      <w:r w:rsidRPr="0089734A">
        <w:t xml:space="preserve">can be scoped, piloted, </w:t>
      </w:r>
      <w:r w:rsidR="00BA533A" w:rsidRPr="0089734A">
        <w:t>catalyzed</w:t>
      </w:r>
      <w:r w:rsidRPr="0089734A">
        <w:t xml:space="preserve"> and implemented</w:t>
      </w:r>
      <w:r w:rsidR="00854CE7">
        <w:t>.</w:t>
      </w:r>
    </w:p>
    <w:p w:rsidR="00E023CA" w:rsidRDefault="00E023CA" w:rsidP="0089734A">
      <w:pPr>
        <w:pStyle w:val="ListParagraph"/>
        <w:numPr>
          <w:ilvl w:val="0"/>
          <w:numId w:val="0"/>
        </w:numPr>
        <w:ind w:left="360"/>
      </w:pPr>
    </w:p>
    <w:p w:rsidR="00854CE7" w:rsidRDefault="00854CE7" w:rsidP="0089734A">
      <w:r>
        <w:t>Through</w:t>
      </w:r>
      <w:r w:rsidR="00145E39" w:rsidRPr="0089734A">
        <w:t xml:space="preserve"> prioritizing the most viable potential SLM finance solutions</w:t>
      </w:r>
      <w:r>
        <w:t xml:space="preserve">, </w:t>
      </w:r>
      <w:r w:rsidR="00145E39" w:rsidRPr="0089734A">
        <w:t>a systematic approach to developing and implementing new and innovative finance mechanism/projects that will begin to address the finance gap for SLM</w:t>
      </w:r>
      <w:r w:rsidR="00D97CD4" w:rsidRPr="0089734A">
        <w:t xml:space="preserve"> within the agricultural sector</w:t>
      </w:r>
      <w:r>
        <w:t xml:space="preserve"> should be created</w:t>
      </w:r>
      <w:r w:rsidR="00145E39" w:rsidRPr="0089734A">
        <w:t>;</w:t>
      </w:r>
    </w:p>
    <w:p w:rsidR="00E023CA" w:rsidRPr="0089734A" w:rsidRDefault="00E023CA" w:rsidP="0089734A"/>
    <w:p w:rsidR="00854CE7" w:rsidRDefault="00145E39">
      <w:r w:rsidRPr="0089734A">
        <w:t xml:space="preserve">Ideally the </w:t>
      </w:r>
      <w:r w:rsidR="00E023CA">
        <w:t>SLM F</w:t>
      </w:r>
      <w:r w:rsidRPr="0089734A">
        <w:t xml:space="preserve">inance </w:t>
      </w:r>
      <w:r w:rsidR="00E023CA">
        <w:t>S</w:t>
      </w:r>
      <w:r w:rsidRPr="0089734A">
        <w:t>trategy should not be a research report on what the current finance context is for SLM</w:t>
      </w:r>
      <w:r w:rsidR="00A26923" w:rsidRPr="0089734A">
        <w:t xml:space="preserve">. </w:t>
      </w:r>
      <w:r w:rsidRPr="0089734A">
        <w:t>It should, however, leverage off existing efforts and partnerships and seek synergies where possible</w:t>
      </w:r>
      <w:r w:rsidR="00A26923" w:rsidRPr="0089734A">
        <w:t>.</w:t>
      </w:r>
    </w:p>
    <w:p w:rsidR="00854CE7" w:rsidRDefault="00854CE7"/>
    <w:p w:rsidR="00DF5D44" w:rsidRPr="0089734A" w:rsidRDefault="004350CA">
      <w:r>
        <w:t>T</w:t>
      </w:r>
      <w:r w:rsidR="00145E39" w:rsidRPr="0089734A">
        <w:t>he development of the strategy will</w:t>
      </w:r>
      <w:r w:rsidR="00E023CA">
        <w:t xml:space="preserve"> require </w:t>
      </w:r>
      <w:r w:rsidR="00145E39" w:rsidRPr="0089734A">
        <w:t xml:space="preserve">engagement with key </w:t>
      </w:r>
      <w:r w:rsidR="00D97CD4" w:rsidRPr="0089734A">
        <w:t xml:space="preserve">government and non-government </w:t>
      </w:r>
      <w:r w:rsidR="00145E39" w:rsidRPr="0089734A">
        <w:t>actors</w:t>
      </w:r>
      <w:r w:rsidR="00752D7E">
        <w:t xml:space="preserve"> to garner </w:t>
      </w:r>
      <w:r w:rsidR="00DF5D44">
        <w:t>support, willingness and alignment.</w:t>
      </w:r>
    </w:p>
    <w:p w:rsidR="00D97CD4" w:rsidRPr="0089734A" w:rsidRDefault="00D97CD4"/>
    <w:p w:rsidR="00D97CD4" w:rsidRPr="0089734A" w:rsidRDefault="00D97CD4" w:rsidP="0070521F">
      <w:pPr>
        <w:rPr>
          <w:b/>
          <w:bCs/>
        </w:rPr>
      </w:pPr>
      <w:r w:rsidRPr="0089734A">
        <w:rPr>
          <w:b/>
          <w:bCs/>
        </w:rPr>
        <w:t xml:space="preserve">4.2 </w:t>
      </w:r>
      <w:r w:rsidR="00EF7926">
        <w:rPr>
          <w:b/>
          <w:bCs/>
        </w:rPr>
        <w:t>Key r</w:t>
      </w:r>
      <w:r w:rsidRPr="0089734A">
        <w:rPr>
          <w:b/>
          <w:bCs/>
        </w:rPr>
        <w:t xml:space="preserve">ecommendations for </w:t>
      </w:r>
      <w:r w:rsidR="004350CA">
        <w:rPr>
          <w:b/>
          <w:bCs/>
        </w:rPr>
        <w:t xml:space="preserve">the </w:t>
      </w:r>
      <w:r w:rsidRPr="0089734A">
        <w:rPr>
          <w:b/>
          <w:bCs/>
        </w:rPr>
        <w:t>most viable finance mechanisms/projects to pilot</w:t>
      </w:r>
    </w:p>
    <w:p w:rsidR="00A26923" w:rsidRPr="0089734A" w:rsidRDefault="00A26923" w:rsidP="0070521F"/>
    <w:p w:rsidR="0079210B" w:rsidRPr="0089734A" w:rsidRDefault="00854CE7" w:rsidP="0070521F">
      <w:r w:rsidRPr="001753E2">
        <w:rPr>
          <w:lang w:val="en-GB"/>
        </w:rPr>
        <w:t xml:space="preserve">The finance strategy </w:t>
      </w:r>
      <w:r>
        <w:rPr>
          <w:lang w:val="en-GB"/>
        </w:rPr>
        <w:t>should</w:t>
      </w:r>
      <w:r w:rsidRPr="001753E2">
        <w:rPr>
          <w:lang w:val="en-GB"/>
        </w:rPr>
        <w:t xml:space="preserve"> make recommendations towards supporting the process of mainstreaming SLM into national and sub-national levels, such as provincial development and municipal land-use planning policies.</w:t>
      </w:r>
      <w:r w:rsidR="004350CA">
        <w:t xml:space="preserve"> These set of recommendations guided by the strategy </w:t>
      </w:r>
      <w:r w:rsidR="006A2D43">
        <w:t xml:space="preserve">and aided by selected </w:t>
      </w:r>
      <w:r w:rsidR="004350CA">
        <w:t>policy briefs</w:t>
      </w:r>
      <w:r w:rsidR="006A2D43">
        <w:t>;</w:t>
      </w:r>
      <w:r w:rsidR="004350CA">
        <w:t xml:space="preserve"> implemented in pilot projects, </w:t>
      </w:r>
      <w:r w:rsidR="0079210B" w:rsidRPr="0089734A">
        <w:t xml:space="preserve">should be developed </w:t>
      </w:r>
      <w:r w:rsidR="004350CA">
        <w:t xml:space="preserve">taking into consideration </w:t>
      </w:r>
      <w:r w:rsidR="0079210B" w:rsidRPr="0089734A">
        <w:t xml:space="preserve">the unique </w:t>
      </w:r>
      <w:r w:rsidR="00575700" w:rsidRPr="0089734A">
        <w:t xml:space="preserve">SLM </w:t>
      </w:r>
      <w:r w:rsidR="0079210B" w:rsidRPr="0089734A">
        <w:t>finance needs of the following broad farmer typologies:</w:t>
      </w:r>
    </w:p>
    <w:p w:rsidR="0079210B" w:rsidRPr="0089734A" w:rsidRDefault="0079210B" w:rsidP="0070521F">
      <w:pPr>
        <w:pStyle w:val="ListParagraph"/>
      </w:pPr>
      <w:r w:rsidRPr="0089734A">
        <w:t>a) Commercial farmers</w:t>
      </w:r>
    </w:p>
    <w:p w:rsidR="0079210B" w:rsidRPr="0089734A" w:rsidRDefault="0079210B" w:rsidP="0070521F">
      <w:pPr>
        <w:pStyle w:val="ListParagraph"/>
      </w:pPr>
      <w:r w:rsidRPr="0089734A">
        <w:t>b) Communal farmers</w:t>
      </w:r>
    </w:p>
    <w:p w:rsidR="00575700" w:rsidRPr="0089734A" w:rsidRDefault="0079210B">
      <w:pPr>
        <w:pStyle w:val="ListParagraph"/>
      </w:pPr>
      <w:r w:rsidRPr="0089734A">
        <w:t xml:space="preserve">c) Subsistence </w:t>
      </w:r>
      <w:r w:rsidR="00BA533A" w:rsidRPr="0089734A">
        <w:t>and small</w:t>
      </w:r>
      <w:r w:rsidR="00123509">
        <w:t>-</w:t>
      </w:r>
      <w:r w:rsidR="00BA533A" w:rsidRPr="0089734A">
        <w:t>scale farmers</w:t>
      </w:r>
      <w:r w:rsidR="00123509">
        <w:t>, including commonage farmers</w:t>
      </w:r>
    </w:p>
    <w:p w:rsidR="00D97CD4" w:rsidRPr="0089734A" w:rsidRDefault="00D97CD4" w:rsidP="0070521F"/>
    <w:p w:rsidR="00145E39" w:rsidRPr="0089734A" w:rsidRDefault="0079210B" w:rsidP="0070521F">
      <w:pPr>
        <w:rPr>
          <w:b/>
          <w:bCs/>
        </w:rPr>
      </w:pPr>
      <w:r w:rsidRPr="0089734A">
        <w:rPr>
          <w:b/>
          <w:bCs/>
        </w:rPr>
        <w:t xml:space="preserve">4.3 </w:t>
      </w:r>
      <w:r w:rsidR="00145E39" w:rsidRPr="0089734A">
        <w:rPr>
          <w:b/>
          <w:bCs/>
        </w:rPr>
        <w:t>SLM Sustainable Finance</w:t>
      </w:r>
      <w:r w:rsidR="005A233D">
        <w:rPr>
          <w:b/>
          <w:bCs/>
        </w:rPr>
        <w:t xml:space="preserve"> Road Map</w:t>
      </w:r>
      <w:r w:rsidR="00145E39" w:rsidRPr="0089734A">
        <w:rPr>
          <w:b/>
          <w:bCs/>
        </w:rPr>
        <w:t>: Enabling Environment (Platform)</w:t>
      </w:r>
    </w:p>
    <w:p w:rsidR="00A26923" w:rsidRPr="0089734A" w:rsidRDefault="00A26923" w:rsidP="0070521F">
      <w:pPr>
        <w:rPr>
          <w:b/>
          <w:bCs/>
        </w:rPr>
      </w:pPr>
    </w:p>
    <w:p w:rsidR="00145E39" w:rsidRPr="0089734A" w:rsidRDefault="00145E39" w:rsidP="0070521F">
      <w:r w:rsidRPr="0089734A">
        <w:t>It is noted that the development, piloting and implementation of finance solutions requires an enabling environment involving the collaboration and strategic cohesion of decision and policy makers, investors and funders, specialists and experts, and stakeholders</w:t>
      </w:r>
      <w:r w:rsidR="00A26923" w:rsidRPr="0089734A">
        <w:t xml:space="preserve">. </w:t>
      </w:r>
      <w:r w:rsidRPr="0089734A">
        <w:t xml:space="preserve">Finance solutions do not evolve in isolation and thus a strategic and deliberate approach to garnering buy-in and facilitating a </w:t>
      </w:r>
      <w:r w:rsidR="006A2D43">
        <w:t>C</w:t>
      </w:r>
      <w:r w:rsidRPr="0089734A">
        <w:t xml:space="preserve">ommunity of </w:t>
      </w:r>
      <w:r w:rsidR="006A2D43">
        <w:t>P</w:t>
      </w:r>
      <w:r w:rsidRPr="0089734A">
        <w:t>ractice are key to effectively driving finance solutions</w:t>
      </w:r>
      <w:r w:rsidR="00A26923" w:rsidRPr="0089734A">
        <w:t xml:space="preserve">. </w:t>
      </w:r>
    </w:p>
    <w:p w:rsidR="00A26923" w:rsidRPr="0089734A" w:rsidRDefault="00A26923" w:rsidP="0070521F"/>
    <w:p w:rsidR="00145E39" w:rsidRPr="0089734A" w:rsidRDefault="004343C8" w:rsidP="0070521F">
      <w:r>
        <w:t xml:space="preserve">It is </w:t>
      </w:r>
      <w:r w:rsidR="00145E39" w:rsidRPr="0089734A">
        <w:t xml:space="preserve">critical </w:t>
      </w:r>
      <w:r>
        <w:t>for the</w:t>
      </w:r>
      <w:r w:rsidR="00145E39" w:rsidRPr="0089734A">
        <w:t xml:space="preserve"> agricultural sector </w:t>
      </w:r>
      <w:r>
        <w:t xml:space="preserve">to be involved </w:t>
      </w:r>
      <w:r w:rsidR="00145E39" w:rsidRPr="0089734A">
        <w:t xml:space="preserve">within </w:t>
      </w:r>
      <w:r>
        <w:t xml:space="preserve">the </w:t>
      </w:r>
      <w:r w:rsidR="00145E39" w:rsidRPr="0089734A">
        <w:t>landscape finance discussions</w:t>
      </w:r>
      <w:r>
        <w:t>,</w:t>
      </w:r>
      <w:r w:rsidR="00145E39" w:rsidRPr="0089734A">
        <w:t xml:space="preserve"> </w:t>
      </w:r>
      <w:r>
        <w:t xml:space="preserve">historically mostly inclusive of natural resource and biodiversity financing. </w:t>
      </w:r>
      <w:r w:rsidR="005A233D">
        <w:t>Hence the following would be required:</w:t>
      </w:r>
    </w:p>
    <w:p w:rsidR="00A26923" w:rsidRPr="0089734A" w:rsidRDefault="00A26923" w:rsidP="0070521F"/>
    <w:p w:rsidR="004343C8" w:rsidRDefault="004343C8" w:rsidP="004343C8">
      <w:pPr>
        <w:pStyle w:val="ListParagraph"/>
        <w:numPr>
          <w:ilvl w:val="0"/>
          <w:numId w:val="18"/>
        </w:numPr>
      </w:pPr>
      <w:r>
        <w:t xml:space="preserve">Identify and leverage involvement in existing </w:t>
      </w:r>
      <w:r w:rsidR="002B7F31" w:rsidRPr="0089734A">
        <w:t>platform</w:t>
      </w:r>
      <w:r>
        <w:t>s</w:t>
      </w:r>
      <w:r w:rsidR="002B7F31" w:rsidRPr="0089734A">
        <w:t xml:space="preserve"> to achieve the enabling environment for the above approach;</w:t>
      </w:r>
      <w:r w:rsidRPr="004343C8">
        <w:t xml:space="preserve"> </w:t>
      </w:r>
    </w:p>
    <w:p w:rsidR="002B7F31" w:rsidRPr="0089734A" w:rsidRDefault="004343C8" w:rsidP="0089734A">
      <w:pPr>
        <w:pStyle w:val="ListParagraph"/>
        <w:numPr>
          <w:ilvl w:val="0"/>
          <w:numId w:val="18"/>
        </w:numPr>
      </w:pPr>
      <w:r w:rsidRPr="009200C2">
        <w:t>Ensure the active representation and key stakeholder engagement of the agricultural sector in</w:t>
      </w:r>
      <w:r>
        <w:t xml:space="preserve"> an existing or developed SLM finance platform</w:t>
      </w:r>
      <w:r w:rsidRPr="009200C2">
        <w:t>.</w:t>
      </w:r>
    </w:p>
    <w:p w:rsidR="00145E39" w:rsidRDefault="00A26923" w:rsidP="005A233D">
      <w:pPr>
        <w:pStyle w:val="ListParagraph"/>
        <w:numPr>
          <w:ilvl w:val="0"/>
          <w:numId w:val="18"/>
        </w:numPr>
      </w:pPr>
      <w:r w:rsidRPr="0089734A">
        <w:t>F</w:t>
      </w:r>
      <w:r w:rsidR="00145E39" w:rsidRPr="0089734A">
        <w:t xml:space="preserve">acilitate the provision of a </w:t>
      </w:r>
      <w:r w:rsidR="00DF5D44">
        <w:t>C</w:t>
      </w:r>
      <w:r w:rsidR="00145E39" w:rsidRPr="0089734A">
        <w:t xml:space="preserve">ommunity of </w:t>
      </w:r>
      <w:r w:rsidR="00DF5D44">
        <w:t>P</w:t>
      </w:r>
      <w:r w:rsidR="00145E39" w:rsidRPr="0089734A">
        <w:t xml:space="preserve">ractice </w:t>
      </w:r>
      <w:r w:rsidR="00DF5D44">
        <w:t xml:space="preserve">(CoP) </w:t>
      </w:r>
      <w:r w:rsidR="00145E39" w:rsidRPr="0089734A">
        <w:t>as well as provide access to niche experts and partnerships to facilitate new finance solutions.</w:t>
      </w:r>
    </w:p>
    <w:p w:rsidR="00B1356E" w:rsidRPr="0089734A" w:rsidRDefault="00B1356E" w:rsidP="0089734A">
      <w:pPr>
        <w:pStyle w:val="ListParagraph"/>
        <w:numPr>
          <w:ilvl w:val="0"/>
          <w:numId w:val="18"/>
        </w:numPr>
      </w:pPr>
      <w:r>
        <w:t>Engage with other GEF and UNDP or UNEP related projects with similar expected outcomes, such as BIOFIN and Ecosystem-Based Adaptation</w:t>
      </w:r>
      <w:r w:rsidR="004343C8">
        <w:t xml:space="preserve"> to build on existing knowledge and lessons learned;</w:t>
      </w:r>
    </w:p>
    <w:p w:rsidR="00F95544" w:rsidRPr="0089734A" w:rsidRDefault="00A26923" w:rsidP="0089734A">
      <w:pPr>
        <w:pStyle w:val="ListParagraph"/>
        <w:numPr>
          <w:ilvl w:val="0"/>
          <w:numId w:val="18"/>
        </w:numPr>
      </w:pPr>
      <w:r w:rsidRPr="0089734A">
        <w:t>Ensure expert input and peer review of the SLM strategy and enabling environment platform.</w:t>
      </w:r>
    </w:p>
    <w:p w:rsidR="002B7F31" w:rsidRPr="0089734A" w:rsidRDefault="002B7F31" w:rsidP="0089734A">
      <w:pPr>
        <w:pStyle w:val="ListParagraph"/>
        <w:numPr>
          <w:ilvl w:val="0"/>
          <w:numId w:val="18"/>
        </w:numPr>
      </w:pPr>
      <w:r w:rsidRPr="0089734A">
        <w:t>The efficient and timely distribution and sharing of relevant SLM financing and partnership opportunities</w:t>
      </w:r>
      <w:r w:rsidR="00F95544" w:rsidRPr="0089734A">
        <w:t xml:space="preserve"> to the broader agricultural and natural resource management sector.</w:t>
      </w:r>
    </w:p>
    <w:p w:rsidR="000967A5" w:rsidRPr="0089734A" w:rsidRDefault="000967A5"/>
    <w:p w:rsidR="002B7F31" w:rsidRPr="0089734A" w:rsidRDefault="002B7F31" w:rsidP="0070521F">
      <w:pPr>
        <w:rPr>
          <w:b/>
          <w:bCs/>
        </w:rPr>
      </w:pPr>
      <w:r w:rsidRPr="0089734A">
        <w:rPr>
          <w:b/>
          <w:bCs/>
        </w:rPr>
        <w:t>4.4 Implement pilot project</w:t>
      </w:r>
      <w:r w:rsidR="005A233D" w:rsidRPr="00061376">
        <w:rPr>
          <w:b/>
          <w:bCs/>
        </w:rPr>
        <w:t>/s</w:t>
      </w:r>
      <w:r w:rsidRPr="0089734A">
        <w:rPr>
          <w:b/>
          <w:bCs/>
        </w:rPr>
        <w:t xml:space="preserve"> for S</w:t>
      </w:r>
      <w:r w:rsidR="00752D7E" w:rsidRPr="00061376">
        <w:rPr>
          <w:b/>
          <w:bCs/>
        </w:rPr>
        <w:t>ustainable Landscape Financing of SLM and strengthening of governance</w:t>
      </w:r>
    </w:p>
    <w:p w:rsidR="00D97CD4" w:rsidRPr="0089734A" w:rsidRDefault="00D97CD4" w:rsidP="0070521F"/>
    <w:p w:rsidR="006A2D43" w:rsidRPr="00061376" w:rsidRDefault="00F95544" w:rsidP="0070521F">
      <w:r w:rsidRPr="0089734A">
        <w:t>Following the recommendations for most viable finance mechanisms, p</w:t>
      </w:r>
      <w:r w:rsidR="002B7F31" w:rsidRPr="0089734A">
        <w:t xml:space="preserve">ilot projects </w:t>
      </w:r>
      <w:r w:rsidRPr="0089734A">
        <w:t xml:space="preserve">developed under 4.2 </w:t>
      </w:r>
      <w:r w:rsidR="002B7F31" w:rsidRPr="0089734A">
        <w:t xml:space="preserve">should be </w:t>
      </w:r>
      <w:r w:rsidRPr="0089734A">
        <w:t xml:space="preserve">implemented, where possible, within the GEF 5 SLM Project landscapes. </w:t>
      </w:r>
    </w:p>
    <w:p w:rsidR="001132C3" w:rsidRPr="0089734A" w:rsidRDefault="001132C3" w:rsidP="0070521F"/>
    <w:p w:rsidR="000967A5" w:rsidRPr="0089734A" w:rsidRDefault="000967A5" w:rsidP="0070521F">
      <w:pPr>
        <w:rPr>
          <w:b/>
          <w:bCs/>
        </w:rPr>
      </w:pPr>
      <w:r w:rsidRPr="0089734A">
        <w:rPr>
          <w:b/>
          <w:bCs/>
        </w:rPr>
        <w:t>5. DELIVERABLES</w:t>
      </w:r>
    </w:p>
    <w:p w:rsidR="00D97CD4" w:rsidRPr="0089734A" w:rsidRDefault="00D97CD4" w:rsidP="0070521F">
      <w:pPr>
        <w:rPr>
          <w:b/>
          <w:bCs/>
        </w:rPr>
      </w:pPr>
    </w:p>
    <w:p w:rsidR="00D97CD4" w:rsidRPr="0089734A" w:rsidRDefault="00D97CD4" w:rsidP="0070521F">
      <w:r w:rsidRPr="0089734A">
        <w:t>Summary</w:t>
      </w:r>
      <w:r w:rsidR="00762DCF">
        <w:t xml:space="preserve"> of activities:</w:t>
      </w:r>
    </w:p>
    <w:p w:rsidR="00D97CD4" w:rsidRPr="0089734A" w:rsidRDefault="00D97CD4" w:rsidP="0070521F">
      <w:pPr>
        <w:numPr>
          <w:ilvl w:val="0"/>
          <w:numId w:val="4"/>
        </w:numPr>
      </w:pPr>
      <w:r w:rsidRPr="0089734A">
        <w:t>Development of</w:t>
      </w:r>
      <w:r w:rsidR="00DF5D44">
        <w:t xml:space="preserve"> an</w:t>
      </w:r>
      <w:r w:rsidRPr="0089734A">
        <w:t xml:space="preserve"> SLM Finance Strategy;</w:t>
      </w:r>
    </w:p>
    <w:p w:rsidR="00D97CD4" w:rsidRPr="0089734A" w:rsidRDefault="00D97CD4" w:rsidP="0070521F">
      <w:pPr>
        <w:numPr>
          <w:ilvl w:val="0"/>
          <w:numId w:val="4"/>
        </w:numPr>
      </w:pPr>
      <w:bookmarkStart w:id="1" w:name="_Hlk38782505"/>
      <w:r w:rsidRPr="0089734A">
        <w:t>Recommendations for</w:t>
      </w:r>
      <w:r w:rsidR="00DF5D44">
        <w:t xml:space="preserve"> implementation of the</w:t>
      </w:r>
      <w:r w:rsidRPr="0089734A">
        <w:t xml:space="preserve"> most viable finance mechanisms</w:t>
      </w:r>
      <w:r w:rsidR="00DF5D44">
        <w:t xml:space="preserve"> identified to pilot </w:t>
      </w:r>
      <w:r w:rsidRPr="0089734A">
        <w:t>projects;</w:t>
      </w:r>
    </w:p>
    <w:bookmarkEnd w:id="1"/>
    <w:p w:rsidR="00D97CD4" w:rsidRPr="0089734A" w:rsidRDefault="00D97CD4" w:rsidP="0070521F">
      <w:pPr>
        <w:numPr>
          <w:ilvl w:val="0"/>
          <w:numId w:val="4"/>
        </w:numPr>
      </w:pPr>
      <w:r w:rsidRPr="0089734A">
        <w:t>Note key synergies</w:t>
      </w:r>
      <w:r w:rsidR="004343C8">
        <w:t xml:space="preserve"> with other </w:t>
      </w:r>
      <w:proofErr w:type="spellStart"/>
      <w:r w:rsidR="004343C8">
        <w:t>organisations</w:t>
      </w:r>
      <w:proofErr w:type="spellEnd"/>
      <w:r w:rsidR="004343C8">
        <w:t xml:space="preserve">, </w:t>
      </w:r>
      <w:proofErr w:type="spellStart"/>
      <w:r w:rsidR="004343C8">
        <w:t>programmes</w:t>
      </w:r>
      <w:proofErr w:type="spellEnd"/>
      <w:r w:rsidR="004343C8">
        <w:t xml:space="preserve"> or projects</w:t>
      </w:r>
      <w:r w:rsidRPr="0089734A">
        <w:t>;</w:t>
      </w:r>
    </w:p>
    <w:p w:rsidR="00D97CD4" w:rsidRPr="0089734A" w:rsidRDefault="004343C8" w:rsidP="0070521F">
      <w:pPr>
        <w:numPr>
          <w:ilvl w:val="0"/>
          <w:numId w:val="4"/>
        </w:numPr>
      </w:pPr>
      <w:bookmarkStart w:id="2" w:name="_Hlk38790370"/>
      <w:r>
        <w:t xml:space="preserve">Establish or utilize an existing </w:t>
      </w:r>
      <w:r w:rsidR="00D97CD4" w:rsidRPr="0089734A">
        <w:t>platform to achieve the enabling environment for the above approach;</w:t>
      </w:r>
    </w:p>
    <w:p w:rsidR="00D97CD4" w:rsidRPr="0089734A" w:rsidRDefault="00D97CD4" w:rsidP="0070521F">
      <w:pPr>
        <w:numPr>
          <w:ilvl w:val="0"/>
          <w:numId w:val="4"/>
        </w:numPr>
      </w:pPr>
      <w:bookmarkStart w:id="3" w:name="_Hlk38790412"/>
      <w:bookmarkEnd w:id="2"/>
      <w:r w:rsidRPr="0089734A">
        <w:t>Facilitate key stakeholder engagement;</w:t>
      </w:r>
    </w:p>
    <w:p w:rsidR="00DF5D44" w:rsidRPr="0089734A" w:rsidRDefault="00D97CD4" w:rsidP="00DF5D44">
      <w:pPr>
        <w:numPr>
          <w:ilvl w:val="0"/>
          <w:numId w:val="4"/>
        </w:numPr>
        <w:rPr>
          <w:b/>
          <w:bCs/>
        </w:rPr>
      </w:pPr>
      <w:r w:rsidRPr="0089734A">
        <w:t>Facilitate expert input and peer review.</w:t>
      </w:r>
    </w:p>
    <w:p w:rsidR="004343C8" w:rsidRDefault="004343C8" w:rsidP="004343C8"/>
    <w:p w:rsidR="004343C8" w:rsidRDefault="004343C8" w:rsidP="004343C8"/>
    <w:p w:rsidR="004343C8" w:rsidRPr="0089734A" w:rsidRDefault="004343C8" w:rsidP="0089734A">
      <w:pPr>
        <w:rPr>
          <w:b/>
          <w:bCs/>
        </w:rPr>
      </w:pPr>
    </w:p>
    <w:bookmarkEnd w:id="3"/>
    <w:p w:rsidR="00D97CD4" w:rsidRPr="0089734A" w:rsidRDefault="00D97CD4" w:rsidP="0070521F">
      <w:pPr>
        <w:rPr>
          <w:b/>
          <w:bCs/>
        </w:rPr>
      </w:pPr>
    </w:p>
    <w:tbl>
      <w:tblPr>
        <w:tblStyle w:val="TableGrid"/>
        <w:tblW w:w="9209" w:type="dxa"/>
        <w:tblLook w:val="04A0" w:firstRow="1" w:lastRow="0" w:firstColumn="1" w:lastColumn="0" w:noHBand="0" w:noVBand="1"/>
      </w:tblPr>
      <w:tblGrid>
        <w:gridCol w:w="3205"/>
        <w:gridCol w:w="2919"/>
        <w:gridCol w:w="2469"/>
        <w:gridCol w:w="616"/>
      </w:tblGrid>
      <w:tr w:rsidR="00997593" w:rsidRPr="001C40E0" w:rsidTr="006916CC">
        <w:trPr>
          <w:trHeight w:val="274"/>
        </w:trPr>
        <w:tc>
          <w:tcPr>
            <w:tcW w:w="3205" w:type="dxa"/>
            <w:shd w:val="clear" w:color="auto" w:fill="595959" w:themeFill="text1" w:themeFillTint="A6"/>
          </w:tcPr>
          <w:p w:rsidR="00997593" w:rsidRPr="0089734A" w:rsidRDefault="0061777F" w:rsidP="0070521F">
            <w:pPr>
              <w:rPr>
                <w:b/>
                <w:bCs/>
                <w:color w:val="FFFFFF" w:themeColor="background1"/>
              </w:rPr>
            </w:pPr>
            <w:r w:rsidRPr="0089734A">
              <w:rPr>
                <w:b/>
                <w:bCs/>
                <w:color w:val="FFFFFF" w:themeColor="background1"/>
              </w:rPr>
              <w:t>DELIVERABLE DESCRIPTION</w:t>
            </w:r>
          </w:p>
        </w:tc>
        <w:tc>
          <w:tcPr>
            <w:tcW w:w="2949" w:type="dxa"/>
            <w:shd w:val="clear" w:color="auto" w:fill="595959" w:themeFill="text1" w:themeFillTint="A6"/>
          </w:tcPr>
          <w:p w:rsidR="00997593" w:rsidRPr="0089734A" w:rsidRDefault="0061777F" w:rsidP="0070521F">
            <w:pPr>
              <w:rPr>
                <w:b/>
                <w:bCs/>
                <w:color w:val="FFFFFF" w:themeColor="background1"/>
              </w:rPr>
            </w:pPr>
            <w:r w:rsidRPr="0089734A">
              <w:rPr>
                <w:b/>
                <w:bCs/>
                <w:color w:val="FFFFFF" w:themeColor="background1"/>
              </w:rPr>
              <w:t>CONTENT</w:t>
            </w:r>
          </w:p>
        </w:tc>
        <w:tc>
          <w:tcPr>
            <w:tcW w:w="2488" w:type="dxa"/>
            <w:shd w:val="clear" w:color="auto" w:fill="595959" w:themeFill="text1" w:themeFillTint="A6"/>
          </w:tcPr>
          <w:p w:rsidR="00997593" w:rsidRPr="0089734A" w:rsidRDefault="0061777F" w:rsidP="0070521F">
            <w:pPr>
              <w:rPr>
                <w:b/>
                <w:bCs/>
                <w:color w:val="FFFFFF" w:themeColor="background1"/>
              </w:rPr>
            </w:pPr>
            <w:r w:rsidRPr="0089734A">
              <w:rPr>
                <w:b/>
                <w:bCs/>
                <w:color w:val="FFFFFF" w:themeColor="background1"/>
              </w:rPr>
              <w:t>TIME FRAME</w:t>
            </w:r>
          </w:p>
        </w:tc>
        <w:tc>
          <w:tcPr>
            <w:tcW w:w="567" w:type="dxa"/>
            <w:shd w:val="clear" w:color="auto" w:fill="595959" w:themeFill="text1" w:themeFillTint="A6"/>
          </w:tcPr>
          <w:p w:rsidR="00997593" w:rsidRPr="0089734A" w:rsidRDefault="0061777F" w:rsidP="0070521F">
            <w:pPr>
              <w:rPr>
                <w:b/>
                <w:bCs/>
                <w:color w:val="FFFFFF" w:themeColor="background1"/>
              </w:rPr>
            </w:pPr>
            <w:r w:rsidRPr="0089734A">
              <w:rPr>
                <w:b/>
                <w:bCs/>
                <w:color w:val="FFFFFF" w:themeColor="background1"/>
              </w:rPr>
              <w:t>%*</w:t>
            </w:r>
          </w:p>
        </w:tc>
      </w:tr>
      <w:tr w:rsidR="00FE2656" w:rsidRPr="001C40E0" w:rsidTr="006916CC">
        <w:trPr>
          <w:trHeight w:val="232"/>
        </w:trPr>
        <w:tc>
          <w:tcPr>
            <w:tcW w:w="8642" w:type="dxa"/>
            <w:gridSpan w:val="3"/>
            <w:shd w:val="clear" w:color="auto" w:fill="D9D9D9" w:themeFill="background1" w:themeFillShade="D9"/>
          </w:tcPr>
          <w:p w:rsidR="00FE2656" w:rsidRPr="0089734A" w:rsidRDefault="00FE2656" w:rsidP="0089734A">
            <w:pPr>
              <w:pStyle w:val="ListParagraph"/>
              <w:numPr>
                <w:ilvl w:val="0"/>
                <w:numId w:val="19"/>
              </w:numPr>
              <w:rPr>
                <w:b/>
                <w:bCs/>
              </w:rPr>
            </w:pPr>
            <w:r w:rsidRPr="0089734A">
              <w:rPr>
                <w:b/>
                <w:bCs/>
              </w:rPr>
              <w:t>Inception report</w:t>
            </w:r>
          </w:p>
        </w:tc>
        <w:tc>
          <w:tcPr>
            <w:tcW w:w="567" w:type="dxa"/>
            <w:shd w:val="clear" w:color="auto" w:fill="D9D9D9" w:themeFill="background1" w:themeFillShade="D9"/>
          </w:tcPr>
          <w:p w:rsidR="00FE2656" w:rsidRPr="001C40E0" w:rsidRDefault="00FE2656" w:rsidP="0070521F">
            <w:pPr>
              <w:rPr>
                <w:b/>
                <w:bCs/>
              </w:rPr>
            </w:pPr>
            <w:r>
              <w:rPr>
                <w:b/>
                <w:bCs/>
              </w:rPr>
              <w:t>20%</w:t>
            </w:r>
          </w:p>
        </w:tc>
      </w:tr>
      <w:tr w:rsidR="00997593" w:rsidRPr="001C40E0" w:rsidTr="006916CC">
        <w:trPr>
          <w:trHeight w:val="901"/>
        </w:trPr>
        <w:tc>
          <w:tcPr>
            <w:tcW w:w="3205" w:type="dxa"/>
          </w:tcPr>
          <w:p w:rsidR="00997593" w:rsidRPr="0089734A" w:rsidRDefault="00997593" w:rsidP="006916CC">
            <w:pPr>
              <w:spacing w:before="60" w:after="60"/>
            </w:pPr>
            <w:r w:rsidRPr="0089734A">
              <w:t xml:space="preserve">1. Inception </w:t>
            </w:r>
            <w:r w:rsidR="00DF5D44">
              <w:t>Workshop/Briefing</w:t>
            </w:r>
          </w:p>
        </w:tc>
        <w:tc>
          <w:tcPr>
            <w:tcW w:w="2949" w:type="dxa"/>
          </w:tcPr>
          <w:p w:rsidR="00997593" w:rsidRPr="0089734A" w:rsidRDefault="00997593" w:rsidP="006916CC">
            <w:pPr>
              <w:spacing w:before="60" w:after="60"/>
              <w:jc w:val="left"/>
            </w:pPr>
            <w:r w:rsidRPr="0089734A">
              <w:t>Attend an</w:t>
            </w:r>
            <w:r w:rsidR="00FE2656">
              <w:t>d host with the guidance of the project manager an</w:t>
            </w:r>
            <w:r w:rsidRPr="0089734A">
              <w:t xml:space="preserve"> </w:t>
            </w:r>
            <w:r w:rsidR="00D11BA6" w:rsidRPr="0089734A">
              <w:t>inception briefing meeting</w:t>
            </w:r>
            <w:r w:rsidR="00FE2656">
              <w:t xml:space="preserve"> or workshop</w:t>
            </w:r>
            <w:r w:rsidR="00393C04">
              <w:t>.</w:t>
            </w:r>
          </w:p>
        </w:tc>
        <w:tc>
          <w:tcPr>
            <w:tcW w:w="2488" w:type="dxa"/>
          </w:tcPr>
          <w:p w:rsidR="00997593" w:rsidRPr="0089734A" w:rsidRDefault="00997593" w:rsidP="006916CC">
            <w:pPr>
              <w:spacing w:before="60" w:after="60"/>
            </w:pPr>
          </w:p>
        </w:tc>
        <w:tc>
          <w:tcPr>
            <w:tcW w:w="567" w:type="dxa"/>
          </w:tcPr>
          <w:p w:rsidR="00997593" w:rsidRPr="0089734A" w:rsidRDefault="00FE2656" w:rsidP="006916CC">
            <w:pPr>
              <w:spacing w:before="60" w:after="60"/>
            </w:pPr>
            <w:r>
              <w:t>5</w:t>
            </w:r>
          </w:p>
        </w:tc>
      </w:tr>
      <w:tr w:rsidR="00DF5D44" w:rsidRPr="001C40E0" w:rsidTr="006916CC">
        <w:trPr>
          <w:trHeight w:val="852"/>
        </w:trPr>
        <w:tc>
          <w:tcPr>
            <w:tcW w:w="3205" w:type="dxa"/>
          </w:tcPr>
          <w:p w:rsidR="00DF5D44" w:rsidRPr="001C40E0" w:rsidRDefault="00DF5D44" w:rsidP="006916CC">
            <w:pPr>
              <w:spacing w:before="60" w:after="60"/>
            </w:pPr>
            <w:r>
              <w:t>2. Inception report</w:t>
            </w:r>
          </w:p>
        </w:tc>
        <w:tc>
          <w:tcPr>
            <w:tcW w:w="2949" w:type="dxa"/>
          </w:tcPr>
          <w:p w:rsidR="00DF5D44" w:rsidRPr="001C40E0" w:rsidRDefault="00FE2656" w:rsidP="006916CC">
            <w:pPr>
              <w:spacing w:before="60" w:after="60"/>
              <w:jc w:val="left"/>
            </w:pPr>
            <w:r>
              <w:t>P</w:t>
            </w:r>
            <w:r w:rsidRPr="001753E2">
              <w:t>roduce an Inception Report detailing the agreed methodology, work plan and timeline of activities and related specific details.</w:t>
            </w:r>
          </w:p>
        </w:tc>
        <w:tc>
          <w:tcPr>
            <w:tcW w:w="2488" w:type="dxa"/>
          </w:tcPr>
          <w:p w:rsidR="00DF5D44" w:rsidRPr="001C40E0" w:rsidRDefault="00DF5D44" w:rsidP="006916CC">
            <w:pPr>
              <w:spacing w:before="60" w:after="60"/>
            </w:pPr>
            <w:r w:rsidRPr="001753E2">
              <w:t>Within 10 working days after inception briefing</w:t>
            </w:r>
          </w:p>
        </w:tc>
        <w:tc>
          <w:tcPr>
            <w:tcW w:w="567" w:type="dxa"/>
          </w:tcPr>
          <w:p w:rsidR="00DF5D44" w:rsidRPr="001C40E0" w:rsidRDefault="00FE2656" w:rsidP="006916CC">
            <w:pPr>
              <w:spacing w:before="60" w:after="60"/>
            </w:pPr>
            <w:r>
              <w:t>15</w:t>
            </w:r>
          </w:p>
        </w:tc>
      </w:tr>
      <w:tr w:rsidR="00FE2656" w:rsidRPr="001C40E0" w:rsidTr="006916CC">
        <w:trPr>
          <w:trHeight w:val="268"/>
        </w:trPr>
        <w:tc>
          <w:tcPr>
            <w:tcW w:w="8642" w:type="dxa"/>
            <w:gridSpan w:val="3"/>
            <w:tcBorders>
              <w:bottom w:val="single" w:sz="4" w:space="0" w:color="auto"/>
            </w:tcBorders>
            <w:shd w:val="clear" w:color="auto" w:fill="D9D9D9" w:themeFill="background1" w:themeFillShade="D9"/>
          </w:tcPr>
          <w:p w:rsidR="00FE2656" w:rsidRPr="0089734A" w:rsidRDefault="00393C04" w:rsidP="0089734A">
            <w:pPr>
              <w:pStyle w:val="ListParagraph"/>
              <w:numPr>
                <w:ilvl w:val="0"/>
                <w:numId w:val="19"/>
              </w:numPr>
              <w:rPr>
                <w:b/>
                <w:bCs/>
              </w:rPr>
            </w:pPr>
            <w:r>
              <w:rPr>
                <w:b/>
                <w:bCs/>
              </w:rPr>
              <w:t xml:space="preserve">Quarterly </w:t>
            </w:r>
            <w:r w:rsidR="00FE2656">
              <w:rPr>
                <w:b/>
                <w:bCs/>
              </w:rPr>
              <w:t>Progress reports</w:t>
            </w:r>
            <w:r>
              <w:rPr>
                <w:b/>
                <w:bCs/>
              </w:rPr>
              <w:t xml:space="preserve"> on the following</w:t>
            </w:r>
          </w:p>
        </w:tc>
        <w:tc>
          <w:tcPr>
            <w:tcW w:w="567" w:type="dxa"/>
            <w:tcBorders>
              <w:bottom w:val="single" w:sz="4" w:space="0" w:color="auto"/>
            </w:tcBorders>
            <w:shd w:val="clear" w:color="auto" w:fill="D9D9D9" w:themeFill="background1" w:themeFillShade="D9"/>
          </w:tcPr>
          <w:p w:rsidR="00FE2656" w:rsidRPr="0089734A" w:rsidRDefault="004343C8" w:rsidP="0070521F">
            <w:pPr>
              <w:rPr>
                <w:b/>
                <w:bCs/>
              </w:rPr>
            </w:pPr>
            <w:r>
              <w:rPr>
                <w:b/>
                <w:bCs/>
              </w:rPr>
              <w:t>2</w:t>
            </w:r>
            <w:r w:rsidR="00FE2656">
              <w:rPr>
                <w:b/>
                <w:bCs/>
              </w:rPr>
              <w:t>0</w:t>
            </w:r>
            <w:r w:rsidR="001F2153">
              <w:rPr>
                <w:b/>
                <w:bCs/>
              </w:rPr>
              <w:t>%</w:t>
            </w:r>
          </w:p>
        </w:tc>
      </w:tr>
      <w:tr w:rsidR="00997593" w:rsidRPr="001C40E0" w:rsidTr="006916CC">
        <w:trPr>
          <w:trHeight w:val="232"/>
        </w:trPr>
        <w:tc>
          <w:tcPr>
            <w:tcW w:w="3205" w:type="dxa"/>
            <w:tcBorders>
              <w:top w:val="single" w:sz="4" w:space="0" w:color="auto"/>
              <w:left w:val="single" w:sz="4" w:space="0" w:color="auto"/>
              <w:bottom w:val="nil"/>
              <w:right w:val="single" w:sz="4" w:space="0" w:color="auto"/>
            </w:tcBorders>
          </w:tcPr>
          <w:p w:rsidR="00145E39" w:rsidRPr="0089734A" w:rsidRDefault="00D11BA6" w:rsidP="0086213A">
            <w:pPr>
              <w:spacing w:before="60" w:after="60"/>
              <w:jc w:val="left"/>
            </w:pPr>
            <w:r w:rsidRPr="0089734A">
              <w:t xml:space="preserve">2.1 </w:t>
            </w:r>
            <w:r w:rsidR="00F95544" w:rsidRPr="0089734A">
              <w:t>Draft SLM Finance Strategy</w:t>
            </w:r>
          </w:p>
        </w:tc>
        <w:tc>
          <w:tcPr>
            <w:tcW w:w="2949" w:type="dxa"/>
            <w:tcBorders>
              <w:top w:val="single" w:sz="4" w:space="0" w:color="auto"/>
              <w:left w:val="single" w:sz="4" w:space="0" w:color="auto"/>
              <w:bottom w:val="nil"/>
              <w:right w:val="single" w:sz="4" w:space="0" w:color="auto"/>
            </w:tcBorders>
          </w:tcPr>
          <w:p w:rsidR="00997593" w:rsidRPr="0089734A" w:rsidRDefault="00997593" w:rsidP="0086213A">
            <w:pPr>
              <w:spacing w:before="60" w:after="60"/>
              <w:jc w:val="left"/>
            </w:pPr>
          </w:p>
        </w:tc>
        <w:tc>
          <w:tcPr>
            <w:tcW w:w="2488" w:type="dxa"/>
            <w:tcBorders>
              <w:top w:val="single" w:sz="4" w:space="0" w:color="auto"/>
              <w:left w:val="single" w:sz="4" w:space="0" w:color="auto"/>
              <w:bottom w:val="nil"/>
              <w:right w:val="single" w:sz="4" w:space="0" w:color="auto"/>
            </w:tcBorders>
          </w:tcPr>
          <w:p w:rsidR="00273812" w:rsidRPr="0089734A" w:rsidRDefault="00FE2656" w:rsidP="0086213A">
            <w:pPr>
              <w:spacing w:before="60" w:after="60"/>
              <w:jc w:val="left"/>
            </w:pPr>
            <w:r>
              <w:t>15</w:t>
            </w:r>
            <w:r w:rsidR="00273812" w:rsidRPr="0089734A">
              <w:t xml:space="preserve"> November 2020</w:t>
            </w:r>
          </w:p>
        </w:tc>
        <w:tc>
          <w:tcPr>
            <w:tcW w:w="567" w:type="dxa"/>
            <w:tcBorders>
              <w:top w:val="single" w:sz="4" w:space="0" w:color="auto"/>
              <w:left w:val="single" w:sz="4" w:space="0" w:color="auto"/>
              <w:bottom w:val="nil"/>
              <w:right w:val="single" w:sz="4" w:space="0" w:color="auto"/>
            </w:tcBorders>
          </w:tcPr>
          <w:p w:rsidR="001F2153" w:rsidRPr="0089734A" w:rsidRDefault="006916CC" w:rsidP="006916CC">
            <w:pPr>
              <w:spacing w:before="60" w:after="60"/>
              <w:jc w:val="center"/>
            </w:pPr>
            <w:r>
              <w:t>5</w:t>
            </w:r>
          </w:p>
        </w:tc>
      </w:tr>
      <w:tr w:rsidR="009E3156" w:rsidRPr="001C40E0" w:rsidTr="006916CC">
        <w:trPr>
          <w:trHeight w:val="232"/>
        </w:trPr>
        <w:tc>
          <w:tcPr>
            <w:tcW w:w="3205" w:type="dxa"/>
            <w:tcBorders>
              <w:top w:val="nil"/>
              <w:left w:val="single" w:sz="4" w:space="0" w:color="auto"/>
              <w:bottom w:val="nil"/>
              <w:right w:val="single" w:sz="4" w:space="0" w:color="auto"/>
            </w:tcBorders>
          </w:tcPr>
          <w:p w:rsidR="009E3156" w:rsidRPr="0089734A" w:rsidRDefault="009E3156" w:rsidP="0086213A">
            <w:pPr>
              <w:spacing w:before="60" w:after="60"/>
              <w:jc w:val="left"/>
            </w:pPr>
            <w:r w:rsidRPr="0089734A">
              <w:t>2.2 Recommendations for most viable finance</w:t>
            </w:r>
            <w:r>
              <w:t xml:space="preserve"> </w:t>
            </w:r>
            <w:r w:rsidRPr="0089734A">
              <w:t>mechanisms/</w:t>
            </w:r>
            <w:r>
              <w:t xml:space="preserve"> </w:t>
            </w:r>
            <w:r w:rsidRPr="0089734A">
              <w:t>projects to pilot</w:t>
            </w:r>
          </w:p>
        </w:tc>
        <w:tc>
          <w:tcPr>
            <w:tcW w:w="2949" w:type="dxa"/>
            <w:tcBorders>
              <w:top w:val="nil"/>
              <w:left w:val="single" w:sz="4" w:space="0" w:color="auto"/>
              <w:bottom w:val="nil"/>
              <w:right w:val="single" w:sz="4" w:space="0" w:color="auto"/>
            </w:tcBorders>
          </w:tcPr>
          <w:p w:rsidR="009E3156" w:rsidRPr="0089734A" w:rsidRDefault="009E3156" w:rsidP="0086213A">
            <w:pPr>
              <w:spacing w:before="60" w:after="60"/>
              <w:jc w:val="left"/>
            </w:pPr>
          </w:p>
        </w:tc>
        <w:tc>
          <w:tcPr>
            <w:tcW w:w="2488" w:type="dxa"/>
            <w:tcBorders>
              <w:top w:val="nil"/>
              <w:left w:val="single" w:sz="4" w:space="0" w:color="auto"/>
              <w:bottom w:val="nil"/>
              <w:right w:val="single" w:sz="4" w:space="0" w:color="auto"/>
            </w:tcBorders>
          </w:tcPr>
          <w:p w:rsidR="009E3156" w:rsidRDefault="00797EA6" w:rsidP="0086213A">
            <w:pPr>
              <w:spacing w:before="60" w:after="60"/>
              <w:jc w:val="left"/>
            </w:pPr>
            <w:r>
              <w:t>30 November</w:t>
            </w:r>
            <w:r w:rsidR="009E3156" w:rsidRPr="0089734A">
              <w:t xml:space="preserve"> 2020</w:t>
            </w:r>
          </w:p>
        </w:tc>
        <w:tc>
          <w:tcPr>
            <w:tcW w:w="567" w:type="dxa"/>
            <w:tcBorders>
              <w:top w:val="nil"/>
              <w:left w:val="single" w:sz="4" w:space="0" w:color="auto"/>
              <w:bottom w:val="nil"/>
              <w:right w:val="single" w:sz="4" w:space="0" w:color="auto"/>
            </w:tcBorders>
          </w:tcPr>
          <w:p w:rsidR="009E3156" w:rsidRDefault="006916CC" w:rsidP="006916CC">
            <w:pPr>
              <w:spacing w:before="60" w:after="60"/>
              <w:jc w:val="center"/>
            </w:pPr>
            <w:r>
              <w:t>5</w:t>
            </w:r>
          </w:p>
        </w:tc>
      </w:tr>
      <w:tr w:rsidR="009E3156" w:rsidRPr="001C40E0" w:rsidTr="006916CC">
        <w:trPr>
          <w:trHeight w:val="232"/>
        </w:trPr>
        <w:tc>
          <w:tcPr>
            <w:tcW w:w="3205" w:type="dxa"/>
            <w:tcBorders>
              <w:top w:val="nil"/>
              <w:left w:val="single" w:sz="4" w:space="0" w:color="auto"/>
              <w:bottom w:val="nil"/>
              <w:right w:val="single" w:sz="4" w:space="0" w:color="auto"/>
            </w:tcBorders>
          </w:tcPr>
          <w:p w:rsidR="009E3156" w:rsidRPr="0089734A" w:rsidRDefault="009E3156" w:rsidP="0086213A">
            <w:pPr>
              <w:spacing w:before="60" w:after="60"/>
              <w:jc w:val="left"/>
            </w:pPr>
            <w:r w:rsidRPr="0089734A">
              <w:t>2.3 The involvement of the agricultural sector in the Sustainable Landscape Finance Coalition.</w:t>
            </w:r>
          </w:p>
        </w:tc>
        <w:tc>
          <w:tcPr>
            <w:tcW w:w="2949" w:type="dxa"/>
            <w:tcBorders>
              <w:top w:val="nil"/>
              <w:left w:val="single" w:sz="4" w:space="0" w:color="auto"/>
              <w:bottom w:val="nil"/>
              <w:right w:val="single" w:sz="4" w:space="0" w:color="auto"/>
            </w:tcBorders>
          </w:tcPr>
          <w:p w:rsidR="009E3156" w:rsidRPr="0089734A" w:rsidRDefault="009E3156" w:rsidP="0086213A">
            <w:pPr>
              <w:spacing w:before="60" w:after="60"/>
              <w:jc w:val="left"/>
            </w:pPr>
          </w:p>
        </w:tc>
        <w:tc>
          <w:tcPr>
            <w:tcW w:w="2488" w:type="dxa"/>
            <w:tcBorders>
              <w:top w:val="nil"/>
              <w:left w:val="single" w:sz="4" w:space="0" w:color="auto"/>
              <w:bottom w:val="nil"/>
              <w:right w:val="single" w:sz="4" w:space="0" w:color="auto"/>
            </w:tcBorders>
          </w:tcPr>
          <w:p w:rsidR="009E3156" w:rsidRDefault="009E3156" w:rsidP="0086213A">
            <w:pPr>
              <w:spacing w:before="60" w:after="60"/>
              <w:jc w:val="left"/>
            </w:pPr>
            <w:r w:rsidRPr="0089734A">
              <w:t>31 October 2020 &amp; 30 April 2021</w:t>
            </w:r>
          </w:p>
        </w:tc>
        <w:tc>
          <w:tcPr>
            <w:tcW w:w="567" w:type="dxa"/>
            <w:tcBorders>
              <w:top w:val="nil"/>
              <w:left w:val="single" w:sz="4" w:space="0" w:color="auto"/>
              <w:bottom w:val="nil"/>
              <w:right w:val="single" w:sz="4" w:space="0" w:color="auto"/>
            </w:tcBorders>
          </w:tcPr>
          <w:p w:rsidR="009E3156" w:rsidRDefault="006916CC" w:rsidP="006916CC">
            <w:pPr>
              <w:spacing w:before="60" w:after="60"/>
              <w:jc w:val="center"/>
            </w:pPr>
            <w:r>
              <w:t>5</w:t>
            </w:r>
          </w:p>
        </w:tc>
      </w:tr>
      <w:tr w:rsidR="009E3156" w:rsidRPr="001C40E0" w:rsidTr="006916CC">
        <w:trPr>
          <w:trHeight w:val="232"/>
        </w:trPr>
        <w:tc>
          <w:tcPr>
            <w:tcW w:w="3205" w:type="dxa"/>
            <w:tcBorders>
              <w:top w:val="nil"/>
              <w:left w:val="single" w:sz="4" w:space="0" w:color="auto"/>
              <w:bottom w:val="single" w:sz="4" w:space="0" w:color="auto"/>
              <w:right w:val="single" w:sz="4" w:space="0" w:color="auto"/>
            </w:tcBorders>
          </w:tcPr>
          <w:p w:rsidR="009E3156" w:rsidRPr="0089734A" w:rsidRDefault="009E3156" w:rsidP="0086213A">
            <w:pPr>
              <w:spacing w:before="60" w:after="60"/>
              <w:jc w:val="left"/>
            </w:pPr>
            <w:r w:rsidRPr="0089734A">
              <w:t>2.4 Progress with implementation of pilot projects for SLM finance.</w:t>
            </w:r>
          </w:p>
        </w:tc>
        <w:tc>
          <w:tcPr>
            <w:tcW w:w="2949" w:type="dxa"/>
            <w:tcBorders>
              <w:top w:val="nil"/>
              <w:left w:val="single" w:sz="4" w:space="0" w:color="auto"/>
              <w:bottom w:val="single" w:sz="4" w:space="0" w:color="auto"/>
              <w:right w:val="single" w:sz="4" w:space="0" w:color="auto"/>
            </w:tcBorders>
          </w:tcPr>
          <w:p w:rsidR="009E3156" w:rsidRPr="0089734A" w:rsidRDefault="009E3156" w:rsidP="0086213A">
            <w:pPr>
              <w:spacing w:before="60" w:after="60"/>
              <w:jc w:val="left"/>
            </w:pPr>
          </w:p>
        </w:tc>
        <w:tc>
          <w:tcPr>
            <w:tcW w:w="2488" w:type="dxa"/>
            <w:tcBorders>
              <w:top w:val="nil"/>
              <w:left w:val="single" w:sz="4" w:space="0" w:color="auto"/>
              <w:bottom w:val="single" w:sz="4" w:space="0" w:color="auto"/>
              <w:right w:val="single" w:sz="4" w:space="0" w:color="auto"/>
            </w:tcBorders>
          </w:tcPr>
          <w:p w:rsidR="009E3156" w:rsidRDefault="009E3156" w:rsidP="0086213A">
            <w:pPr>
              <w:spacing w:before="60" w:after="60"/>
              <w:jc w:val="left"/>
            </w:pPr>
            <w:r w:rsidRPr="0089734A">
              <w:t>Quarterly after pilot implementation has started</w:t>
            </w:r>
          </w:p>
        </w:tc>
        <w:tc>
          <w:tcPr>
            <w:tcW w:w="567" w:type="dxa"/>
            <w:tcBorders>
              <w:top w:val="nil"/>
              <w:left w:val="single" w:sz="4" w:space="0" w:color="auto"/>
              <w:bottom w:val="single" w:sz="4" w:space="0" w:color="auto"/>
              <w:right w:val="single" w:sz="4" w:space="0" w:color="auto"/>
            </w:tcBorders>
          </w:tcPr>
          <w:p w:rsidR="009E3156" w:rsidRDefault="006916CC" w:rsidP="006916CC">
            <w:pPr>
              <w:spacing w:before="60" w:after="60"/>
              <w:jc w:val="center"/>
            </w:pPr>
            <w:r>
              <w:t>5</w:t>
            </w:r>
          </w:p>
        </w:tc>
      </w:tr>
      <w:tr w:rsidR="00393C04" w:rsidRPr="001C40E0" w:rsidTr="006916CC">
        <w:trPr>
          <w:trHeight w:val="232"/>
        </w:trPr>
        <w:tc>
          <w:tcPr>
            <w:tcW w:w="8642" w:type="dxa"/>
            <w:gridSpan w:val="3"/>
            <w:tcBorders>
              <w:top w:val="single" w:sz="4" w:space="0" w:color="auto"/>
              <w:bottom w:val="single" w:sz="4" w:space="0" w:color="auto"/>
            </w:tcBorders>
            <w:shd w:val="clear" w:color="auto" w:fill="D9D9D9" w:themeFill="background1" w:themeFillShade="D9"/>
          </w:tcPr>
          <w:p w:rsidR="00393C04" w:rsidRPr="001C40E0" w:rsidDel="00FE2656" w:rsidRDefault="00393C04" w:rsidP="0089734A">
            <w:pPr>
              <w:pStyle w:val="ListParagraph"/>
              <w:numPr>
                <w:ilvl w:val="0"/>
                <w:numId w:val="19"/>
              </w:numPr>
              <w:jc w:val="left"/>
            </w:pPr>
            <w:r w:rsidRPr="0089734A">
              <w:rPr>
                <w:b/>
                <w:bCs/>
              </w:rPr>
              <w:t>Draft SLM Finance Strategy Report</w:t>
            </w:r>
          </w:p>
        </w:tc>
        <w:tc>
          <w:tcPr>
            <w:tcW w:w="567" w:type="dxa"/>
            <w:tcBorders>
              <w:top w:val="single" w:sz="4" w:space="0" w:color="auto"/>
              <w:bottom w:val="single" w:sz="4" w:space="0" w:color="auto"/>
            </w:tcBorders>
            <w:shd w:val="clear" w:color="auto" w:fill="D9D9D9" w:themeFill="background1" w:themeFillShade="D9"/>
          </w:tcPr>
          <w:p w:rsidR="00393C04" w:rsidRPr="0089734A" w:rsidRDefault="004343C8" w:rsidP="0070521F">
            <w:pPr>
              <w:rPr>
                <w:b/>
                <w:bCs/>
              </w:rPr>
            </w:pPr>
            <w:r>
              <w:rPr>
                <w:b/>
                <w:bCs/>
              </w:rPr>
              <w:t>3</w:t>
            </w:r>
            <w:r w:rsidR="00393C04">
              <w:rPr>
                <w:b/>
                <w:bCs/>
              </w:rPr>
              <w:t>0%</w:t>
            </w:r>
          </w:p>
        </w:tc>
      </w:tr>
      <w:tr w:rsidR="00997593" w:rsidRPr="001C40E0" w:rsidTr="006916CC">
        <w:trPr>
          <w:trHeight w:val="686"/>
        </w:trPr>
        <w:tc>
          <w:tcPr>
            <w:tcW w:w="3205" w:type="dxa"/>
            <w:tcBorders>
              <w:top w:val="single" w:sz="4" w:space="0" w:color="auto"/>
              <w:left w:val="single" w:sz="4" w:space="0" w:color="auto"/>
              <w:bottom w:val="nil"/>
              <w:right w:val="single" w:sz="4" w:space="0" w:color="auto"/>
            </w:tcBorders>
          </w:tcPr>
          <w:p w:rsidR="00393C04" w:rsidRPr="0089734A" w:rsidRDefault="00393C04" w:rsidP="0086213A">
            <w:pPr>
              <w:spacing w:before="60" w:after="60"/>
              <w:jc w:val="left"/>
            </w:pPr>
            <w:r w:rsidRPr="0089734A">
              <w:t xml:space="preserve">3.1 </w:t>
            </w:r>
            <w:r w:rsidR="00B1356E" w:rsidRPr="0089734A">
              <w:t>Consultation with key stakeholders to develop the strategy</w:t>
            </w:r>
          </w:p>
        </w:tc>
        <w:tc>
          <w:tcPr>
            <w:tcW w:w="2949" w:type="dxa"/>
            <w:tcBorders>
              <w:top w:val="single" w:sz="4" w:space="0" w:color="auto"/>
              <w:left w:val="single" w:sz="4" w:space="0" w:color="auto"/>
              <w:bottom w:val="nil"/>
              <w:right w:val="single" w:sz="4" w:space="0" w:color="auto"/>
            </w:tcBorders>
          </w:tcPr>
          <w:p w:rsidR="00997593" w:rsidRPr="0089734A" w:rsidRDefault="00997593" w:rsidP="0086213A">
            <w:pPr>
              <w:spacing w:before="60" w:after="60"/>
              <w:jc w:val="left"/>
            </w:pPr>
          </w:p>
        </w:tc>
        <w:tc>
          <w:tcPr>
            <w:tcW w:w="2488" w:type="dxa"/>
            <w:tcBorders>
              <w:top w:val="single" w:sz="4" w:space="0" w:color="auto"/>
              <w:left w:val="single" w:sz="4" w:space="0" w:color="auto"/>
              <w:bottom w:val="nil"/>
              <w:right w:val="single" w:sz="4" w:space="0" w:color="auto"/>
            </w:tcBorders>
          </w:tcPr>
          <w:p w:rsidR="00997593" w:rsidRPr="0089734A" w:rsidRDefault="00997593" w:rsidP="0086213A">
            <w:pPr>
              <w:spacing w:before="60" w:after="60"/>
            </w:pPr>
          </w:p>
        </w:tc>
        <w:tc>
          <w:tcPr>
            <w:tcW w:w="567" w:type="dxa"/>
            <w:tcBorders>
              <w:top w:val="single" w:sz="4" w:space="0" w:color="auto"/>
              <w:left w:val="single" w:sz="4" w:space="0" w:color="auto"/>
              <w:bottom w:val="nil"/>
              <w:right w:val="single" w:sz="4" w:space="0" w:color="auto"/>
            </w:tcBorders>
          </w:tcPr>
          <w:p w:rsidR="00997593" w:rsidRPr="0089734A" w:rsidRDefault="0086213A" w:rsidP="006916CC">
            <w:pPr>
              <w:spacing w:before="60" w:after="60"/>
              <w:jc w:val="center"/>
            </w:pPr>
            <w:r>
              <w:t>15</w:t>
            </w:r>
          </w:p>
        </w:tc>
      </w:tr>
      <w:tr w:rsidR="0086213A" w:rsidRPr="001C40E0" w:rsidTr="006916CC">
        <w:trPr>
          <w:trHeight w:val="686"/>
        </w:trPr>
        <w:tc>
          <w:tcPr>
            <w:tcW w:w="3205" w:type="dxa"/>
            <w:tcBorders>
              <w:top w:val="nil"/>
              <w:left w:val="single" w:sz="4" w:space="0" w:color="auto"/>
              <w:bottom w:val="single" w:sz="4" w:space="0" w:color="auto"/>
              <w:right w:val="single" w:sz="4" w:space="0" w:color="auto"/>
            </w:tcBorders>
          </w:tcPr>
          <w:p w:rsidR="0086213A" w:rsidRPr="0089734A" w:rsidRDefault="0086213A" w:rsidP="006916CC">
            <w:pPr>
              <w:spacing w:before="60" w:after="60"/>
              <w:jc w:val="left"/>
            </w:pPr>
            <w:r w:rsidRPr="0089734A">
              <w:t>3.2 Draft SLM Finance Strategy Report submitted put out for comment</w:t>
            </w:r>
          </w:p>
        </w:tc>
        <w:tc>
          <w:tcPr>
            <w:tcW w:w="2949" w:type="dxa"/>
            <w:tcBorders>
              <w:top w:val="nil"/>
              <w:left w:val="single" w:sz="4" w:space="0" w:color="auto"/>
              <w:bottom w:val="single" w:sz="4" w:space="0" w:color="auto"/>
              <w:right w:val="single" w:sz="4" w:space="0" w:color="auto"/>
            </w:tcBorders>
          </w:tcPr>
          <w:p w:rsidR="0086213A" w:rsidRPr="0089734A" w:rsidRDefault="0086213A" w:rsidP="006916CC">
            <w:pPr>
              <w:spacing w:before="60" w:after="60"/>
              <w:jc w:val="left"/>
            </w:pPr>
          </w:p>
        </w:tc>
        <w:tc>
          <w:tcPr>
            <w:tcW w:w="2488" w:type="dxa"/>
            <w:tcBorders>
              <w:top w:val="nil"/>
              <w:left w:val="single" w:sz="4" w:space="0" w:color="auto"/>
              <w:bottom w:val="single" w:sz="4" w:space="0" w:color="auto"/>
              <w:right w:val="single" w:sz="4" w:space="0" w:color="auto"/>
            </w:tcBorders>
          </w:tcPr>
          <w:p w:rsidR="0086213A" w:rsidRPr="0089734A" w:rsidRDefault="0086213A" w:rsidP="006916CC">
            <w:pPr>
              <w:spacing w:before="60" w:after="60"/>
            </w:pPr>
          </w:p>
        </w:tc>
        <w:tc>
          <w:tcPr>
            <w:tcW w:w="567" w:type="dxa"/>
            <w:tcBorders>
              <w:top w:val="nil"/>
              <w:left w:val="single" w:sz="4" w:space="0" w:color="auto"/>
              <w:bottom w:val="single" w:sz="4" w:space="0" w:color="auto"/>
              <w:right w:val="single" w:sz="4" w:space="0" w:color="auto"/>
            </w:tcBorders>
          </w:tcPr>
          <w:p w:rsidR="0086213A" w:rsidRDefault="0086213A" w:rsidP="006916CC">
            <w:pPr>
              <w:spacing w:before="60" w:after="60"/>
              <w:jc w:val="center"/>
            </w:pPr>
            <w:r>
              <w:t>15</w:t>
            </w:r>
          </w:p>
        </w:tc>
      </w:tr>
      <w:tr w:rsidR="00061376" w:rsidRPr="001C40E0" w:rsidTr="006916CC">
        <w:trPr>
          <w:trHeight w:val="219"/>
        </w:trPr>
        <w:tc>
          <w:tcPr>
            <w:tcW w:w="8642" w:type="dxa"/>
            <w:gridSpan w:val="3"/>
            <w:tcBorders>
              <w:top w:val="single" w:sz="4" w:space="0" w:color="auto"/>
              <w:bottom w:val="single" w:sz="4" w:space="0" w:color="auto"/>
            </w:tcBorders>
            <w:shd w:val="clear" w:color="auto" w:fill="D9D9D9" w:themeFill="background1" w:themeFillShade="D9"/>
          </w:tcPr>
          <w:p w:rsidR="00061376" w:rsidRPr="001132C3" w:rsidRDefault="00061376" w:rsidP="0089734A">
            <w:pPr>
              <w:pStyle w:val="ListParagraph"/>
              <w:numPr>
                <w:ilvl w:val="0"/>
                <w:numId w:val="19"/>
              </w:numPr>
            </w:pPr>
            <w:r w:rsidRPr="0089734A">
              <w:rPr>
                <w:b/>
                <w:bCs/>
              </w:rPr>
              <w:t>Demonstration of SLM Finance</w:t>
            </w:r>
            <w:r w:rsidR="004343C8" w:rsidRPr="0089734A">
              <w:rPr>
                <w:b/>
                <w:bCs/>
              </w:rPr>
              <w:t xml:space="preserve"> </w:t>
            </w:r>
            <w:r w:rsidRPr="0089734A">
              <w:rPr>
                <w:b/>
                <w:bCs/>
              </w:rPr>
              <w:t>solutions in pilot areas</w:t>
            </w:r>
          </w:p>
        </w:tc>
        <w:tc>
          <w:tcPr>
            <w:tcW w:w="567" w:type="dxa"/>
            <w:tcBorders>
              <w:top w:val="single" w:sz="4" w:space="0" w:color="auto"/>
              <w:bottom w:val="single" w:sz="4" w:space="0" w:color="auto"/>
            </w:tcBorders>
            <w:shd w:val="clear" w:color="auto" w:fill="D9D9D9" w:themeFill="background1" w:themeFillShade="D9"/>
          </w:tcPr>
          <w:p w:rsidR="00061376" w:rsidRPr="0089734A" w:rsidRDefault="004343C8" w:rsidP="0070521F">
            <w:pPr>
              <w:rPr>
                <w:b/>
                <w:bCs/>
              </w:rPr>
            </w:pPr>
            <w:r>
              <w:rPr>
                <w:b/>
                <w:bCs/>
              </w:rPr>
              <w:t>2</w:t>
            </w:r>
            <w:r w:rsidRPr="0089734A">
              <w:rPr>
                <w:b/>
                <w:bCs/>
              </w:rPr>
              <w:t>0</w:t>
            </w:r>
            <w:r>
              <w:rPr>
                <w:b/>
                <w:bCs/>
              </w:rPr>
              <w:t>%</w:t>
            </w:r>
          </w:p>
        </w:tc>
      </w:tr>
      <w:tr w:rsidR="00061376" w:rsidRPr="001C40E0" w:rsidTr="006916CC">
        <w:trPr>
          <w:trHeight w:val="211"/>
        </w:trPr>
        <w:tc>
          <w:tcPr>
            <w:tcW w:w="3205" w:type="dxa"/>
            <w:tcBorders>
              <w:top w:val="single" w:sz="4" w:space="0" w:color="auto"/>
              <w:left w:val="single" w:sz="4" w:space="0" w:color="auto"/>
              <w:bottom w:val="nil"/>
              <w:right w:val="single" w:sz="4" w:space="0" w:color="auto"/>
            </w:tcBorders>
          </w:tcPr>
          <w:p w:rsidR="004343C8" w:rsidRPr="001132C3" w:rsidDel="00393C04" w:rsidRDefault="004343C8" w:rsidP="0086213A">
            <w:pPr>
              <w:spacing w:before="60" w:after="60"/>
              <w:jc w:val="left"/>
            </w:pPr>
            <w:r>
              <w:t>4.1 Identify suitable pilot area</w:t>
            </w:r>
          </w:p>
        </w:tc>
        <w:tc>
          <w:tcPr>
            <w:tcW w:w="2949" w:type="dxa"/>
            <w:tcBorders>
              <w:top w:val="single" w:sz="4" w:space="0" w:color="auto"/>
              <w:left w:val="single" w:sz="4" w:space="0" w:color="auto"/>
              <w:bottom w:val="nil"/>
              <w:right w:val="single" w:sz="4" w:space="0" w:color="auto"/>
            </w:tcBorders>
          </w:tcPr>
          <w:p w:rsidR="00061376" w:rsidRPr="001132C3" w:rsidRDefault="00061376" w:rsidP="0086213A">
            <w:pPr>
              <w:spacing w:before="60" w:after="60"/>
              <w:jc w:val="left"/>
            </w:pPr>
          </w:p>
        </w:tc>
        <w:tc>
          <w:tcPr>
            <w:tcW w:w="2488" w:type="dxa"/>
            <w:tcBorders>
              <w:top w:val="single" w:sz="4" w:space="0" w:color="auto"/>
              <w:left w:val="single" w:sz="4" w:space="0" w:color="auto"/>
              <w:bottom w:val="nil"/>
              <w:right w:val="single" w:sz="4" w:space="0" w:color="auto"/>
            </w:tcBorders>
          </w:tcPr>
          <w:p w:rsidR="00061376" w:rsidRPr="001132C3" w:rsidRDefault="00061376" w:rsidP="0086213A">
            <w:pPr>
              <w:spacing w:before="60" w:after="60"/>
            </w:pPr>
          </w:p>
        </w:tc>
        <w:tc>
          <w:tcPr>
            <w:tcW w:w="567" w:type="dxa"/>
            <w:tcBorders>
              <w:top w:val="single" w:sz="4" w:space="0" w:color="auto"/>
              <w:left w:val="single" w:sz="4" w:space="0" w:color="auto"/>
              <w:bottom w:val="nil"/>
              <w:right w:val="single" w:sz="4" w:space="0" w:color="auto"/>
            </w:tcBorders>
          </w:tcPr>
          <w:p w:rsidR="00061376" w:rsidRPr="001C40E0" w:rsidRDefault="00797EA6" w:rsidP="006916CC">
            <w:pPr>
              <w:spacing w:before="60" w:after="60"/>
              <w:jc w:val="center"/>
            </w:pPr>
            <w:r>
              <w:t>5</w:t>
            </w:r>
          </w:p>
        </w:tc>
      </w:tr>
      <w:tr w:rsidR="0086213A" w:rsidRPr="001C40E0" w:rsidTr="006916CC">
        <w:trPr>
          <w:trHeight w:val="161"/>
        </w:trPr>
        <w:tc>
          <w:tcPr>
            <w:tcW w:w="3205" w:type="dxa"/>
            <w:tcBorders>
              <w:top w:val="nil"/>
              <w:left w:val="single" w:sz="4" w:space="0" w:color="auto"/>
              <w:bottom w:val="nil"/>
              <w:right w:val="single" w:sz="4" w:space="0" w:color="auto"/>
            </w:tcBorders>
          </w:tcPr>
          <w:p w:rsidR="0086213A" w:rsidRDefault="0086213A" w:rsidP="0086213A">
            <w:pPr>
              <w:spacing w:before="60" w:after="60"/>
              <w:jc w:val="left"/>
            </w:pPr>
            <w:r>
              <w:t>4.2 Implement pilot solutions</w:t>
            </w:r>
          </w:p>
        </w:tc>
        <w:tc>
          <w:tcPr>
            <w:tcW w:w="2949" w:type="dxa"/>
            <w:tcBorders>
              <w:top w:val="nil"/>
              <w:left w:val="single" w:sz="4" w:space="0" w:color="auto"/>
              <w:bottom w:val="nil"/>
              <w:right w:val="single" w:sz="4" w:space="0" w:color="auto"/>
            </w:tcBorders>
          </w:tcPr>
          <w:p w:rsidR="0086213A" w:rsidRPr="001132C3" w:rsidRDefault="0086213A" w:rsidP="0086213A">
            <w:pPr>
              <w:spacing w:before="60" w:after="60"/>
              <w:jc w:val="left"/>
            </w:pPr>
          </w:p>
        </w:tc>
        <w:tc>
          <w:tcPr>
            <w:tcW w:w="2488" w:type="dxa"/>
            <w:tcBorders>
              <w:top w:val="nil"/>
              <w:left w:val="single" w:sz="4" w:space="0" w:color="auto"/>
              <w:bottom w:val="nil"/>
              <w:right w:val="single" w:sz="4" w:space="0" w:color="auto"/>
            </w:tcBorders>
          </w:tcPr>
          <w:p w:rsidR="0086213A" w:rsidRPr="001132C3" w:rsidRDefault="0086213A" w:rsidP="0086213A">
            <w:pPr>
              <w:spacing w:before="60" w:after="60"/>
            </w:pPr>
          </w:p>
        </w:tc>
        <w:tc>
          <w:tcPr>
            <w:tcW w:w="567" w:type="dxa"/>
            <w:tcBorders>
              <w:top w:val="nil"/>
              <w:left w:val="single" w:sz="4" w:space="0" w:color="auto"/>
              <w:bottom w:val="nil"/>
              <w:right w:val="single" w:sz="4" w:space="0" w:color="auto"/>
            </w:tcBorders>
          </w:tcPr>
          <w:p w:rsidR="0086213A" w:rsidRPr="001C40E0" w:rsidRDefault="00797EA6" w:rsidP="006916CC">
            <w:pPr>
              <w:spacing w:before="60" w:after="60"/>
              <w:jc w:val="center"/>
            </w:pPr>
            <w:r>
              <w:t>8</w:t>
            </w:r>
          </w:p>
        </w:tc>
      </w:tr>
      <w:tr w:rsidR="0086213A" w:rsidRPr="001C40E0" w:rsidTr="006916CC">
        <w:trPr>
          <w:trHeight w:val="523"/>
        </w:trPr>
        <w:tc>
          <w:tcPr>
            <w:tcW w:w="3205" w:type="dxa"/>
            <w:tcBorders>
              <w:top w:val="nil"/>
              <w:left w:val="single" w:sz="4" w:space="0" w:color="auto"/>
              <w:bottom w:val="single" w:sz="4" w:space="0" w:color="auto"/>
              <w:right w:val="single" w:sz="4" w:space="0" w:color="auto"/>
            </w:tcBorders>
          </w:tcPr>
          <w:p w:rsidR="0086213A" w:rsidRDefault="0086213A" w:rsidP="0086213A">
            <w:pPr>
              <w:spacing w:before="60" w:after="60"/>
              <w:jc w:val="left"/>
            </w:pPr>
            <w:r>
              <w:t>4.3 Develop communication/infographic/factsheet on viable SLM Finance and governance solutions</w:t>
            </w:r>
          </w:p>
        </w:tc>
        <w:tc>
          <w:tcPr>
            <w:tcW w:w="2949" w:type="dxa"/>
            <w:tcBorders>
              <w:top w:val="nil"/>
              <w:left w:val="single" w:sz="4" w:space="0" w:color="auto"/>
              <w:bottom w:val="single" w:sz="4" w:space="0" w:color="auto"/>
              <w:right w:val="single" w:sz="4" w:space="0" w:color="auto"/>
            </w:tcBorders>
          </w:tcPr>
          <w:p w:rsidR="0086213A" w:rsidRPr="001132C3" w:rsidRDefault="0086213A" w:rsidP="0086213A">
            <w:pPr>
              <w:spacing w:before="60" w:after="60"/>
              <w:jc w:val="left"/>
            </w:pPr>
          </w:p>
        </w:tc>
        <w:tc>
          <w:tcPr>
            <w:tcW w:w="2488" w:type="dxa"/>
            <w:tcBorders>
              <w:top w:val="nil"/>
              <w:left w:val="single" w:sz="4" w:space="0" w:color="auto"/>
              <w:bottom w:val="single" w:sz="4" w:space="0" w:color="auto"/>
              <w:right w:val="single" w:sz="4" w:space="0" w:color="auto"/>
            </w:tcBorders>
          </w:tcPr>
          <w:p w:rsidR="0086213A" w:rsidRPr="001132C3" w:rsidRDefault="0086213A" w:rsidP="0086213A">
            <w:pPr>
              <w:spacing w:before="60" w:after="60"/>
            </w:pPr>
          </w:p>
        </w:tc>
        <w:tc>
          <w:tcPr>
            <w:tcW w:w="567" w:type="dxa"/>
            <w:tcBorders>
              <w:top w:val="nil"/>
              <w:left w:val="single" w:sz="4" w:space="0" w:color="auto"/>
              <w:bottom w:val="single" w:sz="4" w:space="0" w:color="auto"/>
              <w:right w:val="single" w:sz="4" w:space="0" w:color="auto"/>
            </w:tcBorders>
          </w:tcPr>
          <w:p w:rsidR="0086213A" w:rsidRPr="001C40E0" w:rsidRDefault="00797EA6" w:rsidP="006916CC">
            <w:pPr>
              <w:spacing w:before="60" w:after="60"/>
              <w:jc w:val="center"/>
            </w:pPr>
            <w:r>
              <w:t>7</w:t>
            </w:r>
          </w:p>
        </w:tc>
      </w:tr>
      <w:tr w:rsidR="001132C3" w:rsidRPr="001C40E0" w:rsidTr="0086213A">
        <w:trPr>
          <w:trHeight w:val="49"/>
        </w:trPr>
        <w:tc>
          <w:tcPr>
            <w:tcW w:w="8642" w:type="dxa"/>
            <w:gridSpan w:val="3"/>
            <w:tcBorders>
              <w:top w:val="single" w:sz="4" w:space="0" w:color="auto"/>
            </w:tcBorders>
            <w:shd w:val="clear" w:color="auto" w:fill="D9D9D9" w:themeFill="background1" w:themeFillShade="D9"/>
          </w:tcPr>
          <w:p w:rsidR="001132C3" w:rsidRPr="0086213A" w:rsidRDefault="001132C3" w:rsidP="0086213A">
            <w:pPr>
              <w:pStyle w:val="ListParagraph"/>
              <w:numPr>
                <w:ilvl w:val="0"/>
                <w:numId w:val="19"/>
              </w:numPr>
              <w:jc w:val="left"/>
              <w:rPr>
                <w:b/>
                <w:bCs/>
              </w:rPr>
            </w:pPr>
            <w:r w:rsidRPr="0089734A">
              <w:rPr>
                <w:b/>
                <w:bCs/>
              </w:rPr>
              <w:t>Final SLM Finance Strategy</w:t>
            </w:r>
          </w:p>
        </w:tc>
        <w:tc>
          <w:tcPr>
            <w:tcW w:w="567" w:type="dxa"/>
            <w:tcBorders>
              <w:top w:val="single" w:sz="4" w:space="0" w:color="auto"/>
            </w:tcBorders>
            <w:shd w:val="clear" w:color="auto" w:fill="D9D9D9" w:themeFill="background1" w:themeFillShade="D9"/>
          </w:tcPr>
          <w:p w:rsidR="001132C3" w:rsidRPr="0089734A" w:rsidRDefault="001132C3" w:rsidP="0070521F">
            <w:pPr>
              <w:rPr>
                <w:b/>
                <w:bCs/>
              </w:rPr>
            </w:pPr>
            <w:r w:rsidRPr="0089734A">
              <w:rPr>
                <w:b/>
                <w:bCs/>
              </w:rPr>
              <w:t>10</w:t>
            </w:r>
            <w:r>
              <w:rPr>
                <w:b/>
                <w:bCs/>
              </w:rPr>
              <w:t>%</w:t>
            </w:r>
          </w:p>
        </w:tc>
      </w:tr>
      <w:tr w:rsidR="001132C3" w:rsidRPr="001C40E0" w:rsidTr="0086213A">
        <w:trPr>
          <w:trHeight w:val="454"/>
        </w:trPr>
        <w:tc>
          <w:tcPr>
            <w:tcW w:w="3205" w:type="dxa"/>
          </w:tcPr>
          <w:p w:rsidR="001132C3" w:rsidRPr="0089734A" w:rsidDel="001132C3" w:rsidRDefault="001132C3" w:rsidP="0089734A">
            <w:pPr>
              <w:pStyle w:val="ListParagraph"/>
              <w:numPr>
                <w:ilvl w:val="0"/>
                <w:numId w:val="0"/>
              </w:numPr>
              <w:jc w:val="left"/>
            </w:pPr>
            <w:r w:rsidRPr="0089734A">
              <w:t>Final SLM Finance Strategy submitted</w:t>
            </w:r>
          </w:p>
        </w:tc>
        <w:tc>
          <w:tcPr>
            <w:tcW w:w="2949" w:type="dxa"/>
          </w:tcPr>
          <w:p w:rsidR="001132C3" w:rsidRPr="0089734A" w:rsidRDefault="001132C3" w:rsidP="0089734A">
            <w:pPr>
              <w:jc w:val="left"/>
            </w:pPr>
            <w:r w:rsidRPr="0089734A">
              <w:t>Incorporating revisions and confirming approval</w:t>
            </w:r>
          </w:p>
        </w:tc>
        <w:tc>
          <w:tcPr>
            <w:tcW w:w="2488" w:type="dxa"/>
          </w:tcPr>
          <w:p w:rsidR="001132C3" w:rsidRPr="0089734A" w:rsidRDefault="001132C3" w:rsidP="0070521F"/>
        </w:tc>
        <w:tc>
          <w:tcPr>
            <w:tcW w:w="567" w:type="dxa"/>
          </w:tcPr>
          <w:p w:rsidR="001132C3" w:rsidRPr="00797EA6" w:rsidRDefault="00797EA6" w:rsidP="0070521F">
            <w:r w:rsidRPr="00797EA6">
              <w:t>10</w:t>
            </w:r>
          </w:p>
        </w:tc>
      </w:tr>
    </w:tbl>
    <w:p w:rsidR="00997593" w:rsidRPr="0089734A" w:rsidRDefault="00997593" w:rsidP="0070521F">
      <w:pPr>
        <w:rPr>
          <w:i/>
          <w:iCs/>
        </w:rPr>
      </w:pPr>
      <w:r w:rsidRPr="0089734A">
        <w:rPr>
          <w:i/>
          <w:iCs/>
        </w:rPr>
        <w:t xml:space="preserve">*Indicative </w:t>
      </w:r>
      <w:r w:rsidR="007A3ABB" w:rsidRPr="0089734A">
        <w:rPr>
          <w:i/>
          <w:iCs/>
        </w:rPr>
        <w:t xml:space="preserve">figure </w:t>
      </w:r>
      <w:r w:rsidRPr="0089734A">
        <w:rPr>
          <w:i/>
          <w:iCs/>
        </w:rPr>
        <w:t>to be confirmed at contract signature</w:t>
      </w:r>
      <w:r w:rsidR="001132C3" w:rsidRPr="0089734A">
        <w:rPr>
          <w:i/>
          <w:iCs/>
        </w:rPr>
        <w:t xml:space="preserve"> of funding and time required.</w:t>
      </w:r>
    </w:p>
    <w:p w:rsidR="00997593" w:rsidRPr="0089734A" w:rsidRDefault="00997593" w:rsidP="0070521F">
      <w:pPr>
        <w:rPr>
          <w:b/>
          <w:bCs/>
        </w:rPr>
      </w:pPr>
    </w:p>
    <w:p w:rsidR="00997593" w:rsidRPr="0089734A" w:rsidRDefault="00997593" w:rsidP="0070521F">
      <w:pPr>
        <w:rPr>
          <w:b/>
          <w:bCs/>
        </w:rPr>
      </w:pPr>
    </w:p>
    <w:p w:rsidR="000967A5" w:rsidRPr="0089734A" w:rsidRDefault="000967A5" w:rsidP="0070521F">
      <w:pPr>
        <w:rPr>
          <w:b/>
          <w:bCs/>
        </w:rPr>
      </w:pPr>
      <w:r w:rsidRPr="0089734A">
        <w:rPr>
          <w:b/>
          <w:bCs/>
        </w:rPr>
        <w:t>6. CONTRACT PERIOD AND EFFORT REQUIRED</w:t>
      </w:r>
    </w:p>
    <w:p w:rsidR="001E1AA0" w:rsidRPr="0089734A" w:rsidRDefault="001E1AA0" w:rsidP="0070521F"/>
    <w:p w:rsidR="000967A5" w:rsidRPr="0089734A" w:rsidRDefault="000967A5" w:rsidP="0070521F">
      <w:r w:rsidRPr="0089734A">
        <w:t xml:space="preserve">It is estimated that the project will require between </w:t>
      </w:r>
      <w:r w:rsidR="00797EA6">
        <w:t>17</w:t>
      </w:r>
      <w:r w:rsidR="001E1AA0" w:rsidRPr="0089734A">
        <w:t xml:space="preserve"> calendar months</w:t>
      </w:r>
      <w:r w:rsidRPr="0089734A">
        <w:t xml:space="preserve"> and needs to be completed </w:t>
      </w:r>
      <w:r w:rsidR="001E1AA0" w:rsidRPr="0089734A">
        <w:t xml:space="preserve">at the latest by </w:t>
      </w:r>
      <w:r w:rsidR="00D307CF" w:rsidRPr="0089734A">
        <w:t>3</w:t>
      </w:r>
      <w:r w:rsidR="001132C3">
        <w:t>0</w:t>
      </w:r>
      <w:r w:rsidR="00D307CF" w:rsidRPr="0089734A">
        <w:t xml:space="preserve"> </w:t>
      </w:r>
      <w:r w:rsidR="0061777F" w:rsidRPr="001132C3">
        <w:t>November</w:t>
      </w:r>
      <w:r w:rsidR="0061777F" w:rsidRPr="0089734A">
        <w:t xml:space="preserve"> </w:t>
      </w:r>
      <w:r w:rsidR="00D307CF" w:rsidRPr="0089734A">
        <w:t>2021</w:t>
      </w:r>
      <w:r w:rsidRPr="0089734A">
        <w:t>.</w:t>
      </w:r>
    </w:p>
    <w:p w:rsidR="001E1AA0" w:rsidRPr="0089734A" w:rsidRDefault="001E1AA0" w:rsidP="0070521F"/>
    <w:p w:rsidR="000967A5" w:rsidRPr="0089734A" w:rsidRDefault="000967A5" w:rsidP="0070521F">
      <w:pPr>
        <w:rPr>
          <w:b/>
          <w:bCs/>
        </w:rPr>
      </w:pPr>
      <w:r w:rsidRPr="0089734A">
        <w:rPr>
          <w:b/>
          <w:bCs/>
        </w:rPr>
        <w:t>7. MINIMUM REQUIREMENT</w:t>
      </w:r>
      <w:r w:rsidR="00762DCF">
        <w:rPr>
          <w:b/>
          <w:bCs/>
        </w:rPr>
        <w:t>S</w:t>
      </w:r>
    </w:p>
    <w:p w:rsidR="001E1AA0" w:rsidRPr="0089734A" w:rsidRDefault="001E1AA0" w:rsidP="0070521F">
      <w:pPr>
        <w:rPr>
          <w:b/>
          <w:bCs/>
        </w:rPr>
      </w:pPr>
    </w:p>
    <w:p w:rsidR="001E1AA0" w:rsidRPr="0089734A" w:rsidRDefault="001E1AA0" w:rsidP="0070521F">
      <w:pPr>
        <w:pStyle w:val="ListParagraph"/>
        <w:numPr>
          <w:ilvl w:val="0"/>
          <w:numId w:val="1"/>
        </w:numPr>
      </w:pPr>
      <w:r w:rsidRPr="0089734A">
        <w:t>A</w:t>
      </w:r>
      <w:r w:rsidR="000967A5" w:rsidRPr="0089734A">
        <w:t xml:space="preserve"> post Graduate Degree in </w:t>
      </w:r>
      <w:r w:rsidRPr="0089734A">
        <w:t>Finance</w:t>
      </w:r>
      <w:r w:rsidR="000967A5" w:rsidRPr="0089734A">
        <w:t xml:space="preserve">, </w:t>
      </w:r>
      <w:r w:rsidR="00E82BC6" w:rsidRPr="0089734A">
        <w:t>Law, Commerce,</w:t>
      </w:r>
      <w:r w:rsidRPr="0089734A">
        <w:t xml:space="preserve"> Environmental </w:t>
      </w:r>
      <w:r w:rsidR="00976391" w:rsidRPr="0089734A">
        <w:t xml:space="preserve">or Resource </w:t>
      </w:r>
      <w:r w:rsidR="000967A5" w:rsidRPr="0089734A">
        <w:t>Economics</w:t>
      </w:r>
      <w:r w:rsidRPr="0089734A">
        <w:t>, Environmental Science</w:t>
      </w:r>
      <w:r w:rsidR="000967A5" w:rsidRPr="0089734A">
        <w:t xml:space="preserve"> or </w:t>
      </w:r>
      <w:r w:rsidR="00E82BC6" w:rsidRPr="0089734A">
        <w:t>another</w:t>
      </w:r>
      <w:r w:rsidR="000967A5" w:rsidRPr="0089734A">
        <w:t xml:space="preserve"> related field</w:t>
      </w:r>
      <w:r w:rsidR="00E82BC6" w:rsidRPr="0089734A">
        <w:t>;</w:t>
      </w:r>
    </w:p>
    <w:p w:rsidR="00E82BC6" w:rsidRPr="0089734A" w:rsidRDefault="000967A5" w:rsidP="0070521F">
      <w:pPr>
        <w:pStyle w:val="ListParagraph"/>
        <w:numPr>
          <w:ilvl w:val="0"/>
          <w:numId w:val="1"/>
        </w:numPr>
      </w:pPr>
      <w:bookmarkStart w:id="4" w:name="_Hlk38774740"/>
      <w:r w:rsidRPr="0089734A">
        <w:t xml:space="preserve">Professional hands-on experience </w:t>
      </w:r>
      <w:bookmarkEnd w:id="4"/>
      <w:r w:rsidRPr="0089734A">
        <w:t xml:space="preserve">and proven track record </w:t>
      </w:r>
      <w:r w:rsidR="00762DCF">
        <w:t>in</w:t>
      </w:r>
      <w:r w:rsidR="00E82BC6" w:rsidRPr="0089734A">
        <w:t xml:space="preserve"> Biodiversity Financ</w:t>
      </w:r>
      <w:r w:rsidR="00762DCF">
        <w:t>ing</w:t>
      </w:r>
      <w:r w:rsidR="00E82BC6" w:rsidRPr="0089734A">
        <w:t xml:space="preserve"> Expert</w:t>
      </w:r>
      <w:r w:rsidR="00762DCF">
        <w:t>ise</w:t>
      </w:r>
      <w:r w:rsidR="00E82BC6" w:rsidRPr="0089734A">
        <w:t xml:space="preserve">, Protected and Conserved </w:t>
      </w:r>
      <w:r w:rsidR="00976391" w:rsidRPr="0089734A">
        <w:t>A</w:t>
      </w:r>
      <w:r w:rsidR="00E82BC6" w:rsidRPr="0089734A">
        <w:t xml:space="preserve">rea Policy, Environmental and Conservation of </w:t>
      </w:r>
      <w:r w:rsidR="00976391" w:rsidRPr="0089734A">
        <w:t xml:space="preserve">Natural </w:t>
      </w:r>
      <w:r w:rsidR="00E82BC6" w:rsidRPr="0089734A">
        <w:t>Agricultural Resources Law and policymaking on financial incentives;</w:t>
      </w:r>
    </w:p>
    <w:p w:rsidR="001E1AA0" w:rsidRPr="0089734A" w:rsidRDefault="00E82BC6" w:rsidP="0070521F">
      <w:pPr>
        <w:pStyle w:val="ListParagraph"/>
        <w:numPr>
          <w:ilvl w:val="0"/>
          <w:numId w:val="1"/>
        </w:numPr>
      </w:pPr>
      <w:r w:rsidRPr="0089734A">
        <w:t xml:space="preserve">Professional hands-on experience </w:t>
      </w:r>
      <w:r w:rsidR="000967A5" w:rsidRPr="0089734A">
        <w:t>on report writing of projects of a similar nature and size</w:t>
      </w:r>
      <w:r w:rsidRPr="0089734A">
        <w:t>;</w:t>
      </w:r>
    </w:p>
    <w:p w:rsidR="001E1AA0" w:rsidRPr="0089734A" w:rsidRDefault="000967A5" w:rsidP="0070521F">
      <w:pPr>
        <w:pStyle w:val="ListParagraph"/>
        <w:numPr>
          <w:ilvl w:val="0"/>
          <w:numId w:val="1"/>
        </w:numPr>
      </w:pPr>
      <w:r w:rsidRPr="0089734A">
        <w:t>Experience in professional communication and reporting at all levels.</w:t>
      </w:r>
    </w:p>
    <w:p w:rsidR="001E1AA0" w:rsidRPr="0089734A" w:rsidRDefault="001E1AA0" w:rsidP="0070521F"/>
    <w:p w:rsidR="000967A5" w:rsidRPr="0089734A" w:rsidRDefault="000967A5" w:rsidP="0070521F">
      <w:pPr>
        <w:rPr>
          <w:b/>
          <w:bCs/>
        </w:rPr>
      </w:pPr>
      <w:r w:rsidRPr="0089734A">
        <w:rPr>
          <w:b/>
          <w:bCs/>
        </w:rPr>
        <w:t>8. PROJECT ADMINISTRATION</w:t>
      </w:r>
    </w:p>
    <w:p w:rsidR="001E1AA0" w:rsidRPr="0089734A" w:rsidRDefault="001E1AA0" w:rsidP="0070521F"/>
    <w:p w:rsidR="000967A5" w:rsidRPr="0089734A" w:rsidRDefault="000967A5" w:rsidP="0070521F">
      <w:r w:rsidRPr="0089734A">
        <w:t xml:space="preserve">Whilst the contract is held with UNDP, the work will be overseen by the Project </w:t>
      </w:r>
      <w:r w:rsidR="00D307CF" w:rsidRPr="0089734A">
        <w:t>Management</w:t>
      </w:r>
      <w:r w:rsidRPr="0089734A">
        <w:t xml:space="preserve"> Unit (P</w:t>
      </w:r>
      <w:r w:rsidR="00D307CF" w:rsidRPr="0089734A">
        <w:t>M</w:t>
      </w:r>
      <w:r w:rsidRPr="0089734A">
        <w:t xml:space="preserve">U) comprising of the </w:t>
      </w:r>
      <w:r w:rsidR="000A14C1" w:rsidRPr="0089734A">
        <w:t xml:space="preserve">SLM </w:t>
      </w:r>
      <w:r w:rsidRPr="0089734A">
        <w:t>Project Manager (</w:t>
      </w:r>
      <w:r w:rsidR="000A14C1" w:rsidRPr="0089734A">
        <w:t>UNDP</w:t>
      </w:r>
      <w:r w:rsidRPr="0089734A">
        <w:t>) and D</w:t>
      </w:r>
      <w:r w:rsidR="000A14C1" w:rsidRPr="0089734A">
        <w:t>EFF Chief Director: Biodiversity Management &amp; Planning as Project Implementing Partner to the GEF 5 SLM Project</w:t>
      </w:r>
      <w:r w:rsidRPr="0089734A">
        <w:t>.</w:t>
      </w:r>
    </w:p>
    <w:p w:rsidR="000A14C1" w:rsidRPr="0089734A" w:rsidRDefault="000A14C1" w:rsidP="0070521F"/>
    <w:p w:rsidR="00997593" w:rsidRPr="0089734A" w:rsidRDefault="000967A5" w:rsidP="0070521F">
      <w:pPr>
        <w:rPr>
          <w:b/>
          <w:bCs/>
        </w:rPr>
      </w:pPr>
      <w:r w:rsidRPr="0089734A">
        <w:rPr>
          <w:b/>
          <w:bCs/>
        </w:rPr>
        <w:t>9. EVALUATION CRITERI</w:t>
      </w:r>
      <w:r w:rsidR="00997593" w:rsidRPr="0089734A">
        <w:rPr>
          <w:b/>
          <w:bCs/>
        </w:rPr>
        <w:t>A</w:t>
      </w:r>
    </w:p>
    <w:p w:rsidR="00997593" w:rsidRPr="0089734A" w:rsidRDefault="00997593" w:rsidP="0070521F">
      <w:pPr>
        <w:rPr>
          <w:b/>
          <w:bCs/>
        </w:rPr>
      </w:pPr>
    </w:p>
    <w:p w:rsidR="007A3ABB" w:rsidRDefault="00997593" w:rsidP="0070521F">
      <w:pPr>
        <w:ind w:right="180"/>
      </w:pPr>
      <w:r w:rsidRPr="0089734A">
        <w:t xml:space="preserve">The evaluation of proposals will be conducted according to UNDP procurement rules. A two-stage procedure is </w:t>
      </w:r>
      <w:r w:rsidR="00D307CF" w:rsidRPr="0089734A">
        <w:t>utilized</w:t>
      </w:r>
      <w:r w:rsidRPr="0089734A">
        <w:t xml:space="preserve"> in evaluating the proposals, with evaluation of the technical proposal being completed prior to any price proposal being opened and compared. </w:t>
      </w:r>
    </w:p>
    <w:p w:rsidR="00997593" w:rsidRPr="0089734A" w:rsidRDefault="00997593" w:rsidP="0070521F">
      <w:pPr>
        <w:ind w:right="180"/>
      </w:pPr>
      <w:r w:rsidRPr="0089734A">
        <w:t>The price proposal of the proposals will be opened only for submissions that passed the minimum technical score of 70% of the obtainable score of 100 points in the evaluation of the technical proposals. The technical proposal is evaluated based on its responsiveness to the Term of Reference (TOR) and candidates may be requested to make a presentation to the Technical Evaluation committee</w:t>
      </w:r>
      <w:r w:rsidR="007A3ABB">
        <w:t>.</w:t>
      </w:r>
    </w:p>
    <w:p w:rsidR="00997593" w:rsidRPr="0089734A" w:rsidRDefault="00997593" w:rsidP="0070521F"/>
    <w:p w:rsidR="00997593" w:rsidRPr="0089734A" w:rsidRDefault="00997593" w:rsidP="0070521F">
      <w:r w:rsidRPr="0089734A">
        <w:t>In the Second Stage, the price proposal of all contractors, who have attained a minimum of 70% score in the technical evaluation will be compared. Selection will be based on a technically qualified proposal with lowest quoted financial proposal, where the approach to the work, qualifications and experience (Technical proposal) will be weighted to a maximum of 70%, and the price offer (Financial proposal) which will be weighted at a maximum of 30%.</w:t>
      </w:r>
    </w:p>
    <w:p w:rsidR="00997593" w:rsidRPr="0089734A" w:rsidRDefault="00997593" w:rsidP="0070521F">
      <w:pPr>
        <w:rPr>
          <w:b/>
          <w:bCs/>
        </w:rPr>
      </w:pPr>
    </w:p>
    <w:p w:rsidR="001E1AA0" w:rsidRPr="0089734A" w:rsidRDefault="001E1AA0" w:rsidP="0070521F"/>
    <w:p w:rsidR="001E1AA0" w:rsidRPr="0089734A" w:rsidRDefault="001E1AA0" w:rsidP="0070521F">
      <w:pPr>
        <w:rPr>
          <w:b/>
          <w:bCs/>
        </w:rPr>
      </w:pPr>
      <w:r w:rsidRPr="0089734A">
        <w:rPr>
          <w:b/>
          <w:bCs/>
        </w:rPr>
        <w:t>10. RESPONSE FORMAT</w:t>
      </w:r>
    </w:p>
    <w:p w:rsidR="00997593" w:rsidRPr="0089734A" w:rsidRDefault="00997593" w:rsidP="0070521F"/>
    <w:p w:rsidR="001E1AA0" w:rsidRPr="0089734A" w:rsidRDefault="001E1AA0" w:rsidP="0070521F">
      <w:r w:rsidRPr="0089734A">
        <w:t>To facilitate the analysis of responses, all interested parties are required to prepare their response in accordance with the instructions outlined in this section. All proposals should be electronically generated. The vendor will be hired on a UNDP contract.</w:t>
      </w:r>
    </w:p>
    <w:p w:rsidR="00997593" w:rsidRPr="0089734A" w:rsidRDefault="00997593" w:rsidP="0070521F"/>
    <w:p w:rsidR="001E1AA0" w:rsidRPr="0089734A" w:rsidRDefault="001E1AA0" w:rsidP="0070521F">
      <w:r w:rsidRPr="0089734A">
        <w:t>Applicants are required to submit the following:</w:t>
      </w:r>
    </w:p>
    <w:p w:rsidR="001E1AA0" w:rsidRPr="0089734A" w:rsidRDefault="001E1AA0" w:rsidP="0070521F">
      <w:r w:rsidRPr="0089734A">
        <w:t>•</w:t>
      </w:r>
      <w:r w:rsidR="00997593" w:rsidRPr="0089734A">
        <w:t xml:space="preserve"> </w:t>
      </w:r>
      <w:r w:rsidRPr="0089734A">
        <w:t>A Technical Proposal: Letter of Interest, stating why you consider your service suitable for the assignment and a brief methodology on the approach and implementation of the assignment;</w:t>
      </w:r>
    </w:p>
    <w:p w:rsidR="001E1AA0" w:rsidRPr="0089734A" w:rsidRDefault="001E1AA0" w:rsidP="0070521F">
      <w:r w:rsidRPr="0089734A">
        <w:t>• Evidence and examples of similar projects that have been successfully completed;</w:t>
      </w:r>
    </w:p>
    <w:p w:rsidR="001E1AA0" w:rsidRPr="0089734A" w:rsidRDefault="001E1AA0" w:rsidP="0070521F">
      <w:r w:rsidRPr="0089734A">
        <w:t>• Personal CVs highlighting qualifications and experience in similar projects;</w:t>
      </w:r>
    </w:p>
    <w:p w:rsidR="001E1AA0" w:rsidRPr="0089734A" w:rsidRDefault="001E1AA0" w:rsidP="0070521F">
      <w:r w:rsidRPr="0089734A">
        <w:t>• Work references – minimum of 3 references - contact details (e-mail addresses) of referees (</w:t>
      </w:r>
      <w:proofErr w:type="spellStart"/>
      <w:r w:rsidRPr="0089734A">
        <w:t>organisation</w:t>
      </w:r>
      <w:proofErr w:type="spellEnd"/>
      <w:r w:rsidRPr="0089734A">
        <w:t xml:space="preserve"> for whom you’ve produced similar assignments);</w:t>
      </w:r>
    </w:p>
    <w:p w:rsidR="001E1AA0" w:rsidRPr="0089734A" w:rsidRDefault="001E1AA0" w:rsidP="0070521F">
      <w:r w:rsidRPr="0089734A">
        <w:t>• All-inclusive financial proposal indicating consultancy fee (South African Rand) and a breakdown of expenses (unit price together with any other expenses) related to the assignment. The proposal must incorporate all the costs including travel etc. for the service provider to achieve the required deliverables.</w:t>
      </w:r>
    </w:p>
    <w:p w:rsidR="00997593" w:rsidRPr="0089734A" w:rsidRDefault="00997593" w:rsidP="0070521F"/>
    <w:p w:rsidR="001E1AA0" w:rsidRPr="0089734A" w:rsidRDefault="001E1AA0" w:rsidP="0070521F">
      <w:r w:rsidRPr="0089734A">
        <w:t xml:space="preserve">Applicants are required to submit the following documents to </w:t>
      </w:r>
      <w:hyperlink r:id="rId11" w:history="1">
        <w:r w:rsidR="00997593" w:rsidRPr="0089734A">
          <w:rPr>
            <w:rStyle w:val="Hyperlink"/>
          </w:rPr>
          <w:t>procurement.za@undp.org</w:t>
        </w:r>
      </w:hyperlink>
      <w:r w:rsidR="00997593" w:rsidRPr="0089734A">
        <w:t xml:space="preserve"> </w:t>
      </w:r>
      <w:r w:rsidR="00AB50D5">
        <w:t xml:space="preserve">/ </w:t>
      </w:r>
      <w:hyperlink r:id="rId12" w:history="1">
        <w:r w:rsidR="00AB50D5" w:rsidRPr="0007641D">
          <w:rPr>
            <w:rStyle w:val="Hyperlink"/>
          </w:rPr>
          <w:t>lerato.maimela@undp.org</w:t>
        </w:r>
      </w:hyperlink>
      <w:r w:rsidR="00AB50D5">
        <w:t xml:space="preserve"> </w:t>
      </w:r>
      <w:r w:rsidRPr="0089734A">
        <w:t xml:space="preserve">on or before the </w:t>
      </w:r>
      <w:r w:rsidR="00797EA6">
        <w:t>30</w:t>
      </w:r>
      <w:r w:rsidR="00D307CF" w:rsidRPr="0089734A">
        <w:t xml:space="preserve"> June</w:t>
      </w:r>
      <w:r w:rsidR="00997593" w:rsidRPr="0089734A">
        <w:t xml:space="preserve"> 2020</w:t>
      </w:r>
      <w:r w:rsidRPr="0089734A">
        <w:t xml:space="preserve"> with the subject line: </w:t>
      </w:r>
      <w:r w:rsidR="00997593" w:rsidRPr="0089734A">
        <w:t xml:space="preserve">SLM Sustainable Finance </w:t>
      </w:r>
      <w:r w:rsidRPr="0089734A">
        <w:t>and Reference Number.</w:t>
      </w:r>
    </w:p>
    <w:p w:rsidR="00997593" w:rsidRPr="0089734A" w:rsidRDefault="00997593" w:rsidP="0070521F"/>
    <w:p w:rsidR="001E1AA0" w:rsidRPr="0089734A" w:rsidRDefault="001E1AA0" w:rsidP="0070521F">
      <w:pPr>
        <w:rPr>
          <w:b/>
          <w:bCs/>
        </w:rPr>
      </w:pPr>
      <w:r w:rsidRPr="0089734A">
        <w:rPr>
          <w:b/>
          <w:bCs/>
        </w:rPr>
        <w:t>11. CONTACT PERSON</w:t>
      </w:r>
    </w:p>
    <w:p w:rsidR="00997593" w:rsidRPr="0089734A" w:rsidRDefault="00997593" w:rsidP="0070521F">
      <w:pPr>
        <w:rPr>
          <w:b/>
          <w:bCs/>
        </w:rPr>
      </w:pPr>
    </w:p>
    <w:p w:rsidR="006F5C86" w:rsidRPr="0089734A" w:rsidRDefault="001E1AA0" w:rsidP="0070521F">
      <w:r w:rsidRPr="0089734A">
        <w:t xml:space="preserve">For any enquiries regarding this call for proposal, contact the UNDP on </w:t>
      </w:r>
      <w:hyperlink r:id="rId13" w:history="1">
        <w:r w:rsidR="00997593" w:rsidRPr="0089734A">
          <w:rPr>
            <w:rStyle w:val="Hyperlink"/>
          </w:rPr>
          <w:t>procurement.za@undp.org</w:t>
        </w:r>
      </w:hyperlink>
      <w:r w:rsidR="00AB50D5">
        <w:rPr>
          <w:rStyle w:val="Hyperlink"/>
        </w:rPr>
        <w:t xml:space="preserve"> / </w:t>
      </w:r>
      <w:hyperlink r:id="rId14" w:history="1">
        <w:r w:rsidR="00AB50D5" w:rsidRPr="0007641D">
          <w:rPr>
            <w:rStyle w:val="Hyperlink"/>
          </w:rPr>
          <w:t>lerato.maimela@undp.org</w:t>
        </w:r>
      </w:hyperlink>
      <w:r w:rsidR="00AB50D5">
        <w:rPr>
          <w:rStyle w:val="Hyperlink"/>
        </w:rPr>
        <w:t xml:space="preserve"> </w:t>
      </w:r>
      <w:bookmarkStart w:id="5" w:name="_GoBack"/>
      <w:bookmarkEnd w:id="5"/>
    </w:p>
    <w:sectPr w:rsidR="006F5C86" w:rsidRPr="0089734A" w:rsidSect="00997593">
      <w:headerReference w:type="default" r:id="rId15"/>
      <w:footerReference w:type="default" r:id="rId16"/>
      <w:pgSz w:w="11894" w:h="16834"/>
      <w:pgMar w:top="1440" w:right="1440" w:bottom="1440" w:left="144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DAD" w:rsidRDefault="00110DAD" w:rsidP="003048DD">
      <w:r>
        <w:separator/>
      </w:r>
    </w:p>
  </w:endnote>
  <w:endnote w:type="continuationSeparator" w:id="0">
    <w:p w:rsidR="00110DAD" w:rsidRDefault="00110DAD" w:rsidP="0030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yriad Pro">
    <w:altName w:val="Times New Roman"/>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B30" w:rsidRDefault="00354B30">
    <w:pPr>
      <w:pStyle w:val="Footer"/>
    </w:pPr>
    <w:r>
      <w:rPr>
        <w:noProof/>
        <w:lang w:val="en-ZA" w:eastAsia="en-ZA"/>
      </w:rPr>
      <mc:AlternateContent>
        <mc:Choice Requires="wps">
          <w:drawing>
            <wp:anchor distT="0" distB="0" distL="114300" distR="114300" simplePos="0" relativeHeight="251656704" behindDoc="0" locked="0" layoutInCell="1" allowOverlap="1" wp14:anchorId="52A953A3" wp14:editId="44FA7F5D">
              <wp:simplePos x="0" y="0"/>
              <wp:positionH relativeFrom="column">
                <wp:posOffset>-181610</wp:posOffset>
              </wp:positionH>
              <wp:positionV relativeFrom="paragraph">
                <wp:posOffset>-542290</wp:posOffset>
              </wp:positionV>
              <wp:extent cx="6409055" cy="351155"/>
              <wp:effectExtent l="0" t="0" r="0" b="0"/>
              <wp:wrapTight wrapText="bothSides">
                <wp:wrapPolygon edited="0">
                  <wp:start x="128" y="3515"/>
                  <wp:lineTo x="128" y="17577"/>
                  <wp:lineTo x="21380" y="17577"/>
                  <wp:lineTo x="21380" y="3515"/>
                  <wp:lineTo x="128" y="3515"/>
                </wp:wrapPolygon>
              </wp:wrapTigh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B30" w:rsidRDefault="00354B30" w:rsidP="006116AE">
                          <w:r>
                            <w:t xml:space="preserve">351 </w:t>
                          </w:r>
                          <w:r w:rsidR="00CC7481">
                            <w:t>Francis</w:t>
                          </w:r>
                          <w:r>
                            <w:t xml:space="preserve"> Street, P.O. Box 6541, Pretoria 0001, South Africa</w:t>
                          </w:r>
                          <w:r w:rsidR="00CC7481">
                            <w:t xml:space="preserve">. Tel: +27 12 354 8000 Website: </w:t>
                          </w:r>
                          <w:r w:rsidR="00CC7481" w:rsidRPr="00CC7481">
                            <w:t>http://www.za.undp.org</w:t>
                          </w:r>
                        </w:p>
                        <w:p w:rsidR="00354B30" w:rsidRDefault="00354B30" w:rsidP="006116AE"/>
                        <w:p w:rsidR="00354B30" w:rsidRPr="000E5AF8" w:rsidRDefault="00354B30" w:rsidP="006116AE">
                          <w:r w:rsidRPr="000E5AF8">
                            <w:t>One United Nations Plaza, New York, NY 10017 • www.undp.org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953A3" id="_x0000_t202" coordsize="21600,21600" o:spt="202" path="m,l,21600r21600,l21600,xe">
              <v:stroke joinstyle="miter"/>
              <v:path gradientshapeok="t" o:connecttype="rect"/>
            </v:shapetype>
            <v:shape id="Text Box 1" o:spid="_x0000_s1026" type="#_x0000_t202" style="position:absolute;left:0;text-align:left;margin-left:-14.3pt;margin-top:-42.7pt;width:504.65pt;height:2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" filled="f" stroked="f">
              <v:textbox inset=",7.2pt,,7.2pt">
                <w:txbxContent>
                  <w:p w:rsidR="00354B30" w:rsidRDefault="00354B30" w:rsidP="006116AE">
                    <w:r>
                      <w:t xml:space="preserve">351 </w:t>
                    </w:r>
                    <w:r w:rsidR="00CC7481">
                      <w:t>Francis</w:t>
                    </w:r>
                    <w:r>
                      <w:t xml:space="preserve"> Street, P.O. Box 6541, Pretoria 0001, South Africa</w:t>
                    </w:r>
                    <w:r w:rsidR="00CC7481">
                      <w:t xml:space="preserve">. Tel: +27 12 354 8000 Website: </w:t>
                    </w:r>
                    <w:r w:rsidR="00CC7481" w:rsidRPr="00CC7481">
                      <w:t>http://www.za.undp.org</w:t>
                    </w:r>
                  </w:p>
                  <w:p w:rsidR="00354B30" w:rsidRDefault="00354B30" w:rsidP="006116AE"/>
                  <w:p w:rsidR="00354B30" w:rsidRPr="000E5AF8" w:rsidRDefault="00354B30" w:rsidP="006116AE">
                    <w:r w:rsidRPr="000E5AF8">
                      <w:t>One United Nations Plaza, New York, NY 10017 • www.undp.org</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DAD" w:rsidRDefault="00110DAD" w:rsidP="003048DD">
      <w:r>
        <w:separator/>
      </w:r>
    </w:p>
  </w:footnote>
  <w:footnote w:type="continuationSeparator" w:id="0">
    <w:p w:rsidR="00110DAD" w:rsidRDefault="00110DAD" w:rsidP="00304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B30" w:rsidRDefault="0070521F">
    <w:pPr>
      <w:pStyle w:val="Header"/>
    </w:pPr>
    <w:r>
      <w:rPr>
        <w:noProof/>
        <w:lang w:val="en-ZA" w:eastAsia="en-ZA"/>
      </w:rPr>
      <w:drawing>
        <wp:anchor distT="0" distB="0" distL="114300" distR="114300" simplePos="0" relativeHeight="251658752" behindDoc="1" locked="0" layoutInCell="1" allowOverlap="1" wp14:anchorId="602C0FCA" wp14:editId="4F9421E4">
          <wp:simplePos x="0" y="0"/>
          <wp:positionH relativeFrom="column">
            <wp:posOffset>5995035</wp:posOffset>
          </wp:positionH>
          <wp:positionV relativeFrom="paragraph">
            <wp:posOffset>-323850</wp:posOffset>
          </wp:positionV>
          <wp:extent cx="485775" cy="986790"/>
          <wp:effectExtent l="0" t="0" r="9525" b="3810"/>
          <wp:wrapTight wrapText="bothSides">
            <wp:wrapPolygon edited="0">
              <wp:start x="0" y="0"/>
              <wp:lineTo x="0" y="21266"/>
              <wp:lineTo x="21176" y="21266"/>
              <wp:lineTo x="21176" y="0"/>
              <wp:lineTo x="0" y="0"/>
            </wp:wrapPolygon>
          </wp:wrapTight>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p_logo.png"/>
                  <pic:cNvPicPr/>
                </pic:nvPicPr>
                <pic:blipFill>
                  <a:blip r:embed="rId1"/>
                  <a:stretch>
                    <a:fillRect/>
                  </a:stretch>
                </pic:blipFill>
                <pic:spPr>
                  <a:xfrm>
                    <a:off x="0" y="0"/>
                    <a:ext cx="485775" cy="9867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76761"/>
    <w:multiLevelType w:val="hybridMultilevel"/>
    <w:tmpl w:val="8CC0086A"/>
    <w:lvl w:ilvl="0" w:tplc="1C090011">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3E032E9"/>
    <w:multiLevelType w:val="hybridMultilevel"/>
    <w:tmpl w:val="95FA402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5104AF8"/>
    <w:multiLevelType w:val="hybridMultilevel"/>
    <w:tmpl w:val="918C13C0"/>
    <w:lvl w:ilvl="0" w:tplc="6C4613AC">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83D1E34"/>
    <w:multiLevelType w:val="hybridMultilevel"/>
    <w:tmpl w:val="AE3E016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508588D"/>
    <w:multiLevelType w:val="hybridMultilevel"/>
    <w:tmpl w:val="DF3A4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C24E52"/>
    <w:multiLevelType w:val="hybridMultilevel"/>
    <w:tmpl w:val="FEE2CA6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5AE1543"/>
    <w:multiLevelType w:val="hybridMultilevel"/>
    <w:tmpl w:val="52723F80"/>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399D0C61"/>
    <w:multiLevelType w:val="hybridMultilevel"/>
    <w:tmpl w:val="3CE68CF8"/>
    <w:lvl w:ilvl="0" w:tplc="04090003">
      <w:start w:val="1"/>
      <w:numFmt w:val="bullet"/>
      <w:lvlText w:val="o"/>
      <w:lvlJc w:val="left"/>
      <w:pPr>
        <w:ind w:left="1480" w:hanging="360"/>
      </w:pPr>
      <w:rPr>
        <w:rFonts w:ascii="Courier New" w:hAnsi="Courier New" w:cs="Times New Roman Bold" w:hint="default"/>
      </w:rPr>
    </w:lvl>
    <w:lvl w:ilvl="1" w:tplc="1C090003" w:tentative="1">
      <w:start w:val="1"/>
      <w:numFmt w:val="bullet"/>
      <w:lvlText w:val="o"/>
      <w:lvlJc w:val="left"/>
      <w:pPr>
        <w:ind w:left="2200" w:hanging="360"/>
      </w:pPr>
      <w:rPr>
        <w:rFonts w:ascii="Courier New" w:hAnsi="Courier New" w:cs="Courier New" w:hint="default"/>
      </w:rPr>
    </w:lvl>
    <w:lvl w:ilvl="2" w:tplc="1C090005" w:tentative="1">
      <w:start w:val="1"/>
      <w:numFmt w:val="bullet"/>
      <w:lvlText w:val=""/>
      <w:lvlJc w:val="left"/>
      <w:pPr>
        <w:ind w:left="2920" w:hanging="360"/>
      </w:pPr>
      <w:rPr>
        <w:rFonts w:ascii="Wingdings" w:hAnsi="Wingdings" w:hint="default"/>
      </w:rPr>
    </w:lvl>
    <w:lvl w:ilvl="3" w:tplc="1C090001" w:tentative="1">
      <w:start w:val="1"/>
      <w:numFmt w:val="bullet"/>
      <w:lvlText w:val=""/>
      <w:lvlJc w:val="left"/>
      <w:pPr>
        <w:ind w:left="3640" w:hanging="360"/>
      </w:pPr>
      <w:rPr>
        <w:rFonts w:ascii="Symbol" w:hAnsi="Symbol" w:hint="default"/>
      </w:rPr>
    </w:lvl>
    <w:lvl w:ilvl="4" w:tplc="1C090003" w:tentative="1">
      <w:start w:val="1"/>
      <w:numFmt w:val="bullet"/>
      <w:lvlText w:val="o"/>
      <w:lvlJc w:val="left"/>
      <w:pPr>
        <w:ind w:left="4360" w:hanging="360"/>
      </w:pPr>
      <w:rPr>
        <w:rFonts w:ascii="Courier New" w:hAnsi="Courier New" w:cs="Courier New" w:hint="default"/>
      </w:rPr>
    </w:lvl>
    <w:lvl w:ilvl="5" w:tplc="1C090005" w:tentative="1">
      <w:start w:val="1"/>
      <w:numFmt w:val="bullet"/>
      <w:lvlText w:val=""/>
      <w:lvlJc w:val="left"/>
      <w:pPr>
        <w:ind w:left="5080" w:hanging="360"/>
      </w:pPr>
      <w:rPr>
        <w:rFonts w:ascii="Wingdings" w:hAnsi="Wingdings" w:hint="default"/>
      </w:rPr>
    </w:lvl>
    <w:lvl w:ilvl="6" w:tplc="1C090001" w:tentative="1">
      <w:start w:val="1"/>
      <w:numFmt w:val="bullet"/>
      <w:lvlText w:val=""/>
      <w:lvlJc w:val="left"/>
      <w:pPr>
        <w:ind w:left="5800" w:hanging="360"/>
      </w:pPr>
      <w:rPr>
        <w:rFonts w:ascii="Symbol" w:hAnsi="Symbol" w:hint="default"/>
      </w:rPr>
    </w:lvl>
    <w:lvl w:ilvl="7" w:tplc="1C090003" w:tentative="1">
      <w:start w:val="1"/>
      <w:numFmt w:val="bullet"/>
      <w:lvlText w:val="o"/>
      <w:lvlJc w:val="left"/>
      <w:pPr>
        <w:ind w:left="6520" w:hanging="360"/>
      </w:pPr>
      <w:rPr>
        <w:rFonts w:ascii="Courier New" w:hAnsi="Courier New" w:cs="Courier New" w:hint="default"/>
      </w:rPr>
    </w:lvl>
    <w:lvl w:ilvl="8" w:tplc="1C090005" w:tentative="1">
      <w:start w:val="1"/>
      <w:numFmt w:val="bullet"/>
      <w:lvlText w:val=""/>
      <w:lvlJc w:val="left"/>
      <w:pPr>
        <w:ind w:left="7240" w:hanging="360"/>
      </w:pPr>
      <w:rPr>
        <w:rFonts w:ascii="Wingdings" w:hAnsi="Wingdings" w:hint="default"/>
      </w:rPr>
    </w:lvl>
  </w:abstractNum>
  <w:abstractNum w:abstractNumId="8" w15:restartNumberingAfterBreak="0">
    <w:nsid w:val="3A3B3BCC"/>
    <w:multiLevelType w:val="hybridMultilevel"/>
    <w:tmpl w:val="8A28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71E11"/>
    <w:multiLevelType w:val="hybridMultilevel"/>
    <w:tmpl w:val="442CB8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E5340A4"/>
    <w:multiLevelType w:val="hybridMultilevel"/>
    <w:tmpl w:val="0C64C36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0E72314"/>
    <w:multiLevelType w:val="hybridMultilevel"/>
    <w:tmpl w:val="047C7570"/>
    <w:lvl w:ilvl="0" w:tplc="B2DE732E">
      <w:start w:val="1"/>
      <w:numFmt w:val="decimal"/>
      <w:lvlText w:val="%1."/>
      <w:lvlJc w:val="left"/>
      <w:pPr>
        <w:ind w:left="360" w:hanging="360"/>
      </w:pPr>
      <w:rPr>
        <w:rFonts w:hint="default"/>
        <w:b w:val="0"/>
        <w:bCs w:val="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4D322A02"/>
    <w:multiLevelType w:val="hybridMultilevel"/>
    <w:tmpl w:val="7D2222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2A76027"/>
    <w:multiLevelType w:val="hybridMultilevel"/>
    <w:tmpl w:val="12245B64"/>
    <w:lvl w:ilvl="0" w:tplc="1C090001">
      <w:start w:val="1"/>
      <w:numFmt w:val="bullet"/>
      <w:lvlText w:val=""/>
      <w:lvlJc w:val="left"/>
      <w:pPr>
        <w:ind w:left="1480" w:hanging="360"/>
      </w:pPr>
      <w:rPr>
        <w:rFonts w:ascii="Symbol" w:hAnsi="Symbol" w:hint="default"/>
      </w:rPr>
    </w:lvl>
    <w:lvl w:ilvl="1" w:tplc="1C090003" w:tentative="1">
      <w:start w:val="1"/>
      <w:numFmt w:val="bullet"/>
      <w:lvlText w:val="o"/>
      <w:lvlJc w:val="left"/>
      <w:pPr>
        <w:ind w:left="2200" w:hanging="360"/>
      </w:pPr>
      <w:rPr>
        <w:rFonts w:ascii="Courier New" w:hAnsi="Courier New" w:cs="Courier New" w:hint="default"/>
      </w:rPr>
    </w:lvl>
    <w:lvl w:ilvl="2" w:tplc="1C090005" w:tentative="1">
      <w:start w:val="1"/>
      <w:numFmt w:val="bullet"/>
      <w:lvlText w:val=""/>
      <w:lvlJc w:val="left"/>
      <w:pPr>
        <w:ind w:left="2920" w:hanging="360"/>
      </w:pPr>
      <w:rPr>
        <w:rFonts w:ascii="Wingdings" w:hAnsi="Wingdings" w:hint="default"/>
      </w:rPr>
    </w:lvl>
    <w:lvl w:ilvl="3" w:tplc="1C090001" w:tentative="1">
      <w:start w:val="1"/>
      <w:numFmt w:val="bullet"/>
      <w:lvlText w:val=""/>
      <w:lvlJc w:val="left"/>
      <w:pPr>
        <w:ind w:left="3640" w:hanging="360"/>
      </w:pPr>
      <w:rPr>
        <w:rFonts w:ascii="Symbol" w:hAnsi="Symbol" w:hint="default"/>
      </w:rPr>
    </w:lvl>
    <w:lvl w:ilvl="4" w:tplc="1C090003" w:tentative="1">
      <w:start w:val="1"/>
      <w:numFmt w:val="bullet"/>
      <w:lvlText w:val="o"/>
      <w:lvlJc w:val="left"/>
      <w:pPr>
        <w:ind w:left="4360" w:hanging="360"/>
      </w:pPr>
      <w:rPr>
        <w:rFonts w:ascii="Courier New" w:hAnsi="Courier New" w:cs="Courier New" w:hint="default"/>
      </w:rPr>
    </w:lvl>
    <w:lvl w:ilvl="5" w:tplc="1C090005" w:tentative="1">
      <w:start w:val="1"/>
      <w:numFmt w:val="bullet"/>
      <w:lvlText w:val=""/>
      <w:lvlJc w:val="left"/>
      <w:pPr>
        <w:ind w:left="5080" w:hanging="360"/>
      </w:pPr>
      <w:rPr>
        <w:rFonts w:ascii="Wingdings" w:hAnsi="Wingdings" w:hint="default"/>
      </w:rPr>
    </w:lvl>
    <w:lvl w:ilvl="6" w:tplc="1C090001" w:tentative="1">
      <w:start w:val="1"/>
      <w:numFmt w:val="bullet"/>
      <w:lvlText w:val=""/>
      <w:lvlJc w:val="left"/>
      <w:pPr>
        <w:ind w:left="5800" w:hanging="360"/>
      </w:pPr>
      <w:rPr>
        <w:rFonts w:ascii="Symbol" w:hAnsi="Symbol" w:hint="default"/>
      </w:rPr>
    </w:lvl>
    <w:lvl w:ilvl="7" w:tplc="1C090003" w:tentative="1">
      <w:start w:val="1"/>
      <w:numFmt w:val="bullet"/>
      <w:lvlText w:val="o"/>
      <w:lvlJc w:val="left"/>
      <w:pPr>
        <w:ind w:left="6520" w:hanging="360"/>
      </w:pPr>
      <w:rPr>
        <w:rFonts w:ascii="Courier New" w:hAnsi="Courier New" w:cs="Courier New" w:hint="default"/>
      </w:rPr>
    </w:lvl>
    <w:lvl w:ilvl="8" w:tplc="1C090005" w:tentative="1">
      <w:start w:val="1"/>
      <w:numFmt w:val="bullet"/>
      <w:lvlText w:val=""/>
      <w:lvlJc w:val="left"/>
      <w:pPr>
        <w:ind w:left="7240" w:hanging="360"/>
      </w:pPr>
      <w:rPr>
        <w:rFonts w:ascii="Wingdings" w:hAnsi="Wingdings" w:hint="default"/>
      </w:rPr>
    </w:lvl>
  </w:abstractNum>
  <w:abstractNum w:abstractNumId="14" w15:restartNumberingAfterBreak="0">
    <w:nsid w:val="68A55D84"/>
    <w:multiLevelType w:val="hybridMultilevel"/>
    <w:tmpl w:val="BE22CD42"/>
    <w:lvl w:ilvl="0" w:tplc="ECB2E83C">
      <w:start w:val="1"/>
      <w:numFmt w:val="bullet"/>
      <w:pStyle w:val="ListParagraph"/>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712C0167"/>
    <w:multiLevelType w:val="multilevel"/>
    <w:tmpl w:val="FAA8AAF8"/>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4A3515B"/>
    <w:multiLevelType w:val="hybridMultilevel"/>
    <w:tmpl w:val="CE96E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5406423"/>
    <w:multiLevelType w:val="hybridMultilevel"/>
    <w:tmpl w:val="85268B40"/>
    <w:lvl w:ilvl="0" w:tplc="841A787E">
      <w:start w:val="1"/>
      <w:numFmt w:val="decimal"/>
      <w:lvlText w:val="%1)"/>
      <w:lvlJc w:val="left"/>
      <w:pPr>
        <w:ind w:left="360" w:hanging="360"/>
      </w:pPr>
      <w:rPr>
        <w:rFonts w:hint="default"/>
        <w:b/>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7D78272F"/>
    <w:multiLevelType w:val="hybridMultilevel"/>
    <w:tmpl w:val="C7F6A560"/>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6"/>
  </w:num>
  <w:num w:numId="2">
    <w:abstractNumId w:val="18"/>
  </w:num>
  <w:num w:numId="3">
    <w:abstractNumId w:val="2"/>
  </w:num>
  <w:num w:numId="4">
    <w:abstractNumId w:val="11"/>
  </w:num>
  <w:num w:numId="5">
    <w:abstractNumId w:val="15"/>
  </w:num>
  <w:num w:numId="6">
    <w:abstractNumId w:val="8"/>
  </w:num>
  <w:num w:numId="7">
    <w:abstractNumId w:val="4"/>
  </w:num>
  <w:num w:numId="8">
    <w:abstractNumId w:val="1"/>
  </w:num>
  <w:num w:numId="9">
    <w:abstractNumId w:val="6"/>
  </w:num>
  <w:num w:numId="10">
    <w:abstractNumId w:val="5"/>
  </w:num>
  <w:num w:numId="11">
    <w:abstractNumId w:val="0"/>
  </w:num>
  <w:num w:numId="12">
    <w:abstractNumId w:val="12"/>
  </w:num>
  <w:num w:numId="13">
    <w:abstractNumId w:val="9"/>
  </w:num>
  <w:num w:numId="14">
    <w:abstractNumId w:val="13"/>
  </w:num>
  <w:num w:numId="15">
    <w:abstractNumId w:val="7"/>
  </w:num>
  <w:num w:numId="16">
    <w:abstractNumId w:val="3"/>
  </w:num>
  <w:num w:numId="17">
    <w:abstractNumId w:val="14"/>
  </w:num>
  <w:num w:numId="18">
    <w:abstractNumId w:val="10"/>
  </w:num>
  <w:num w:numId="1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C73"/>
    <w:rsid w:val="00013A6D"/>
    <w:rsid w:val="00025DB3"/>
    <w:rsid w:val="0005106E"/>
    <w:rsid w:val="00052DD8"/>
    <w:rsid w:val="00061376"/>
    <w:rsid w:val="00065521"/>
    <w:rsid w:val="00076811"/>
    <w:rsid w:val="00085069"/>
    <w:rsid w:val="0008709C"/>
    <w:rsid w:val="000967A5"/>
    <w:rsid w:val="000A14C1"/>
    <w:rsid w:val="000A26C5"/>
    <w:rsid w:val="000A4F04"/>
    <w:rsid w:val="000A55D4"/>
    <w:rsid w:val="000B6E85"/>
    <w:rsid w:val="000C136E"/>
    <w:rsid w:val="000C66D5"/>
    <w:rsid w:val="000D7D54"/>
    <w:rsid w:val="000E6959"/>
    <w:rsid w:val="000F4028"/>
    <w:rsid w:val="00104300"/>
    <w:rsid w:val="0011048B"/>
    <w:rsid w:val="00110DAD"/>
    <w:rsid w:val="001132C3"/>
    <w:rsid w:val="00114598"/>
    <w:rsid w:val="00121E8A"/>
    <w:rsid w:val="001234D3"/>
    <w:rsid w:val="00123509"/>
    <w:rsid w:val="00124FE3"/>
    <w:rsid w:val="00130B23"/>
    <w:rsid w:val="001360B1"/>
    <w:rsid w:val="001415CC"/>
    <w:rsid w:val="0014291C"/>
    <w:rsid w:val="00143EC0"/>
    <w:rsid w:val="00145E39"/>
    <w:rsid w:val="001461B4"/>
    <w:rsid w:val="0014674A"/>
    <w:rsid w:val="00157559"/>
    <w:rsid w:val="00167478"/>
    <w:rsid w:val="001741AE"/>
    <w:rsid w:val="001801B6"/>
    <w:rsid w:val="001950F9"/>
    <w:rsid w:val="00195BBA"/>
    <w:rsid w:val="001962B6"/>
    <w:rsid w:val="001A38F6"/>
    <w:rsid w:val="001A4841"/>
    <w:rsid w:val="001A6DA9"/>
    <w:rsid w:val="001C1D10"/>
    <w:rsid w:val="001C40E0"/>
    <w:rsid w:val="001D569C"/>
    <w:rsid w:val="001E07D8"/>
    <w:rsid w:val="001E1AA0"/>
    <w:rsid w:val="001E1DFD"/>
    <w:rsid w:val="001E310B"/>
    <w:rsid w:val="001F2153"/>
    <w:rsid w:val="00234F83"/>
    <w:rsid w:val="002454BE"/>
    <w:rsid w:val="00264771"/>
    <w:rsid w:val="00273812"/>
    <w:rsid w:val="00287F81"/>
    <w:rsid w:val="00293AD8"/>
    <w:rsid w:val="00296E92"/>
    <w:rsid w:val="002A632C"/>
    <w:rsid w:val="002B22A7"/>
    <w:rsid w:val="002B7F31"/>
    <w:rsid w:val="002C0C82"/>
    <w:rsid w:val="002D514D"/>
    <w:rsid w:val="002F1D41"/>
    <w:rsid w:val="002F329D"/>
    <w:rsid w:val="003048DD"/>
    <w:rsid w:val="00313892"/>
    <w:rsid w:val="00320121"/>
    <w:rsid w:val="00322282"/>
    <w:rsid w:val="00342173"/>
    <w:rsid w:val="00354B30"/>
    <w:rsid w:val="00374BAD"/>
    <w:rsid w:val="00382899"/>
    <w:rsid w:val="00384D3A"/>
    <w:rsid w:val="003925EF"/>
    <w:rsid w:val="00393C04"/>
    <w:rsid w:val="00393FC6"/>
    <w:rsid w:val="003B229B"/>
    <w:rsid w:val="003B259D"/>
    <w:rsid w:val="003B4AAE"/>
    <w:rsid w:val="003B5CFC"/>
    <w:rsid w:val="003D4F82"/>
    <w:rsid w:val="003E4DE8"/>
    <w:rsid w:val="003F4047"/>
    <w:rsid w:val="00404719"/>
    <w:rsid w:val="00411543"/>
    <w:rsid w:val="004167BB"/>
    <w:rsid w:val="004343C8"/>
    <w:rsid w:val="004350CA"/>
    <w:rsid w:val="004400BA"/>
    <w:rsid w:val="004452FD"/>
    <w:rsid w:val="0045161B"/>
    <w:rsid w:val="004521FF"/>
    <w:rsid w:val="0045417E"/>
    <w:rsid w:val="00467164"/>
    <w:rsid w:val="004722BC"/>
    <w:rsid w:val="00495DF7"/>
    <w:rsid w:val="004A2898"/>
    <w:rsid w:val="004C7841"/>
    <w:rsid w:val="004C7ED6"/>
    <w:rsid w:val="004E0F2B"/>
    <w:rsid w:val="004E1E29"/>
    <w:rsid w:val="004E212B"/>
    <w:rsid w:val="00505856"/>
    <w:rsid w:val="0052137F"/>
    <w:rsid w:val="00526821"/>
    <w:rsid w:val="00541637"/>
    <w:rsid w:val="0054468B"/>
    <w:rsid w:val="00565521"/>
    <w:rsid w:val="00575700"/>
    <w:rsid w:val="00576720"/>
    <w:rsid w:val="00577C6D"/>
    <w:rsid w:val="0059666B"/>
    <w:rsid w:val="005A233D"/>
    <w:rsid w:val="005A3DDF"/>
    <w:rsid w:val="005A4908"/>
    <w:rsid w:val="005A5650"/>
    <w:rsid w:val="005B598F"/>
    <w:rsid w:val="005C4546"/>
    <w:rsid w:val="005D6087"/>
    <w:rsid w:val="005E124A"/>
    <w:rsid w:val="005F3108"/>
    <w:rsid w:val="0060445F"/>
    <w:rsid w:val="006106AA"/>
    <w:rsid w:val="006116AE"/>
    <w:rsid w:val="0061777F"/>
    <w:rsid w:val="00630A6E"/>
    <w:rsid w:val="006357E4"/>
    <w:rsid w:val="006443F5"/>
    <w:rsid w:val="00650581"/>
    <w:rsid w:val="00653252"/>
    <w:rsid w:val="00654C21"/>
    <w:rsid w:val="006550A6"/>
    <w:rsid w:val="006554BA"/>
    <w:rsid w:val="0067268B"/>
    <w:rsid w:val="00675DC5"/>
    <w:rsid w:val="006833B3"/>
    <w:rsid w:val="00683A4F"/>
    <w:rsid w:val="006916CC"/>
    <w:rsid w:val="006A2D43"/>
    <w:rsid w:val="006B04F8"/>
    <w:rsid w:val="006B1591"/>
    <w:rsid w:val="006B1D18"/>
    <w:rsid w:val="006B75CC"/>
    <w:rsid w:val="006E7B72"/>
    <w:rsid w:val="006F5C86"/>
    <w:rsid w:val="006F6A09"/>
    <w:rsid w:val="0070474D"/>
    <w:rsid w:val="0070521F"/>
    <w:rsid w:val="0071754D"/>
    <w:rsid w:val="007226E6"/>
    <w:rsid w:val="00752D7E"/>
    <w:rsid w:val="00752E56"/>
    <w:rsid w:val="00762DCF"/>
    <w:rsid w:val="00764BB6"/>
    <w:rsid w:val="007821D9"/>
    <w:rsid w:val="0079210B"/>
    <w:rsid w:val="007966D0"/>
    <w:rsid w:val="00797EA6"/>
    <w:rsid w:val="007A3ABB"/>
    <w:rsid w:val="007A51B1"/>
    <w:rsid w:val="007B305B"/>
    <w:rsid w:val="007C1DAA"/>
    <w:rsid w:val="007C3610"/>
    <w:rsid w:val="007D236B"/>
    <w:rsid w:val="007D53F3"/>
    <w:rsid w:val="007E00B2"/>
    <w:rsid w:val="007E344A"/>
    <w:rsid w:val="007F3013"/>
    <w:rsid w:val="007F5FDF"/>
    <w:rsid w:val="00801E50"/>
    <w:rsid w:val="0080730E"/>
    <w:rsid w:val="00814BB7"/>
    <w:rsid w:val="00820A63"/>
    <w:rsid w:val="00824422"/>
    <w:rsid w:val="008325B4"/>
    <w:rsid w:val="00854CE7"/>
    <w:rsid w:val="00855BCC"/>
    <w:rsid w:val="00860ADD"/>
    <w:rsid w:val="0086213A"/>
    <w:rsid w:val="008627A5"/>
    <w:rsid w:val="008640B8"/>
    <w:rsid w:val="0088674A"/>
    <w:rsid w:val="0089309F"/>
    <w:rsid w:val="00894334"/>
    <w:rsid w:val="0089734A"/>
    <w:rsid w:val="008A425D"/>
    <w:rsid w:val="008A4608"/>
    <w:rsid w:val="008D37F7"/>
    <w:rsid w:val="008D723E"/>
    <w:rsid w:val="008D735E"/>
    <w:rsid w:val="008E0657"/>
    <w:rsid w:val="008E61D7"/>
    <w:rsid w:val="008F1BAE"/>
    <w:rsid w:val="008F2495"/>
    <w:rsid w:val="0090612E"/>
    <w:rsid w:val="00925E62"/>
    <w:rsid w:val="0094109B"/>
    <w:rsid w:val="00950066"/>
    <w:rsid w:val="00955D18"/>
    <w:rsid w:val="00962E72"/>
    <w:rsid w:val="0096746F"/>
    <w:rsid w:val="00970AF0"/>
    <w:rsid w:val="0097265C"/>
    <w:rsid w:val="00976391"/>
    <w:rsid w:val="00980527"/>
    <w:rsid w:val="00983D42"/>
    <w:rsid w:val="00997593"/>
    <w:rsid w:val="009A0410"/>
    <w:rsid w:val="009B4D2F"/>
    <w:rsid w:val="009D70F2"/>
    <w:rsid w:val="009E25BD"/>
    <w:rsid w:val="009E3156"/>
    <w:rsid w:val="009E6276"/>
    <w:rsid w:val="009F3F6A"/>
    <w:rsid w:val="009F4069"/>
    <w:rsid w:val="00A165C8"/>
    <w:rsid w:val="00A26923"/>
    <w:rsid w:val="00A36F40"/>
    <w:rsid w:val="00A6031A"/>
    <w:rsid w:val="00A63A4F"/>
    <w:rsid w:val="00A64138"/>
    <w:rsid w:val="00A81CDB"/>
    <w:rsid w:val="00A878D6"/>
    <w:rsid w:val="00A955D1"/>
    <w:rsid w:val="00AA65D6"/>
    <w:rsid w:val="00AB50D5"/>
    <w:rsid w:val="00AD42EF"/>
    <w:rsid w:val="00AE41A6"/>
    <w:rsid w:val="00AE4462"/>
    <w:rsid w:val="00AF5B47"/>
    <w:rsid w:val="00AF7701"/>
    <w:rsid w:val="00B04B0D"/>
    <w:rsid w:val="00B101AD"/>
    <w:rsid w:val="00B11437"/>
    <w:rsid w:val="00B1356E"/>
    <w:rsid w:val="00B22E7E"/>
    <w:rsid w:val="00B25A6B"/>
    <w:rsid w:val="00B3066F"/>
    <w:rsid w:val="00B35CDB"/>
    <w:rsid w:val="00B360CD"/>
    <w:rsid w:val="00B36F2F"/>
    <w:rsid w:val="00B45407"/>
    <w:rsid w:val="00B45CF2"/>
    <w:rsid w:val="00B53551"/>
    <w:rsid w:val="00B62560"/>
    <w:rsid w:val="00B6589C"/>
    <w:rsid w:val="00B81B59"/>
    <w:rsid w:val="00B854C3"/>
    <w:rsid w:val="00B920F0"/>
    <w:rsid w:val="00B927E2"/>
    <w:rsid w:val="00BA44D7"/>
    <w:rsid w:val="00BA533A"/>
    <w:rsid w:val="00BB294F"/>
    <w:rsid w:val="00BC441B"/>
    <w:rsid w:val="00BC5B62"/>
    <w:rsid w:val="00BD09AF"/>
    <w:rsid w:val="00BE1BBE"/>
    <w:rsid w:val="00BE2999"/>
    <w:rsid w:val="00BE3C88"/>
    <w:rsid w:val="00BF1A1E"/>
    <w:rsid w:val="00BF7AF0"/>
    <w:rsid w:val="00C37F75"/>
    <w:rsid w:val="00C54C34"/>
    <w:rsid w:val="00C7555E"/>
    <w:rsid w:val="00C77657"/>
    <w:rsid w:val="00C800BA"/>
    <w:rsid w:val="00C829E3"/>
    <w:rsid w:val="00C82F1B"/>
    <w:rsid w:val="00CA1640"/>
    <w:rsid w:val="00CA28C1"/>
    <w:rsid w:val="00CB26D5"/>
    <w:rsid w:val="00CB2799"/>
    <w:rsid w:val="00CC7481"/>
    <w:rsid w:val="00CD244C"/>
    <w:rsid w:val="00CD5933"/>
    <w:rsid w:val="00CD6AC0"/>
    <w:rsid w:val="00CE008F"/>
    <w:rsid w:val="00CE1C73"/>
    <w:rsid w:val="00CF29C1"/>
    <w:rsid w:val="00D01418"/>
    <w:rsid w:val="00D105B7"/>
    <w:rsid w:val="00D10D4A"/>
    <w:rsid w:val="00D11BA6"/>
    <w:rsid w:val="00D17F68"/>
    <w:rsid w:val="00D305B9"/>
    <w:rsid w:val="00D307CF"/>
    <w:rsid w:val="00D319E6"/>
    <w:rsid w:val="00D34548"/>
    <w:rsid w:val="00D50D58"/>
    <w:rsid w:val="00D63783"/>
    <w:rsid w:val="00D670BF"/>
    <w:rsid w:val="00D74316"/>
    <w:rsid w:val="00D80AD3"/>
    <w:rsid w:val="00D8565B"/>
    <w:rsid w:val="00D86586"/>
    <w:rsid w:val="00D87383"/>
    <w:rsid w:val="00D8746F"/>
    <w:rsid w:val="00D928E0"/>
    <w:rsid w:val="00D9516B"/>
    <w:rsid w:val="00D97CD4"/>
    <w:rsid w:val="00DA5A00"/>
    <w:rsid w:val="00DB5152"/>
    <w:rsid w:val="00DB59AF"/>
    <w:rsid w:val="00DC6FCB"/>
    <w:rsid w:val="00DD75F6"/>
    <w:rsid w:val="00DF38A8"/>
    <w:rsid w:val="00DF3FCA"/>
    <w:rsid w:val="00DF5D44"/>
    <w:rsid w:val="00E023CA"/>
    <w:rsid w:val="00E1334D"/>
    <w:rsid w:val="00E43ECA"/>
    <w:rsid w:val="00E55009"/>
    <w:rsid w:val="00E55F2F"/>
    <w:rsid w:val="00E573E0"/>
    <w:rsid w:val="00E82BC6"/>
    <w:rsid w:val="00E86C43"/>
    <w:rsid w:val="00E933D0"/>
    <w:rsid w:val="00EA1468"/>
    <w:rsid w:val="00EA23CD"/>
    <w:rsid w:val="00EA4DAC"/>
    <w:rsid w:val="00EB3130"/>
    <w:rsid w:val="00ED26F2"/>
    <w:rsid w:val="00EF64C1"/>
    <w:rsid w:val="00EF7926"/>
    <w:rsid w:val="00F02DD7"/>
    <w:rsid w:val="00F1042C"/>
    <w:rsid w:val="00F1452D"/>
    <w:rsid w:val="00F15AB4"/>
    <w:rsid w:val="00F17726"/>
    <w:rsid w:val="00F21EB4"/>
    <w:rsid w:val="00F37D1C"/>
    <w:rsid w:val="00F41AFB"/>
    <w:rsid w:val="00F7252C"/>
    <w:rsid w:val="00F87047"/>
    <w:rsid w:val="00F95544"/>
    <w:rsid w:val="00FA1C21"/>
    <w:rsid w:val="00FB02A9"/>
    <w:rsid w:val="00FB39B8"/>
    <w:rsid w:val="00FE0C35"/>
    <w:rsid w:val="00FE1EB6"/>
    <w:rsid w:val="00FE20C3"/>
    <w:rsid w:val="00FE223D"/>
    <w:rsid w:val="00FE2656"/>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021BACD"/>
  <w15:docId w15:val="{F961C293-0B0F-42E2-B461-18E39D94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023CA"/>
    <w:pPr>
      <w:jc w:val="both"/>
    </w:pPr>
    <w:rPr>
      <w:rFonts w:ascii="Myriad Pro" w:hAnsi="Myriad Pro"/>
      <w:lang w:val="en-US" w:eastAsia="en-US"/>
    </w:rPr>
  </w:style>
  <w:style w:type="paragraph" w:styleId="Heading1">
    <w:name w:val="heading 1"/>
    <w:basedOn w:val="Normal"/>
    <w:next w:val="Normal"/>
    <w:link w:val="Heading1Char"/>
    <w:qFormat/>
    <w:rsid w:val="00FE0C35"/>
    <w:pPr>
      <w:keepNext/>
      <w:jc w:val="center"/>
      <w:outlineLvl w:val="0"/>
    </w:pPr>
    <w:rPr>
      <w:rFonts w:ascii="Arial" w:hAnsi="Arial" w:cs="Arial"/>
      <w:sz w:val="28"/>
    </w:rPr>
  </w:style>
  <w:style w:type="paragraph" w:styleId="Heading2">
    <w:name w:val="heading 2"/>
    <w:basedOn w:val="Normal"/>
    <w:next w:val="Normal"/>
    <w:link w:val="Heading2Char"/>
    <w:semiHidden/>
    <w:unhideWhenUsed/>
    <w:qFormat/>
    <w:rsid w:val="00052D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52DD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E0C35"/>
    <w:pPr>
      <w:keepNext/>
      <w:outlineLvl w:val="3"/>
    </w:pPr>
    <w:rPr>
      <w:rFonts w:ascii="Arial" w:hAnsi="Arial" w:cs="Arial"/>
      <w:b/>
    </w:rPr>
  </w:style>
  <w:style w:type="paragraph" w:styleId="Heading5">
    <w:name w:val="heading 5"/>
    <w:basedOn w:val="Normal"/>
    <w:next w:val="Normal"/>
    <w:link w:val="Heading5Char"/>
    <w:semiHidden/>
    <w:unhideWhenUsed/>
    <w:qFormat/>
    <w:rsid w:val="00052DD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4FDA"/>
    <w:pPr>
      <w:tabs>
        <w:tab w:val="center" w:pos="4320"/>
        <w:tab w:val="right" w:pos="8640"/>
      </w:tabs>
    </w:pPr>
  </w:style>
  <w:style w:type="character" w:customStyle="1" w:styleId="HeaderChar">
    <w:name w:val="Header Char"/>
    <w:basedOn w:val="DefaultParagraphFont"/>
    <w:link w:val="Header"/>
    <w:rsid w:val="00814FDA"/>
    <w:rPr>
      <w:sz w:val="24"/>
    </w:rPr>
  </w:style>
  <w:style w:type="paragraph" w:styleId="Footer">
    <w:name w:val="footer"/>
    <w:basedOn w:val="Normal"/>
    <w:link w:val="FooterChar"/>
    <w:rsid w:val="00814FDA"/>
    <w:pPr>
      <w:tabs>
        <w:tab w:val="center" w:pos="4320"/>
        <w:tab w:val="right" w:pos="8640"/>
      </w:tabs>
    </w:pPr>
  </w:style>
  <w:style w:type="character" w:customStyle="1" w:styleId="FooterChar">
    <w:name w:val="Footer Char"/>
    <w:basedOn w:val="DefaultParagraphFont"/>
    <w:link w:val="Footer"/>
    <w:rsid w:val="00814FDA"/>
    <w:rPr>
      <w:sz w:val="24"/>
    </w:rPr>
  </w:style>
  <w:style w:type="character" w:customStyle="1" w:styleId="Heading1Char">
    <w:name w:val="Heading 1 Char"/>
    <w:basedOn w:val="DefaultParagraphFont"/>
    <w:link w:val="Heading1"/>
    <w:rsid w:val="00FE0C35"/>
    <w:rPr>
      <w:rFonts w:ascii="Arial" w:hAnsi="Arial" w:cs="Arial"/>
      <w:sz w:val="28"/>
      <w:lang w:val="en-US" w:eastAsia="en-US"/>
    </w:rPr>
  </w:style>
  <w:style w:type="character" w:customStyle="1" w:styleId="Heading4Char">
    <w:name w:val="Heading 4 Char"/>
    <w:basedOn w:val="DefaultParagraphFont"/>
    <w:link w:val="Heading4"/>
    <w:rsid w:val="00FE0C35"/>
    <w:rPr>
      <w:rFonts w:ascii="Arial" w:hAnsi="Arial" w:cs="Arial"/>
      <w:b/>
      <w:sz w:val="24"/>
      <w:lang w:val="en-US" w:eastAsia="en-US"/>
    </w:rPr>
  </w:style>
  <w:style w:type="paragraph" w:customStyle="1" w:styleId="Memoheading">
    <w:name w:val="Memo heading"/>
    <w:rsid w:val="00FE0C35"/>
    <w:rPr>
      <w:noProof/>
      <w:lang w:val="en-US" w:eastAsia="en-US"/>
    </w:rPr>
  </w:style>
  <w:style w:type="paragraph" w:styleId="BodyText2">
    <w:name w:val="Body Text 2"/>
    <w:basedOn w:val="Normal"/>
    <w:link w:val="BodyText2Char"/>
    <w:rsid w:val="00FE0C35"/>
  </w:style>
  <w:style w:type="character" w:customStyle="1" w:styleId="BodyText2Char">
    <w:name w:val="Body Text 2 Char"/>
    <w:basedOn w:val="DefaultParagraphFont"/>
    <w:link w:val="BodyText2"/>
    <w:rsid w:val="00FE0C35"/>
    <w:rPr>
      <w:sz w:val="24"/>
      <w:lang w:val="en-US" w:eastAsia="en-US"/>
    </w:rPr>
  </w:style>
  <w:style w:type="paragraph" w:styleId="BodyText">
    <w:name w:val="Body Text"/>
    <w:basedOn w:val="Normal"/>
    <w:link w:val="BodyTextChar"/>
    <w:rsid w:val="00FE0C35"/>
    <w:pPr>
      <w:spacing w:after="120"/>
    </w:pPr>
  </w:style>
  <w:style w:type="character" w:customStyle="1" w:styleId="BodyTextChar">
    <w:name w:val="Body Text Char"/>
    <w:basedOn w:val="DefaultParagraphFont"/>
    <w:link w:val="BodyText"/>
    <w:rsid w:val="00FE0C35"/>
    <w:rPr>
      <w:rFonts w:ascii="Myriad Pro" w:hAnsi="Myriad Pro"/>
      <w:lang w:val="en-US" w:eastAsia="en-US"/>
    </w:rPr>
  </w:style>
  <w:style w:type="paragraph" w:styleId="BalloonText">
    <w:name w:val="Balloon Text"/>
    <w:basedOn w:val="Normal"/>
    <w:link w:val="BalloonTextChar"/>
    <w:rsid w:val="00FA1C21"/>
    <w:rPr>
      <w:rFonts w:ascii="Tahoma" w:hAnsi="Tahoma" w:cs="Tahoma"/>
      <w:sz w:val="16"/>
      <w:szCs w:val="16"/>
    </w:rPr>
  </w:style>
  <w:style w:type="character" w:customStyle="1" w:styleId="BalloonTextChar">
    <w:name w:val="Balloon Text Char"/>
    <w:basedOn w:val="DefaultParagraphFont"/>
    <w:link w:val="BalloonText"/>
    <w:rsid w:val="00FA1C21"/>
    <w:rPr>
      <w:rFonts w:ascii="Tahoma" w:hAnsi="Tahoma" w:cs="Tahoma"/>
      <w:sz w:val="16"/>
      <w:szCs w:val="16"/>
      <w:lang w:val="en-US" w:eastAsia="en-US"/>
    </w:rPr>
  </w:style>
  <w:style w:type="character" w:customStyle="1" w:styleId="Heading2Char">
    <w:name w:val="Heading 2 Char"/>
    <w:basedOn w:val="DefaultParagraphFont"/>
    <w:link w:val="Heading2"/>
    <w:semiHidden/>
    <w:rsid w:val="00052DD8"/>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052DD8"/>
    <w:rPr>
      <w:rFonts w:asciiTheme="majorHAnsi" w:eastAsiaTheme="majorEastAsia" w:hAnsiTheme="majorHAnsi" w:cstheme="majorBidi"/>
      <w:b/>
      <w:bCs/>
      <w:color w:val="4F81BD" w:themeColor="accent1"/>
      <w:sz w:val="24"/>
      <w:lang w:val="en-US" w:eastAsia="en-US"/>
    </w:rPr>
  </w:style>
  <w:style w:type="character" w:customStyle="1" w:styleId="Heading5Char">
    <w:name w:val="Heading 5 Char"/>
    <w:basedOn w:val="DefaultParagraphFont"/>
    <w:link w:val="Heading5"/>
    <w:semiHidden/>
    <w:rsid w:val="00052DD8"/>
    <w:rPr>
      <w:rFonts w:asciiTheme="majorHAnsi" w:eastAsiaTheme="majorEastAsia" w:hAnsiTheme="majorHAnsi" w:cstheme="majorBidi"/>
      <w:color w:val="243F60" w:themeColor="accent1" w:themeShade="7F"/>
      <w:sz w:val="24"/>
      <w:lang w:val="en-US" w:eastAsia="en-US"/>
    </w:rPr>
  </w:style>
  <w:style w:type="paragraph" w:styleId="ListParagraph">
    <w:name w:val="List Paragraph"/>
    <w:basedOn w:val="Normal"/>
    <w:uiPriority w:val="34"/>
    <w:qFormat/>
    <w:rsid w:val="00E933D0"/>
    <w:pPr>
      <w:numPr>
        <w:numId w:val="17"/>
      </w:numPr>
      <w:contextualSpacing/>
    </w:pPr>
  </w:style>
  <w:style w:type="paragraph" w:customStyle="1" w:styleId="Default">
    <w:name w:val="Default"/>
    <w:rsid w:val="00264771"/>
    <w:pPr>
      <w:autoSpaceDE w:val="0"/>
      <w:autoSpaceDN w:val="0"/>
      <w:adjustRightInd w:val="0"/>
    </w:pPr>
    <w:rPr>
      <w:rFonts w:eastAsiaTheme="minorHAnsi"/>
      <w:color w:val="000000"/>
      <w:sz w:val="24"/>
      <w:szCs w:val="24"/>
      <w:lang w:val="en-ZA" w:eastAsia="en-US"/>
    </w:rPr>
  </w:style>
  <w:style w:type="paragraph" w:styleId="NoSpacing">
    <w:name w:val="No Spacing"/>
    <w:link w:val="NoSpacingChar"/>
    <w:uiPriority w:val="1"/>
    <w:qFormat/>
    <w:rsid w:val="004E0F2B"/>
    <w:rPr>
      <w:rFonts w:ascii="Calibri" w:eastAsia="Calibri" w:hAnsi="Calibri"/>
      <w:sz w:val="22"/>
      <w:szCs w:val="22"/>
      <w:lang w:val="en-US" w:eastAsia="en-US"/>
    </w:rPr>
  </w:style>
  <w:style w:type="paragraph" w:styleId="PlainText">
    <w:name w:val="Plain Text"/>
    <w:basedOn w:val="Normal"/>
    <w:link w:val="PlainTextChar"/>
    <w:uiPriority w:val="99"/>
    <w:unhideWhenUsed/>
    <w:rsid w:val="00A64138"/>
    <w:rPr>
      <w:rFonts w:ascii="Consolas" w:eastAsiaTheme="minorHAnsi" w:hAnsi="Consolas" w:cs="Consolas"/>
      <w:sz w:val="21"/>
      <w:szCs w:val="21"/>
      <w:lang w:val="en-ZA" w:eastAsia="en-ZA"/>
    </w:rPr>
  </w:style>
  <w:style w:type="character" w:customStyle="1" w:styleId="PlainTextChar">
    <w:name w:val="Plain Text Char"/>
    <w:basedOn w:val="DefaultParagraphFont"/>
    <w:link w:val="PlainText"/>
    <w:uiPriority w:val="99"/>
    <w:rsid w:val="00A64138"/>
    <w:rPr>
      <w:rFonts w:ascii="Consolas" w:eastAsiaTheme="minorHAnsi" w:hAnsi="Consolas" w:cs="Consolas"/>
      <w:sz w:val="21"/>
      <w:szCs w:val="21"/>
      <w:lang w:val="en-ZA" w:eastAsia="en-ZA"/>
    </w:rPr>
  </w:style>
  <w:style w:type="table" w:styleId="TableGrid">
    <w:name w:val="Table Grid"/>
    <w:basedOn w:val="TableNormal"/>
    <w:rsid w:val="00D10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23CD"/>
    <w:rPr>
      <w:sz w:val="16"/>
      <w:szCs w:val="16"/>
    </w:rPr>
  </w:style>
  <w:style w:type="paragraph" w:styleId="CommentText">
    <w:name w:val="annotation text"/>
    <w:basedOn w:val="Normal"/>
    <w:link w:val="CommentTextChar"/>
    <w:semiHidden/>
    <w:unhideWhenUsed/>
    <w:rsid w:val="00EA23CD"/>
  </w:style>
  <w:style w:type="character" w:customStyle="1" w:styleId="CommentTextChar">
    <w:name w:val="Comment Text Char"/>
    <w:basedOn w:val="DefaultParagraphFont"/>
    <w:link w:val="CommentText"/>
    <w:semiHidden/>
    <w:rsid w:val="00EA23CD"/>
    <w:rPr>
      <w:lang w:val="en-US" w:eastAsia="en-US"/>
    </w:rPr>
  </w:style>
  <w:style w:type="paragraph" w:styleId="CommentSubject">
    <w:name w:val="annotation subject"/>
    <w:basedOn w:val="CommentText"/>
    <w:next w:val="CommentText"/>
    <w:link w:val="CommentSubjectChar"/>
    <w:semiHidden/>
    <w:unhideWhenUsed/>
    <w:rsid w:val="00EA23CD"/>
    <w:rPr>
      <w:b/>
      <w:bCs/>
    </w:rPr>
  </w:style>
  <w:style w:type="character" w:customStyle="1" w:styleId="CommentSubjectChar">
    <w:name w:val="Comment Subject Char"/>
    <w:basedOn w:val="CommentTextChar"/>
    <w:link w:val="CommentSubject"/>
    <w:semiHidden/>
    <w:rsid w:val="00EA23CD"/>
    <w:rPr>
      <w:b/>
      <w:bCs/>
      <w:lang w:val="en-US" w:eastAsia="en-US"/>
    </w:rPr>
  </w:style>
  <w:style w:type="character" w:customStyle="1" w:styleId="NoSpacingChar">
    <w:name w:val="No Spacing Char"/>
    <w:link w:val="NoSpacing"/>
    <w:uiPriority w:val="1"/>
    <w:rsid w:val="00195BBA"/>
    <w:rPr>
      <w:rFonts w:ascii="Calibri" w:eastAsia="Calibri" w:hAnsi="Calibri"/>
      <w:sz w:val="22"/>
      <w:szCs w:val="22"/>
      <w:lang w:val="en-US" w:eastAsia="en-US"/>
    </w:rPr>
  </w:style>
  <w:style w:type="character" w:styleId="Hyperlink">
    <w:name w:val="Hyperlink"/>
    <w:basedOn w:val="DefaultParagraphFont"/>
    <w:unhideWhenUsed/>
    <w:rsid w:val="000C136E"/>
    <w:rPr>
      <w:color w:val="0000FF" w:themeColor="hyperlink"/>
      <w:u w:val="single"/>
    </w:rPr>
  </w:style>
  <w:style w:type="character" w:customStyle="1" w:styleId="UnresolvedMention1">
    <w:name w:val="Unresolved Mention1"/>
    <w:basedOn w:val="DefaultParagraphFont"/>
    <w:uiPriority w:val="99"/>
    <w:semiHidden/>
    <w:unhideWhenUsed/>
    <w:rsid w:val="00DF3FCA"/>
    <w:rPr>
      <w:color w:val="605E5C"/>
      <w:shd w:val="clear" w:color="auto" w:fill="E1DFDD"/>
    </w:rPr>
  </w:style>
  <w:style w:type="character" w:styleId="UnresolvedMention">
    <w:name w:val="Unresolved Mention"/>
    <w:basedOn w:val="DefaultParagraphFont"/>
    <w:uiPriority w:val="99"/>
    <w:semiHidden/>
    <w:unhideWhenUsed/>
    <w:rsid w:val="00AB5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621">
      <w:bodyDiv w:val="1"/>
      <w:marLeft w:val="0"/>
      <w:marRight w:val="0"/>
      <w:marTop w:val="0"/>
      <w:marBottom w:val="0"/>
      <w:divBdr>
        <w:top w:val="none" w:sz="0" w:space="0" w:color="auto"/>
        <w:left w:val="none" w:sz="0" w:space="0" w:color="auto"/>
        <w:bottom w:val="none" w:sz="0" w:space="0" w:color="auto"/>
        <w:right w:val="none" w:sz="0" w:space="0" w:color="auto"/>
      </w:divBdr>
    </w:div>
    <w:div w:id="324361563">
      <w:bodyDiv w:val="1"/>
      <w:marLeft w:val="0"/>
      <w:marRight w:val="0"/>
      <w:marTop w:val="0"/>
      <w:marBottom w:val="0"/>
      <w:divBdr>
        <w:top w:val="none" w:sz="0" w:space="0" w:color="auto"/>
        <w:left w:val="none" w:sz="0" w:space="0" w:color="auto"/>
        <w:bottom w:val="none" w:sz="0" w:space="0" w:color="auto"/>
        <w:right w:val="none" w:sz="0" w:space="0" w:color="auto"/>
      </w:divBdr>
    </w:div>
    <w:div w:id="374234776">
      <w:bodyDiv w:val="1"/>
      <w:marLeft w:val="0"/>
      <w:marRight w:val="0"/>
      <w:marTop w:val="0"/>
      <w:marBottom w:val="0"/>
      <w:divBdr>
        <w:top w:val="none" w:sz="0" w:space="0" w:color="auto"/>
        <w:left w:val="none" w:sz="0" w:space="0" w:color="auto"/>
        <w:bottom w:val="none" w:sz="0" w:space="0" w:color="auto"/>
        <w:right w:val="none" w:sz="0" w:space="0" w:color="auto"/>
      </w:divBdr>
    </w:div>
    <w:div w:id="442504645">
      <w:bodyDiv w:val="1"/>
      <w:marLeft w:val="0"/>
      <w:marRight w:val="0"/>
      <w:marTop w:val="0"/>
      <w:marBottom w:val="0"/>
      <w:divBdr>
        <w:top w:val="none" w:sz="0" w:space="0" w:color="auto"/>
        <w:left w:val="none" w:sz="0" w:space="0" w:color="auto"/>
        <w:bottom w:val="none" w:sz="0" w:space="0" w:color="auto"/>
        <w:right w:val="none" w:sz="0" w:space="0" w:color="auto"/>
      </w:divBdr>
    </w:div>
    <w:div w:id="458105499">
      <w:bodyDiv w:val="1"/>
      <w:marLeft w:val="0"/>
      <w:marRight w:val="0"/>
      <w:marTop w:val="0"/>
      <w:marBottom w:val="0"/>
      <w:divBdr>
        <w:top w:val="none" w:sz="0" w:space="0" w:color="auto"/>
        <w:left w:val="none" w:sz="0" w:space="0" w:color="auto"/>
        <w:bottom w:val="none" w:sz="0" w:space="0" w:color="auto"/>
        <w:right w:val="none" w:sz="0" w:space="0" w:color="auto"/>
      </w:divBdr>
    </w:div>
    <w:div w:id="575746694">
      <w:bodyDiv w:val="1"/>
      <w:marLeft w:val="0"/>
      <w:marRight w:val="0"/>
      <w:marTop w:val="0"/>
      <w:marBottom w:val="0"/>
      <w:divBdr>
        <w:top w:val="none" w:sz="0" w:space="0" w:color="auto"/>
        <w:left w:val="none" w:sz="0" w:space="0" w:color="auto"/>
        <w:bottom w:val="none" w:sz="0" w:space="0" w:color="auto"/>
        <w:right w:val="none" w:sz="0" w:space="0" w:color="auto"/>
      </w:divBdr>
    </w:div>
    <w:div w:id="596981067">
      <w:bodyDiv w:val="1"/>
      <w:marLeft w:val="0"/>
      <w:marRight w:val="0"/>
      <w:marTop w:val="0"/>
      <w:marBottom w:val="0"/>
      <w:divBdr>
        <w:top w:val="none" w:sz="0" w:space="0" w:color="auto"/>
        <w:left w:val="none" w:sz="0" w:space="0" w:color="auto"/>
        <w:bottom w:val="none" w:sz="0" w:space="0" w:color="auto"/>
        <w:right w:val="none" w:sz="0" w:space="0" w:color="auto"/>
      </w:divBdr>
    </w:div>
    <w:div w:id="766730499">
      <w:bodyDiv w:val="1"/>
      <w:marLeft w:val="0"/>
      <w:marRight w:val="0"/>
      <w:marTop w:val="0"/>
      <w:marBottom w:val="0"/>
      <w:divBdr>
        <w:top w:val="none" w:sz="0" w:space="0" w:color="auto"/>
        <w:left w:val="none" w:sz="0" w:space="0" w:color="auto"/>
        <w:bottom w:val="none" w:sz="0" w:space="0" w:color="auto"/>
        <w:right w:val="none" w:sz="0" w:space="0" w:color="auto"/>
      </w:divBdr>
    </w:div>
    <w:div w:id="811949075">
      <w:bodyDiv w:val="1"/>
      <w:marLeft w:val="0"/>
      <w:marRight w:val="0"/>
      <w:marTop w:val="0"/>
      <w:marBottom w:val="0"/>
      <w:divBdr>
        <w:top w:val="none" w:sz="0" w:space="0" w:color="auto"/>
        <w:left w:val="none" w:sz="0" w:space="0" w:color="auto"/>
        <w:bottom w:val="none" w:sz="0" w:space="0" w:color="auto"/>
        <w:right w:val="none" w:sz="0" w:space="0" w:color="auto"/>
      </w:divBdr>
    </w:div>
    <w:div w:id="860164165">
      <w:bodyDiv w:val="1"/>
      <w:marLeft w:val="0"/>
      <w:marRight w:val="0"/>
      <w:marTop w:val="0"/>
      <w:marBottom w:val="0"/>
      <w:divBdr>
        <w:top w:val="none" w:sz="0" w:space="0" w:color="auto"/>
        <w:left w:val="none" w:sz="0" w:space="0" w:color="auto"/>
        <w:bottom w:val="none" w:sz="0" w:space="0" w:color="auto"/>
        <w:right w:val="none" w:sz="0" w:space="0" w:color="auto"/>
      </w:divBdr>
    </w:div>
    <w:div w:id="1025443836">
      <w:bodyDiv w:val="1"/>
      <w:marLeft w:val="0"/>
      <w:marRight w:val="0"/>
      <w:marTop w:val="0"/>
      <w:marBottom w:val="0"/>
      <w:divBdr>
        <w:top w:val="none" w:sz="0" w:space="0" w:color="auto"/>
        <w:left w:val="none" w:sz="0" w:space="0" w:color="auto"/>
        <w:bottom w:val="none" w:sz="0" w:space="0" w:color="auto"/>
        <w:right w:val="none" w:sz="0" w:space="0" w:color="auto"/>
      </w:divBdr>
    </w:div>
    <w:div w:id="1176651308">
      <w:bodyDiv w:val="1"/>
      <w:marLeft w:val="0"/>
      <w:marRight w:val="0"/>
      <w:marTop w:val="0"/>
      <w:marBottom w:val="0"/>
      <w:divBdr>
        <w:top w:val="none" w:sz="0" w:space="0" w:color="auto"/>
        <w:left w:val="none" w:sz="0" w:space="0" w:color="auto"/>
        <w:bottom w:val="none" w:sz="0" w:space="0" w:color="auto"/>
        <w:right w:val="none" w:sz="0" w:space="0" w:color="auto"/>
      </w:divBdr>
    </w:div>
    <w:div w:id="1236740193">
      <w:bodyDiv w:val="1"/>
      <w:marLeft w:val="0"/>
      <w:marRight w:val="0"/>
      <w:marTop w:val="0"/>
      <w:marBottom w:val="0"/>
      <w:divBdr>
        <w:top w:val="none" w:sz="0" w:space="0" w:color="auto"/>
        <w:left w:val="none" w:sz="0" w:space="0" w:color="auto"/>
        <w:bottom w:val="none" w:sz="0" w:space="0" w:color="auto"/>
        <w:right w:val="none" w:sz="0" w:space="0" w:color="auto"/>
      </w:divBdr>
    </w:div>
    <w:div w:id="1281378609">
      <w:bodyDiv w:val="1"/>
      <w:marLeft w:val="0"/>
      <w:marRight w:val="0"/>
      <w:marTop w:val="0"/>
      <w:marBottom w:val="0"/>
      <w:divBdr>
        <w:top w:val="none" w:sz="0" w:space="0" w:color="auto"/>
        <w:left w:val="none" w:sz="0" w:space="0" w:color="auto"/>
        <w:bottom w:val="none" w:sz="0" w:space="0" w:color="auto"/>
        <w:right w:val="none" w:sz="0" w:space="0" w:color="auto"/>
      </w:divBdr>
    </w:div>
    <w:div w:id="1285962776">
      <w:bodyDiv w:val="1"/>
      <w:marLeft w:val="0"/>
      <w:marRight w:val="0"/>
      <w:marTop w:val="0"/>
      <w:marBottom w:val="0"/>
      <w:divBdr>
        <w:top w:val="none" w:sz="0" w:space="0" w:color="auto"/>
        <w:left w:val="none" w:sz="0" w:space="0" w:color="auto"/>
        <w:bottom w:val="none" w:sz="0" w:space="0" w:color="auto"/>
        <w:right w:val="none" w:sz="0" w:space="0" w:color="auto"/>
      </w:divBdr>
    </w:div>
    <w:div w:id="1503662083">
      <w:bodyDiv w:val="1"/>
      <w:marLeft w:val="0"/>
      <w:marRight w:val="0"/>
      <w:marTop w:val="0"/>
      <w:marBottom w:val="0"/>
      <w:divBdr>
        <w:top w:val="none" w:sz="0" w:space="0" w:color="auto"/>
        <w:left w:val="none" w:sz="0" w:space="0" w:color="auto"/>
        <w:bottom w:val="none" w:sz="0" w:space="0" w:color="auto"/>
        <w:right w:val="none" w:sz="0" w:space="0" w:color="auto"/>
      </w:divBdr>
    </w:div>
    <w:div w:id="2024476948">
      <w:bodyDiv w:val="1"/>
      <w:marLeft w:val="0"/>
      <w:marRight w:val="0"/>
      <w:marTop w:val="0"/>
      <w:marBottom w:val="0"/>
      <w:divBdr>
        <w:top w:val="none" w:sz="0" w:space="0" w:color="auto"/>
        <w:left w:val="none" w:sz="0" w:space="0" w:color="auto"/>
        <w:bottom w:val="none" w:sz="0" w:space="0" w:color="auto"/>
        <w:right w:val="none" w:sz="0" w:space="0" w:color="auto"/>
      </w:divBdr>
    </w:div>
    <w:div w:id="2103450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za@undp.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rato.maimela@undp.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za@undp.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rato.maimela@und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228049EB6A0D40A488D2E566DA2343" ma:contentTypeVersion="0" ma:contentTypeDescription="Create a new document." ma:contentTypeScope="" ma:versionID="88a365d8fd3ed5b2b7c6b29b0ca1dfa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D4BF0-D2FD-4268-BFDD-DF7EB0B88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4CD776-797E-45C9-82A3-03252A92562F}">
  <ds:schemaRefs>
    <ds:schemaRef ds:uri="http://schemas.microsoft.com/office/2006/metadata/properties"/>
  </ds:schemaRefs>
</ds:datastoreItem>
</file>

<file path=customXml/itemProps3.xml><?xml version="1.0" encoding="utf-8"?>
<ds:datastoreItem xmlns:ds="http://schemas.openxmlformats.org/officeDocument/2006/customXml" ds:itemID="{5CCB2204-8BEC-4922-B8D5-C3DCA1437A08}">
  <ds:schemaRefs>
    <ds:schemaRef ds:uri="http://schemas.microsoft.com/sharepoint/v3/contenttype/forms"/>
  </ds:schemaRefs>
</ds:datastoreItem>
</file>

<file path=customXml/itemProps4.xml><?xml version="1.0" encoding="utf-8"?>
<ds:datastoreItem xmlns:ds="http://schemas.openxmlformats.org/officeDocument/2006/customXml" ds:itemID="{4CA06472-5459-459F-A7C8-208B5A281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2551</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Word Letterhead Template English</vt:lpstr>
    </vt:vector>
  </TitlesOfParts>
  <Company>UNDP</Company>
  <LinksUpToDate>false</LinksUpToDate>
  <CharactersWithSpaces>17064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Letterhead Template English</dc:title>
  <dc:subject/>
  <dc:creator>Maureen  Lynch</dc:creator>
  <cp:keywords/>
  <dc:description/>
  <cp:lastModifiedBy>Lerato Maimela</cp:lastModifiedBy>
  <cp:revision>2</cp:revision>
  <cp:lastPrinted>2018-04-11T10:31:00Z</cp:lastPrinted>
  <dcterms:created xsi:type="dcterms:W3CDTF">2020-06-16T13:20:00Z</dcterms:created>
  <dcterms:modified xsi:type="dcterms:W3CDTF">2020-06-16T13:20:00Z</dcterms:modified>
</cp:coreProperties>
</file>