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6698045C"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w:t>
      </w:r>
      <w:r w:rsidR="003718AD">
        <w:rPr>
          <w:rFonts w:ascii="Arial" w:hAnsi="Arial" w:cs="Arial"/>
          <w:b/>
          <w:bCs/>
          <w:color w:val="000000"/>
          <w:sz w:val="28"/>
          <w:szCs w:val="28"/>
          <w:lang w:eastAsia="en-PH"/>
        </w:rPr>
        <w:t>I</w:t>
      </w:r>
      <w:r>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02E40C4" w14:textId="118DED10" w:rsidR="00F95A6F" w:rsidRPr="00DD15E8" w:rsidRDefault="008E7FBB" w:rsidP="00F95A6F">
      <w:pPr>
        <w:rPr>
          <w:rFonts w:ascii="Arial" w:hAnsi="Arial" w:cs="Arial"/>
          <w:b/>
          <w:bCs/>
          <w:i/>
          <w:iCs/>
          <w:sz w:val="20"/>
        </w:rPr>
      </w:pPr>
      <w:r w:rsidRPr="00D0425F">
        <w:rPr>
          <w:rFonts w:ascii="Arial" w:hAnsi="Arial" w:cs="Arial"/>
          <w:color w:val="000000"/>
          <w:sz w:val="20"/>
          <w:lang w:eastAsia="en-PH"/>
        </w:rPr>
        <w:t xml:space="preserve">I have read, understood and hereby accept the Terms of Reference describing the duties and responsibilities </w:t>
      </w:r>
      <w:r w:rsidRPr="003606FA">
        <w:rPr>
          <w:rFonts w:ascii="Arial" w:hAnsi="Arial" w:cs="Arial"/>
          <w:color w:val="000000"/>
          <w:sz w:val="20"/>
          <w:lang w:eastAsia="en-PH"/>
        </w:rPr>
        <w:t>of</w:t>
      </w:r>
      <w:r w:rsidR="005B3A60" w:rsidRPr="003606FA">
        <w:rPr>
          <w:rFonts w:ascii="Arial" w:hAnsi="Arial" w:cs="Arial"/>
          <w:color w:val="000000"/>
          <w:sz w:val="20"/>
          <w:lang w:eastAsia="en-PH"/>
        </w:rPr>
        <w:t xml:space="preserve"> </w:t>
      </w:r>
      <w:r w:rsidR="00DD15E8" w:rsidRPr="00DD15E8">
        <w:rPr>
          <w:rStyle w:val="SubtleEmphasis"/>
          <w:rFonts w:ascii="Myriad Pro" w:hAnsi="Myriad Pro" w:cstheme="minorHAnsi"/>
          <w:b/>
          <w:bCs/>
          <w:i w:val="0"/>
          <w:iCs w:val="0"/>
          <w:color w:val="000000" w:themeColor="text1"/>
          <w:sz w:val="20"/>
        </w:rPr>
        <w:t>Policy and Advocacy P</w:t>
      </w:r>
      <w:r w:rsidR="00DD15E8" w:rsidRPr="00DD15E8">
        <w:rPr>
          <w:rStyle w:val="SubtleEmphasis"/>
          <w:rFonts w:ascii="Myriad Pro" w:hAnsi="Myriad Pro"/>
          <w:b/>
          <w:bCs/>
          <w:i w:val="0"/>
          <w:iCs w:val="0"/>
          <w:color w:val="000000" w:themeColor="text1"/>
          <w:sz w:val="20"/>
        </w:rPr>
        <w:t>roject</w:t>
      </w:r>
      <w:r w:rsidR="00DD15E8" w:rsidRPr="00DD15E8">
        <w:rPr>
          <w:rStyle w:val="SubtleEmphasis"/>
          <w:b/>
          <w:bCs/>
          <w:i w:val="0"/>
          <w:iCs w:val="0"/>
        </w:rPr>
        <w:t xml:space="preserve"> </w:t>
      </w:r>
      <w:r w:rsidR="00DD15E8" w:rsidRPr="00DD15E8">
        <w:rPr>
          <w:rStyle w:val="SubtleEmphasis"/>
          <w:rFonts w:ascii="Myriad Pro" w:hAnsi="Myriad Pro" w:cstheme="minorHAnsi"/>
          <w:b/>
          <w:bCs/>
          <w:i w:val="0"/>
          <w:iCs w:val="0"/>
          <w:color w:val="000000" w:themeColor="text1"/>
          <w:sz w:val="20"/>
        </w:rPr>
        <w:t>Specialist</w:t>
      </w:r>
      <w:r w:rsidR="00DD15E8" w:rsidRPr="00DD15E8">
        <w:rPr>
          <w:rFonts w:ascii="Arial" w:hAnsi="Arial" w:cs="Arial"/>
          <w:b/>
          <w:bCs/>
          <w:i/>
          <w:iCs/>
          <w:sz w:val="20"/>
        </w:rPr>
        <w:t xml:space="preserve"> </w:t>
      </w:r>
    </w:p>
    <w:p w14:paraId="1CABE02C" w14:textId="00600F0E" w:rsidR="008E7FBB" w:rsidRPr="00F95A6F" w:rsidRDefault="008E7FBB" w:rsidP="005B3A60">
      <w:pPr>
        <w:jc w:val="both"/>
        <w:rPr>
          <w:rFonts w:ascii="Arial" w:hAnsi="Arial" w:cs="Arial"/>
          <w:color w:val="000000"/>
          <w:sz w:val="20"/>
          <w:lang w:eastAsia="en-PH"/>
        </w:rPr>
      </w:pPr>
    </w:p>
    <w:p w14:paraId="08C3B175" w14:textId="77777777" w:rsidR="008E7FBB" w:rsidRPr="00F96744"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lang w:val="id-ID" w:eastAsia="id-ID"/>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lang w:val="id-ID" w:eastAsia="id-ID"/>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lang w:val="id-ID" w:eastAsia="id-ID"/>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lang w:val="id-ID" w:eastAsia="id-ID"/>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lang w:val="id-ID" w:eastAsia="id-ID"/>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lang w:val="id-ID" w:eastAsia="id-ID"/>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lang w:val="id-ID" w:eastAsia="id-ID"/>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lang w:val="id-ID" w:eastAsia="id-ID"/>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0F482B" w14:paraId="4FBB06BB" w14:textId="77777777" w:rsidTr="00115B65">
        <w:trPr>
          <w:trHeight w:val="566"/>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09A9DB11" w:rsidR="008E7FBB" w:rsidRPr="0069355A" w:rsidRDefault="0069355A" w:rsidP="00D91BA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B708AB">
        <w:trPr>
          <w:trHeight w:val="255"/>
          <w:jc w:val="center"/>
        </w:trPr>
        <w:tc>
          <w:tcPr>
            <w:tcW w:w="3780" w:type="dxa"/>
          </w:tcPr>
          <w:p w14:paraId="71E89E52" w14:textId="77777777" w:rsidR="008E7FB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p w14:paraId="54FE0F32" w14:textId="5D1E63D4" w:rsidR="002306D8" w:rsidRPr="000F482B" w:rsidRDefault="002306D8" w:rsidP="006660DF">
            <w:pPr>
              <w:pStyle w:val="ListParagraph"/>
              <w:ind w:left="342"/>
              <w:contextualSpacing/>
              <w:jc w:val="both"/>
              <w:rPr>
                <w:rFonts w:ascii="Arial" w:eastAsia="Calibri" w:hAnsi="Arial" w:cs="Arial"/>
                <w:b/>
                <w:snapToGrid w:val="0"/>
                <w:sz w:val="20"/>
              </w:rPr>
            </w:pPr>
          </w:p>
        </w:tc>
        <w:tc>
          <w:tcPr>
            <w:tcW w:w="1260"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B708AB">
        <w:trPr>
          <w:trHeight w:val="199"/>
          <w:jc w:val="center"/>
        </w:trPr>
        <w:tc>
          <w:tcPr>
            <w:tcW w:w="3780" w:type="dxa"/>
            <w:vAlign w:val="center"/>
          </w:tcPr>
          <w:p w14:paraId="6481ED68" w14:textId="77777777" w:rsidR="008E7FBB" w:rsidRPr="000F482B" w:rsidRDefault="008E7FBB" w:rsidP="009517C0">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4B9ECF68" w14:textId="77777777" w:rsidR="008E7FBB" w:rsidRDefault="008E7FBB" w:rsidP="00D91BA3">
            <w:pPr>
              <w:jc w:val="both"/>
              <w:rPr>
                <w:rFonts w:ascii="Arial" w:eastAsia="Calibri" w:hAnsi="Arial" w:cs="Arial"/>
                <w:snapToGrid w:val="0"/>
                <w:sz w:val="20"/>
              </w:rPr>
            </w:pPr>
          </w:p>
          <w:p w14:paraId="3BCCE710" w14:textId="77777777" w:rsidR="00BA510F" w:rsidRDefault="00BA510F" w:rsidP="00D91BA3">
            <w:pPr>
              <w:jc w:val="both"/>
              <w:rPr>
                <w:rFonts w:ascii="Arial" w:eastAsia="Calibri" w:hAnsi="Arial" w:cs="Arial"/>
                <w:snapToGrid w:val="0"/>
                <w:sz w:val="20"/>
              </w:rPr>
            </w:pPr>
          </w:p>
          <w:p w14:paraId="677D8E63" w14:textId="26879E34" w:rsidR="00BA510F" w:rsidRPr="000F482B" w:rsidRDefault="00BA510F" w:rsidP="00D91BA3">
            <w:pPr>
              <w:jc w:val="both"/>
              <w:rPr>
                <w:rFonts w:ascii="Arial" w:eastAsia="Calibri" w:hAnsi="Arial" w:cs="Arial"/>
                <w:snapToGrid w:val="0"/>
                <w:sz w:val="20"/>
              </w:rPr>
            </w:pPr>
          </w:p>
        </w:tc>
        <w:tc>
          <w:tcPr>
            <w:tcW w:w="1350" w:type="dxa"/>
          </w:tcPr>
          <w:p w14:paraId="485624BE" w14:textId="77777777" w:rsidR="00BA510F" w:rsidRDefault="00BA510F" w:rsidP="00D91BA3">
            <w:pPr>
              <w:jc w:val="both"/>
              <w:rPr>
                <w:rFonts w:ascii="Arial" w:eastAsia="Calibri" w:hAnsi="Arial" w:cs="Arial"/>
                <w:snapToGrid w:val="0"/>
                <w:sz w:val="20"/>
              </w:rPr>
            </w:pPr>
          </w:p>
          <w:p w14:paraId="56CC6379" w14:textId="1378129D" w:rsidR="008E7FBB" w:rsidRPr="000F482B" w:rsidRDefault="00DD15E8" w:rsidP="00D91BA3">
            <w:pPr>
              <w:jc w:val="both"/>
              <w:rPr>
                <w:rFonts w:ascii="Arial" w:eastAsia="Calibri" w:hAnsi="Arial" w:cs="Arial"/>
                <w:snapToGrid w:val="0"/>
                <w:sz w:val="20"/>
              </w:rPr>
            </w:pPr>
            <w:r>
              <w:rPr>
                <w:rFonts w:ascii="Arial" w:eastAsia="Calibri" w:hAnsi="Arial" w:cs="Arial"/>
                <w:snapToGrid w:val="0"/>
                <w:sz w:val="20"/>
              </w:rPr>
              <w:t>9</w:t>
            </w:r>
            <w:r w:rsidR="00BA510F">
              <w:rPr>
                <w:rFonts w:ascii="Arial" w:eastAsia="Calibri" w:hAnsi="Arial" w:cs="Arial"/>
                <w:snapToGrid w:val="0"/>
                <w:sz w:val="20"/>
              </w:rPr>
              <w:t>0</w:t>
            </w:r>
            <w:r w:rsidR="0069355A">
              <w:rPr>
                <w:rFonts w:ascii="Arial" w:eastAsia="Calibri" w:hAnsi="Arial" w:cs="Arial"/>
                <w:snapToGrid w:val="0"/>
                <w:sz w:val="20"/>
              </w:rPr>
              <w:t xml:space="preserve"> </w:t>
            </w:r>
            <w:proofErr w:type="spellStart"/>
            <w:r w:rsidR="0069355A">
              <w:rPr>
                <w:rFonts w:ascii="Arial" w:eastAsia="Calibri" w:hAnsi="Arial" w:cs="Arial"/>
                <w:snapToGrid w:val="0"/>
                <w:sz w:val="20"/>
              </w:rPr>
              <w:t>wds</w:t>
            </w:r>
            <w:proofErr w:type="spellEnd"/>
          </w:p>
        </w:tc>
        <w:tc>
          <w:tcPr>
            <w:tcW w:w="2250" w:type="dxa"/>
          </w:tcPr>
          <w:p w14:paraId="7A110E4B"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4F6C5210" w:rsidR="008E7FBB" w:rsidRDefault="008E7FBB" w:rsidP="008E7FBB">
      <w:pPr>
        <w:pStyle w:val="ListParagraph"/>
        <w:widowControl w:val="0"/>
        <w:overflowPunct w:val="0"/>
        <w:adjustRightInd w:val="0"/>
        <w:ind w:left="360"/>
        <w:rPr>
          <w:rFonts w:ascii="Arial" w:hAnsi="Arial" w:cs="Arial"/>
          <w:b/>
          <w:snapToGrid w:val="0"/>
          <w:sz w:val="20"/>
        </w:rPr>
      </w:pPr>
    </w:p>
    <w:p w14:paraId="09950C21" w14:textId="77777777" w:rsidR="00803083" w:rsidRPr="000F482B" w:rsidRDefault="00803083" w:rsidP="008E7FBB">
      <w:pPr>
        <w:pStyle w:val="ListParagraph"/>
        <w:widowControl w:val="0"/>
        <w:overflowPunct w:val="0"/>
        <w:adjustRightInd w:val="0"/>
        <w:ind w:left="360"/>
        <w:rPr>
          <w:rFonts w:ascii="Arial" w:hAnsi="Arial" w:cs="Arial"/>
          <w:b/>
          <w:snapToGrid w:val="0"/>
          <w:sz w:val="20"/>
        </w:rPr>
      </w:pPr>
    </w:p>
    <w:p w14:paraId="14840C08" w14:textId="7777777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3451BC3D" w14:textId="77777777" w:rsidR="0069355A" w:rsidRDefault="0069355A" w:rsidP="0069355A">
      <w:pPr>
        <w:widowControl w:val="0"/>
        <w:overflowPunct w:val="0"/>
        <w:adjustRightInd w:val="0"/>
        <w:contextualSpacing/>
        <w:rPr>
          <w:rFonts w:ascii="Arial" w:hAnsi="Arial" w:cs="Arial"/>
          <w:b/>
          <w:snapToGrid w:val="0"/>
          <w:sz w:val="20"/>
        </w:rPr>
      </w:pPr>
    </w:p>
    <w:tbl>
      <w:tblPr>
        <w:tblW w:w="9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800"/>
        <w:gridCol w:w="1530"/>
      </w:tblGrid>
      <w:tr w:rsidR="00B708AB" w:rsidRPr="00976DB1" w14:paraId="3CCB0CEC" w14:textId="77777777" w:rsidTr="00115B65">
        <w:trPr>
          <w:trHeight w:val="890"/>
        </w:trPr>
        <w:tc>
          <w:tcPr>
            <w:tcW w:w="5685" w:type="dxa"/>
            <w:shd w:val="clear" w:color="auto" w:fill="auto"/>
            <w:vAlign w:val="center"/>
          </w:tcPr>
          <w:p w14:paraId="18E9619E" w14:textId="77777777" w:rsidR="00B708AB" w:rsidRPr="00533C35" w:rsidRDefault="00B708AB" w:rsidP="007B76C0">
            <w:pPr>
              <w:ind w:left="-14"/>
              <w:jc w:val="center"/>
              <w:rPr>
                <w:rFonts w:ascii="Arial" w:hAnsi="Arial" w:cs="Arial"/>
                <w:b/>
                <w:bCs/>
                <w:sz w:val="20"/>
              </w:rPr>
            </w:pPr>
            <w:r w:rsidRPr="00533C35">
              <w:rPr>
                <w:rFonts w:ascii="Arial" w:hAnsi="Arial" w:cs="Arial"/>
                <w:b/>
                <w:bCs/>
                <w:sz w:val="20"/>
              </w:rPr>
              <w:t>Deliverable</w:t>
            </w:r>
          </w:p>
        </w:tc>
        <w:tc>
          <w:tcPr>
            <w:tcW w:w="1800" w:type="dxa"/>
            <w:shd w:val="clear" w:color="auto" w:fill="auto"/>
            <w:vAlign w:val="center"/>
          </w:tcPr>
          <w:p w14:paraId="4C529C60" w14:textId="38C0CB13" w:rsidR="00B708AB" w:rsidRPr="007B76C0" w:rsidRDefault="007B76C0" w:rsidP="007B76C0">
            <w:pPr>
              <w:ind w:left="-14"/>
              <w:jc w:val="center"/>
              <w:rPr>
                <w:rFonts w:ascii="Arial" w:hAnsi="Arial" w:cs="Arial"/>
                <w:bCs/>
                <w:color w:val="000000"/>
                <w:sz w:val="20"/>
              </w:rPr>
            </w:pPr>
            <w:r w:rsidRPr="007B76C0">
              <w:rPr>
                <w:rFonts w:ascii="Arial" w:hAnsi="Arial" w:cs="Arial"/>
                <w:b/>
                <w:bCs/>
                <w:color w:val="000000"/>
                <w:sz w:val="20"/>
                <w:lang w:val="en-GB"/>
              </w:rPr>
              <w:t>Percentage of Total Price (Weight for payment)</w:t>
            </w:r>
          </w:p>
        </w:tc>
        <w:tc>
          <w:tcPr>
            <w:tcW w:w="1530" w:type="dxa"/>
            <w:shd w:val="clear" w:color="auto" w:fill="auto"/>
            <w:vAlign w:val="center"/>
          </w:tcPr>
          <w:p w14:paraId="1845EEA3" w14:textId="5AF7F58A" w:rsidR="00B708AB" w:rsidRPr="007B76C0" w:rsidRDefault="00B708AB" w:rsidP="007B76C0">
            <w:pPr>
              <w:jc w:val="center"/>
              <w:rPr>
                <w:rFonts w:ascii="Arial" w:hAnsi="Arial" w:cs="Arial"/>
                <w:bCs/>
                <w:color w:val="000000"/>
                <w:sz w:val="20"/>
              </w:rPr>
            </w:pPr>
            <w:r w:rsidRPr="007B76C0">
              <w:rPr>
                <w:rFonts w:ascii="Arial" w:hAnsi="Arial" w:cs="Arial"/>
                <w:b/>
                <w:bCs/>
                <w:sz w:val="20"/>
              </w:rPr>
              <w:t>Amount (IDR)</w:t>
            </w:r>
          </w:p>
        </w:tc>
      </w:tr>
      <w:tr w:rsidR="00B708AB" w:rsidRPr="00D33860" w14:paraId="43A6718B" w14:textId="77777777" w:rsidTr="00C21F3F">
        <w:trPr>
          <w:trHeight w:val="575"/>
        </w:trPr>
        <w:tc>
          <w:tcPr>
            <w:tcW w:w="5685" w:type="dxa"/>
            <w:shd w:val="clear" w:color="auto" w:fill="auto"/>
          </w:tcPr>
          <w:p w14:paraId="4E910AB3" w14:textId="77777777" w:rsidR="00C21F3F" w:rsidRPr="00592687" w:rsidRDefault="00F70B56" w:rsidP="00F70B56">
            <w:pPr>
              <w:jc w:val="both"/>
              <w:rPr>
                <w:rFonts w:ascii="Arial" w:hAnsi="Arial" w:cs="Arial"/>
                <w:sz w:val="20"/>
              </w:rPr>
            </w:pPr>
            <w:r w:rsidRPr="00592687">
              <w:rPr>
                <w:rFonts w:ascii="Arial" w:hAnsi="Arial" w:cs="Arial"/>
                <w:sz w:val="20"/>
              </w:rPr>
              <w:t>1</w:t>
            </w:r>
            <w:r w:rsidRPr="00592687">
              <w:rPr>
                <w:rFonts w:ascii="Arial" w:hAnsi="Arial" w:cs="Arial"/>
                <w:sz w:val="20"/>
                <w:vertAlign w:val="superscript"/>
              </w:rPr>
              <w:t>st</w:t>
            </w:r>
            <w:r w:rsidRPr="00592687">
              <w:rPr>
                <w:rFonts w:ascii="Arial" w:hAnsi="Arial" w:cs="Arial"/>
                <w:sz w:val="20"/>
              </w:rPr>
              <w:t xml:space="preserve"> Deliverable</w:t>
            </w:r>
            <w:r w:rsidR="00F95A6F" w:rsidRPr="00592687">
              <w:rPr>
                <w:rFonts w:ascii="Arial" w:hAnsi="Arial" w:cs="Arial"/>
                <w:sz w:val="20"/>
              </w:rPr>
              <w:t>:</w:t>
            </w:r>
          </w:p>
          <w:p w14:paraId="7B1B7100" w14:textId="77777777" w:rsidR="00DD15E8" w:rsidRDefault="00DD15E8" w:rsidP="00DD15E8">
            <w:pPr>
              <w:numPr>
                <w:ilvl w:val="0"/>
                <w:numId w:val="32"/>
              </w:numPr>
              <w:spacing w:after="200" w:line="276" w:lineRule="auto"/>
              <w:ind w:left="631"/>
              <w:contextualSpacing/>
              <w:jc w:val="both"/>
              <w:rPr>
                <w:rFonts w:ascii="Myriad Pro" w:eastAsia="Calibri" w:hAnsi="Myriad Pro" w:cstheme="minorHAnsi"/>
                <w:sz w:val="20"/>
                <w:lang w:val="en-GB"/>
              </w:rPr>
            </w:pPr>
            <w:r w:rsidRPr="00DD15E8">
              <w:rPr>
                <w:rFonts w:ascii="Myriad Pro" w:eastAsia="Calibri" w:hAnsi="Myriad Pro" w:cstheme="minorHAnsi"/>
                <w:sz w:val="20"/>
                <w:lang w:val="en-GB"/>
              </w:rPr>
              <w:t xml:space="preserve">Initial report of Identification on the national representation on the SPF, conceptual of structure and roles </w:t>
            </w:r>
          </w:p>
          <w:p w14:paraId="5A470554" w14:textId="54E54881" w:rsidR="002E005E" w:rsidRPr="00DD15E8" w:rsidRDefault="00DD15E8" w:rsidP="00DD15E8">
            <w:pPr>
              <w:numPr>
                <w:ilvl w:val="0"/>
                <w:numId w:val="32"/>
              </w:numPr>
              <w:spacing w:after="200" w:line="276" w:lineRule="auto"/>
              <w:ind w:left="631"/>
              <w:contextualSpacing/>
              <w:jc w:val="both"/>
              <w:rPr>
                <w:rFonts w:ascii="Myriad Pro" w:eastAsia="Calibri" w:hAnsi="Myriad Pro" w:cstheme="minorHAnsi"/>
                <w:sz w:val="20"/>
                <w:lang w:val="en-GB"/>
              </w:rPr>
            </w:pPr>
            <w:r w:rsidRPr="00DD15E8">
              <w:rPr>
                <w:rFonts w:ascii="Myriad Pro" w:eastAsia="Calibri" w:hAnsi="Myriad Pro" w:cstheme="minorHAnsi"/>
                <w:lang w:val="en-GB" w:eastAsia="en-GB"/>
              </w:rPr>
              <w:t>Technical support to design serial consultation with potential SPF representative from existing ATSEF members, civil society, community groups, private sector, and local government administrations</w:t>
            </w:r>
          </w:p>
          <w:p w14:paraId="380B6340" w14:textId="0A6EDDFE" w:rsidR="00DD15E8" w:rsidRPr="00592687" w:rsidRDefault="00DD15E8" w:rsidP="00DD15E8">
            <w:pPr>
              <w:pStyle w:val="BodyText"/>
              <w:tabs>
                <w:tab w:val="clear" w:pos="720"/>
              </w:tabs>
              <w:jc w:val="both"/>
              <w:rPr>
                <w:rFonts w:ascii="Arial" w:hAnsi="Arial" w:cs="Arial"/>
                <w:spacing w:val="-6"/>
              </w:rPr>
            </w:pPr>
          </w:p>
        </w:tc>
        <w:tc>
          <w:tcPr>
            <w:tcW w:w="1800" w:type="dxa"/>
            <w:shd w:val="clear" w:color="auto" w:fill="auto"/>
          </w:tcPr>
          <w:p w14:paraId="27EB7009" w14:textId="573B6EF8" w:rsidR="00B708AB" w:rsidRPr="00D33860" w:rsidRDefault="00B708AB" w:rsidP="00B708AB">
            <w:pPr>
              <w:jc w:val="center"/>
              <w:rPr>
                <w:rFonts w:cs="Calibri"/>
                <w:bCs/>
                <w:color w:val="000000"/>
                <w:sz w:val="20"/>
              </w:rPr>
            </w:pPr>
          </w:p>
        </w:tc>
        <w:tc>
          <w:tcPr>
            <w:tcW w:w="1530" w:type="dxa"/>
            <w:shd w:val="clear" w:color="auto" w:fill="auto"/>
          </w:tcPr>
          <w:p w14:paraId="0E35BE52" w14:textId="38A2D85C" w:rsidR="00B708AB" w:rsidRPr="00D33860" w:rsidRDefault="00B708AB" w:rsidP="0077728E">
            <w:pPr>
              <w:tabs>
                <w:tab w:val="left" w:pos="450"/>
              </w:tabs>
              <w:jc w:val="both"/>
              <w:rPr>
                <w:rFonts w:cs="Calibri"/>
                <w:bCs/>
                <w:sz w:val="20"/>
              </w:rPr>
            </w:pPr>
          </w:p>
        </w:tc>
      </w:tr>
      <w:tr w:rsidR="00781676" w:rsidRPr="00D33860" w14:paraId="48B361CC" w14:textId="77777777" w:rsidTr="00C21F3F">
        <w:trPr>
          <w:trHeight w:val="575"/>
        </w:trPr>
        <w:tc>
          <w:tcPr>
            <w:tcW w:w="5685" w:type="dxa"/>
            <w:shd w:val="clear" w:color="auto" w:fill="auto"/>
          </w:tcPr>
          <w:p w14:paraId="2D163603" w14:textId="77777777" w:rsidR="00781676" w:rsidRPr="00592687" w:rsidRDefault="00781676" w:rsidP="00533C35">
            <w:pPr>
              <w:jc w:val="both"/>
              <w:rPr>
                <w:rFonts w:ascii="Arial" w:hAnsi="Arial" w:cs="Arial"/>
                <w:sz w:val="20"/>
              </w:rPr>
            </w:pPr>
            <w:r w:rsidRPr="00592687">
              <w:rPr>
                <w:rFonts w:ascii="Arial" w:hAnsi="Arial" w:cs="Arial"/>
                <w:sz w:val="20"/>
              </w:rPr>
              <w:t>2</w:t>
            </w:r>
            <w:r w:rsidR="00533C35" w:rsidRPr="00592687">
              <w:rPr>
                <w:rFonts w:ascii="Arial" w:hAnsi="Arial" w:cs="Arial"/>
                <w:sz w:val="20"/>
                <w:vertAlign w:val="superscript"/>
              </w:rPr>
              <w:t>nd</w:t>
            </w:r>
            <w:r w:rsidR="00533C35" w:rsidRPr="00592687">
              <w:rPr>
                <w:rFonts w:ascii="Arial" w:hAnsi="Arial" w:cs="Arial"/>
                <w:sz w:val="20"/>
              </w:rPr>
              <w:t xml:space="preserve"> </w:t>
            </w:r>
            <w:r w:rsidRPr="00592687">
              <w:rPr>
                <w:rFonts w:ascii="Arial" w:hAnsi="Arial" w:cs="Arial"/>
                <w:sz w:val="20"/>
              </w:rPr>
              <w:t>Deliverable:</w:t>
            </w:r>
          </w:p>
          <w:p w14:paraId="53317602" w14:textId="77777777" w:rsidR="00DD15E8" w:rsidRPr="00DD15E8" w:rsidRDefault="00DD15E8" w:rsidP="00DD15E8">
            <w:pPr>
              <w:numPr>
                <w:ilvl w:val="0"/>
                <w:numId w:val="33"/>
              </w:numPr>
              <w:spacing w:after="200" w:line="276" w:lineRule="auto"/>
              <w:contextualSpacing/>
              <w:rPr>
                <w:rFonts w:ascii="Myriad Pro" w:eastAsia="Calibri" w:hAnsi="Myriad Pro" w:cstheme="minorHAnsi"/>
                <w:sz w:val="20"/>
                <w:bdr w:val="none" w:sz="0" w:space="0" w:color="auto" w:frame="1"/>
              </w:rPr>
            </w:pPr>
            <w:r w:rsidRPr="00DD15E8">
              <w:rPr>
                <w:rFonts w:ascii="Myriad Pro" w:eastAsia="Calibri" w:hAnsi="Myriad Pro" w:cstheme="minorHAnsi"/>
                <w:sz w:val="20"/>
                <w:bdr w:val="none" w:sz="0" w:space="0" w:color="auto" w:frame="1"/>
                <w:lang w:val="en-GB"/>
              </w:rPr>
              <w:t xml:space="preserve">Initial report on </w:t>
            </w:r>
            <w:r w:rsidRPr="00DD15E8">
              <w:rPr>
                <w:rFonts w:ascii="Myriad Pro" w:eastAsia="Calibri" w:hAnsi="Myriad Pro" w:cstheme="minorHAnsi"/>
                <w:sz w:val="20"/>
                <w:bdr w:val="none" w:sz="0" w:space="0" w:color="auto" w:frame="1"/>
              </w:rPr>
              <w:t xml:space="preserve">institutional assessment of relevant inter-ministerial agencies and subnational counterparts that would be involved in the NIMC </w:t>
            </w:r>
          </w:p>
          <w:p w14:paraId="26492ABF" w14:textId="77777777" w:rsidR="00DD15E8"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lang w:val="en-GB"/>
              </w:rPr>
              <w:t>Technical support to design serial consultation with relevant inter-ministerial agencies and subnational counterpart</w:t>
            </w:r>
          </w:p>
          <w:p w14:paraId="0493840D" w14:textId="35EED409" w:rsidR="002E005E"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hAnsi="Myriad Pro" w:cstheme="minorHAnsi"/>
                <w:sz w:val="20"/>
                <w:bdr w:val="none" w:sz="0" w:space="0" w:color="auto" w:frame="1"/>
                <w:lang w:eastAsia="en-GB"/>
              </w:rPr>
              <w:t xml:space="preserve">Minutes of Meeting of SPF structure and roles consultation </w:t>
            </w:r>
          </w:p>
        </w:tc>
        <w:tc>
          <w:tcPr>
            <w:tcW w:w="1800" w:type="dxa"/>
            <w:shd w:val="clear" w:color="auto" w:fill="auto"/>
          </w:tcPr>
          <w:p w14:paraId="2A3DA7FD" w14:textId="77777777" w:rsidR="00781676" w:rsidRPr="00D33860" w:rsidRDefault="00781676" w:rsidP="00B708AB">
            <w:pPr>
              <w:jc w:val="center"/>
              <w:rPr>
                <w:rFonts w:ascii="Arial" w:hAnsi="Arial" w:cs="Arial"/>
                <w:bCs/>
                <w:color w:val="000000"/>
                <w:sz w:val="20"/>
              </w:rPr>
            </w:pPr>
          </w:p>
        </w:tc>
        <w:tc>
          <w:tcPr>
            <w:tcW w:w="1530" w:type="dxa"/>
            <w:shd w:val="clear" w:color="auto" w:fill="auto"/>
          </w:tcPr>
          <w:p w14:paraId="1A625068" w14:textId="77777777" w:rsidR="00781676" w:rsidRPr="00D33860" w:rsidRDefault="00781676" w:rsidP="0077728E">
            <w:pPr>
              <w:tabs>
                <w:tab w:val="left" w:pos="450"/>
              </w:tabs>
              <w:jc w:val="both"/>
              <w:rPr>
                <w:rFonts w:ascii="Arial" w:hAnsi="Arial" w:cs="Arial"/>
                <w:bCs/>
                <w:sz w:val="20"/>
              </w:rPr>
            </w:pPr>
          </w:p>
        </w:tc>
      </w:tr>
      <w:tr w:rsidR="00533C35" w:rsidRPr="00D33860" w14:paraId="109EA2D6" w14:textId="77777777" w:rsidTr="00C21F3F">
        <w:trPr>
          <w:trHeight w:val="575"/>
        </w:trPr>
        <w:tc>
          <w:tcPr>
            <w:tcW w:w="5685" w:type="dxa"/>
            <w:shd w:val="clear" w:color="auto" w:fill="auto"/>
          </w:tcPr>
          <w:p w14:paraId="22E08547" w14:textId="77777777" w:rsidR="005D25D3" w:rsidRPr="00592687" w:rsidRDefault="00A678D4" w:rsidP="005D25D3">
            <w:pPr>
              <w:spacing w:after="160" w:line="259" w:lineRule="auto"/>
              <w:contextualSpacing/>
              <w:rPr>
                <w:rFonts w:ascii="Arial" w:hAnsi="Arial" w:cs="Arial"/>
                <w:sz w:val="20"/>
              </w:rPr>
            </w:pPr>
            <w:r w:rsidRPr="00592687">
              <w:rPr>
                <w:rFonts w:ascii="Arial" w:hAnsi="Arial" w:cs="Arial"/>
                <w:sz w:val="20"/>
              </w:rPr>
              <w:t>3</w:t>
            </w:r>
            <w:r w:rsidRPr="00592687">
              <w:rPr>
                <w:rFonts w:ascii="Arial" w:hAnsi="Arial" w:cs="Arial"/>
                <w:sz w:val="20"/>
                <w:vertAlign w:val="superscript"/>
              </w:rPr>
              <w:t>rd</w:t>
            </w:r>
            <w:r w:rsidRPr="00592687">
              <w:rPr>
                <w:rFonts w:ascii="Arial" w:hAnsi="Arial" w:cs="Arial"/>
                <w:sz w:val="20"/>
              </w:rPr>
              <w:t xml:space="preserve"> Deliverable: </w:t>
            </w:r>
          </w:p>
          <w:p w14:paraId="7ABB6A5C" w14:textId="77777777" w:rsidR="00DD15E8" w:rsidRPr="00DD15E8" w:rsidRDefault="00DD15E8" w:rsidP="00DD15E8">
            <w:pPr>
              <w:numPr>
                <w:ilvl w:val="0"/>
                <w:numId w:val="34"/>
              </w:numPr>
              <w:spacing w:after="200" w:line="293" w:lineRule="atLeast"/>
              <w:contextualSpacing/>
              <w:jc w:val="both"/>
              <w:textAlignment w:val="baseline"/>
              <w:rPr>
                <w:rFonts w:ascii="Myriad Pro" w:eastAsia="Calibri" w:hAnsi="Myriad Pro" w:cstheme="minorHAnsi"/>
                <w:sz w:val="20"/>
                <w:lang w:val="en-GB"/>
              </w:rPr>
            </w:pPr>
            <w:r w:rsidRPr="00DD15E8">
              <w:rPr>
                <w:rFonts w:ascii="Myriad Pro" w:eastAsia="Calibri" w:hAnsi="Myriad Pro" w:cstheme="minorHAnsi"/>
                <w:sz w:val="20"/>
                <w:lang w:val="en-GB"/>
              </w:rPr>
              <w:t>Legal draft to formalize SPF structure and roles</w:t>
            </w:r>
          </w:p>
          <w:p w14:paraId="3FB484EC" w14:textId="77777777" w:rsidR="00DD15E8"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bdr w:val="none" w:sz="0" w:space="0" w:color="auto" w:frame="1"/>
              </w:rPr>
              <w:t xml:space="preserve">Minutes of Meeting of </w:t>
            </w:r>
            <w:r w:rsidRPr="00DD15E8">
              <w:rPr>
                <w:rFonts w:ascii="Myriad Pro" w:eastAsia="Calibri" w:hAnsi="Myriad Pro" w:cstheme="minorHAnsi"/>
                <w:sz w:val="20"/>
                <w:lang w:val="en-GB"/>
              </w:rPr>
              <w:t>serial consultation with relevant inter-ministerial agencies and subnational counterpart</w:t>
            </w:r>
          </w:p>
          <w:p w14:paraId="3C615A38" w14:textId="1A300820" w:rsidR="002E005E"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lang w:val="en-GB" w:eastAsia="en-GB"/>
              </w:rPr>
              <w:t xml:space="preserve">Technical support to design serial consultation to develop TOR of outlining the NIMC </w:t>
            </w:r>
            <w:r w:rsidRPr="00DD15E8">
              <w:rPr>
                <w:rFonts w:ascii="Myriad Pro" w:eastAsia="Calibri" w:hAnsi="Myriad Pro" w:cstheme="minorHAnsi"/>
                <w:sz w:val="20"/>
                <w:lang w:val="id-ID" w:eastAsia="en-GB"/>
              </w:rPr>
              <w:t>objective, operational plan, and roles and responsibilities of the members</w:t>
            </w:r>
          </w:p>
        </w:tc>
        <w:tc>
          <w:tcPr>
            <w:tcW w:w="1800" w:type="dxa"/>
            <w:shd w:val="clear" w:color="auto" w:fill="auto"/>
          </w:tcPr>
          <w:p w14:paraId="7DCEEAB6" w14:textId="77777777" w:rsidR="00533C35" w:rsidRPr="00D33860" w:rsidRDefault="00533C35" w:rsidP="00B708AB">
            <w:pPr>
              <w:jc w:val="center"/>
              <w:rPr>
                <w:rFonts w:ascii="Arial" w:hAnsi="Arial" w:cs="Arial"/>
                <w:bCs/>
                <w:color w:val="000000"/>
                <w:sz w:val="20"/>
              </w:rPr>
            </w:pPr>
          </w:p>
        </w:tc>
        <w:tc>
          <w:tcPr>
            <w:tcW w:w="1530" w:type="dxa"/>
            <w:shd w:val="clear" w:color="auto" w:fill="auto"/>
          </w:tcPr>
          <w:p w14:paraId="060F3631" w14:textId="77777777" w:rsidR="00533C35" w:rsidRPr="00D33860" w:rsidRDefault="00533C35" w:rsidP="0077728E">
            <w:pPr>
              <w:tabs>
                <w:tab w:val="left" w:pos="450"/>
              </w:tabs>
              <w:jc w:val="both"/>
              <w:rPr>
                <w:rFonts w:ascii="Arial" w:hAnsi="Arial" w:cs="Arial"/>
                <w:bCs/>
                <w:sz w:val="20"/>
              </w:rPr>
            </w:pPr>
          </w:p>
        </w:tc>
      </w:tr>
      <w:tr w:rsidR="00F95A6F" w:rsidRPr="00D33860" w14:paraId="1DED5426" w14:textId="77777777" w:rsidTr="00C21F3F">
        <w:trPr>
          <w:trHeight w:val="575"/>
        </w:trPr>
        <w:tc>
          <w:tcPr>
            <w:tcW w:w="5685" w:type="dxa"/>
            <w:shd w:val="clear" w:color="auto" w:fill="auto"/>
          </w:tcPr>
          <w:p w14:paraId="7447D22F" w14:textId="77777777" w:rsidR="002E005E" w:rsidRPr="00592687" w:rsidRDefault="00F95A6F" w:rsidP="002E005E">
            <w:pPr>
              <w:spacing w:after="160" w:line="259" w:lineRule="auto"/>
              <w:contextualSpacing/>
              <w:rPr>
                <w:rFonts w:ascii="Arial" w:hAnsi="Arial" w:cs="Arial"/>
                <w:sz w:val="20"/>
              </w:rPr>
            </w:pPr>
            <w:r w:rsidRPr="00592687">
              <w:rPr>
                <w:rFonts w:ascii="Arial" w:hAnsi="Arial" w:cs="Arial"/>
                <w:sz w:val="20"/>
              </w:rPr>
              <w:t>4</w:t>
            </w:r>
            <w:r w:rsidRPr="00592687">
              <w:rPr>
                <w:rFonts w:ascii="Arial" w:hAnsi="Arial" w:cs="Arial"/>
                <w:sz w:val="20"/>
                <w:vertAlign w:val="superscript"/>
              </w:rPr>
              <w:t>th</w:t>
            </w:r>
            <w:r w:rsidRPr="00592687">
              <w:rPr>
                <w:rFonts w:ascii="Arial" w:hAnsi="Arial" w:cs="Arial"/>
                <w:sz w:val="20"/>
              </w:rPr>
              <w:t xml:space="preserve"> Deliverable:</w:t>
            </w:r>
          </w:p>
          <w:p w14:paraId="0FBE84D7" w14:textId="77777777" w:rsidR="00DD15E8"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bdr w:val="none" w:sz="0" w:space="0" w:color="auto" w:frame="1"/>
              </w:rPr>
              <w:t xml:space="preserve">Minutes of Meeting of </w:t>
            </w:r>
            <w:r w:rsidRPr="00DD15E8">
              <w:rPr>
                <w:rFonts w:ascii="Myriad Pro" w:eastAsia="Calibri" w:hAnsi="Myriad Pro" w:cstheme="minorHAnsi"/>
                <w:sz w:val="20"/>
                <w:lang w:val="en-GB"/>
              </w:rPr>
              <w:t>serial consultation to formalize SPF structure and roles</w:t>
            </w:r>
          </w:p>
          <w:p w14:paraId="62DA695C" w14:textId="77777777" w:rsidR="00DD15E8"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sz w:val="20"/>
                <w:bdr w:val="none" w:sz="0" w:space="0" w:color="auto" w:frame="1"/>
                <w:lang w:val="en-GB"/>
              </w:rPr>
              <w:t xml:space="preserve">Initial draft for </w:t>
            </w:r>
            <w:r w:rsidRPr="00DD15E8">
              <w:rPr>
                <w:rFonts w:ascii="Myriad Pro" w:eastAsia="Calibri" w:hAnsi="Myriad Pro" w:cstheme="minorHAnsi"/>
                <w:sz w:val="20"/>
                <w:lang w:val="en-GB"/>
              </w:rPr>
              <w:t xml:space="preserve">TOR of </w:t>
            </w:r>
            <w:r w:rsidRPr="00DD15E8">
              <w:rPr>
                <w:rFonts w:ascii="Myriad Pro" w:eastAsia="Calibri" w:hAnsi="Myriad Pro" w:cstheme="minorHAnsi"/>
                <w:sz w:val="20"/>
                <w:lang w:val="id-ID"/>
              </w:rPr>
              <w:t>outlining the NIMC</w:t>
            </w:r>
            <w:r w:rsidRPr="00DD15E8">
              <w:rPr>
                <w:rFonts w:ascii="Myriad Pro" w:eastAsia="Calibri" w:hAnsi="Myriad Pro" w:cstheme="minorHAnsi"/>
                <w:sz w:val="20"/>
              </w:rPr>
              <w:t xml:space="preserve"> </w:t>
            </w:r>
            <w:r w:rsidRPr="00DD15E8">
              <w:rPr>
                <w:rFonts w:ascii="Myriad Pro" w:eastAsia="Calibri" w:hAnsi="Myriad Pro" w:cstheme="minorHAnsi"/>
                <w:sz w:val="20"/>
                <w:lang w:val="id-ID"/>
              </w:rPr>
              <w:t>objective, operational plan, and roles and</w:t>
            </w:r>
            <w:r w:rsidRPr="00DD15E8">
              <w:rPr>
                <w:rFonts w:ascii="Myriad Pro" w:eastAsia="Calibri" w:hAnsi="Myriad Pro" w:cstheme="minorHAnsi"/>
                <w:sz w:val="20"/>
              </w:rPr>
              <w:t xml:space="preserve"> </w:t>
            </w:r>
            <w:r w:rsidRPr="00DD15E8">
              <w:rPr>
                <w:rFonts w:ascii="Myriad Pro" w:eastAsia="Calibri" w:hAnsi="Myriad Pro" w:cstheme="minorHAnsi"/>
                <w:sz w:val="20"/>
                <w:lang w:val="id-ID"/>
              </w:rPr>
              <w:t>responsibilities of the members</w:t>
            </w:r>
            <w:r w:rsidRPr="00DD15E8">
              <w:rPr>
                <w:rFonts w:ascii="Myriad Pro" w:eastAsia="Calibri" w:hAnsi="Myriad Pro" w:cstheme="minorHAnsi"/>
                <w:sz w:val="20"/>
                <w:lang w:val="en-GB"/>
              </w:rPr>
              <w:t xml:space="preserve"> </w:t>
            </w:r>
          </w:p>
          <w:p w14:paraId="6B891FC6" w14:textId="206BCE6A" w:rsidR="00592687" w:rsidRPr="00DD15E8" w:rsidRDefault="00DD15E8" w:rsidP="00DD15E8">
            <w:pPr>
              <w:numPr>
                <w:ilvl w:val="0"/>
                <w:numId w:val="33"/>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lang w:val="en-GB" w:eastAsia="en-GB"/>
              </w:rPr>
              <w:t xml:space="preserve">Technical support to design serial consultation to assess national and subnational policies and regulations related to fisheries and biodiversity conservation and climate change adaptation in Rote </w:t>
            </w:r>
            <w:proofErr w:type="spellStart"/>
            <w:r w:rsidRPr="00DD15E8">
              <w:rPr>
                <w:rFonts w:ascii="Myriad Pro" w:eastAsia="Calibri" w:hAnsi="Myriad Pro" w:cstheme="minorHAnsi"/>
                <w:sz w:val="20"/>
                <w:lang w:val="en-GB" w:eastAsia="en-GB"/>
              </w:rPr>
              <w:t>Ndao</w:t>
            </w:r>
            <w:proofErr w:type="spellEnd"/>
            <w:r w:rsidRPr="00DD15E8">
              <w:rPr>
                <w:rFonts w:ascii="Myriad Pro" w:eastAsia="Calibri" w:hAnsi="Myriad Pro" w:cstheme="minorHAnsi"/>
                <w:sz w:val="20"/>
                <w:lang w:val="en-GB" w:eastAsia="en-GB"/>
              </w:rPr>
              <w:t>, Aru Island and Merauke district</w:t>
            </w:r>
          </w:p>
        </w:tc>
        <w:tc>
          <w:tcPr>
            <w:tcW w:w="1800" w:type="dxa"/>
            <w:shd w:val="clear" w:color="auto" w:fill="auto"/>
          </w:tcPr>
          <w:p w14:paraId="0694D968" w14:textId="77777777" w:rsidR="00F95A6F" w:rsidRPr="00D33860" w:rsidRDefault="00F95A6F" w:rsidP="00B708AB">
            <w:pPr>
              <w:jc w:val="center"/>
              <w:rPr>
                <w:rFonts w:ascii="Arial" w:hAnsi="Arial" w:cs="Arial"/>
                <w:bCs/>
                <w:color w:val="000000"/>
                <w:sz w:val="20"/>
              </w:rPr>
            </w:pPr>
          </w:p>
        </w:tc>
        <w:tc>
          <w:tcPr>
            <w:tcW w:w="1530" w:type="dxa"/>
            <w:shd w:val="clear" w:color="auto" w:fill="auto"/>
          </w:tcPr>
          <w:p w14:paraId="1765229B" w14:textId="77777777" w:rsidR="00F95A6F" w:rsidRPr="00D33860" w:rsidRDefault="00F95A6F" w:rsidP="0077728E">
            <w:pPr>
              <w:tabs>
                <w:tab w:val="left" w:pos="450"/>
              </w:tabs>
              <w:jc w:val="both"/>
              <w:rPr>
                <w:rFonts w:ascii="Arial" w:hAnsi="Arial" w:cs="Arial"/>
                <w:bCs/>
                <w:sz w:val="20"/>
              </w:rPr>
            </w:pPr>
          </w:p>
        </w:tc>
      </w:tr>
      <w:tr w:rsidR="00DD15E8" w:rsidRPr="00D33860" w14:paraId="014DB762" w14:textId="77777777" w:rsidTr="00C21F3F">
        <w:trPr>
          <w:trHeight w:val="575"/>
        </w:trPr>
        <w:tc>
          <w:tcPr>
            <w:tcW w:w="5685" w:type="dxa"/>
            <w:shd w:val="clear" w:color="auto" w:fill="auto"/>
          </w:tcPr>
          <w:p w14:paraId="0F003C18" w14:textId="77777777" w:rsidR="00DD15E8" w:rsidRDefault="00DD15E8" w:rsidP="002E005E">
            <w:pPr>
              <w:spacing w:after="160" w:line="259" w:lineRule="auto"/>
              <w:contextualSpacing/>
              <w:rPr>
                <w:rFonts w:ascii="Arial" w:hAnsi="Arial" w:cs="Arial"/>
                <w:sz w:val="20"/>
              </w:rPr>
            </w:pPr>
            <w:r>
              <w:rPr>
                <w:rFonts w:ascii="Arial" w:hAnsi="Arial" w:cs="Arial"/>
                <w:sz w:val="20"/>
              </w:rPr>
              <w:t>5</w:t>
            </w:r>
            <w:r w:rsidRPr="00DD15E8">
              <w:rPr>
                <w:rFonts w:ascii="Arial" w:hAnsi="Arial" w:cs="Arial"/>
                <w:sz w:val="20"/>
                <w:vertAlign w:val="superscript"/>
              </w:rPr>
              <w:t>th</w:t>
            </w:r>
            <w:r>
              <w:rPr>
                <w:rFonts w:ascii="Arial" w:hAnsi="Arial" w:cs="Arial"/>
                <w:sz w:val="20"/>
              </w:rPr>
              <w:t xml:space="preserve"> Deliverable:</w:t>
            </w:r>
          </w:p>
          <w:p w14:paraId="2DE4BF8C" w14:textId="77777777" w:rsidR="00DD15E8" w:rsidRPr="00DD15E8" w:rsidRDefault="00DD15E8" w:rsidP="00DD15E8">
            <w:pPr>
              <w:numPr>
                <w:ilvl w:val="0"/>
                <w:numId w:val="35"/>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bdr w:val="none" w:sz="0" w:space="0" w:color="auto" w:frame="1"/>
              </w:rPr>
              <w:t xml:space="preserve">Minutes of Meeting of </w:t>
            </w:r>
            <w:r w:rsidRPr="00DD15E8">
              <w:rPr>
                <w:rFonts w:ascii="Myriad Pro" w:eastAsia="Calibri" w:hAnsi="Myriad Pro" w:cstheme="minorHAnsi"/>
                <w:sz w:val="20"/>
                <w:lang w:val="en-GB"/>
              </w:rPr>
              <w:t xml:space="preserve">serial consultation to develop TOR of outlining the NIMC </w:t>
            </w:r>
            <w:r w:rsidRPr="00DD15E8">
              <w:rPr>
                <w:rFonts w:ascii="Myriad Pro" w:eastAsia="Calibri" w:hAnsi="Myriad Pro" w:cstheme="minorHAnsi"/>
                <w:sz w:val="20"/>
                <w:lang w:val="id-ID"/>
              </w:rPr>
              <w:t>objective, operational plan, and roles and responsibilities of the members</w:t>
            </w:r>
          </w:p>
          <w:p w14:paraId="6BA12942" w14:textId="10E4A042" w:rsidR="00DD15E8" w:rsidRPr="00DD15E8" w:rsidRDefault="00DD15E8" w:rsidP="00DD15E8">
            <w:pPr>
              <w:numPr>
                <w:ilvl w:val="0"/>
                <w:numId w:val="35"/>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lang w:val="en-GB" w:eastAsia="en-GB"/>
              </w:rPr>
              <w:t>Initial report on assessment of national and subnational policies and regulations related to fisheries and biodiversity conservation and climate change adaptation to support implementation of National Action Plan (NAP) ATSEA</w:t>
            </w:r>
          </w:p>
        </w:tc>
        <w:tc>
          <w:tcPr>
            <w:tcW w:w="1800" w:type="dxa"/>
            <w:shd w:val="clear" w:color="auto" w:fill="auto"/>
          </w:tcPr>
          <w:p w14:paraId="20B8AB5C" w14:textId="77777777" w:rsidR="00DD15E8" w:rsidRPr="00D33860" w:rsidRDefault="00DD15E8" w:rsidP="00B708AB">
            <w:pPr>
              <w:jc w:val="center"/>
              <w:rPr>
                <w:rFonts w:ascii="Arial" w:hAnsi="Arial" w:cs="Arial"/>
                <w:bCs/>
                <w:color w:val="000000"/>
                <w:sz w:val="20"/>
              </w:rPr>
            </w:pPr>
          </w:p>
        </w:tc>
        <w:tc>
          <w:tcPr>
            <w:tcW w:w="1530" w:type="dxa"/>
            <w:shd w:val="clear" w:color="auto" w:fill="auto"/>
          </w:tcPr>
          <w:p w14:paraId="6792AEED" w14:textId="77777777" w:rsidR="00DD15E8" w:rsidRPr="00D33860" w:rsidRDefault="00DD15E8" w:rsidP="0077728E">
            <w:pPr>
              <w:tabs>
                <w:tab w:val="left" w:pos="450"/>
              </w:tabs>
              <w:jc w:val="both"/>
              <w:rPr>
                <w:rFonts w:ascii="Arial" w:hAnsi="Arial" w:cs="Arial"/>
                <w:bCs/>
                <w:sz w:val="20"/>
              </w:rPr>
            </w:pPr>
          </w:p>
        </w:tc>
      </w:tr>
      <w:tr w:rsidR="00DD15E8" w:rsidRPr="00D33860" w14:paraId="2F253B4B" w14:textId="77777777" w:rsidTr="00C21F3F">
        <w:trPr>
          <w:trHeight w:val="575"/>
        </w:trPr>
        <w:tc>
          <w:tcPr>
            <w:tcW w:w="5685" w:type="dxa"/>
            <w:shd w:val="clear" w:color="auto" w:fill="auto"/>
          </w:tcPr>
          <w:p w14:paraId="22F9022D" w14:textId="77777777" w:rsidR="00DD15E8" w:rsidRDefault="00DD15E8" w:rsidP="002E005E">
            <w:pPr>
              <w:spacing w:after="160" w:line="259" w:lineRule="auto"/>
              <w:contextualSpacing/>
              <w:rPr>
                <w:rFonts w:ascii="Arial" w:hAnsi="Arial" w:cs="Arial"/>
                <w:sz w:val="20"/>
              </w:rPr>
            </w:pPr>
            <w:r>
              <w:rPr>
                <w:rFonts w:ascii="Arial" w:hAnsi="Arial" w:cs="Arial"/>
                <w:sz w:val="20"/>
              </w:rPr>
              <w:t>6</w:t>
            </w:r>
            <w:r w:rsidRPr="00DD15E8">
              <w:rPr>
                <w:rFonts w:ascii="Arial" w:hAnsi="Arial" w:cs="Arial"/>
                <w:sz w:val="20"/>
                <w:vertAlign w:val="superscript"/>
              </w:rPr>
              <w:t>th</w:t>
            </w:r>
            <w:r>
              <w:rPr>
                <w:rFonts w:ascii="Arial" w:hAnsi="Arial" w:cs="Arial"/>
                <w:sz w:val="20"/>
              </w:rPr>
              <w:t xml:space="preserve"> Deliverable:</w:t>
            </w:r>
          </w:p>
          <w:p w14:paraId="2412447F" w14:textId="77777777" w:rsidR="00DD15E8" w:rsidRPr="00DD15E8" w:rsidRDefault="00DD15E8" w:rsidP="00DD15E8">
            <w:pPr>
              <w:numPr>
                <w:ilvl w:val="0"/>
                <w:numId w:val="35"/>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lang w:val="en-GB"/>
              </w:rPr>
              <w:t xml:space="preserve">Legal draft to formalize SPF NIMC </w:t>
            </w:r>
            <w:r w:rsidRPr="00DD15E8">
              <w:rPr>
                <w:rFonts w:ascii="Myriad Pro" w:eastAsia="Calibri" w:hAnsi="Myriad Pro" w:cstheme="minorHAnsi"/>
                <w:sz w:val="20"/>
                <w:lang w:val="id-ID"/>
              </w:rPr>
              <w:t>objective, operational plan, and roles and responsibilities of the members</w:t>
            </w:r>
          </w:p>
          <w:p w14:paraId="60BF2325" w14:textId="77777777" w:rsidR="00DD15E8" w:rsidRDefault="00DD15E8" w:rsidP="00DD15E8">
            <w:pPr>
              <w:numPr>
                <w:ilvl w:val="0"/>
                <w:numId w:val="35"/>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bdr w:val="none" w:sz="0" w:space="0" w:color="auto" w:frame="1"/>
              </w:rPr>
              <w:t>Technical support on policy assessment consultation with NCU ATSEA-2</w:t>
            </w:r>
          </w:p>
          <w:p w14:paraId="7D9AA8D3" w14:textId="5E398C10" w:rsidR="00DD15E8" w:rsidRPr="00DD15E8" w:rsidRDefault="00DD15E8" w:rsidP="00DD15E8">
            <w:pPr>
              <w:numPr>
                <w:ilvl w:val="0"/>
                <w:numId w:val="35"/>
              </w:numPr>
              <w:spacing w:after="200" w:line="276" w:lineRule="auto"/>
              <w:contextualSpacing/>
              <w:jc w:val="both"/>
              <w:rPr>
                <w:rFonts w:ascii="Myriad Pro" w:eastAsia="Calibri" w:hAnsi="Myriad Pro" w:cstheme="minorHAnsi"/>
                <w:sz w:val="20"/>
                <w:bdr w:val="none" w:sz="0" w:space="0" w:color="auto" w:frame="1"/>
              </w:rPr>
            </w:pPr>
            <w:r w:rsidRPr="00DD15E8">
              <w:rPr>
                <w:rFonts w:ascii="Myriad Pro" w:eastAsia="Calibri" w:hAnsi="Myriad Pro" w:cstheme="minorHAnsi"/>
                <w:sz w:val="20"/>
                <w:lang w:val="en-GB" w:eastAsia="en-GB"/>
              </w:rPr>
              <w:t>Final report on assessment of national and subnational policies and regulations related to fisheries and biodiversity conservation and climate change adaptation to support implementation of National Action Plan (NAP) ATSEA</w:t>
            </w:r>
          </w:p>
        </w:tc>
        <w:tc>
          <w:tcPr>
            <w:tcW w:w="1800" w:type="dxa"/>
            <w:shd w:val="clear" w:color="auto" w:fill="auto"/>
          </w:tcPr>
          <w:p w14:paraId="314B9699" w14:textId="77777777" w:rsidR="00DD15E8" w:rsidRPr="00D33860" w:rsidRDefault="00DD15E8" w:rsidP="00B708AB">
            <w:pPr>
              <w:jc w:val="center"/>
              <w:rPr>
                <w:rFonts w:ascii="Arial" w:hAnsi="Arial" w:cs="Arial"/>
                <w:bCs/>
                <w:color w:val="000000"/>
                <w:sz w:val="20"/>
              </w:rPr>
            </w:pPr>
          </w:p>
        </w:tc>
        <w:tc>
          <w:tcPr>
            <w:tcW w:w="1530" w:type="dxa"/>
            <w:shd w:val="clear" w:color="auto" w:fill="auto"/>
          </w:tcPr>
          <w:p w14:paraId="3BDD2D72" w14:textId="77777777" w:rsidR="00DD15E8" w:rsidRPr="00D33860" w:rsidRDefault="00DD15E8" w:rsidP="0077728E">
            <w:pPr>
              <w:tabs>
                <w:tab w:val="left" w:pos="450"/>
              </w:tabs>
              <w:jc w:val="both"/>
              <w:rPr>
                <w:rFonts w:ascii="Arial" w:hAnsi="Arial" w:cs="Arial"/>
                <w:bCs/>
                <w:sz w:val="20"/>
              </w:rPr>
            </w:pPr>
          </w:p>
        </w:tc>
      </w:tr>
      <w:tr w:rsidR="007B76C0" w:rsidRPr="00D33860" w14:paraId="629320DB" w14:textId="77777777" w:rsidTr="00C21F3F">
        <w:tc>
          <w:tcPr>
            <w:tcW w:w="5685" w:type="dxa"/>
            <w:shd w:val="clear" w:color="auto" w:fill="auto"/>
          </w:tcPr>
          <w:p w14:paraId="32C1BE16" w14:textId="41606E9D" w:rsidR="007B76C0" w:rsidRPr="00D33860" w:rsidRDefault="007B76C0" w:rsidP="0077728E">
            <w:pPr>
              <w:jc w:val="center"/>
              <w:rPr>
                <w:rFonts w:ascii="Arial" w:hAnsi="Arial" w:cs="Arial"/>
                <w:b/>
                <w:bCs/>
                <w:color w:val="000000"/>
                <w:sz w:val="20"/>
              </w:rPr>
            </w:pPr>
            <w:r w:rsidRPr="00D33860">
              <w:rPr>
                <w:rFonts w:ascii="Arial" w:hAnsi="Arial" w:cs="Arial"/>
                <w:b/>
                <w:bCs/>
                <w:color w:val="000000"/>
                <w:sz w:val="20"/>
              </w:rPr>
              <w:t>Total</w:t>
            </w:r>
          </w:p>
        </w:tc>
        <w:tc>
          <w:tcPr>
            <w:tcW w:w="1800" w:type="dxa"/>
            <w:shd w:val="clear" w:color="auto" w:fill="auto"/>
          </w:tcPr>
          <w:p w14:paraId="4DA625D6" w14:textId="2B805CF2" w:rsidR="007B76C0" w:rsidRPr="00D33860" w:rsidRDefault="007B76C0" w:rsidP="00B708AB">
            <w:pPr>
              <w:jc w:val="center"/>
              <w:rPr>
                <w:rFonts w:ascii="Arial" w:hAnsi="Arial" w:cs="Arial"/>
                <w:bCs/>
                <w:color w:val="000000"/>
                <w:sz w:val="20"/>
              </w:rPr>
            </w:pPr>
            <w:r w:rsidRPr="00D33860">
              <w:rPr>
                <w:rFonts w:ascii="Arial" w:hAnsi="Arial" w:cs="Arial"/>
                <w:bCs/>
                <w:color w:val="000000"/>
                <w:sz w:val="20"/>
              </w:rPr>
              <w:t>100%</w:t>
            </w:r>
          </w:p>
        </w:tc>
        <w:tc>
          <w:tcPr>
            <w:tcW w:w="1530" w:type="dxa"/>
            <w:shd w:val="clear" w:color="auto" w:fill="auto"/>
          </w:tcPr>
          <w:p w14:paraId="7A066665" w14:textId="31B2F2DF" w:rsidR="007B76C0" w:rsidRPr="00D33860" w:rsidRDefault="007B76C0" w:rsidP="0077728E">
            <w:pPr>
              <w:tabs>
                <w:tab w:val="left" w:pos="450"/>
              </w:tabs>
              <w:jc w:val="both"/>
              <w:rPr>
                <w:rFonts w:ascii="Arial" w:hAnsi="Arial" w:cs="Arial"/>
                <w:bCs/>
                <w:sz w:val="20"/>
              </w:rPr>
            </w:pPr>
            <w:r w:rsidRPr="00D33860">
              <w:rPr>
                <w:rFonts w:ascii="Arial" w:hAnsi="Arial" w:cs="Arial"/>
                <w:bCs/>
                <w:sz w:val="20"/>
              </w:rPr>
              <w:t>IDR………</w:t>
            </w:r>
          </w:p>
        </w:tc>
      </w:tr>
    </w:tbl>
    <w:p w14:paraId="28CE5232" w14:textId="77777777" w:rsidR="008E7FBB" w:rsidRPr="00D33860" w:rsidRDefault="008E7FBB" w:rsidP="008E7FBB">
      <w:pPr>
        <w:rPr>
          <w:rFonts w:ascii="Arial" w:hAnsi="Arial" w:cs="Arial"/>
          <w:snapToGrid w:val="0"/>
          <w:sz w:val="20"/>
        </w:rPr>
      </w:pPr>
    </w:p>
    <w:p w14:paraId="0876160C" w14:textId="765E0CA1" w:rsidR="008E7FBB" w:rsidRPr="00D33860" w:rsidRDefault="008E7FBB" w:rsidP="00115B65">
      <w:pPr>
        <w:tabs>
          <w:tab w:val="right" w:pos="9360"/>
        </w:tabs>
        <w:ind w:left="360"/>
        <w:rPr>
          <w:rFonts w:ascii="Arial" w:hAnsi="Arial" w:cs="Arial"/>
          <w:i/>
          <w:snapToGrid w:val="0"/>
          <w:sz w:val="20"/>
        </w:rPr>
      </w:pPr>
      <w:r w:rsidRPr="00D33860">
        <w:rPr>
          <w:rFonts w:ascii="Arial" w:hAnsi="Arial" w:cs="Arial"/>
          <w:i/>
          <w:snapToGrid w:val="0"/>
          <w:sz w:val="20"/>
        </w:rPr>
        <w:t>*Basis for payment tranches</w:t>
      </w:r>
    </w:p>
    <w:p w14:paraId="35387179" w14:textId="77777777" w:rsidR="00D00FDB" w:rsidRPr="00D33860" w:rsidRDefault="00D00FDB">
      <w:pPr>
        <w:rPr>
          <w:sz w:val="20"/>
        </w:rPr>
      </w:pPr>
      <w:bookmarkStart w:id="3" w:name="_GoBack"/>
      <w:bookmarkEnd w:id="3"/>
    </w:p>
    <w:sectPr w:rsidR="00D00FDB" w:rsidRPr="00D33860"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9B92" w14:textId="77777777" w:rsidR="000A6AD4" w:rsidRDefault="000A6AD4" w:rsidP="008E7FBB">
      <w:r>
        <w:separator/>
      </w:r>
    </w:p>
  </w:endnote>
  <w:endnote w:type="continuationSeparator" w:id="0">
    <w:p w14:paraId="3737FB03" w14:textId="77777777" w:rsidR="000A6AD4" w:rsidRDefault="000A6AD4"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F14F" w14:textId="77777777" w:rsidR="000A6AD4" w:rsidRDefault="000A6AD4" w:rsidP="008E7FBB">
      <w:r>
        <w:separator/>
      </w:r>
    </w:p>
  </w:footnote>
  <w:footnote w:type="continuationSeparator" w:id="0">
    <w:p w14:paraId="08C69401" w14:textId="77777777" w:rsidR="000A6AD4" w:rsidRDefault="000A6AD4"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49E"/>
    <w:multiLevelType w:val="hybridMultilevel"/>
    <w:tmpl w:val="D0108C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D0512"/>
    <w:multiLevelType w:val="hybridMultilevel"/>
    <w:tmpl w:val="5E1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A6E44F3"/>
    <w:multiLevelType w:val="hybridMultilevel"/>
    <w:tmpl w:val="A7FC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A20C0"/>
    <w:multiLevelType w:val="hybridMultilevel"/>
    <w:tmpl w:val="40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BEF"/>
    <w:multiLevelType w:val="hybridMultilevel"/>
    <w:tmpl w:val="C1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C27FE"/>
    <w:multiLevelType w:val="hybridMultilevel"/>
    <w:tmpl w:val="DDA6C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35B5E"/>
    <w:multiLevelType w:val="hybridMultilevel"/>
    <w:tmpl w:val="8F60FBD2"/>
    <w:lvl w:ilvl="0" w:tplc="641285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15EC"/>
    <w:multiLevelType w:val="hybridMultilevel"/>
    <w:tmpl w:val="78D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164F"/>
    <w:multiLevelType w:val="hybridMultilevel"/>
    <w:tmpl w:val="CD0A98D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280339CA"/>
    <w:multiLevelType w:val="hybridMultilevel"/>
    <w:tmpl w:val="5EA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25A82"/>
    <w:multiLevelType w:val="hybridMultilevel"/>
    <w:tmpl w:val="D6586D62"/>
    <w:lvl w:ilvl="0" w:tplc="3BB88B4C">
      <w:start w:val="4"/>
      <w:numFmt w:val="bullet"/>
      <w:lvlText w:val="•"/>
      <w:lvlJc w:val="left"/>
      <w:pPr>
        <w:ind w:left="1080" w:hanging="360"/>
      </w:pPr>
      <w:rPr>
        <w:rFonts w:ascii="Myriad Pro" w:eastAsia="Calibri" w:hAnsi="Myriad Pro"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97AA3"/>
    <w:multiLevelType w:val="hybridMultilevel"/>
    <w:tmpl w:val="7A049062"/>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356F91"/>
    <w:multiLevelType w:val="hybridMultilevel"/>
    <w:tmpl w:val="B404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3D8901D8"/>
    <w:multiLevelType w:val="hybridMultilevel"/>
    <w:tmpl w:val="824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488552B"/>
    <w:multiLevelType w:val="hybridMultilevel"/>
    <w:tmpl w:val="1B4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88E0E98"/>
    <w:multiLevelType w:val="hybridMultilevel"/>
    <w:tmpl w:val="8BC0D50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8D11F63"/>
    <w:multiLevelType w:val="hybridMultilevel"/>
    <w:tmpl w:val="9D3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A31F4"/>
    <w:multiLevelType w:val="hybridMultilevel"/>
    <w:tmpl w:val="546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D891D33"/>
    <w:multiLevelType w:val="hybridMultilevel"/>
    <w:tmpl w:val="EDE4EC1E"/>
    <w:lvl w:ilvl="0" w:tplc="38090001">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3EFE04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530277E"/>
    <w:multiLevelType w:val="hybridMultilevel"/>
    <w:tmpl w:val="9C5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F56E5"/>
    <w:multiLevelType w:val="hybridMultilevel"/>
    <w:tmpl w:val="B34E3464"/>
    <w:lvl w:ilvl="0" w:tplc="04090001">
      <w:start w:val="1"/>
      <w:numFmt w:val="bullet"/>
      <w:lvlText w:val=""/>
      <w:lvlJc w:val="left"/>
      <w:pPr>
        <w:ind w:left="944" w:hanging="360"/>
      </w:pPr>
      <w:rPr>
        <w:rFonts w:ascii="Symbol" w:hAnsi="Symbol"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32" w15:restartNumberingAfterBreak="0">
    <w:nsid w:val="75A16E89"/>
    <w:multiLevelType w:val="hybridMultilevel"/>
    <w:tmpl w:val="C4988934"/>
    <w:lvl w:ilvl="0" w:tplc="F2368E92">
      <w:start w:val="1"/>
      <w:numFmt w:val="upperLetter"/>
      <w:lvlText w:val="%1)"/>
      <w:lvlJc w:val="left"/>
      <w:pPr>
        <w:ind w:left="360" w:hanging="360"/>
      </w:pPr>
      <w:rPr>
        <w:rFonts w:hint="default"/>
      </w:rPr>
    </w:lvl>
    <w:lvl w:ilvl="1" w:tplc="2E0A95FE">
      <w:numFmt w:val="bullet"/>
      <w:lvlText w:val="•"/>
      <w:lvlJc w:val="left"/>
      <w:pPr>
        <w:ind w:left="1440" w:hanging="720"/>
      </w:pPr>
      <w:rPr>
        <w:rFonts w:ascii="Myriad Pro" w:eastAsia="Times New Roman" w:hAnsi="Myriad Pr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BFD6D5F"/>
    <w:multiLevelType w:val="hybridMultilevel"/>
    <w:tmpl w:val="3816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21"/>
  </w:num>
  <w:num w:numId="4">
    <w:abstractNumId w:val="27"/>
  </w:num>
  <w:num w:numId="5">
    <w:abstractNumId w:val="32"/>
  </w:num>
  <w:num w:numId="6">
    <w:abstractNumId w:val="23"/>
  </w:num>
  <w:num w:numId="7">
    <w:abstractNumId w:val="22"/>
  </w:num>
  <w:num w:numId="8">
    <w:abstractNumId w:val="18"/>
  </w:num>
  <w:num w:numId="9">
    <w:abstractNumId w:val="8"/>
  </w:num>
  <w:num w:numId="10">
    <w:abstractNumId w:val="2"/>
  </w:num>
  <w:num w:numId="11">
    <w:abstractNumId w:val="29"/>
  </w:num>
  <w:num w:numId="12">
    <w:abstractNumId w:val="17"/>
  </w:num>
  <w:num w:numId="13">
    <w:abstractNumId w:val="15"/>
  </w:num>
  <w:num w:numId="14">
    <w:abstractNumId w:val="19"/>
  </w:num>
  <w:num w:numId="15">
    <w:abstractNumId w:val="16"/>
  </w:num>
  <w:num w:numId="16">
    <w:abstractNumId w:val="12"/>
  </w:num>
  <w:num w:numId="17">
    <w:abstractNumId w:val="9"/>
  </w:num>
  <w:num w:numId="18">
    <w:abstractNumId w:val="20"/>
  </w:num>
  <w:num w:numId="19">
    <w:abstractNumId w:val="11"/>
  </w:num>
  <w:num w:numId="20">
    <w:abstractNumId w:val="1"/>
  </w:num>
  <w:num w:numId="21">
    <w:abstractNumId w:val="5"/>
  </w:num>
  <w:num w:numId="22">
    <w:abstractNumId w:val="26"/>
  </w:num>
  <w:num w:numId="23">
    <w:abstractNumId w:val="4"/>
  </w:num>
  <w:num w:numId="24">
    <w:abstractNumId w:val="25"/>
  </w:num>
  <w:num w:numId="25">
    <w:abstractNumId w:val="30"/>
  </w:num>
  <w:num w:numId="26">
    <w:abstractNumId w:val="7"/>
  </w:num>
  <w:num w:numId="27">
    <w:abstractNumId w:val="0"/>
  </w:num>
  <w:num w:numId="28">
    <w:abstractNumId w:val="6"/>
  </w:num>
  <w:num w:numId="29">
    <w:abstractNumId w:val="14"/>
  </w:num>
  <w:num w:numId="30">
    <w:abstractNumId w:val="3"/>
  </w:num>
  <w:num w:numId="31">
    <w:abstractNumId w:val="34"/>
  </w:num>
  <w:num w:numId="32">
    <w:abstractNumId w:val="31"/>
  </w:num>
  <w:num w:numId="33">
    <w:abstractNumId w:val="28"/>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378C8"/>
    <w:rsid w:val="00081F6E"/>
    <w:rsid w:val="000A6AD4"/>
    <w:rsid w:val="0011262C"/>
    <w:rsid w:val="00115B65"/>
    <w:rsid w:val="00183C41"/>
    <w:rsid w:val="002306D8"/>
    <w:rsid w:val="00250354"/>
    <w:rsid w:val="002C1972"/>
    <w:rsid w:val="002E005E"/>
    <w:rsid w:val="002F0BEE"/>
    <w:rsid w:val="003342F6"/>
    <w:rsid w:val="003606FA"/>
    <w:rsid w:val="003664D9"/>
    <w:rsid w:val="003718AD"/>
    <w:rsid w:val="003A1F1A"/>
    <w:rsid w:val="003A31CD"/>
    <w:rsid w:val="003C5C23"/>
    <w:rsid w:val="003D23EB"/>
    <w:rsid w:val="00492C17"/>
    <w:rsid w:val="004A6A57"/>
    <w:rsid w:val="004F5664"/>
    <w:rsid w:val="00533C35"/>
    <w:rsid w:val="00592687"/>
    <w:rsid w:val="005B3A60"/>
    <w:rsid w:val="005D25D3"/>
    <w:rsid w:val="005D4CA6"/>
    <w:rsid w:val="00622542"/>
    <w:rsid w:val="006660DF"/>
    <w:rsid w:val="00677906"/>
    <w:rsid w:val="0069355A"/>
    <w:rsid w:val="006C338A"/>
    <w:rsid w:val="007740EA"/>
    <w:rsid w:val="00781676"/>
    <w:rsid w:val="007B76C0"/>
    <w:rsid w:val="007D1ADC"/>
    <w:rsid w:val="00803083"/>
    <w:rsid w:val="00846F4D"/>
    <w:rsid w:val="008B6722"/>
    <w:rsid w:val="008E7FBB"/>
    <w:rsid w:val="009517C0"/>
    <w:rsid w:val="00992934"/>
    <w:rsid w:val="00A678D4"/>
    <w:rsid w:val="00A70AC1"/>
    <w:rsid w:val="00AE0C65"/>
    <w:rsid w:val="00AF76A6"/>
    <w:rsid w:val="00B2544A"/>
    <w:rsid w:val="00B708AB"/>
    <w:rsid w:val="00BA510F"/>
    <w:rsid w:val="00BD1664"/>
    <w:rsid w:val="00C21F3F"/>
    <w:rsid w:val="00C30AEC"/>
    <w:rsid w:val="00C356DD"/>
    <w:rsid w:val="00CC0BB5"/>
    <w:rsid w:val="00CC53D0"/>
    <w:rsid w:val="00D00FDB"/>
    <w:rsid w:val="00D33860"/>
    <w:rsid w:val="00D8159E"/>
    <w:rsid w:val="00DD15E8"/>
    <w:rsid w:val="00E35391"/>
    <w:rsid w:val="00E4240E"/>
    <w:rsid w:val="00E71413"/>
    <w:rsid w:val="00E71DB8"/>
    <w:rsid w:val="00F011AD"/>
    <w:rsid w:val="00F2437C"/>
    <w:rsid w:val="00F32502"/>
    <w:rsid w:val="00F70B56"/>
    <w:rsid w:val="00F95A6F"/>
    <w:rsid w:val="00F96744"/>
    <w:rsid w:val="00FB3EEF"/>
    <w:rsid w:val="00FD5B81"/>
    <w:rsid w:val="00FE32DB"/>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8C9C76A9-5296-4950-9402-CFB8DBF6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622542"/>
    <w:pPr>
      <w:widowControl w:val="0"/>
      <w:autoSpaceDE w:val="0"/>
      <w:autoSpaceDN w:val="0"/>
    </w:pPr>
    <w:rPr>
      <w:rFonts w:ascii="Calibri" w:eastAsia="Calibri" w:hAnsi="Calibri" w:cs="Calibri"/>
      <w:sz w:val="22"/>
      <w:szCs w:val="22"/>
      <w:lang w:bidi="en-US"/>
    </w:rPr>
  </w:style>
  <w:style w:type="paragraph" w:styleId="BodyText">
    <w:name w:val="Body Text"/>
    <w:basedOn w:val="Normal"/>
    <w:link w:val="BodyTextChar"/>
    <w:rsid w:val="00F32502"/>
    <w:pPr>
      <w:tabs>
        <w:tab w:val="left" w:pos="0"/>
        <w:tab w:val="left" w:pos="720"/>
        <w:tab w:val="left" w:pos="1440"/>
        <w:tab w:val="left" w:pos="2160"/>
        <w:tab w:val="left" w:pos="2880"/>
        <w:tab w:val="left" w:pos="3600"/>
        <w:tab w:val="left" w:pos="4320"/>
      </w:tabs>
      <w:spacing w:line="240" w:lineRule="atLeast"/>
    </w:pPr>
    <w:rPr>
      <w:rFonts w:ascii="Helv" w:hAnsi="Helv"/>
      <w:snapToGrid w:val="0"/>
      <w:color w:val="000000"/>
      <w:sz w:val="20"/>
      <w:lang w:val="en-AU"/>
    </w:rPr>
  </w:style>
  <w:style w:type="character" w:customStyle="1" w:styleId="BodyTextChar">
    <w:name w:val="Body Text Char"/>
    <w:basedOn w:val="DefaultParagraphFont"/>
    <w:link w:val="BodyText"/>
    <w:rsid w:val="00F32502"/>
    <w:rPr>
      <w:rFonts w:ascii="Helv" w:eastAsia="Times New Roman" w:hAnsi="Helv" w:cs="Times New Roman"/>
      <w:snapToGrid w:val="0"/>
      <w:color w:val="000000"/>
      <w:sz w:val="20"/>
      <w:szCs w:val="20"/>
      <w:lang w:val="en-AU"/>
    </w:rPr>
  </w:style>
  <w:style w:type="paragraph" w:styleId="CommentText">
    <w:name w:val="annotation text"/>
    <w:basedOn w:val="Normal"/>
    <w:link w:val="CommentTextChar"/>
    <w:uiPriority w:val="99"/>
    <w:semiHidden/>
    <w:unhideWhenUsed/>
    <w:rsid w:val="00DD15E8"/>
    <w:rPr>
      <w:sz w:val="20"/>
    </w:rPr>
  </w:style>
  <w:style w:type="character" w:customStyle="1" w:styleId="CommentTextChar">
    <w:name w:val="Comment Text Char"/>
    <w:basedOn w:val="DefaultParagraphFont"/>
    <w:link w:val="CommentText"/>
    <w:uiPriority w:val="99"/>
    <w:semiHidden/>
    <w:rsid w:val="00DD1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E8"/>
    <w:rPr>
      <w:b/>
      <w:bCs/>
    </w:rPr>
  </w:style>
  <w:style w:type="character" w:customStyle="1" w:styleId="CommentSubjectChar">
    <w:name w:val="Comment Subject Char"/>
    <w:basedOn w:val="CommentTextChar"/>
    <w:link w:val="CommentSubject"/>
    <w:uiPriority w:val="99"/>
    <w:semiHidden/>
    <w:rsid w:val="00DD15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A17DA3A392346B8C3F44D7712FB27" ma:contentTypeVersion="13" ma:contentTypeDescription="Create a new document." ma:contentTypeScope="" ma:versionID="ac17e29232158375a8716e211f726cbb">
  <xsd:schema xmlns:xsd="http://www.w3.org/2001/XMLSchema" xmlns:xs="http://www.w3.org/2001/XMLSchema" xmlns:p="http://schemas.microsoft.com/office/2006/metadata/properties" xmlns:ns3="2d74a95a-dc28-4d16-83ff-6f58fe5409e2" xmlns:ns4="3b5b1785-78a6-4ee1-94e1-d6af0a8185c2" targetNamespace="http://schemas.microsoft.com/office/2006/metadata/properties" ma:root="true" ma:fieldsID="339bee1a8e252e314e29d2a4f8a99d85" ns3:_="" ns4:_="">
    <xsd:import namespace="2d74a95a-dc28-4d16-83ff-6f58fe5409e2"/>
    <xsd:import namespace="3b5b1785-78a6-4ee1-94e1-d6af0a818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a95a-dc28-4d16-83ff-6f58fe540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785-78a6-4ee1-94e1-d6af0a8185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113A6-F94D-4E83-9C37-6162AA9AF91F}">
  <ds:schemaRefs>
    <ds:schemaRef ds:uri="http://schemas.microsoft.com/sharepoint/v3/contenttype/forms"/>
  </ds:schemaRefs>
</ds:datastoreItem>
</file>

<file path=customXml/itemProps2.xml><?xml version="1.0" encoding="utf-8"?>
<ds:datastoreItem xmlns:ds="http://schemas.openxmlformats.org/officeDocument/2006/customXml" ds:itemID="{B334EA32-450A-4F7C-A264-D93A8241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a95a-dc28-4d16-83ff-6f58fe5409e2"/>
    <ds:schemaRef ds:uri="3b5b1785-78a6-4ee1-94e1-d6af0a81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69D4-AEEE-454D-8EB5-B4A3C7D54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Rida Dian Trisna</cp:lastModifiedBy>
  <cp:revision>3</cp:revision>
  <dcterms:created xsi:type="dcterms:W3CDTF">2020-06-18T12:58:00Z</dcterms:created>
  <dcterms:modified xsi:type="dcterms:W3CDTF">2020-06-18T13:05:00Z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0x010100976A17DA3A392346B8C3F44D7712FB27</vt:lpwstr>
  </property>
</Properties>
</file>