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D2371" w14:textId="77777777" w:rsidR="008F33B3" w:rsidRDefault="008F33B3" w:rsidP="008F33B3">
      <w:pPr>
        <w:rPr>
          <w:b/>
          <w:bCs/>
          <w:sz w:val="24"/>
          <w:szCs w:val="24"/>
        </w:rPr>
      </w:pPr>
      <w:bookmarkStart w:id="0" w:name="_Hlk43981616"/>
      <w:r>
        <w:rPr>
          <w:b/>
          <w:bCs/>
          <w:sz w:val="24"/>
          <w:szCs w:val="24"/>
        </w:rPr>
        <w:t>AMENDMENT TO THE ITB 644</w:t>
      </w:r>
      <w:bookmarkEnd w:id="0"/>
      <w:r>
        <w:rPr>
          <w:b/>
          <w:bCs/>
          <w:sz w:val="24"/>
          <w:szCs w:val="24"/>
        </w:rPr>
        <w:t xml:space="preserve"> QA</w:t>
      </w:r>
    </w:p>
    <w:p w14:paraId="2A457B2C" w14:textId="77777777" w:rsidR="008F33B3" w:rsidRDefault="008F33B3" w:rsidP="008F33B3">
      <w:pPr>
        <w:rPr>
          <w:b/>
          <w:bCs/>
          <w:sz w:val="24"/>
          <w:szCs w:val="24"/>
        </w:rPr>
      </w:pPr>
      <w:r>
        <w:rPr>
          <w:rFonts w:cstheme="minorHAnsi"/>
          <w:b/>
          <w:bCs/>
        </w:rPr>
        <w:t>25 June 2020</w:t>
      </w:r>
    </w:p>
    <w:p w14:paraId="469307A6" w14:textId="1CBD763A" w:rsidR="008F33B3" w:rsidRDefault="008F33B3" w:rsidP="008F33B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ELIGIBILITY AND QUALIFICATIONS </w:t>
      </w:r>
    </w:p>
    <w:p w14:paraId="00314C94" w14:textId="77777777" w:rsidR="008F33B3" w:rsidRDefault="008F33B3" w:rsidP="008F33B3">
      <w:pPr>
        <w:widowControl w:val="0"/>
        <w:tabs>
          <w:tab w:val="left" w:pos="-1440"/>
          <w:tab w:val="left" w:pos="-720"/>
        </w:tabs>
        <w:suppressAutoHyphens/>
        <w:overflowPunct w:val="0"/>
        <w:adjustRightInd w:val="0"/>
        <w:spacing w:after="0" w:line="240" w:lineRule="auto"/>
        <w:jc w:val="both"/>
        <w:outlineLvl w:val="0"/>
        <w:rPr>
          <w:rFonts w:cstheme="minorHAnsi"/>
          <w:bCs/>
        </w:rPr>
      </w:pPr>
      <w:r w:rsidRPr="008F33B3">
        <w:rPr>
          <w:rFonts w:cstheme="minorHAnsi"/>
          <w:bCs/>
        </w:rPr>
        <w:t xml:space="preserve">Following the inquiries from the potential bidders and additional research of the insurance market the following ELIGIBILITY AND QUAIFICATIONS criteria are to be changed. </w:t>
      </w:r>
    </w:p>
    <w:p w14:paraId="652097E0" w14:textId="77777777" w:rsidR="008F33B3" w:rsidRDefault="008F33B3" w:rsidP="008F33B3">
      <w:pPr>
        <w:tabs>
          <w:tab w:val="left" w:pos="-1440"/>
          <w:tab w:val="left" w:pos="-720"/>
        </w:tabs>
        <w:suppressAutoHyphens/>
        <w:jc w:val="both"/>
        <w:rPr>
          <w:rFonts w:cstheme="minorHAnsi"/>
        </w:rPr>
      </w:pPr>
    </w:p>
    <w:p w14:paraId="70B1D50D" w14:textId="7E5384F5" w:rsidR="008F33B3" w:rsidRDefault="008F33B3" w:rsidP="008F33B3">
      <w:pPr>
        <w:tabs>
          <w:tab w:val="left" w:pos="-1440"/>
          <w:tab w:val="left" w:pos="-720"/>
        </w:tabs>
        <w:suppressAutoHyphens/>
        <w:jc w:val="both"/>
        <w:rPr>
          <w:rFonts w:cstheme="minorHAnsi"/>
        </w:rPr>
      </w:pPr>
      <w:r>
        <w:rPr>
          <w:rFonts w:cstheme="minorHAnsi"/>
        </w:rPr>
        <w:t xml:space="preserve">Relevant ITB 644 provisions indicated below are hereby amended to read as follows: </w:t>
      </w:r>
    </w:p>
    <w:p w14:paraId="5B416163" w14:textId="77777777" w:rsidR="00BA4408" w:rsidRDefault="008F33B3" w:rsidP="008F33B3">
      <w:pPr>
        <w:pStyle w:val="ListParagraph"/>
        <w:tabs>
          <w:tab w:val="left" w:pos="-1440"/>
          <w:tab w:val="left" w:pos="-720"/>
        </w:tabs>
        <w:suppressAutoHyphens/>
        <w:spacing w:line="240" w:lineRule="auto"/>
        <w:ind w:left="0"/>
        <w:jc w:val="both"/>
        <w:outlineLvl w:val="0"/>
        <w:rPr>
          <w:rFonts w:cstheme="minorHAnsi"/>
          <w:bCs/>
        </w:rPr>
      </w:pPr>
      <w:r>
        <w:rPr>
          <w:rFonts w:cstheme="minorHAnsi"/>
          <w:bCs/>
        </w:rPr>
        <w:t>Under the Section 6: Returnable Bidding Forms/Checklists (page 42) “Form D: Eligibility and Qualification Form / Financial standing”, kindly note the following changes</w:t>
      </w:r>
      <w:r w:rsidR="00BA4408">
        <w:rPr>
          <w:rFonts w:cstheme="minorHAnsi"/>
          <w:bCs/>
        </w:rPr>
        <w:t>:</w:t>
      </w:r>
    </w:p>
    <w:p w14:paraId="6CB23B43" w14:textId="77777777" w:rsidR="00BA4408" w:rsidRDefault="00BA4408" w:rsidP="00BA4408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Criteria:</w:t>
      </w:r>
    </w:p>
    <w:p w14:paraId="23710339" w14:textId="5CF0D1BE" w:rsidR="00BA4408" w:rsidRDefault="00BA4408" w:rsidP="007C1A1D">
      <w:pPr>
        <w:spacing w:after="0" w:line="240" w:lineRule="auto"/>
        <w:rPr>
          <w:rFonts w:cstheme="minorHAnsi"/>
          <w:bCs/>
        </w:rPr>
      </w:pPr>
      <w:r w:rsidRPr="00BA4408">
        <w:rPr>
          <w:rStyle w:val="tlid-translation"/>
          <w:rFonts w:ascii="Segoe UI" w:hAnsi="Segoe UI" w:cs="Segoe UI"/>
          <w:b/>
          <w:bCs/>
          <w:sz w:val="20"/>
          <w:lang w:val="en"/>
        </w:rPr>
        <w:t>According to CARMEL indicators, the bidder should have a liquidity level of the second level (L2) higher than 19 for 2018.</w:t>
      </w:r>
      <w:r>
        <w:rPr>
          <w:rStyle w:val="tlid-translation"/>
          <w:rFonts w:ascii="Segoe UI" w:hAnsi="Segoe UI" w:cs="Segoe UI"/>
          <w:b/>
          <w:bCs/>
          <w:sz w:val="20"/>
          <w:lang w:val="en"/>
        </w:rPr>
        <w:t xml:space="preserve"> </w:t>
      </w:r>
      <w:r w:rsidRPr="00BA4408">
        <w:rPr>
          <w:rStyle w:val="tlid-translation"/>
          <w:rFonts w:ascii="Segoe UI" w:hAnsi="Segoe UI" w:cs="Segoe UI"/>
          <w:b/>
          <w:bCs/>
          <w:sz w:val="20"/>
          <w:lang w:val="en"/>
        </w:rPr>
        <w:t>Calculation formula L2 = (A1-B1) / C1, according to the data from the financial report forms for 2018 (</w:t>
      </w:r>
      <w:r w:rsidRPr="00BA4408">
        <w:rPr>
          <w:rStyle w:val="FootnoteReference"/>
          <w:rFonts w:cs="Segoe UI"/>
          <w:b/>
          <w:bCs/>
          <w:lang w:val="en"/>
        </w:rPr>
        <w:footnoteReference w:id="1"/>
      </w:r>
      <w:r w:rsidRPr="00BA4408">
        <w:rPr>
          <w:rStyle w:val="tlid-translation"/>
          <w:rFonts w:ascii="Segoe UI" w:hAnsi="Segoe UI" w:cs="Segoe UI"/>
          <w:b/>
          <w:bCs/>
          <w:sz w:val="20"/>
          <w:lang w:val="en"/>
        </w:rPr>
        <w:t xml:space="preserve">). </w:t>
      </w:r>
      <w:r w:rsidRPr="00BA4408">
        <w:rPr>
          <w:rFonts w:ascii="Segoe UI" w:hAnsi="Segoe UI" w:cs="Segoe UI"/>
          <w:i/>
          <w:spacing w:val="-2"/>
          <w:sz w:val="18"/>
          <w:lang w:val="sr-Latn-RS"/>
        </w:rPr>
        <w:t xml:space="preserve"> (If yes, provide a Copy of – B</w:t>
      </w:r>
      <w:r w:rsidRPr="00BA4408">
        <w:rPr>
          <w:i/>
          <w:spacing w:val="-2"/>
          <w:sz w:val="18"/>
          <w:lang w:val="sr-Latn-RS"/>
        </w:rPr>
        <w:t>alance Sheet Form as of</w:t>
      </w:r>
      <w:r w:rsidRPr="00BA4408">
        <w:rPr>
          <w:rFonts w:ascii="Segoe UI" w:hAnsi="Segoe UI" w:cs="Segoe UI"/>
          <w:i/>
          <w:spacing w:val="-2"/>
          <w:sz w:val="18"/>
          <w:lang w:val="sr-Latn-RS"/>
        </w:rPr>
        <w:t xml:space="preserve">  31.12.2018)</w:t>
      </w:r>
      <w:r w:rsidR="007C1A1D">
        <w:rPr>
          <w:rFonts w:ascii="Times New Roman" w:hAnsi="Times New Roman" w:cs="Times New Roman"/>
          <w:sz w:val="24"/>
          <w:szCs w:val="24"/>
        </w:rPr>
        <w:t xml:space="preserve"> - i</w:t>
      </w:r>
      <w:r>
        <w:rPr>
          <w:rFonts w:cstheme="minorHAnsi"/>
          <w:bCs/>
        </w:rPr>
        <w:t>s deleted from the table and should not be considered when applying.</w:t>
      </w:r>
    </w:p>
    <w:p w14:paraId="7C7DBCA6" w14:textId="133D6968" w:rsidR="00BA4408" w:rsidRDefault="00BA4408" w:rsidP="008F33B3">
      <w:pPr>
        <w:pStyle w:val="ListParagraph"/>
        <w:tabs>
          <w:tab w:val="left" w:pos="-1440"/>
          <w:tab w:val="left" w:pos="-720"/>
        </w:tabs>
        <w:suppressAutoHyphens/>
        <w:spacing w:line="240" w:lineRule="auto"/>
        <w:ind w:left="0"/>
        <w:jc w:val="both"/>
        <w:outlineLvl w:val="0"/>
        <w:rPr>
          <w:rFonts w:cstheme="minorHAnsi"/>
          <w:bCs/>
        </w:rPr>
      </w:pPr>
      <w:bookmarkStart w:id="1" w:name="_GoBack"/>
      <w:bookmarkEnd w:id="1"/>
    </w:p>
    <w:p w14:paraId="6E0E100F" w14:textId="47F15392" w:rsidR="008F33B3" w:rsidRDefault="00BA4408" w:rsidP="008F33B3">
      <w:pPr>
        <w:pStyle w:val="ListParagraph"/>
        <w:tabs>
          <w:tab w:val="left" w:pos="-1440"/>
          <w:tab w:val="left" w:pos="-720"/>
        </w:tabs>
        <w:suppressAutoHyphens/>
        <w:spacing w:line="240" w:lineRule="auto"/>
        <w:ind w:left="0"/>
        <w:jc w:val="both"/>
        <w:outlineLvl w:val="0"/>
        <w:rPr>
          <w:rFonts w:cstheme="minorHAnsi"/>
          <w:bCs/>
        </w:rPr>
      </w:pPr>
      <w:r>
        <w:rPr>
          <w:rFonts w:cstheme="minorHAnsi"/>
          <w:bCs/>
        </w:rPr>
        <w:t xml:space="preserve">Please, use </w:t>
      </w:r>
      <w:r w:rsidR="00B41116">
        <w:rPr>
          <w:rFonts w:cstheme="minorHAnsi"/>
          <w:bCs/>
        </w:rPr>
        <w:t>this form when applying</w:t>
      </w:r>
      <w:r w:rsidR="008F33B3">
        <w:rPr>
          <w:rFonts w:cstheme="minorHAnsi"/>
          <w:bCs/>
        </w:rPr>
        <w:t xml:space="preserve">. </w:t>
      </w:r>
    </w:p>
    <w:p w14:paraId="58E698AD" w14:textId="217BF865" w:rsidR="00BA4408" w:rsidRDefault="00BA4408" w:rsidP="008F33B3">
      <w:pPr>
        <w:pStyle w:val="ListParagraph"/>
        <w:tabs>
          <w:tab w:val="left" w:pos="-1440"/>
          <w:tab w:val="left" w:pos="-720"/>
        </w:tabs>
        <w:suppressAutoHyphens/>
        <w:spacing w:line="240" w:lineRule="auto"/>
        <w:ind w:left="0"/>
        <w:jc w:val="both"/>
        <w:outlineLvl w:val="0"/>
        <w:rPr>
          <w:rFonts w:cstheme="minorHAnsi"/>
          <w:bCs/>
        </w:rPr>
      </w:pPr>
    </w:p>
    <w:tbl>
      <w:tblPr>
        <w:tblStyle w:val="TableGrid"/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4050"/>
        <w:gridCol w:w="5490"/>
      </w:tblGrid>
      <w:tr w:rsidR="008F33B3" w14:paraId="64537596" w14:textId="77777777" w:rsidTr="00872AF9">
        <w:trPr>
          <w:trHeight w:val="868"/>
        </w:trPr>
        <w:tc>
          <w:tcPr>
            <w:tcW w:w="405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auto" w:fill="9BDEFF"/>
            <w:hideMark/>
          </w:tcPr>
          <w:p w14:paraId="6B800709" w14:textId="77777777" w:rsidR="008F33B3" w:rsidRDefault="008F33B3" w:rsidP="00872AF9">
            <w:pPr>
              <w:spacing w:before="40" w:after="40"/>
              <w:rPr>
                <w:rFonts w:ascii="Segoe UI" w:hAnsi="Segoe UI" w:cs="Segoe UI"/>
                <w:b/>
                <w:spacing w:val="-2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pacing w:val="-2"/>
                <w:sz w:val="20"/>
                <w:szCs w:val="20"/>
              </w:rPr>
              <w:t>Annual Turnover for the following years</w:t>
            </w:r>
          </w:p>
        </w:tc>
        <w:tc>
          <w:tcPr>
            <w:tcW w:w="549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hideMark/>
          </w:tcPr>
          <w:p w14:paraId="299AC707" w14:textId="77777777" w:rsidR="008F33B3" w:rsidRDefault="008F33B3" w:rsidP="00872AF9">
            <w:pPr>
              <w:spacing w:before="40" w:after="40"/>
              <w:ind w:left="-18" w:right="-86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Year 2017 </w:t>
            </w:r>
            <w:r>
              <w:rPr>
                <w:rFonts w:ascii="Segoe UI" w:hAnsi="Segoe UI" w:cs="Segoe UI"/>
                <w:sz w:val="20"/>
                <w:szCs w:val="20"/>
              </w:rPr>
              <w:tab/>
              <w:t xml:space="preserve">USD 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31D21A9B" w14:textId="77777777" w:rsidR="008F33B3" w:rsidRDefault="008F33B3" w:rsidP="00872AF9">
            <w:pPr>
              <w:spacing w:before="40" w:after="40"/>
              <w:ind w:left="-18" w:right="-86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Year 2018 </w:t>
            </w:r>
            <w:r>
              <w:rPr>
                <w:rFonts w:ascii="Segoe UI" w:hAnsi="Segoe UI" w:cs="Segoe UI"/>
                <w:sz w:val="20"/>
                <w:szCs w:val="20"/>
              </w:rPr>
              <w:tab/>
              <w:t xml:space="preserve">USD 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8F33B3" w14:paraId="0D0D4D89" w14:textId="77777777" w:rsidTr="00872AF9">
        <w:tc>
          <w:tcPr>
            <w:tcW w:w="405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auto" w:fill="9BDEFF"/>
            <w:vAlign w:val="center"/>
            <w:hideMark/>
          </w:tcPr>
          <w:p w14:paraId="70D2EE0E" w14:textId="77777777" w:rsidR="008F33B3" w:rsidRDefault="008F33B3" w:rsidP="00872AF9">
            <w:pPr>
              <w:pStyle w:val="Outline"/>
              <w:suppressAutoHyphens/>
              <w:spacing w:before="120" w:after="120"/>
              <w:rPr>
                <w:rFonts w:ascii="Segoe UI" w:hAnsi="Segoe UI" w:cs="Segoe UI"/>
                <w:b/>
                <w:spacing w:val="-2"/>
                <w:kern w:val="0"/>
                <w:sz w:val="20"/>
              </w:rPr>
            </w:pPr>
            <w:r>
              <w:rPr>
                <w:rStyle w:val="tlid-translation"/>
                <w:rFonts w:ascii="Segoe UI" w:hAnsi="Segoe UI" w:cs="Segoe UI"/>
                <w:b/>
                <w:sz w:val="20"/>
                <w:lang w:val="en"/>
              </w:rPr>
              <w:t>Latest Credit Rating (if any), indicate the source</w:t>
            </w:r>
          </w:p>
        </w:tc>
        <w:tc>
          <w:tcPr>
            <w:tcW w:w="549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vAlign w:val="center"/>
          </w:tcPr>
          <w:p w14:paraId="670384DF" w14:textId="77777777" w:rsidR="008F33B3" w:rsidRDefault="008F33B3" w:rsidP="00872AF9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F33B3" w14:paraId="394535BA" w14:textId="77777777" w:rsidTr="00872AF9">
        <w:tc>
          <w:tcPr>
            <w:tcW w:w="405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auto" w:fill="9BDEFF"/>
            <w:vAlign w:val="center"/>
            <w:hideMark/>
          </w:tcPr>
          <w:p w14:paraId="34C5D101" w14:textId="77777777" w:rsidR="008F33B3" w:rsidRDefault="008F33B3" w:rsidP="00872AF9">
            <w:pPr>
              <w:pStyle w:val="NoSpacing1"/>
              <w:rPr>
                <w:rStyle w:val="tlid-translation"/>
                <w:b/>
                <w:bCs/>
                <w:lang w:val="en"/>
              </w:rPr>
            </w:pPr>
            <w:r w:rsidRPr="00B41116">
              <w:rPr>
                <w:rStyle w:val="tlid-translation"/>
                <w:rFonts w:ascii="Segoe UI" w:hAnsi="Segoe UI" w:cs="Segoe UI"/>
                <w:b/>
                <w:bCs/>
                <w:sz w:val="20"/>
                <w:szCs w:val="20"/>
                <w:lang w:val="en"/>
              </w:rPr>
              <w:t>The bidder must have a coefficient of diligence (CD) in resolving claims greater than 95% for 2018 (</w:t>
            </w:r>
            <w:r w:rsidRPr="00B41116">
              <w:rPr>
                <w:rStyle w:val="FootnoteReference"/>
                <w:rFonts w:cs="Segoe UI"/>
                <w:b/>
                <w:bCs/>
                <w:lang w:val="en"/>
              </w:rPr>
              <w:footnoteReference w:id="2"/>
            </w:r>
            <w:r w:rsidRPr="00B41116">
              <w:rPr>
                <w:rStyle w:val="tlid-translation"/>
                <w:rFonts w:ascii="Segoe UI" w:hAnsi="Segoe UI" w:cs="Segoe UI"/>
                <w:b/>
                <w:bCs/>
                <w:sz w:val="20"/>
                <w:szCs w:val="20"/>
                <w:lang w:val="en"/>
              </w:rPr>
              <w:t>).</w:t>
            </w:r>
          </w:p>
          <w:p w14:paraId="23EFE02B" w14:textId="77777777" w:rsidR="008F33B3" w:rsidRDefault="008F33B3" w:rsidP="00872AF9">
            <w:pPr>
              <w:pStyle w:val="Outline"/>
              <w:suppressAutoHyphens/>
              <w:spacing w:before="120" w:after="120"/>
              <w:rPr>
                <w:spacing w:val="-2"/>
                <w:kern w:val="0"/>
              </w:rPr>
            </w:pPr>
            <w:r>
              <w:rPr>
                <w:rFonts w:ascii="Segoe UI" w:hAnsi="Segoe UI" w:cs="Segoe UI"/>
                <w:i/>
                <w:spacing w:val="-2"/>
                <w:sz w:val="18"/>
                <w:szCs w:val="18"/>
                <w:lang w:val="sr-Latn-RS"/>
              </w:rPr>
              <w:lastRenderedPageBreak/>
              <w:t xml:space="preserve">(provide by Copy of relevant authority – </w:t>
            </w:r>
            <w:r>
              <w:rPr>
                <w:rStyle w:val="tlid-translation"/>
                <w:rFonts w:ascii="Segoe UI" w:hAnsi="Segoe UI" w:cs="Segoe UI"/>
                <w:i/>
                <w:sz w:val="18"/>
                <w:szCs w:val="18"/>
                <w:lang w:val="en"/>
              </w:rPr>
              <w:t xml:space="preserve">"Number of claims by insurance companies in 2018" </w:t>
            </w:r>
            <w:r>
              <w:rPr>
                <w:rStyle w:val="tlid-translation"/>
                <w:i/>
                <w:sz w:val="18"/>
                <w:szCs w:val="18"/>
                <w:lang w:val="en"/>
              </w:rPr>
              <w:t>(in Serbia -</w:t>
            </w:r>
            <w:r>
              <w:rPr>
                <w:rStyle w:val="tlid-translation"/>
                <w:rFonts w:ascii="Segoe UI" w:hAnsi="Segoe UI" w:cs="Segoe UI"/>
                <w:i/>
                <w:sz w:val="18"/>
                <w:szCs w:val="18"/>
                <w:lang w:val="en"/>
              </w:rPr>
              <w:t xml:space="preserve"> NBS Sector for Supervision of Insurance Activities, Department of Actuarial Affairs and Statistics</w:t>
            </w:r>
            <w:r>
              <w:rPr>
                <w:rFonts w:ascii="Segoe UI" w:hAnsi="Segoe UI" w:cs="Segoe UI"/>
                <w:i/>
                <w:spacing w:val="-2"/>
                <w:sz w:val="18"/>
                <w:szCs w:val="18"/>
                <w:lang w:val="sr-Latn-RS"/>
              </w:rPr>
              <w:t>)</w:t>
            </w:r>
          </w:p>
        </w:tc>
        <w:tc>
          <w:tcPr>
            <w:tcW w:w="549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vAlign w:val="center"/>
            <w:hideMark/>
          </w:tcPr>
          <w:p w14:paraId="44778C11" w14:textId="77777777" w:rsidR="008F33B3" w:rsidRDefault="008F33B3" w:rsidP="00872AF9">
            <w:pPr>
              <w:spacing w:before="120" w:after="120"/>
              <w:rPr>
                <w:rFonts w:ascii="Segoe UI" w:hAnsi="Segoe UI" w:cs="Segoe UI"/>
                <w:kern w:val="28"/>
                <w:sz w:val="20"/>
                <w:szCs w:val="20"/>
              </w:rPr>
            </w:pPr>
            <w:r>
              <w:rPr>
                <w:rStyle w:val="tlid-translation"/>
                <w:rFonts w:ascii="Segoe UI" w:hAnsi="Segoe UI" w:cs="Segoe UI"/>
                <w:sz w:val="20"/>
                <w:szCs w:val="20"/>
                <w:lang w:val="en"/>
              </w:rPr>
              <w:lastRenderedPageBreak/>
              <w:t>Formula:     CD = [(A + B) * 100] / (C + D)</w:t>
            </w:r>
            <w:r>
              <w:rPr>
                <w:rFonts w:ascii="Segoe UI" w:hAnsi="Segoe UI" w:cs="Segoe UI"/>
                <w:sz w:val="20"/>
                <w:szCs w:val="20"/>
                <w:lang w:val="en"/>
              </w:rPr>
              <w:br/>
            </w:r>
            <w:r>
              <w:rPr>
                <w:rFonts w:ascii="Segoe UI" w:hAnsi="Segoe UI" w:cs="Segoe UI"/>
                <w:sz w:val="20"/>
                <w:szCs w:val="20"/>
                <w:lang w:val="en"/>
              </w:rPr>
              <w:br/>
            </w:r>
            <w:r>
              <w:rPr>
                <w:rStyle w:val="tlid-translation"/>
                <w:rFonts w:ascii="Segoe UI" w:hAnsi="Segoe UI" w:cs="Segoe UI"/>
                <w:sz w:val="20"/>
                <w:szCs w:val="20"/>
                <w:lang w:val="en"/>
              </w:rPr>
              <w:t>A - Number of resolved claims in 2018;</w:t>
            </w:r>
            <w:r>
              <w:rPr>
                <w:rFonts w:ascii="Segoe UI" w:hAnsi="Segoe UI" w:cs="Segoe UI"/>
                <w:sz w:val="20"/>
                <w:szCs w:val="20"/>
                <w:lang w:val="en"/>
              </w:rPr>
              <w:br/>
            </w:r>
            <w:r>
              <w:rPr>
                <w:rStyle w:val="tlid-translation"/>
                <w:rFonts w:ascii="Segoe UI" w:hAnsi="Segoe UI" w:cs="Segoe UI"/>
                <w:sz w:val="20"/>
                <w:szCs w:val="20"/>
                <w:lang w:val="en"/>
              </w:rPr>
              <w:lastRenderedPageBreak/>
              <w:t>B - Number of rejected and reversed claims in 2018;</w:t>
            </w:r>
            <w:r>
              <w:rPr>
                <w:rFonts w:ascii="Segoe UI" w:hAnsi="Segoe UI" w:cs="Segoe UI"/>
                <w:sz w:val="20"/>
                <w:szCs w:val="20"/>
                <w:lang w:val="en"/>
              </w:rPr>
              <w:br/>
            </w:r>
            <w:r>
              <w:rPr>
                <w:rStyle w:val="tlid-translation"/>
                <w:rFonts w:ascii="Segoe UI" w:hAnsi="Segoe UI" w:cs="Segoe UI"/>
                <w:sz w:val="20"/>
                <w:szCs w:val="20"/>
                <w:lang w:val="en"/>
              </w:rPr>
              <w:t>C - Number of reported damages in 2018;</w:t>
            </w:r>
            <w:r>
              <w:rPr>
                <w:rFonts w:ascii="Segoe UI" w:hAnsi="Segoe UI" w:cs="Segoe UI"/>
                <w:sz w:val="20"/>
                <w:szCs w:val="20"/>
                <w:lang w:val="en"/>
              </w:rPr>
              <w:br/>
            </w:r>
            <w:r>
              <w:rPr>
                <w:rStyle w:val="tlid-translation"/>
                <w:rFonts w:ascii="Segoe UI" w:hAnsi="Segoe UI" w:cs="Segoe UI"/>
                <w:sz w:val="20"/>
                <w:szCs w:val="20"/>
                <w:lang w:val="en"/>
              </w:rPr>
              <w:t>D - Number of reserved claims at the end of 2017.</w:t>
            </w:r>
          </w:p>
        </w:tc>
      </w:tr>
    </w:tbl>
    <w:p w14:paraId="2F2AFA56" w14:textId="77777777" w:rsidR="008F33B3" w:rsidRDefault="008F33B3" w:rsidP="008F33B3">
      <w:pPr>
        <w:pStyle w:val="ListParagraph"/>
        <w:tabs>
          <w:tab w:val="left" w:pos="-1440"/>
          <w:tab w:val="left" w:pos="-720"/>
        </w:tabs>
        <w:suppressAutoHyphens/>
        <w:ind w:left="786"/>
        <w:jc w:val="both"/>
        <w:rPr>
          <w:rFonts w:ascii="Times New Roman" w:hAnsi="Times New Roman" w:cstheme="minorHAnsi"/>
          <w:kern w:val="28"/>
          <w:szCs w:val="24"/>
        </w:rPr>
      </w:pPr>
    </w:p>
    <w:p w14:paraId="0C83446E" w14:textId="2B6D53B5" w:rsidR="008F33B3" w:rsidRDefault="00E94DB3" w:rsidP="008F33B3">
      <w:pPr>
        <w:tabs>
          <w:tab w:val="left" w:pos="-1440"/>
          <w:tab w:val="left" w:pos="-720"/>
        </w:tabs>
        <w:suppressAutoHyphens/>
        <w:jc w:val="both"/>
        <w:rPr>
          <w:rFonts w:cstheme="minorHAnsi"/>
          <w:color w:val="FF0000"/>
        </w:rPr>
      </w:pPr>
      <w:r>
        <w:rPr>
          <w:b/>
          <w:bCs/>
          <w:sz w:val="24"/>
          <w:szCs w:val="24"/>
        </w:rPr>
        <w:t>EXTENSION OF DEADLINE</w:t>
      </w:r>
    </w:p>
    <w:p w14:paraId="20181ABA" w14:textId="00BEF202" w:rsidR="00807F4C" w:rsidRDefault="008F33B3" w:rsidP="00B41116">
      <w:pPr>
        <w:widowControl w:val="0"/>
        <w:tabs>
          <w:tab w:val="left" w:pos="-1440"/>
          <w:tab w:val="left" w:pos="-720"/>
        </w:tabs>
        <w:suppressAutoHyphens/>
        <w:overflowPunct w:val="0"/>
        <w:adjustRightInd w:val="0"/>
        <w:spacing w:after="0" w:line="240" w:lineRule="auto"/>
        <w:jc w:val="both"/>
        <w:outlineLvl w:val="0"/>
      </w:pPr>
      <w:r w:rsidRPr="00B41116">
        <w:rPr>
          <w:rFonts w:cstheme="minorHAnsi"/>
          <w:bCs/>
        </w:rPr>
        <w:t xml:space="preserve">Based on the Project Management’s request with the aim to provide sufficient time to bidders to accommodate the </w:t>
      </w:r>
      <w:proofErr w:type="gramStart"/>
      <w:r w:rsidRPr="00B41116">
        <w:rPr>
          <w:rFonts w:cstheme="minorHAnsi"/>
          <w:bCs/>
        </w:rPr>
        <w:t>above mentioned</w:t>
      </w:r>
      <w:proofErr w:type="gramEnd"/>
      <w:r w:rsidRPr="00B41116">
        <w:rPr>
          <w:rFonts w:cstheme="minorHAnsi"/>
          <w:bCs/>
        </w:rPr>
        <w:t xml:space="preserve"> amendments to the ITB 644 document in their offers, the ITB 644 deadline for submission of the proposals is hereby extended for 14 additional days</w:t>
      </w:r>
      <w:r w:rsidRPr="00B41116">
        <w:rPr>
          <w:rFonts w:cstheme="minorHAnsi"/>
          <w:b/>
          <w:bCs/>
        </w:rPr>
        <w:t xml:space="preserve">.  Therefore, the ITB 644 Deadline for Submission of Proposals is extended for additional 14 days with the date and time for deadline for submission of the proposals adequately adjusted in the </w:t>
      </w:r>
      <w:proofErr w:type="spellStart"/>
      <w:r w:rsidRPr="00B41116">
        <w:rPr>
          <w:rFonts w:cstheme="minorHAnsi"/>
          <w:b/>
          <w:bCs/>
        </w:rPr>
        <w:t>eTendering</w:t>
      </w:r>
      <w:proofErr w:type="spellEnd"/>
      <w:r w:rsidRPr="00B41116">
        <w:rPr>
          <w:rFonts w:cstheme="minorHAnsi"/>
          <w:b/>
          <w:bCs/>
        </w:rPr>
        <w:t xml:space="preserve"> Event. </w:t>
      </w:r>
      <w:r w:rsidRPr="00B41116">
        <w:rPr>
          <w:rFonts w:cstheme="minorHAnsi"/>
        </w:rPr>
        <w:t>The above amendment refers to the ITB Section 3: Bid Data Sheet (BDS) No. 14.23 (page 18).</w:t>
      </w:r>
    </w:p>
    <w:sectPr w:rsidR="00807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ACD56" w14:textId="77777777" w:rsidR="00026BDB" w:rsidRDefault="00026BDB" w:rsidP="008F33B3">
      <w:pPr>
        <w:spacing w:after="0" w:line="240" w:lineRule="auto"/>
      </w:pPr>
      <w:r>
        <w:separator/>
      </w:r>
    </w:p>
  </w:endnote>
  <w:endnote w:type="continuationSeparator" w:id="0">
    <w:p w14:paraId="4604C7FF" w14:textId="77777777" w:rsidR="00026BDB" w:rsidRDefault="00026BDB" w:rsidP="008F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58647" w14:textId="77777777" w:rsidR="00026BDB" w:rsidRDefault="00026BDB" w:rsidP="008F33B3">
      <w:pPr>
        <w:spacing w:after="0" w:line="240" w:lineRule="auto"/>
      </w:pPr>
      <w:r>
        <w:separator/>
      </w:r>
    </w:p>
  </w:footnote>
  <w:footnote w:type="continuationSeparator" w:id="0">
    <w:p w14:paraId="469FBBDA" w14:textId="77777777" w:rsidR="00026BDB" w:rsidRDefault="00026BDB" w:rsidP="008F33B3">
      <w:pPr>
        <w:spacing w:after="0" w:line="240" w:lineRule="auto"/>
      </w:pPr>
      <w:r>
        <w:continuationSeparator/>
      </w:r>
    </w:p>
  </w:footnote>
  <w:footnote w:id="1">
    <w:p w14:paraId="07EE752D" w14:textId="77777777" w:rsidR="00BA4408" w:rsidRDefault="00BA4408" w:rsidP="00BA4408">
      <w:pPr>
        <w:shd w:val="clear" w:color="auto" w:fill="FFFFFF"/>
        <w:spacing w:before="120"/>
        <w:jc w:val="both"/>
        <w:rPr>
          <w:rStyle w:val="tlid-translation"/>
          <w:rFonts w:ascii="Segoe UI" w:eastAsiaTheme="minorEastAsia" w:hAnsi="Segoe UI" w:cs="Segoe UI"/>
          <w:kern w:val="28"/>
          <w:sz w:val="18"/>
          <w:szCs w:val="18"/>
          <w:lang w:val="en"/>
        </w:rPr>
      </w:pPr>
      <w:r>
        <w:rPr>
          <w:rStyle w:val="FootnoteReference"/>
        </w:rPr>
        <w:footnoteRef/>
      </w:r>
      <w:r>
        <w:t xml:space="preserve"> </w:t>
      </w:r>
      <w:r>
        <w:rPr>
          <w:rStyle w:val="tlid-translation"/>
          <w:rFonts w:ascii="Segoe UI" w:hAnsi="Segoe UI" w:cs="Segoe UI"/>
          <w:sz w:val="18"/>
          <w:szCs w:val="18"/>
          <w:u w:val="single"/>
          <w:lang w:val="en"/>
        </w:rPr>
        <w:t>Note:</w:t>
      </w:r>
      <w:r>
        <w:rPr>
          <w:rStyle w:val="tlid-translation"/>
          <w:rFonts w:ascii="Segoe UI" w:hAnsi="Segoe UI" w:cs="Segoe UI"/>
          <w:sz w:val="18"/>
          <w:szCs w:val="18"/>
          <w:lang w:val="en"/>
        </w:rPr>
        <w:t xml:space="preserve"> In case of submission of a bid by a group of bidders for the purposes of weighting the bid, the joint liquidity of the group of bidders will be </w:t>
      </w:r>
      <w:proofErr w:type="gramStart"/>
      <w:r>
        <w:rPr>
          <w:rStyle w:val="tlid-translation"/>
          <w:rFonts w:ascii="Segoe UI" w:hAnsi="Segoe UI" w:cs="Segoe UI"/>
          <w:sz w:val="18"/>
          <w:szCs w:val="18"/>
          <w:lang w:val="en"/>
        </w:rPr>
        <w:t>taken into account</w:t>
      </w:r>
      <w:proofErr w:type="gramEnd"/>
      <w:r>
        <w:rPr>
          <w:rStyle w:val="tlid-translation"/>
          <w:rFonts w:ascii="Segoe UI" w:hAnsi="Segoe UI" w:cs="Segoe UI"/>
          <w:sz w:val="18"/>
          <w:szCs w:val="18"/>
          <w:lang w:val="en"/>
        </w:rPr>
        <w:t xml:space="preserve"> by entering the items of each group member in the formula and calculated for the group.</w:t>
      </w:r>
    </w:p>
    <w:p w14:paraId="621202A2" w14:textId="77777777" w:rsidR="00BA4408" w:rsidRDefault="00BA4408" w:rsidP="00BA4408">
      <w:pPr>
        <w:shd w:val="clear" w:color="auto" w:fill="FFFFFF"/>
        <w:spacing w:before="120"/>
        <w:jc w:val="both"/>
        <w:rPr>
          <w:rStyle w:val="tlid-translation"/>
          <w:rFonts w:ascii="Segoe UI" w:hAnsi="Segoe UI" w:cs="Segoe UI"/>
          <w:i/>
          <w:iCs/>
          <w:sz w:val="18"/>
          <w:szCs w:val="18"/>
          <w:lang w:val="en"/>
        </w:rPr>
      </w:pPr>
      <w:r>
        <w:rPr>
          <w:rStyle w:val="tlid-translation"/>
          <w:rFonts w:ascii="Segoe UI" w:hAnsi="Segoe UI" w:cs="Segoe UI"/>
          <w:i/>
          <w:iCs/>
          <w:sz w:val="18"/>
          <w:szCs w:val="18"/>
          <w:lang w:val="en"/>
        </w:rPr>
        <w:t>Example: If the bidder consists of a group of two members, the liquidity of the second level L2 is determined according to the following formula: L2 = [(A1 + A2) - (B1 + B2)] / (C1 + C2).</w:t>
      </w:r>
    </w:p>
    <w:p w14:paraId="67FBED69" w14:textId="77777777" w:rsidR="00BA4408" w:rsidRDefault="00BA4408" w:rsidP="00BA4408">
      <w:pPr>
        <w:pStyle w:val="FootnoteText"/>
      </w:pPr>
    </w:p>
  </w:footnote>
  <w:footnote w:id="2">
    <w:p w14:paraId="087EF2BE" w14:textId="77777777" w:rsidR="008F33B3" w:rsidRDefault="008F33B3" w:rsidP="008F33B3">
      <w:pPr>
        <w:shd w:val="clear" w:color="auto" w:fill="FFFFFF"/>
        <w:spacing w:before="120"/>
        <w:jc w:val="both"/>
        <w:rPr>
          <w:rStyle w:val="tlid-translation"/>
          <w:rFonts w:ascii="Segoe UI" w:hAnsi="Segoe UI" w:cs="Segoe UI"/>
          <w:sz w:val="18"/>
          <w:szCs w:val="18"/>
          <w:lang w:val="en"/>
        </w:rPr>
      </w:pPr>
      <w:r>
        <w:rPr>
          <w:rStyle w:val="FootnoteReference"/>
        </w:rPr>
        <w:footnoteRef/>
      </w:r>
      <w:r>
        <w:t xml:space="preserve"> </w:t>
      </w:r>
      <w:r>
        <w:rPr>
          <w:rStyle w:val="tlid-translation"/>
          <w:rFonts w:ascii="Segoe UI" w:hAnsi="Segoe UI" w:cs="Segoe UI"/>
          <w:sz w:val="18"/>
          <w:szCs w:val="18"/>
          <w:lang w:val="en"/>
        </w:rPr>
        <w:t>Note: In case of submission of a bid by a group of bidders for the purposes of weighting the bid, the joint timeliness of the group of bidders will be taken into account by entering items A, B, C and D of each group member in the formula and calculated for the group.</w:t>
      </w:r>
    </w:p>
    <w:p w14:paraId="09330558" w14:textId="77777777" w:rsidR="008F33B3" w:rsidRDefault="008F33B3" w:rsidP="008F33B3">
      <w:pPr>
        <w:shd w:val="clear" w:color="auto" w:fill="FFFFFF"/>
        <w:spacing w:before="120"/>
        <w:jc w:val="both"/>
        <w:rPr>
          <w:i/>
          <w:iCs/>
        </w:rPr>
      </w:pPr>
      <w:r>
        <w:rPr>
          <w:rStyle w:val="tlid-translation"/>
          <w:rFonts w:ascii="Segoe UI" w:hAnsi="Segoe UI" w:cs="Segoe UI"/>
          <w:i/>
          <w:iCs/>
          <w:sz w:val="18"/>
          <w:szCs w:val="18"/>
          <w:lang w:val="en"/>
        </w:rPr>
        <w:t>Example: If the bidder consists of a group of two members, the Update Coefficient (CA) is determined according to the following formula: CD=[(A1+A2+B1+B</w:t>
      </w:r>
      <w:proofErr w:type="gramStart"/>
      <w:r>
        <w:rPr>
          <w:rStyle w:val="tlid-translation"/>
          <w:rFonts w:ascii="Segoe UI" w:hAnsi="Segoe UI" w:cs="Segoe UI"/>
          <w:i/>
          <w:iCs/>
          <w:sz w:val="18"/>
          <w:szCs w:val="18"/>
          <w:lang w:val="en"/>
        </w:rPr>
        <w:t>2)*</w:t>
      </w:r>
      <w:proofErr w:type="gramEnd"/>
      <w:r>
        <w:rPr>
          <w:rStyle w:val="tlid-translation"/>
          <w:rFonts w:ascii="Segoe UI" w:hAnsi="Segoe UI" w:cs="Segoe UI"/>
          <w:i/>
          <w:iCs/>
          <w:sz w:val="18"/>
          <w:szCs w:val="18"/>
          <w:lang w:val="en"/>
        </w:rPr>
        <w:t>100]/(C1+C2+D1*D2).</w:t>
      </w:r>
    </w:p>
    <w:p w14:paraId="0560BBCB" w14:textId="77777777" w:rsidR="008F33B3" w:rsidRDefault="008F33B3" w:rsidP="008F33B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71D43"/>
    <w:multiLevelType w:val="hybridMultilevel"/>
    <w:tmpl w:val="07D6FDDE"/>
    <w:lvl w:ilvl="0" w:tplc="A746D7EA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9692C"/>
    <w:multiLevelType w:val="hybridMultilevel"/>
    <w:tmpl w:val="AB4AE54E"/>
    <w:lvl w:ilvl="0" w:tplc="503A520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B3"/>
    <w:rsid w:val="00026BDB"/>
    <w:rsid w:val="00572357"/>
    <w:rsid w:val="007C1A1D"/>
    <w:rsid w:val="00807F4C"/>
    <w:rsid w:val="008F33B3"/>
    <w:rsid w:val="00B41116"/>
    <w:rsid w:val="00BA4408"/>
    <w:rsid w:val="00D66A10"/>
    <w:rsid w:val="00E9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1B6A5"/>
  <w15:chartTrackingRefBased/>
  <w15:docId w15:val="{EDADBC24-D91E-4104-B840-771EFF35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3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,Bullets,References,123 List Paragraph,Celula,Normal 2,List Paragraph (numbered (a)),List_Paragraph,Multilevel para_II,Numbered List Paragraph,Numbered Paragraph,Main numbered paragraph,Left Bullet L1,Table/Figure Heading"/>
    <w:basedOn w:val="Normal"/>
    <w:link w:val="ListParagraphChar"/>
    <w:uiPriority w:val="34"/>
    <w:qFormat/>
    <w:rsid w:val="008F33B3"/>
    <w:pPr>
      <w:ind w:left="720"/>
      <w:contextualSpacing/>
    </w:pPr>
  </w:style>
  <w:style w:type="character" w:customStyle="1" w:styleId="ListParagraphChar">
    <w:name w:val="List Paragraph Char"/>
    <w:aliases w:val="Liste 1 Char,Bullets Char,References Char,123 List Paragraph Char,Celula Char,Normal 2 Char,List Paragraph (numbered (a)) Char,List_Paragraph Char,Multilevel para_II Char,Numbered List Paragraph Char,Numbered Paragraph Char"/>
    <w:basedOn w:val="DefaultParagraphFont"/>
    <w:link w:val="ListParagraph"/>
    <w:uiPriority w:val="34"/>
    <w:qFormat/>
    <w:locked/>
    <w:rsid w:val="008F33B3"/>
  </w:style>
  <w:style w:type="character" w:styleId="CommentReference">
    <w:name w:val="annotation reference"/>
    <w:basedOn w:val="DefaultParagraphFont"/>
    <w:uiPriority w:val="99"/>
    <w:semiHidden/>
    <w:unhideWhenUsed/>
    <w:rsid w:val="008F3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3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3B3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8F33B3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F33B3"/>
    <w:rPr>
      <w:rFonts w:ascii="CG Times" w:eastAsia="Times New Roman" w:hAnsi="CG Times" w:cs="Times New Roman"/>
      <w:sz w:val="24"/>
      <w:szCs w:val="20"/>
    </w:rPr>
  </w:style>
  <w:style w:type="paragraph" w:styleId="NoSpacing">
    <w:name w:val="No Spacing"/>
    <w:uiPriority w:val="1"/>
    <w:qFormat/>
    <w:rsid w:val="008F33B3"/>
    <w:pPr>
      <w:spacing w:after="0" w:line="240" w:lineRule="auto"/>
    </w:pPr>
    <w:rPr>
      <w:lang w:val="sr-Latn-RS"/>
    </w:rPr>
  </w:style>
  <w:style w:type="paragraph" w:customStyle="1" w:styleId="NoSpacing1">
    <w:name w:val="No Spacing1"/>
    <w:uiPriority w:val="1"/>
    <w:qFormat/>
    <w:rsid w:val="008F33B3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customStyle="1" w:styleId="Outline">
    <w:name w:val="Outline"/>
    <w:basedOn w:val="Normal"/>
    <w:rsid w:val="008F33B3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styleId="FootnoteReference">
    <w:name w:val="footnote reference"/>
    <w:basedOn w:val="DefaultParagraphFont"/>
    <w:semiHidden/>
    <w:unhideWhenUsed/>
    <w:rsid w:val="008F33B3"/>
    <w:rPr>
      <w:vertAlign w:val="superscript"/>
    </w:rPr>
  </w:style>
  <w:style w:type="character" w:customStyle="1" w:styleId="tlid-translation">
    <w:name w:val="tlid-translation"/>
    <w:basedOn w:val="DefaultParagraphFont"/>
    <w:rsid w:val="008F33B3"/>
  </w:style>
  <w:style w:type="table" w:styleId="TableGrid">
    <w:name w:val="Table Grid"/>
    <w:basedOn w:val="TableNormal"/>
    <w:uiPriority w:val="59"/>
    <w:rsid w:val="008F33B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Banduka</dc:creator>
  <cp:keywords/>
  <dc:description/>
  <cp:lastModifiedBy>Marjan Banduka</cp:lastModifiedBy>
  <cp:revision>4</cp:revision>
  <dcterms:created xsi:type="dcterms:W3CDTF">2020-06-25T11:29:00Z</dcterms:created>
  <dcterms:modified xsi:type="dcterms:W3CDTF">2020-06-25T12:15:00Z</dcterms:modified>
</cp:coreProperties>
</file>