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53CC2" w14:textId="77777777" w:rsidR="002845D0" w:rsidRPr="00FC2AE6" w:rsidRDefault="002845D0" w:rsidP="002845D0">
      <w:pPr>
        <w:spacing w:line="240" w:lineRule="auto"/>
        <w:jc w:val="center"/>
        <w:rPr>
          <w:rFonts w:asciiTheme="majorHAnsi" w:eastAsia="Century Gothic" w:hAnsiTheme="majorHAnsi" w:cstheme="majorHAnsi"/>
          <w:b/>
        </w:rPr>
      </w:pPr>
      <w:r w:rsidRPr="00FC2AE6">
        <w:rPr>
          <w:rFonts w:asciiTheme="majorHAnsi" w:eastAsia="Century Gothic" w:hAnsiTheme="majorHAnsi" w:cstheme="majorHAnsi"/>
          <w:b/>
        </w:rPr>
        <w:t xml:space="preserve">SOLICITUD DE PROPUESTA (SDP) </w:t>
      </w:r>
    </w:p>
    <w:p w14:paraId="40689A6B" w14:textId="77777777" w:rsidR="002845D0" w:rsidRPr="00FC2AE6" w:rsidRDefault="002845D0" w:rsidP="002845D0">
      <w:pPr>
        <w:spacing w:line="240" w:lineRule="auto"/>
        <w:jc w:val="center"/>
        <w:rPr>
          <w:rFonts w:asciiTheme="majorHAnsi" w:eastAsia="Century Gothic" w:hAnsiTheme="majorHAnsi" w:cstheme="majorHAnsi"/>
          <w:b/>
        </w:rPr>
      </w:pPr>
    </w:p>
    <w:p w14:paraId="07F8E0B4" w14:textId="77777777" w:rsidR="002845D0" w:rsidRPr="00375760" w:rsidRDefault="002845D0" w:rsidP="002845D0">
      <w:pPr>
        <w:spacing w:line="240" w:lineRule="auto"/>
        <w:jc w:val="center"/>
        <w:rPr>
          <w:rFonts w:asciiTheme="majorHAnsi" w:eastAsia="Calibri" w:hAnsiTheme="majorHAnsi" w:cstheme="majorHAnsi"/>
          <w:sz w:val="18"/>
          <w:szCs w:val="18"/>
        </w:rPr>
      </w:pPr>
      <w:r w:rsidRPr="00375760">
        <w:rPr>
          <w:rFonts w:asciiTheme="majorHAnsi" w:eastAsia="Century Gothic" w:hAnsiTheme="majorHAnsi" w:cstheme="majorHAnsi"/>
          <w:b/>
          <w:sz w:val="18"/>
          <w:szCs w:val="18"/>
        </w:rPr>
        <w:t>PROYECTO #</w:t>
      </w:r>
      <w:r w:rsidRPr="00375760">
        <w:rPr>
          <w:rFonts w:asciiTheme="majorHAnsi" w:eastAsia="Calibri" w:hAnsiTheme="majorHAnsi" w:cstheme="majorHAnsi"/>
          <w:b/>
          <w:sz w:val="18"/>
          <w:szCs w:val="18"/>
        </w:rPr>
        <w:t>00106945</w:t>
      </w:r>
      <w:r w:rsidRPr="00375760">
        <w:rPr>
          <w:rFonts w:asciiTheme="majorHAnsi" w:eastAsia="Calibri" w:hAnsiTheme="majorHAnsi" w:cstheme="majorHAnsi"/>
          <w:sz w:val="18"/>
          <w:szCs w:val="18"/>
        </w:rPr>
        <w:t xml:space="preserve"> – “Fortalecimiento de la capacidad de instituciones públicas, sector privado y sociedad civil de implementar las Contribuciones Nacionalmente Determinadas (NDCs) para los sectores AFOLU y energía”</w:t>
      </w:r>
    </w:p>
    <w:p w14:paraId="71D10718" w14:textId="77777777" w:rsidR="002845D0" w:rsidRPr="00FC2AE6" w:rsidRDefault="002845D0" w:rsidP="002845D0">
      <w:pPr>
        <w:spacing w:line="240" w:lineRule="auto"/>
        <w:jc w:val="center"/>
        <w:rPr>
          <w:rFonts w:asciiTheme="majorHAnsi" w:eastAsia="Century Gothic" w:hAnsiTheme="majorHAnsi" w:cstheme="majorHAnsi"/>
          <w:b/>
        </w:rPr>
      </w:pPr>
    </w:p>
    <w:p w14:paraId="4DEBB3AC" w14:textId="4409F127" w:rsidR="002845D0" w:rsidRPr="00FC2AE6" w:rsidRDefault="002845D0" w:rsidP="002845D0">
      <w:pPr>
        <w:spacing w:line="240" w:lineRule="auto"/>
        <w:jc w:val="center"/>
        <w:rPr>
          <w:rFonts w:asciiTheme="majorHAnsi" w:eastAsia="Century Gothic" w:hAnsiTheme="majorHAnsi" w:cstheme="majorHAnsi"/>
          <w:b/>
        </w:rPr>
      </w:pPr>
      <w:r w:rsidRPr="00FC2AE6">
        <w:rPr>
          <w:rFonts w:asciiTheme="majorHAnsi" w:eastAsia="Century Gothic" w:hAnsiTheme="majorHAnsi" w:cstheme="majorHAnsi"/>
          <w:b/>
        </w:rPr>
        <w:t>SDP-2020-</w:t>
      </w:r>
      <w:r w:rsidR="00EE4641" w:rsidRPr="00FC2AE6">
        <w:rPr>
          <w:rFonts w:asciiTheme="majorHAnsi" w:eastAsia="Century Gothic" w:hAnsiTheme="majorHAnsi" w:cstheme="majorHAnsi"/>
          <w:b/>
        </w:rPr>
        <w:t>019</w:t>
      </w:r>
    </w:p>
    <w:p w14:paraId="6658AC44" w14:textId="77777777" w:rsidR="002845D0" w:rsidRPr="005854D7" w:rsidRDefault="002845D0" w:rsidP="002845D0">
      <w:pPr>
        <w:spacing w:line="240" w:lineRule="auto"/>
        <w:jc w:val="center"/>
        <w:rPr>
          <w:rFonts w:asciiTheme="majorHAnsi" w:eastAsia="Century Gothic" w:hAnsiTheme="majorHAnsi" w:cstheme="majorHAnsi"/>
        </w:rPr>
      </w:pPr>
      <w:r w:rsidRPr="005854D7">
        <w:rPr>
          <w:rFonts w:asciiTheme="majorHAnsi" w:eastAsia="Century Gothic" w:hAnsiTheme="majorHAnsi" w:cstheme="majorHAnsi"/>
          <w:b/>
        </w:rPr>
        <w:t>“</w:t>
      </w:r>
      <w:r w:rsidRPr="005854D7">
        <w:rPr>
          <w:rFonts w:asciiTheme="majorHAnsi" w:eastAsia="Century Gothic" w:hAnsiTheme="majorHAnsi" w:cstheme="majorHAnsi"/>
          <w:b/>
          <w:i/>
        </w:rPr>
        <w:t xml:space="preserve">Consultoría para integrar un módulo de ciclo de vida en el SINAMECC e integración de </w:t>
      </w:r>
      <w:proofErr w:type="spellStart"/>
      <w:r w:rsidRPr="005854D7">
        <w:rPr>
          <w:rFonts w:asciiTheme="majorHAnsi" w:eastAsia="Century Gothic" w:hAnsiTheme="majorHAnsi" w:cstheme="majorHAnsi"/>
          <w:b/>
          <w:i/>
        </w:rPr>
        <w:t>co-beneficios</w:t>
      </w:r>
      <w:proofErr w:type="spellEnd"/>
      <w:r w:rsidRPr="005854D7">
        <w:rPr>
          <w:rFonts w:asciiTheme="majorHAnsi" w:eastAsia="Century Gothic" w:hAnsiTheme="majorHAnsi" w:cstheme="majorHAnsi"/>
          <w:b/>
          <w:i/>
        </w:rPr>
        <w:t xml:space="preserve"> en registro de acciones de mitigación”.</w:t>
      </w:r>
    </w:p>
    <w:p w14:paraId="090C80D4" w14:textId="77777777" w:rsidR="002845D0" w:rsidRPr="00A92968" w:rsidRDefault="002845D0" w:rsidP="002845D0">
      <w:pPr>
        <w:spacing w:line="240" w:lineRule="auto"/>
        <w:jc w:val="center"/>
        <w:rPr>
          <w:rFonts w:asciiTheme="majorHAnsi" w:eastAsia="Century Gothic" w:hAnsiTheme="majorHAnsi" w:cstheme="majorHAnsi"/>
          <w:b/>
        </w:rPr>
      </w:pPr>
    </w:p>
    <w:p w14:paraId="3FB705AE" w14:textId="04BB0D33" w:rsidR="002845D0" w:rsidRPr="00A92968" w:rsidRDefault="002845D0" w:rsidP="002845D0">
      <w:pPr>
        <w:spacing w:line="240" w:lineRule="auto"/>
        <w:jc w:val="right"/>
        <w:rPr>
          <w:rFonts w:asciiTheme="majorHAnsi" w:eastAsia="Century Gothic" w:hAnsiTheme="majorHAnsi" w:cstheme="majorHAnsi"/>
          <w:color w:val="FF0000"/>
        </w:rPr>
      </w:pPr>
      <w:r w:rsidRPr="00A92968">
        <w:rPr>
          <w:rFonts w:asciiTheme="majorHAnsi" w:eastAsia="Century Gothic" w:hAnsiTheme="majorHAnsi" w:cstheme="majorHAnsi"/>
        </w:rPr>
        <w:t xml:space="preserve">San José, </w:t>
      </w:r>
      <w:r w:rsidR="00456D08" w:rsidRPr="00A92968">
        <w:rPr>
          <w:rFonts w:asciiTheme="majorHAnsi" w:eastAsia="Century Gothic" w:hAnsiTheme="majorHAnsi" w:cstheme="majorHAnsi"/>
        </w:rPr>
        <w:t>0</w:t>
      </w:r>
      <w:r w:rsidR="00A92968" w:rsidRPr="00A92968">
        <w:rPr>
          <w:rFonts w:asciiTheme="majorHAnsi" w:eastAsia="Century Gothic" w:hAnsiTheme="majorHAnsi" w:cstheme="majorHAnsi"/>
        </w:rPr>
        <w:t>7</w:t>
      </w:r>
      <w:r w:rsidRPr="00A92968">
        <w:rPr>
          <w:rFonts w:asciiTheme="majorHAnsi" w:eastAsia="Century Gothic" w:hAnsiTheme="majorHAnsi" w:cstheme="majorHAnsi"/>
        </w:rPr>
        <w:t xml:space="preserve"> de </w:t>
      </w:r>
      <w:r w:rsidR="00456D08" w:rsidRPr="00A92968">
        <w:rPr>
          <w:rFonts w:asciiTheme="majorHAnsi" w:eastAsia="Century Gothic" w:hAnsiTheme="majorHAnsi" w:cstheme="majorHAnsi"/>
        </w:rPr>
        <w:t>setiembre</w:t>
      </w:r>
      <w:r w:rsidRPr="00A92968">
        <w:rPr>
          <w:rFonts w:asciiTheme="majorHAnsi" w:eastAsia="Century Gothic" w:hAnsiTheme="majorHAnsi" w:cstheme="majorHAnsi"/>
        </w:rPr>
        <w:t xml:space="preserve"> 2020</w:t>
      </w:r>
    </w:p>
    <w:p w14:paraId="6B61B4AE" w14:textId="77777777" w:rsidR="002845D0" w:rsidRPr="00A92968" w:rsidRDefault="002845D0" w:rsidP="002845D0">
      <w:pPr>
        <w:spacing w:line="240" w:lineRule="auto"/>
        <w:rPr>
          <w:rFonts w:asciiTheme="majorHAnsi" w:eastAsia="Century Gothic" w:hAnsiTheme="majorHAnsi" w:cstheme="majorHAnsi"/>
        </w:rPr>
      </w:pPr>
    </w:p>
    <w:p w14:paraId="1E5D7A90" w14:textId="77777777" w:rsidR="002845D0" w:rsidRPr="00A92968" w:rsidRDefault="002845D0" w:rsidP="002845D0">
      <w:pPr>
        <w:spacing w:line="240" w:lineRule="auto"/>
        <w:rPr>
          <w:rFonts w:asciiTheme="majorHAnsi" w:eastAsia="Century Gothic" w:hAnsiTheme="majorHAnsi" w:cstheme="majorHAnsi"/>
        </w:rPr>
      </w:pPr>
      <w:r w:rsidRPr="00A92968">
        <w:rPr>
          <w:rFonts w:asciiTheme="majorHAnsi" w:eastAsia="Century Gothic" w:hAnsiTheme="majorHAnsi" w:cstheme="majorHAnsi"/>
        </w:rPr>
        <w:t>Estimado señor/Estimada señora:</w:t>
      </w:r>
    </w:p>
    <w:p w14:paraId="0333A9D4" w14:textId="77777777" w:rsidR="002845D0" w:rsidRPr="00A92968" w:rsidRDefault="002845D0" w:rsidP="002845D0">
      <w:pPr>
        <w:spacing w:line="240" w:lineRule="auto"/>
        <w:rPr>
          <w:rFonts w:asciiTheme="majorHAnsi" w:eastAsia="Century Gothic" w:hAnsiTheme="majorHAnsi" w:cstheme="majorHAnsi"/>
        </w:rPr>
      </w:pPr>
    </w:p>
    <w:p w14:paraId="7006D060" w14:textId="4B42F3DE" w:rsidR="002845D0" w:rsidRPr="005854D7" w:rsidRDefault="002845D0" w:rsidP="002845D0">
      <w:pPr>
        <w:spacing w:line="240" w:lineRule="auto"/>
        <w:jc w:val="both"/>
        <w:rPr>
          <w:rFonts w:asciiTheme="majorHAnsi" w:eastAsia="Century Gothic" w:hAnsiTheme="majorHAnsi" w:cstheme="majorHAnsi"/>
          <w:highlight w:val="cyan"/>
        </w:rPr>
      </w:pPr>
      <w:r w:rsidRPr="00A92968">
        <w:rPr>
          <w:rFonts w:asciiTheme="majorHAnsi" w:eastAsia="Century Gothic" w:hAnsiTheme="majorHAnsi" w:cstheme="majorHAnsi"/>
        </w:rPr>
        <w:t>Nos es grato dirigirnos a usted a fin de solicitarle la presentación de una Propuesta para la provisión de servicios de</w:t>
      </w:r>
      <w:r w:rsidR="00A92968">
        <w:rPr>
          <w:rFonts w:asciiTheme="majorHAnsi" w:eastAsia="Century Gothic" w:hAnsiTheme="majorHAnsi" w:cstheme="majorHAnsi"/>
        </w:rPr>
        <w:t xml:space="preserve"> </w:t>
      </w:r>
      <w:r w:rsidRPr="00A92968">
        <w:rPr>
          <w:rFonts w:asciiTheme="majorHAnsi" w:eastAsia="Century Gothic" w:hAnsiTheme="majorHAnsi" w:cstheme="majorHAnsi"/>
          <w:b/>
          <w:i/>
        </w:rPr>
        <w:t>“</w:t>
      </w:r>
      <w:r w:rsidRPr="005854D7">
        <w:rPr>
          <w:rFonts w:asciiTheme="majorHAnsi" w:eastAsia="Century Gothic" w:hAnsiTheme="majorHAnsi" w:cstheme="majorHAnsi"/>
          <w:b/>
          <w:i/>
        </w:rPr>
        <w:t xml:space="preserve">Consultoría para integrar un módulo de ciclo de vida en el SINAMECC e integración de </w:t>
      </w:r>
      <w:proofErr w:type="spellStart"/>
      <w:r w:rsidRPr="005854D7">
        <w:rPr>
          <w:rFonts w:asciiTheme="majorHAnsi" w:eastAsia="Century Gothic" w:hAnsiTheme="majorHAnsi" w:cstheme="majorHAnsi"/>
          <w:b/>
          <w:i/>
        </w:rPr>
        <w:t>co-beneficios</w:t>
      </w:r>
      <w:proofErr w:type="spellEnd"/>
      <w:r w:rsidRPr="005854D7">
        <w:rPr>
          <w:rFonts w:asciiTheme="majorHAnsi" w:eastAsia="Century Gothic" w:hAnsiTheme="majorHAnsi" w:cstheme="majorHAnsi"/>
          <w:b/>
          <w:i/>
        </w:rPr>
        <w:t xml:space="preserve"> en registro de acciones de mitigación”.</w:t>
      </w:r>
    </w:p>
    <w:p w14:paraId="5074F314" w14:textId="77777777" w:rsidR="002845D0" w:rsidRPr="00A92968" w:rsidRDefault="002845D0" w:rsidP="002845D0">
      <w:pPr>
        <w:spacing w:line="240" w:lineRule="auto"/>
        <w:jc w:val="both"/>
        <w:rPr>
          <w:rFonts w:asciiTheme="majorHAnsi" w:eastAsia="Century Gothic" w:hAnsiTheme="majorHAnsi" w:cstheme="majorHAnsi"/>
        </w:rPr>
      </w:pPr>
    </w:p>
    <w:p w14:paraId="319E2EF1" w14:textId="77777777" w:rsidR="002845D0" w:rsidRPr="00A92968" w:rsidRDefault="002845D0" w:rsidP="002845D0">
      <w:pPr>
        <w:spacing w:line="240" w:lineRule="auto"/>
        <w:rPr>
          <w:rFonts w:asciiTheme="majorHAnsi" w:eastAsia="Century Gothic" w:hAnsiTheme="majorHAnsi" w:cstheme="majorHAnsi"/>
        </w:rPr>
      </w:pPr>
      <w:r w:rsidRPr="00A92968">
        <w:rPr>
          <w:rFonts w:asciiTheme="majorHAnsi" w:eastAsia="Century Gothic" w:hAnsiTheme="majorHAnsi" w:cstheme="majorHAnsi"/>
        </w:rPr>
        <w:t xml:space="preserve">En la preparación de su Propuesta le rogamos utilice y rellene el formulario adjunto en el Anexo 2. </w:t>
      </w:r>
    </w:p>
    <w:p w14:paraId="1C7BA3E0" w14:textId="77777777" w:rsidR="002845D0" w:rsidRPr="00A92968" w:rsidRDefault="002845D0" w:rsidP="002845D0">
      <w:pPr>
        <w:spacing w:line="240" w:lineRule="auto"/>
        <w:ind w:firstLine="720"/>
        <w:rPr>
          <w:rFonts w:asciiTheme="majorHAnsi" w:eastAsia="Century Gothic" w:hAnsiTheme="majorHAnsi" w:cstheme="majorHAnsi"/>
        </w:rPr>
      </w:pPr>
    </w:p>
    <w:p w14:paraId="4E4A976C" w14:textId="0B22A5E5" w:rsidR="002845D0" w:rsidRPr="00FC2AE6" w:rsidRDefault="002845D0" w:rsidP="002845D0">
      <w:pPr>
        <w:spacing w:line="240" w:lineRule="auto"/>
        <w:jc w:val="both"/>
        <w:rPr>
          <w:rFonts w:asciiTheme="majorHAnsi" w:eastAsia="Century Gothic" w:hAnsiTheme="majorHAnsi" w:cstheme="majorHAnsi"/>
          <w:b/>
          <w:i/>
          <w:color w:val="FF0000"/>
        </w:rPr>
      </w:pPr>
      <w:r w:rsidRPr="00A92968">
        <w:rPr>
          <w:rFonts w:asciiTheme="majorHAnsi" w:eastAsia="Century Gothic" w:hAnsiTheme="majorHAnsi" w:cstheme="majorHAnsi"/>
        </w:rPr>
        <w:t xml:space="preserve">Su Propuesta deberá ser presentada hasta el </w:t>
      </w:r>
      <w:proofErr w:type="gramStart"/>
      <w:r w:rsidRPr="00A92968">
        <w:rPr>
          <w:rFonts w:asciiTheme="majorHAnsi" w:eastAsia="Century Gothic" w:hAnsiTheme="majorHAnsi" w:cstheme="majorHAnsi"/>
        </w:rPr>
        <w:t>día Lunes</w:t>
      </w:r>
      <w:proofErr w:type="gramEnd"/>
      <w:r w:rsidRPr="00A92968">
        <w:rPr>
          <w:rFonts w:asciiTheme="majorHAnsi" w:eastAsia="Century Gothic" w:hAnsiTheme="majorHAnsi" w:cstheme="majorHAnsi"/>
        </w:rPr>
        <w:t xml:space="preserve"> </w:t>
      </w:r>
      <w:r w:rsidR="00A92968" w:rsidRPr="00A92968">
        <w:rPr>
          <w:rFonts w:asciiTheme="majorHAnsi" w:eastAsia="Century Gothic" w:hAnsiTheme="majorHAnsi" w:cstheme="majorHAnsi"/>
          <w:b/>
          <w:i/>
        </w:rPr>
        <w:t xml:space="preserve">22 </w:t>
      </w:r>
      <w:r w:rsidRPr="00A92968">
        <w:rPr>
          <w:rFonts w:asciiTheme="majorHAnsi" w:eastAsia="Century Gothic" w:hAnsiTheme="majorHAnsi" w:cstheme="majorHAnsi"/>
          <w:b/>
          <w:i/>
        </w:rPr>
        <w:t xml:space="preserve">de septiembre de 2020 hasta las 11:00 a.m. hora de Costa Rica </w:t>
      </w:r>
      <w:r w:rsidRPr="00A92968">
        <w:rPr>
          <w:rFonts w:asciiTheme="majorHAnsi" w:eastAsia="Century Gothic" w:hAnsiTheme="majorHAnsi" w:cstheme="majorHAnsi"/>
        </w:rPr>
        <w:t xml:space="preserve">por correo electrónico a través del email: </w:t>
      </w:r>
      <w:hyperlink r:id="rId11" w:history="1">
        <w:r w:rsidR="003004D2" w:rsidRPr="00FC2AE6">
          <w:rPr>
            <w:rStyle w:val="Hipervnculo"/>
            <w:rFonts w:asciiTheme="majorHAnsi" w:eastAsia="Century Gothic" w:hAnsiTheme="majorHAnsi" w:cstheme="majorHAnsi"/>
          </w:rPr>
          <w:t>adquisiciones.cr@undp.org</w:t>
        </w:r>
      </w:hyperlink>
      <w:r w:rsidR="003004D2" w:rsidRPr="00FC2AE6">
        <w:rPr>
          <w:rFonts w:asciiTheme="majorHAnsi" w:eastAsia="Century Gothic" w:hAnsiTheme="majorHAnsi" w:cstheme="majorHAnsi"/>
        </w:rPr>
        <w:t xml:space="preserve"> </w:t>
      </w:r>
    </w:p>
    <w:p w14:paraId="1E9FFC47" w14:textId="77777777" w:rsidR="002845D0" w:rsidRPr="00A92968" w:rsidRDefault="002845D0" w:rsidP="002845D0">
      <w:pPr>
        <w:spacing w:line="240" w:lineRule="auto"/>
        <w:jc w:val="center"/>
        <w:rPr>
          <w:rFonts w:asciiTheme="majorHAnsi" w:eastAsia="Century Gothic" w:hAnsiTheme="majorHAnsi" w:cstheme="majorHAnsi"/>
          <w:b/>
          <w:i/>
          <w:color w:val="FF0000"/>
        </w:rPr>
      </w:pPr>
    </w:p>
    <w:p w14:paraId="7A9DF4CC" w14:textId="7F1CF8C3" w:rsidR="002845D0" w:rsidRPr="00FC2AE6"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 xml:space="preserve">Su Propuesta deberá estar redactada en </w:t>
      </w:r>
      <w:r w:rsidRPr="00511367">
        <w:rPr>
          <w:rFonts w:asciiTheme="majorHAnsi" w:eastAsia="Century Gothic" w:hAnsiTheme="majorHAnsi" w:cstheme="majorHAnsi"/>
          <w:b/>
          <w:i/>
        </w:rPr>
        <w:t>español,</w:t>
      </w:r>
      <w:r w:rsidRPr="00511367">
        <w:rPr>
          <w:rFonts w:asciiTheme="majorHAnsi" w:eastAsia="Century Gothic" w:hAnsiTheme="majorHAnsi" w:cstheme="majorHAnsi"/>
        </w:rPr>
        <w:t xml:space="preserve"> y será válida por un periodo mínimo de </w:t>
      </w:r>
      <w:r w:rsidR="006203F3" w:rsidRPr="005854D7">
        <w:rPr>
          <w:rFonts w:asciiTheme="majorHAnsi" w:eastAsia="Century Gothic" w:hAnsiTheme="majorHAnsi" w:cstheme="majorHAnsi"/>
          <w:b/>
          <w:i/>
        </w:rPr>
        <w:t>90 días</w:t>
      </w:r>
    </w:p>
    <w:p w14:paraId="18C5417B" w14:textId="77777777" w:rsidR="002845D0" w:rsidRPr="00A92968" w:rsidRDefault="002845D0" w:rsidP="002845D0">
      <w:pPr>
        <w:spacing w:line="240" w:lineRule="auto"/>
        <w:jc w:val="both"/>
        <w:rPr>
          <w:rFonts w:asciiTheme="majorHAnsi" w:eastAsia="Century Gothic" w:hAnsiTheme="majorHAnsi" w:cstheme="majorHAnsi"/>
        </w:rPr>
      </w:pPr>
    </w:p>
    <w:p w14:paraId="626DB977" w14:textId="77777777"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 xml:space="preserve">En el curso de la preparación de la Propuesta, será responsabilidad de usted asegurarse de que llegue a la dirección antes mencionada en la fecha límite o con anterioridad a dicha fecha. Las propuestas recibidas por el PNUD fuera del plazo indicado, por cualquier razón, no serán tomadas en consideración. Si presenta su Propuesta por correo electrónico, le rogamos se asegure de que está debidamente firmada y salvaguardada en formato </w:t>
      </w:r>
      <w:proofErr w:type="spellStart"/>
      <w:r w:rsidRPr="00511367">
        <w:rPr>
          <w:rFonts w:asciiTheme="majorHAnsi" w:eastAsia="Century Gothic" w:hAnsiTheme="majorHAnsi" w:cstheme="majorHAnsi"/>
        </w:rPr>
        <w:t>pdf</w:t>
      </w:r>
      <w:proofErr w:type="spellEnd"/>
      <w:r w:rsidRPr="00511367">
        <w:rPr>
          <w:rFonts w:asciiTheme="majorHAnsi" w:eastAsia="Century Gothic" w:hAnsiTheme="majorHAnsi" w:cstheme="majorHAnsi"/>
        </w:rPr>
        <w:t>, libre de cualquier tipo de virus o archivos dañados.</w:t>
      </w:r>
      <w:r w:rsidRPr="00511367">
        <w:rPr>
          <w:rFonts w:asciiTheme="majorHAnsi" w:eastAsia="Century Gothic" w:hAnsiTheme="majorHAnsi" w:cstheme="majorHAnsi"/>
        </w:rPr>
        <w:br/>
      </w:r>
      <w:r w:rsidRPr="00511367">
        <w:rPr>
          <w:rFonts w:asciiTheme="majorHAnsi" w:eastAsia="Century Gothic" w:hAnsiTheme="majorHAnsi" w:cstheme="majorHAnsi"/>
        </w:rPr>
        <w:br/>
        <w:t xml:space="preserve">Los servicios propuestos serán revisados </w:t>
      </w:r>
      <w:r w:rsidRPr="00511367">
        <w:rPr>
          <w:rFonts w:asciiTheme="majorHAnsi" w:hAnsiTheme="majorHAnsi" w:cstheme="majorHAnsi"/>
        </w:rPr>
        <w:t>​​</w:t>
      </w:r>
      <w:r w:rsidRPr="00511367">
        <w:rPr>
          <w:rFonts w:asciiTheme="majorHAnsi" w:eastAsia="Century Gothic" w:hAnsiTheme="majorHAnsi" w:cstheme="majorHAnsi"/>
        </w:rPr>
        <w:t>y evaluados en base a su integridad y ajuste a la Propuesta, y en su capacidad de respuesta a los requisitos de la SdP y todos los restantes anexos que detallan los requisitos del PNUD.</w:t>
      </w:r>
    </w:p>
    <w:p w14:paraId="2670E366" w14:textId="77777777"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br/>
        <w:t>La Propuesta que cumpla con todos los requisitos, se ajuste a todos los criterios de evaluación y ofrezca una mejor relación calidad-precio será seleccionada y se le adjudicará el Contrato. Toda oferta que no cumpla con los requisitos será rechazada.</w:t>
      </w:r>
    </w:p>
    <w:p w14:paraId="53D07960" w14:textId="77777777"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br/>
        <w:t>Si hubiera una discrepancia entre el precio unitario y el precio total, el PNUD procederá a realizar un nuevo cálculo, en el cual prevalecerá el precio unitario, y corregirá en consecuencia el precio total. Si el Proveedor de Servicios no acepta el precio final determinado por el PNUD sobre la base de su nuevo cálculo y corrección de errores, su Propuesta será rechazada.</w:t>
      </w:r>
    </w:p>
    <w:p w14:paraId="7FCD2FFD" w14:textId="77777777"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br/>
        <w:t>Una vez recibida la Propuesta, el PNUD no aceptará ninguna variación de precios resultante de aumento de precios, inflación, fluctuación de los tipos de cambio o cualquier otro factor de mercado. En el momento de la Adjudicación del Contrato u Orden de Compra, el PNUD se reserva el derecho de modificar (aumentar o disminuir) la cantidad de servicios y/o bienes, hasta un máximo de un veinticinco por ciento (25%) de la oferta total, sin cambios en el precio unitario ni en las restantes condiciones.</w:t>
      </w:r>
      <w:r w:rsidRPr="00511367">
        <w:rPr>
          <w:rFonts w:asciiTheme="majorHAnsi" w:eastAsia="Century Gothic" w:hAnsiTheme="majorHAnsi" w:cstheme="majorHAnsi"/>
        </w:rPr>
        <w:br/>
      </w:r>
      <w:r w:rsidRPr="00511367">
        <w:rPr>
          <w:rFonts w:asciiTheme="majorHAnsi" w:eastAsia="Century Gothic" w:hAnsiTheme="majorHAnsi" w:cstheme="majorHAnsi"/>
        </w:rPr>
        <w:br/>
        <w:t xml:space="preserve">Todo Contrato u Orden de Compra emitido como resultado de esta SdP estará sujeto a las Condiciones </w:t>
      </w:r>
      <w:r w:rsidRPr="00511367">
        <w:rPr>
          <w:rFonts w:asciiTheme="majorHAnsi" w:eastAsia="Century Gothic" w:hAnsiTheme="majorHAnsi" w:cstheme="majorHAnsi"/>
        </w:rPr>
        <w:lastRenderedPageBreak/>
        <w:t>Generales que se adjuntan al presente documento. El mero acto de presentación de una Propuesta implica que el Proveedor de Servicios acepta sin reparos los Términos y Condiciones Generales del PNUD, que se indican en el Anexo 3 de la presente SdP.</w:t>
      </w:r>
    </w:p>
    <w:p w14:paraId="7DB6EE20" w14:textId="77777777"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br/>
        <w:t>Rogamos tener en cuenta que el PNUD no está obligado a aceptar ninguna propuesta, ni a adjudicar ningún contrato u orden de compra. Tampoco se hace responsable de los costos asociados a la preparación y presentación de las propuestas por parte de los contratistas de servicios, con independencia de los efectos o la manera de llevar a cabo el proceso de selección.</w:t>
      </w:r>
    </w:p>
    <w:p w14:paraId="6DDA2D25" w14:textId="77777777"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br/>
        <w:t xml:space="preserve">El procedimiento de reclamo para proveedores establecido por el PNUD tiene por objeto ofrecer la oportunidad de apelar a aquellas personas o empresas a las que no se les haya adjudicado una orden de compra o contrato en el marco de un proceso de contratación competitivo. Si usted considera que no ha sido tratado con equidad, puede encontrar información detallada sobre los procedimientos de reclamo en el siguiente enlace: </w:t>
      </w:r>
    </w:p>
    <w:p w14:paraId="6602D774" w14:textId="77777777" w:rsidR="002845D0" w:rsidRPr="00FC2AE6" w:rsidRDefault="00263528" w:rsidP="002845D0">
      <w:pPr>
        <w:spacing w:line="240" w:lineRule="auto"/>
        <w:jc w:val="both"/>
        <w:rPr>
          <w:rFonts w:asciiTheme="majorHAnsi" w:eastAsia="Century Gothic" w:hAnsiTheme="majorHAnsi" w:cstheme="majorHAnsi"/>
        </w:rPr>
      </w:pPr>
      <w:hyperlink r:id="rId12">
        <w:r w:rsidR="002845D0" w:rsidRPr="005854D7">
          <w:rPr>
            <w:rFonts w:asciiTheme="majorHAnsi" w:eastAsia="Century Gothic" w:hAnsiTheme="majorHAnsi" w:cstheme="majorHAnsi"/>
            <w:color w:val="0000FF"/>
            <w:u w:val="single"/>
          </w:rPr>
          <w:t>http://www.undp.org/content/undp/en/home/operations/procurement/protestandsanctions/</w:t>
        </w:r>
      </w:hyperlink>
    </w:p>
    <w:p w14:paraId="16107674" w14:textId="77777777" w:rsidR="002845D0" w:rsidRPr="00511367" w:rsidRDefault="002845D0" w:rsidP="002845D0">
      <w:pPr>
        <w:spacing w:line="240" w:lineRule="auto"/>
        <w:jc w:val="both"/>
        <w:rPr>
          <w:rFonts w:asciiTheme="majorHAnsi" w:eastAsia="Century Gothic" w:hAnsiTheme="majorHAnsi" w:cstheme="majorHAnsi"/>
        </w:rPr>
      </w:pPr>
      <w:r w:rsidRPr="00A92968">
        <w:rPr>
          <w:rFonts w:asciiTheme="majorHAnsi" w:eastAsia="Century Gothic" w:hAnsiTheme="majorHAnsi" w:cstheme="majorHAnsi"/>
        </w:rPr>
        <w:br/>
        <w:t>El PNUD insta a todos los potenciales contratistas de servicios a prevenir y evitar los conflictos de intereses, informando al PNUD si ellos o cualquiera de sus filiales o miembros de su personal han participado en la preparación de los requis</w:t>
      </w:r>
      <w:r w:rsidRPr="00511367">
        <w:rPr>
          <w:rFonts w:asciiTheme="majorHAnsi" w:eastAsia="Century Gothic" w:hAnsiTheme="majorHAnsi" w:cstheme="majorHAnsi"/>
        </w:rPr>
        <w:t>itos, el diseño, la estimación de costos o cualquier otra información utilizada en este SdP.</w:t>
      </w:r>
    </w:p>
    <w:p w14:paraId="109CF68B" w14:textId="77777777" w:rsidR="002845D0" w:rsidRPr="00FC2AE6"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br/>
        <w:t xml:space="preserve">El PNUD practica una política de tolerancia cero ante el fraude y otras prácticas prohibidas, y está resuelto a impedir, identificar y abordar todos los actos y prácticas de este tipo contra el propio PNUD o contra terceros participantes en actividades del PNUD. Asimismo, espera que sus contratistas de servicios se adhieran al Código de Conducta de los Contratistas de las Naciones Unidas, que se puede consultar en este enlace: </w:t>
      </w:r>
      <w:hyperlink r:id="rId13">
        <w:r w:rsidRPr="005854D7">
          <w:rPr>
            <w:rFonts w:asciiTheme="majorHAnsi" w:eastAsia="Century Gothic" w:hAnsiTheme="majorHAnsi" w:cstheme="majorHAnsi"/>
            <w:color w:val="0000FF"/>
            <w:u w:val="single"/>
          </w:rPr>
          <w:t>http://www.un.org/depts/ptd/pdf/conduct_english.pdf</w:t>
        </w:r>
      </w:hyperlink>
    </w:p>
    <w:p w14:paraId="10AD3223" w14:textId="77777777" w:rsidR="00FC532E" w:rsidRPr="00A92968" w:rsidRDefault="00FC532E" w:rsidP="002845D0">
      <w:pPr>
        <w:spacing w:line="240" w:lineRule="auto"/>
        <w:rPr>
          <w:rFonts w:asciiTheme="majorHAnsi" w:eastAsia="Century Gothic" w:hAnsiTheme="majorHAnsi" w:cstheme="majorHAnsi"/>
        </w:rPr>
      </w:pPr>
    </w:p>
    <w:p w14:paraId="5F6924CE" w14:textId="77777777" w:rsidR="00FC532E" w:rsidRPr="00511367" w:rsidRDefault="00FC532E" w:rsidP="00FC532E">
      <w:pPr>
        <w:jc w:val="both"/>
        <w:rPr>
          <w:rFonts w:asciiTheme="majorHAnsi" w:hAnsiTheme="majorHAnsi" w:cstheme="majorHAnsi"/>
          <w:b/>
          <w:bCs/>
          <w:color w:val="000000"/>
        </w:rPr>
      </w:pPr>
      <w:r w:rsidRPr="00511367">
        <w:rPr>
          <w:rFonts w:asciiTheme="majorHAnsi" w:eastAsia="Cambria" w:hAnsiTheme="majorHAnsi" w:cstheme="majorHAnsi"/>
          <w:b/>
          <w:bCs/>
          <w:color w:val="000000" w:themeColor="text1"/>
        </w:rPr>
        <w:t>El PNUD rechaza la violencia contra las mujeres, así como el hostigamiento sexual y la explotación sexual en cualquier de sus formas, por lo que las personas colaboradoras deben mostrar una historia intachable al respecto</w:t>
      </w:r>
      <w:r w:rsidRPr="00511367">
        <w:rPr>
          <w:rFonts w:asciiTheme="majorHAnsi" w:hAnsiTheme="majorHAnsi" w:cstheme="majorHAnsi"/>
          <w:b/>
          <w:bCs/>
          <w:color w:val="000000" w:themeColor="text1"/>
        </w:rPr>
        <w:t xml:space="preserve">. </w:t>
      </w:r>
    </w:p>
    <w:p w14:paraId="70AAE106" w14:textId="2E4B0FE3" w:rsidR="002845D0" w:rsidRPr="00511367" w:rsidRDefault="002845D0" w:rsidP="002845D0">
      <w:pPr>
        <w:spacing w:line="240" w:lineRule="auto"/>
        <w:rPr>
          <w:rFonts w:asciiTheme="majorHAnsi" w:eastAsia="Century Gothic" w:hAnsiTheme="majorHAnsi" w:cstheme="majorHAnsi"/>
        </w:rPr>
      </w:pPr>
      <w:r w:rsidRPr="00511367">
        <w:rPr>
          <w:rFonts w:asciiTheme="majorHAnsi" w:eastAsia="Century Gothic" w:hAnsiTheme="majorHAnsi" w:cstheme="majorHAnsi"/>
        </w:rPr>
        <w:br/>
        <w:t>Le agradecemos su atención y quedamos a la espera de sus propuestas.</w:t>
      </w:r>
    </w:p>
    <w:p w14:paraId="66879BAA" w14:textId="77777777" w:rsidR="002845D0" w:rsidRPr="00511367" w:rsidRDefault="002845D0" w:rsidP="002845D0">
      <w:pPr>
        <w:spacing w:line="240" w:lineRule="auto"/>
        <w:jc w:val="both"/>
        <w:rPr>
          <w:rFonts w:asciiTheme="majorHAnsi" w:eastAsia="Century Gothic" w:hAnsiTheme="majorHAnsi" w:cstheme="majorHAnsi"/>
        </w:rPr>
      </w:pPr>
    </w:p>
    <w:p w14:paraId="7B6BA597" w14:textId="77777777" w:rsidR="002845D0" w:rsidRPr="00511367" w:rsidRDefault="002845D0" w:rsidP="002845D0">
      <w:pPr>
        <w:spacing w:line="240" w:lineRule="auto"/>
        <w:ind w:left="5040" w:firstLine="720"/>
        <w:jc w:val="both"/>
        <w:rPr>
          <w:rFonts w:asciiTheme="majorHAnsi" w:eastAsia="Century Gothic" w:hAnsiTheme="majorHAnsi" w:cstheme="majorHAnsi"/>
        </w:rPr>
      </w:pPr>
      <w:r w:rsidRPr="00511367">
        <w:rPr>
          <w:rFonts w:asciiTheme="majorHAnsi" w:eastAsia="Century Gothic" w:hAnsiTheme="majorHAnsi" w:cstheme="majorHAnsi"/>
        </w:rPr>
        <w:t>Atentamente le saluda,</w:t>
      </w:r>
    </w:p>
    <w:p w14:paraId="6BBC9414" w14:textId="77777777" w:rsidR="002845D0" w:rsidRPr="00511367" w:rsidRDefault="002845D0" w:rsidP="002845D0">
      <w:pPr>
        <w:spacing w:line="240" w:lineRule="auto"/>
        <w:rPr>
          <w:rFonts w:asciiTheme="majorHAnsi" w:eastAsia="Century Gothic" w:hAnsiTheme="majorHAnsi" w:cstheme="majorHAnsi"/>
          <w:i/>
          <w:color w:val="FF0000"/>
        </w:rPr>
      </w:pPr>
    </w:p>
    <w:p w14:paraId="29193C34" w14:textId="77777777" w:rsidR="00B605D6" w:rsidRPr="00511367" w:rsidRDefault="00B605D6" w:rsidP="002845D0">
      <w:pPr>
        <w:spacing w:line="240" w:lineRule="auto"/>
        <w:jc w:val="right"/>
        <w:rPr>
          <w:rFonts w:asciiTheme="majorHAnsi" w:eastAsia="Century Gothic" w:hAnsiTheme="majorHAnsi" w:cstheme="majorHAnsi"/>
          <w:b/>
        </w:rPr>
      </w:pPr>
    </w:p>
    <w:p w14:paraId="7628FBBB" w14:textId="30A9F0A3" w:rsidR="00581F30" w:rsidRPr="00A92968" w:rsidRDefault="00530087" w:rsidP="002845D0">
      <w:pPr>
        <w:spacing w:line="240" w:lineRule="auto"/>
        <w:jc w:val="right"/>
        <w:rPr>
          <w:rFonts w:asciiTheme="majorHAnsi" w:eastAsia="Century Gothic" w:hAnsiTheme="majorHAnsi" w:cstheme="majorHAnsi"/>
          <w:b/>
          <w:color w:val="000000" w:themeColor="text1"/>
        </w:rPr>
      </w:pPr>
      <w:r w:rsidRPr="00511367">
        <w:rPr>
          <w:rFonts w:asciiTheme="majorHAnsi" w:eastAsia="Century Gothic" w:hAnsiTheme="majorHAnsi" w:cstheme="majorHAnsi"/>
          <w:b/>
          <w:color w:val="000000" w:themeColor="text1"/>
        </w:rPr>
        <w:t>Unid</w:t>
      </w:r>
      <w:r w:rsidRPr="00A92968">
        <w:rPr>
          <w:rFonts w:asciiTheme="majorHAnsi" w:eastAsia="Century Gothic" w:hAnsiTheme="majorHAnsi" w:cstheme="majorHAnsi"/>
          <w:b/>
          <w:color w:val="000000" w:themeColor="text1"/>
        </w:rPr>
        <w:t xml:space="preserve">ad de </w:t>
      </w:r>
      <w:r w:rsidR="00581F30" w:rsidRPr="00A92968">
        <w:rPr>
          <w:rFonts w:asciiTheme="majorHAnsi" w:eastAsia="Century Gothic" w:hAnsiTheme="majorHAnsi" w:cstheme="majorHAnsi"/>
          <w:b/>
          <w:color w:val="000000" w:themeColor="text1"/>
        </w:rPr>
        <w:t>Adquisiciones,</w:t>
      </w:r>
    </w:p>
    <w:p w14:paraId="0EF0F706" w14:textId="4AF6B921" w:rsidR="002845D0" w:rsidRPr="00A92968" w:rsidRDefault="002845D0" w:rsidP="002845D0">
      <w:pPr>
        <w:spacing w:line="240" w:lineRule="auto"/>
        <w:jc w:val="right"/>
        <w:rPr>
          <w:rFonts w:asciiTheme="majorHAnsi" w:eastAsia="Century Gothic" w:hAnsiTheme="majorHAnsi" w:cstheme="majorHAnsi"/>
          <w:b/>
        </w:rPr>
      </w:pPr>
      <w:r w:rsidRPr="00A92968">
        <w:rPr>
          <w:rFonts w:asciiTheme="majorHAnsi" w:eastAsia="Century Gothic" w:hAnsiTheme="majorHAnsi" w:cstheme="majorHAnsi"/>
          <w:b/>
        </w:rPr>
        <w:t>PNUD Costa Rica</w:t>
      </w:r>
    </w:p>
    <w:p w14:paraId="4D415734" w14:textId="77777777" w:rsidR="002845D0" w:rsidRPr="00A92968" w:rsidRDefault="002845D0" w:rsidP="002845D0">
      <w:pPr>
        <w:spacing w:line="240" w:lineRule="auto"/>
        <w:rPr>
          <w:rFonts w:asciiTheme="majorHAnsi" w:eastAsia="Century Gothic" w:hAnsiTheme="majorHAnsi" w:cstheme="majorHAnsi"/>
          <w:b/>
        </w:rPr>
      </w:pPr>
    </w:p>
    <w:p w14:paraId="5EBB3E4E" w14:textId="48276291" w:rsidR="002845D0" w:rsidRPr="00511367" w:rsidRDefault="002845D0" w:rsidP="002845D0">
      <w:pPr>
        <w:spacing w:line="240" w:lineRule="auto"/>
        <w:jc w:val="right"/>
        <w:rPr>
          <w:rFonts w:asciiTheme="majorHAnsi" w:eastAsia="Century Gothic" w:hAnsiTheme="majorHAnsi" w:cstheme="majorHAnsi"/>
          <w:b/>
        </w:rPr>
      </w:pPr>
    </w:p>
    <w:p w14:paraId="29FD400D" w14:textId="738EF15C" w:rsidR="00B605D6" w:rsidRPr="00511367" w:rsidRDefault="00B605D6" w:rsidP="002845D0">
      <w:pPr>
        <w:spacing w:line="240" w:lineRule="auto"/>
        <w:jc w:val="right"/>
        <w:rPr>
          <w:rFonts w:asciiTheme="majorHAnsi" w:eastAsia="Century Gothic" w:hAnsiTheme="majorHAnsi" w:cstheme="majorHAnsi"/>
          <w:b/>
        </w:rPr>
      </w:pPr>
    </w:p>
    <w:p w14:paraId="4DCE50EE" w14:textId="7F0393B2" w:rsidR="00B605D6" w:rsidRPr="00511367" w:rsidRDefault="00B605D6" w:rsidP="002845D0">
      <w:pPr>
        <w:spacing w:line="240" w:lineRule="auto"/>
        <w:jc w:val="right"/>
        <w:rPr>
          <w:rFonts w:asciiTheme="majorHAnsi" w:eastAsia="Century Gothic" w:hAnsiTheme="majorHAnsi" w:cstheme="majorHAnsi"/>
          <w:b/>
        </w:rPr>
      </w:pPr>
    </w:p>
    <w:p w14:paraId="474620AE" w14:textId="6860875A" w:rsidR="00B605D6" w:rsidRPr="00511367" w:rsidRDefault="00B605D6" w:rsidP="002845D0">
      <w:pPr>
        <w:spacing w:line="240" w:lineRule="auto"/>
        <w:jc w:val="right"/>
        <w:rPr>
          <w:rFonts w:asciiTheme="majorHAnsi" w:eastAsia="Century Gothic" w:hAnsiTheme="majorHAnsi" w:cstheme="majorHAnsi"/>
          <w:b/>
        </w:rPr>
      </w:pPr>
    </w:p>
    <w:p w14:paraId="5A358739" w14:textId="52917564" w:rsidR="00B605D6" w:rsidRPr="00511367" w:rsidRDefault="00B605D6" w:rsidP="002845D0">
      <w:pPr>
        <w:spacing w:line="240" w:lineRule="auto"/>
        <w:jc w:val="right"/>
        <w:rPr>
          <w:rFonts w:asciiTheme="majorHAnsi" w:eastAsia="Century Gothic" w:hAnsiTheme="majorHAnsi" w:cstheme="majorHAnsi"/>
          <w:b/>
        </w:rPr>
      </w:pPr>
    </w:p>
    <w:p w14:paraId="31515572" w14:textId="1847C145" w:rsidR="00B605D6" w:rsidRPr="00511367" w:rsidRDefault="00B605D6" w:rsidP="002845D0">
      <w:pPr>
        <w:spacing w:line="240" w:lineRule="auto"/>
        <w:jc w:val="right"/>
        <w:rPr>
          <w:rFonts w:asciiTheme="majorHAnsi" w:eastAsia="Century Gothic" w:hAnsiTheme="majorHAnsi" w:cstheme="majorHAnsi"/>
          <w:b/>
        </w:rPr>
      </w:pPr>
    </w:p>
    <w:p w14:paraId="13CE3927" w14:textId="697352C6" w:rsidR="00B605D6" w:rsidRPr="00511367" w:rsidRDefault="00B605D6" w:rsidP="002845D0">
      <w:pPr>
        <w:spacing w:line="240" w:lineRule="auto"/>
        <w:jc w:val="right"/>
        <w:rPr>
          <w:rFonts w:asciiTheme="majorHAnsi" w:eastAsia="Century Gothic" w:hAnsiTheme="majorHAnsi" w:cstheme="majorHAnsi"/>
          <w:b/>
        </w:rPr>
      </w:pPr>
    </w:p>
    <w:p w14:paraId="083B6C52" w14:textId="6AB738F6" w:rsidR="00B605D6" w:rsidRPr="00511367" w:rsidRDefault="00B605D6" w:rsidP="002845D0">
      <w:pPr>
        <w:spacing w:line="240" w:lineRule="auto"/>
        <w:jc w:val="right"/>
        <w:rPr>
          <w:rFonts w:asciiTheme="majorHAnsi" w:eastAsia="Century Gothic" w:hAnsiTheme="majorHAnsi" w:cstheme="majorHAnsi"/>
          <w:b/>
        </w:rPr>
      </w:pPr>
    </w:p>
    <w:p w14:paraId="121137E5" w14:textId="399A0FB4" w:rsidR="00B605D6" w:rsidRPr="00511367" w:rsidRDefault="00B605D6" w:rsidP="002845D0">
      <w:pPr>
        <w:spacing w:line="240" w:lineRule="auto"/>
        <w:jc w:val="right"/>
        <w:rPr>
          <w:rFonts w:asciiTheme="majorHAnsi" w:eastAsia="Century Gothic" w:hAnsiTheme="majorHAnsi" w:cstheme="majorHAnsi"/>
          <w:b/>
        </w:rPr>
      </w:pPr>
    </w:p>
    <w:p w14:paraId="6659391D" w14:textId="07F10DBE" w:rsidR="00B605D6" w:rsidRPr="00511367" w:rsidRDefault="00B605D6" w:rsidP="002845D0">
      <w:pPr>
        <w:spacing w:line="240" w:lineRule="auto"/>
        <w:jc w:val="right"/>
        <w:rPr>
          <w:rFonts w:asciiTheme="majorHAnsi" w:eastAsia="Century Gothic" w:hAnsiTheme="majorHAnsi" w:cstheme="majorHAnsi"/>
          <w:b/>
        </w:rPr>
      </w:pPr>
    </w:p>
    <w:p w14:paraId="45A8DD55" w14:textId="7A3FDF44" w:rsidR="00B605D6" w:rsidRPr="00511367" w:rsidRDefault="00B605D6" w:rsidP="002845D0">
      <w:pPr>
        <w:spacing w:line="240" w:lineRule="auto"/>
        <w:jc w:val="right"/>
        <w:rPr>
          <w:rFonts w:asciiTheme="majorHAnsi" w:eastAsia="Century Gothic" w:hAnsiTheme="majorHAnsi" w:cstheme="majorHAnsi"/>
          <w:b/>
        </w:rPr>
      </w:pPr>
    </w:p>
    <w:p w14:paraId="7F65284A" w14:textId="77777777" w:rsidR="00B605D6" w:rsidRPr="00511367" w:rsidRDefault="00B605D6" w:rsidP="002845D0">
      <w:pPr>
        <w:spacing w:line="240" w:lineRule="auto"/>
        <w:jc w:val="right"/>
        <w:rPr>
          <w:rFonts w:asciiTheme="majorHAnsi" w:eastAsia="Century Gothic" w:hAnsiTheme="majorHAnsi" w:cstheme="majorHAnsi"/>
          <w:b/>
        </w:rPr>
      </w:pPr>
    </w:p>
    <w:p w14:paraId="50521D10" w14:textId="77777777" w:rsidR="002845D0" w:rsidRPr="00511367" w:rsidRDefault="002845D0" w:rsidP="002845D0">
      <w:pPr>
        <w:spacing w:line="240" w:lineRule="auto"/>
        <w:jc w:val="right"/>
        <w:rPr>
          <w:rFonts w:asciiTheme="majorHAnsi" w:eastAsia="Century Gothic" w:hAnsiTheme="majorHAnsi" w:cstheme="majorHAnsi"/>
          <w:b/>
        </w:rPr>
      </w:pPr>
    </w:p>
    <w:p w14:paraId="7931C9C6" w14:textId="77777777" w:rsidR="002845D0" w:rsidRPr="00511367" w:rsidRDefault="002845D0" w:rsidP="002845D0">
      <w:pPr>
        <w:spacing w:line="240" w:lineRule="auto"/>
        <w:ind w:firstLine="720"/>
        <w:jc w:val="right"/>
        <w:rPr>
          <w:rFonts w:asciiTheme="majorHAnsi" w:eastAsia="Century Gothic" w:hAnsiTheme="majorHAnsi" w:cstheme="majorHAnsi"/>
          <w:b/>
        </w:rPr>
      </w:pPr>
      <w:r w:rsidRPr="00511367">
        <w:rPr>
          <w:rFonts w:asciiTheme="majorHAnsi" w:eastAsia="Century Gothic" w:hAnsiTheme="majorHAnsi" w:cstheme="majorHAnsi"/>
          <w:b/>
        </w:rPr>
        <w:t>Anexo 1</w:t>
      </w:r>
    </w:p>
    <w:p w14:paraId="06169E67" w14:textId="77777777" w:rsidR="002845D0" w:rsidRPr="00511367" w:rsidRDefault="002845D0" w:rsidP="002845D0">
      <w:pPr>
        <w:spacing w:line="240" w:lineRule="auto"/>
        <w:jc w:val="center"/>
        <w:rPr>
          <w:rFonts w:asciiTheme="majorHAnsi" w:eastAsia="Century Gothic" w:hAnsiTheme="majorHAnsi" w:cstheme="majorHAnsi"/>
          <w:b/>
        </w:rPr>
      </w:pPr>
      <w:r w:rsidRPr="00511367">
        <w:rPr>
          <w:rFonts w:asciiTheme="majorHAnsi" w:eastAsia="Century Gothic" w:hAnsiTheme="majorHAnsi" w:cstheme="majorHAnsi"/>
          <w:b/>
        </w:rPr>
        <w:t xml:space="preserve">DESCRIPCIÓN DE REQUISITOS </w:t>
      </w:r>
    </w:p>
    <w:p w14:paraId="2CC7976E" w14:textId="77777777" w:rsidR="002845D0" w:rsidRPr="00511367" w:rsidRDefault="002845D0" w:rsidP="002845D0">
      <w:pPr>
        <w:spacing w:line="240" w:lineRule="auto"/>
        <w:jc w:val="both"/>
        <w:rPr>
          <w:rFonts w:asciiTheme="majorHAnsi" w:eastAsia="Century Gothic" w:hAnsiTheme="majorHAnsi" w:cstheme="majorHAns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3"/>
        <w:gridCol w:w="6087"/>
      </w:tblGrid>
      <w:tr w:rsidR="002845D0" w:rsidRPr="00FC2AE6" w14:paraId="7383480C" w14:textId="77777777" w:rsidTr="002845D0">
        <w:tc>
          <w:tcPr>
            <w:tcW w:w="3263" w:type="dxa"/>
            <w:shd w:val="clear" w:color="auto" w:fill="C6D9F1"/>
            <w:vAlign w:val="center"/>
          </w:tcPr>
          <w:p w14:paraId="000931C7" w14:textId="77777777" w:rsidR="002845D0" w:rsidRPr="00511367" w:rsidRDefault="002845D0" w:rsidP="002845D0">
            <w:pPr>
              <w:spacing w:line="240" w:lineRule="auto"/>
              <w:rPr>
                <w:rFonts w:asciiTheme="majorHAnsi" w:eastAsia="Century Gothic" w:hAnsiTheme="majorHAnsi" w:cstheme="majorHAnsi"/>
                <w:b/>
              </w:rPr>
            </w:pPr>
            <w:r w:rsidRPr="00511367">
              <w:rPr>
                <w:rFonts w:asciiTheme="majorHAnsi" w:eastAsia="Century Gothic" w:hAnsiTheme="majorHAnsi" w:cstheme="majorHAnsi"/>
                <w:b/>
              </w:rPr>
              <w:t>Contexto de los requisitos</w:t>
            </w:r>
          </w:p>
        </w:tc>
        <w:tc>
          <w:tcPr>
            <w:tcW w:w="6087" w:type="dxa"/>
            <w:shd w:val="clear" w:color="auto" w:fill="auto"/>
          </w:tcPr>
          <w:p w14:paraId="7BC75876" w14:textId="77777777"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El proyecto Costa Rica Fomento de Capacidades en Desarrollo Bajo en Emisiones (LECB, por sus siglas en inglés), desarrollado en el periodo 2013-2016, constituyó un apoyo clave para la implementación de la Estrategia Nacional de Cambio Climático y los compromisos climáticos adquiridos por el país, particularmente en dos sectores prioritarios: ganadería y transporte. Los principales logros alcanzados por el proyecto LECB de Costa Rica en su Fase 1 consisten en los siguientes:</w:t>
            </w:r>
          </w:p>
          <w:p w14:paraId="2999976A" w14:textId="77777777" w:rsidR="002845D0" w:rsidRPr="00511367" w:rsidRDefault="002845D0" w:rsidP="002845D0">
            <w:pPr>
              <w:numPr>
                <w:ilvl w:val="0"/>
                <w:numId w:val="21"/>
              </w:numPr>
              <w:spacing w:before="120" w:line="288" w:lineRule="auto"/>
              <w:jc w:val="both"/>
              <w:rPr>
                <w:rFonts w:asciiTheme="majorHAnsi" w:eastAsia="Century Gothic" w:hAnsiTheme="majorHAnsi" w:cstheme="majorHAnsi"/>
              </w:rPr>
            </w:pPr>
            <w:r w:rsidRPr="00511367">
              <w:rPr>
                <w:rFonts w:asciiTheme="majorHAnsi" w:eastAsia="Century Gothic" w:hAnsiTheme="majorHAnsi" w:cstheme="majorHAnsi"/>
              </w:rPr>
              <w:t>Implementación de un piloto de NAMA en el sector ganadero, en sinergia con otras iniciativas de reducción de emisiones, con el objetivo de apoyar la neutralidad de carbono de alta visibilidad en el sector;</w:t>
            </w:r>
          </w:p>
          <w:p w14:paraId="04527808" w14:textId="77777777" w:rsidR="002845D0" w:rsidRPr="00511367" w:rsidRDefault="002845D0" w:rsidP="002845D0">
            <w:pPr>
              <w:numPr>
                <w:ilvl w:val="0"/>
                <w:numId w:val="21"/>
              </w:numPr>
              <w:spacing w:line="288" w:lineRule="auto"/>
              <w:jc w:val="both"/>
              <w:rPr>
                <w:rFonts w:asciiTheme="majorHAnsi" w:eastAsia="Century Gothic" w:hAnsiTheme="majorHAnsi" w:cstheme="majorHAnsi"/>
              </w:rPr>
            </w:pPr>
            <w:r w:rsidRPr="00511367">
              <w:rPr>
                <w:rFonts w:asciiTheme="majorHAnsi" w:eastAsia="Century Gothic" w:hAnsiTheme="majorHAnsi" w:cstheme="majorHAnsi"/>
              </w:rPr>
              <w:t xml:space="preserve">Actualización de concepto de NAMA Ganadería para operación a nivel nacional; </w:t>
            </w:r>
          </w:p>
          <w:p w14:paraId="6AD3790F" w14:textId="77777777" w:rsidR="002845D0" w:rsidRPr="00511367" w:rsidRDefault="002845D0" w:rsidP="002845D0">
            <w:pPr>
              <w:numPr>
                <w:ilvl w:val="0"/>
                <w:numId w:val="21"/>
              </w:numPr>
              <w:spacing w:line="288" w:lineRule="auto"/>
              <w:jc w:val="both"/>
              <w:rPr>
                <w:rFonts w:asciiTheme="majorHAnsi" w:eastAsia="Century Gothic" w:hAnsiTheme="majorHAnsi" w:cstheme="majorHAnsi"/>
              </w:rPr>
            </w:pPr>
            <w:r w:rsidRPr="00511367">
              <w:rPr>
                <w:rFonts w:asciiTheme="majorHAnsi" w:eastAsia="Century Gothic" w:hAnsiTheme="majorHAnsi" w:cstheme="majorHAnsi"/>
              </w:rPr>
              <w:t xml:space="preserve">Desarrollo Plan Nacional de Energía; </w:t>
            </w:r>
          </w:p>
          <w:p w14:paraId="4DD83074" w14:textId="77777777" w:rsidR="002845D0" w:rsidRPr="00511367" w:rsidRDefault="002845D0" w:rsidP="002845D0">
            <w:pPr>
              <w:numPr>
                <w:ilvl w:val="0"/>
                <w:numId w:val="21"/>
              </w:numPr>
              <w:spacing w:line="288" w:lineRule="auto"/>
              <w:jc w:val="both"/>
              <w:rPr>
                <w:rFonts w:asciiTheme="majorHAnsi" w:eastAsia="Century Gothic" w:hAnsiTheme="majorHAnsi" w:cstheme="majorHAnsi"/>
              </w:rPr>
            </w:pPr>
            <w:r w:rsidRPr="00511367">
              <w:rPr>
                <w:rFonts w:asciiTheme="majorHAnsi" w:eastAsia="Century Gothic" w:hAnsiTheme="majorHAnsi" w:cstheme="majorHAnsi"/>
              </w:rPr>
              <w:t xml:space="preserve">Desarrollo de Hoja de Ruta para Transporte Bajo en Carbono; </w:t>
            </w:r>
          </w:p>
          <w:p w14:paraId="79C7C3A7" w14:textId="77777777" w:rsidR="002845D0" w:rsidRPr="00511367" w:rsidRDefault="002845D0" w:rsidP="002845D0">
            <w:pPr>
              <w:numPr>
                <w:ilvl w:val="0"/>
                <w:numId w:val="21"/>
              </w:numPr>
              <w:spacing w:after="120" w:line="288" w:lineRule="auto"/>
              <w:jc w:val="both"/>
              <w:rPr>
                <w:rFonts w:asciiTheme="majorHAnsi" w:eastAsia="Century Gothic" w:hAnsiTheme="majorHAnsi" w:cstheme="majorHAnsi"/>
              </w:rPr>
            </w:pPr>
            <w:r w:rsidRPr="00511367">
              <w:rPr>
                <w:rFonts w:asciiTheme="majorHAnsi" w:eastAsia="Century Gothic" w:hAnsiTheme="majorHAnsi" w:cstheme="majorHAnsi"/>
              </w:rPr>
              <w:t>Contribución al Desarrollo de Informe de Contribuciones Nacionalmente Determinadas presentado ante UNFCCC de la COP de París 2015.</w:t>
            </w:r>
          </w:p>
          <w:p w14:paraId="33C2998C" w14:textId="77777777"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 xml:space="preserve">Se llevó a cabo una primera revisión sustantiva donde se propuso:  un fortalecimiento de la articulación del sector agropecuario en un marco más amplio AFOLU, específicamente en lo que respecta a métrica, reporte y verificación, también se generó una herramienta única de registro de esas metas e indicadores. </w:t>
            </w:r>
            <w:proofErr w:type="gramStart"/>
            <w:r w:rsidRPr="00511367">
              <w:rPr>
                <w:rFonts w:asciiTheme="majorHAnsi" w:eastAsia="Century Gothic" w:hAnsiTheme="majorHAnsi" w:cstheme="majorHAnsi"/>
              </w:rPr>
              <w:t>Además</w:t>
            </w:r>
            <w:proofErr w:type="gramEnd"/>
            <w:r w:rsidRPr="00511367">
              <w:rPr>
                <w:rFonts w:asciiTheme="majorHAnsi" w:eastAsia="Century Gothic" w:hAnsiTheme="majorHAnsi" w:cstheme="majorHAnsi"/>
              </w:rPr>
              <w:t xml:space="preserve"> esa primera revisión facilitó el proceso de diálogo técnico y político necesario para fortalecer el Sistema Nacional de Métrica en Cambio Climático (SINAMECC) al establecerse un marco orientador de métrica de cambio climático para el sector AFOLU. Además, se proveyó la inversión necesaria para que el país cuente con un acuerdo nacional sobre indicadores, métodos de cálculo y generación de reportes relativos al sector AFOLU. </w:t>
            </w:r>
          </w:p>
          <w:p w14:paraId="4B896F64" w14:textId="77777777" w:rsidR="002845D0" w:rsidRPr="00511367" w:rsidRDefault="002845D0" w:rsidP="002845D0">
            <w:pPr>
              <w:spacing w:line="240" w:lineRule="auto"/>
              <w:jc w:val="both"/>
              <w:rPr>
                <w:rFonts w:asciiTheme="majorHAnsi" w:eastAsia="Century Gothic" w:hAnsiTheme="majorHAnsi" w:cstheme="majorHAnsi"/>
              </w:rPr>
            </w:pPr>
          </w:p>
          <w:p w14:paraId="72833FDE" w14:textId="78787D4E" w:rsidR="002845D0" w:rsidRPr="00A92968"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 xml:space="preserve">En otros aspectos se apoyó el desarrollo de varios instrumentos de política pública, por </w:t>
            </w:r>
            <w:r w:rsidR="005854D7" w:rsidRPr="005854D7">
              <w:rPr>
                <w:rFonts w:asciiTheme="majorHAnsi" w:eastAsia="Century Gothic" w:hAnsiTheme="majorHAnsi" w:cstheme="majorHAnsi"/>
              </w:rPr>
              <w:t>ejemplo,</w:t>
            </w:r>
            <w:r w:rsidRPr="005854D7">
              <w:rPr>
                <w:rFonts w:asciiTheme="majorHAnsi" w:eastAsia="Century Gothic" w:hAnsiTheme="majorHAnsi" w:cstheme="majorHAnsi"/>
              </w:rPr>
              <w:t xml:space="preserve"> para el sector energía en cuanto a la actualización de decretos y reglamentos. Así como a nivel nacional con el Plan Nacional de Descarbonización. </w:t>
            </w:r>
            <w:r w:rsidRPr="00A92968">
              <w:rPr>
                <w:rFonts w:asciiTheme="majorHAnsi" w:eastAsia="Century Gothic" w:hAnsiTheme="majorHAnsi" w:cstheme="majorHAnsi"/>
              </w:rPr>
              <w:t>Además, se apoyó para generar la primera fase de datos sobre la inversión del sector público en cambio climático.</w:t>
            </w:r>
          </w:p>
          <w:p w14:paraId="3036211C" w14:textId="77777777" w:rsidR="002845D0" w:rsidRPr="00511367" w:rsidRDefault="002845D0" w:rsidP="002845D0">
            <w:pPr>
              <w:spacing w:line="240" w:lineRule="auto"/>
              <w:jc w:val="both"/>
              <w:rPr>
                <w:rFonts w:asciiTheme="majorHAnsi" w:eastAsia="Century Gothic" w:hAnsiTheme="majorHAnsi" w:cstheme="majorHAnsi"/>
              </w:rPr>
            </w:pPr>
          </w:p>
          <w:p w14:paraId="27A0F395" w14:textId="77777777"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Este trabajo resultó vital para avanzar en el proceso de implementación de la NDC del país, por lo tanto en esta etapa se continúa con el apoyo al país desarrollando actividades que fortalezcan el proceso de implementación de la NDC de Costa Rica con un enfoque más social y género responsivo, donde se prolongue el apoyo para implementar a través del Sistema Nacional de Métrica de Cambio Climático (SINAMECC) el marco de transparencia del Acuerdo de París, así como apoyar la definición de áreas claves de inversión de acuerdo con la NDC.</w:t>
            </w:r>
          </w:p>
          <w:p w14:paraId="64AD6EBF" w14:textId="77777777" w:rsidR="002845D0" w:rsidRPr="00511367" w:rsidRDefault="002845D0" w:rsidP="002845D0">
            <w:pPr>
              <w:spacing w:line="240" w:lineRule="auto"/>
              <w:jc w:val="both"/>
              <w:rPr>
                <w:rFonts w:asciiTheme="majorHAnsi" w:eastAsia="Century Gothic" w:hAnsiTheme="majorHAnsi" w:cstheme="majorHAnsi"/>
              </w:rPr>
            </w:pPr>
          </w:p>
          <w:p w14:paraId="6C7E8A7F" w14:textId="1112790E"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 xml:space="preserve">Asimismo, tomando en cuenta la elaboración y oficialización del Plan Nacional de Descarbonización (PND), que tiene como una de sus estrategias transversales, </w:t>
            </w:r>
            <w:r w:rsidR="00B605D6" w:rsidRPr="00511367">
              <w:rPr>
                <w:rFonts w:asciiTheme="majorHAnsi" w:eastAsia="Century Gothic" w:hAnsiTheme="majorHAnsi" w:cstheme="majorHAnsi"/>
              </w:rPr>
              <w:t>la Estrategia</w:t>
            </w:r>
            <w:r w:rsidRPr="00511367">
              <w:rPr>
                <w:rFonts w:asciiTheme="majorHAnsi" w:eastAsia="Century Gothic" w:hAnsiTheme="majorHAnsi" w:cstheme="majorHAnsi"/>
              </w:rPr>
              <w:t xml:space="preserve"> de transparencia, métrica y datos abiertos. Se debe continuar con el desarrollo del SINAMEC en específico para integrar las acciones de adaptación.</w:t>
            </w:r>
          </w:p>
          <w:p w14:paraId="4D9426AB" w14:textId="77777777" w:rsidR="002845D0" w:rsidRPr="00511367" w:rsidRDefault="002845D0" w:rsidP="002845D0">
            <w:pPr>
              <w:spacing w:before="240" w:after="240" w:line="240" w:lineRule="auto"/>
              <w:jc w:val="both"/>
              <w:rPr>
                <w:rFonts w:asciiTheme="majorHAnsi" w:eastAsia="Century Gothic" w:hAnsiTheme="majorHAnsi" w:cstheme="majorHAnsi"/>
              </w:rPr>
            </w:pPr>
            <w:r w:rsidRPr="00511367">
              <w:rPr>
                <w:rFonts w:asciiTheme="majorHAnsi" w:eastAsia="Century Gothic" w:hAnsiTheme="majorHAnsi" w:cstheme="majorHAnsi"/>
              </w:rPr>
              <w:t>El SINAMECC es una herramienta que articula la implementación de protocolos y arreglos institucionales e interinstitucionales con la puesta en marcha de una plataforma digital que facilite, digitalice y apoye la sostenibilidad de los procesos de transparencia y métrica de cambio climático, considerando aspectos de apertura de los datos recopilados no confidenciales.</w:t>
            </w:r>
          </w:p>
          <w:p w14:paraId="479C43C4" w14:textId="544CD18C" w:rsidR="002845D0" w:rsidRPr="00511367" w:rsidRDefault="002845D0" w:rsidP="002845D0">
            <w:pPr>
              <w:spacing w:before="240" w:after="240" w:line="240" w:lineRule="auto"/>
              <w:jc w:val="both"/>
              <w:rPr>
                <w:rFonts w:asciiTheme="majorHAnsi" w:eastAsia="Century Gothic" w:hAnsiTheme="majorHAnsi" w:cstheme="majorHAnsi"/>
              </w:rPr>
            </w:pPr>
            <w:r w:rsidRPr="00511367">
              <w:rPr>
                <w:rFonts w:asciiTheme="majorHAnsi" w:eastAsia="Century Gothic" w:hAnsiTheme="majorHAnsi" w:cstheme="majorHAnsi"/>
              </w:rPr>
              <w:t>El SINAMECC cuenta con la primera versión de la plataforma digital implementada y disponible en línea (</w:t>
            </w:r>
            <w:hyperlink r:id="rId14">
              <w:r w:rsidRPr="005854D7">
                <w:rPr>
                  <w:rFonts w:asciiTheme="majorHAnsi" w:eastAsia="Century Gothic" w:hAnsiTheme="majorHAnsi" w:cstheme="majorHAnsi"/>
                </w:rPr>
                <w:t>http://sinamecc.go.cr/</w:t>
              </w:r>
            </w:hyperlink>
            <w:r w:rsidRPr="00FC2AE6">
              <w:rPr>
                <w:rFonts w:asciiTheme="majorHAnsi" w:eastAsia="Century Gothic" w:hAnsiTheme="majorHAnsi" w:cstheme="majorHAnsi"/>
              </w:rPr>
              <w:t>). Esta ha sido constru</w:t>
            </w:r>
            <w:r w:rsidRPr="005854D7">
              <w:rPr>
                <w:rFonts w:asciiTheme="majorHAnsi" w:eastAsia="Century Gothic" w:hAnsiTheme="majorHAnsi" w:cstheme="majorHAnsi"/>
              </w:rPr>
              <w:t>ida utilizando código abierto. Entre las herramientas utilizadas se encuentran Django, PostgreSQL y Junar. Se ha construido infraestructura que articula una plataforma de datos abiertos, una herramienta de captura de datos con acceso diferenciado por tipos</w:t>
            </w:r>
            <w:r w:rsidRPr="00A92968">
              <w:rPr>
                <w:rFonts w:asciiTheme="majorHAnsi" w:eastAsia="Century Gothic" w:hAnsiTheme="majorHAnsi" w:cstheme="majorHAnsi"/>
              </w:rPr>
              <w:t xml:space="preserve"> de usuarios y workflows de captura para los diferentes tipos de datos que el SINAMECC requiere y un </w:t>
            </w:r>
            <w:r w:rsidR="00F9472A" w:rsidRPr="00511367">
              <w:rPr>
                <w:rFonts w:asciiTheme="majorHAnsi" w:eastAsia="Century Gothic" w:hAnsiTheme="majorHAnsi" w:cstheme="majorHAnsi"/>
              </w:rPr>
              <w:t>sitio web</w:t>
            </w:r>
            <w:r w:rsidRPr="00511367">
              <w:rPr>
                <w:rFonts w:asciiTheme="majorHAnsi" w:eastAsia="Century Gothic" w:hAnsiTheme="majorHAnsi" w:cstheme="majorHAnsi"/>
              </w:rPr>
              <w:t xml:space="preserve"> público que conecta estas plataformas y contiene información general sobre el sistema.</w:t>
            </w:r>
          </w:p>
          <w:p w14:paraId="50E08148" w14:textId="77777777" w:rsidR="002845D0" w:rsidRPr="00511367" w:rsidRDefault="002845D0" w:rsidP="002845D0">
            <w:pPr>
              <w:spacing w:before="240" w:after="240" w:line="240" w:lineRule="auto"/>
              <w:jc w:val="both"/>
              <w:rPr>
                <w:rFonts w:asciiTheme="majorHAnsi" w:eastAsia="Century Gothic" w:hAnsiTheme="majorHAnsi" w:cstheme="majorHAnsi"/>
              </w:rPr>
            </w:pPr>
            <w:r w:rsidRPr="00511367">
              <w:rPr>
                <w:rFonts w:asciiTheme="majorHAnsi" w:eastAsia="Century Gothic" w:hAnsiTheme="majorHAnsi" w:cstheme="majorHAnsi"/>
              </w:rPr>
              <w:t>Por lo supra mencionado el proyecto busca apoyar al SINAMECC con esta consultoría, que tendrá por objetivo contratar a una empresa u organización legalmente constituida para mejorar la métrica de las acciones, políticas y planes de cambio climático del país, de manera que se facilite su reporte y la rendición de cuentas a nivel nacional e internacional. Además de ser un medio para mejorar la toma de decisiones basada en datos.</w:t>
            </w:r>
          </w:p>
          <w:p w14:paraId="4FCC8125" w14:textId="77777777" w:rsidR="002845D0" w:rsidRPr="00511367" w:rsidRDefault="002845D0" w:rsidP="002845D0">
            <w:pPr>
              <w:spacing w:before="240" w:after="240" w:line="240" w:lineRule="auto"/>
              <w:jc w:val="both"/>
              <w:rPr>
                <w:rFonts w:asciiTheme="majorHAnsi" w:eastAsia="Century Gothic" w:hAnsiTheme="majorHAnsi" w:cstheme="majorHAnsi"/>
              </w:rPr>
            </w:pPr>
            <w:r w:rsidRPr="00511367">
              <w:rPr>
                <w:rFonts w:asciiTheme="majorHAnsi" w:eastAsia="Century Gothic" w:hAnsiTheme="majorHAnsi" w:cstheme="majorHAnsi"/>
              </w:rPr>
              <w:t>En esta etapa, se requiere apoyo técnico para implementar un módulo para la categoría de producto del Programa País de Carbono Neutralidad (PPCN) en el SINAMECC y actualizar el registro de acciones de mitigación disponible en el SINAMECC de manera que tenga una jerarquía y 3 subsecciones para registrar los impactos en desarrollo sostenible y cambio transformacional.</w:t>
            </w:r>
          </w:p>
        </w:tc>
      </w:tr>
      <w:tr w:rsidR="002845D0" w:rsidRPr="00FC2AE6" w14:paraId="22D4C67E" w14:textId="77777777" w:rsidTr="002845D0">
        <w:tc>
          <w:tcPr>
            <w:tcW w:w="3263" w:type="dxa"/>
            <w:shd w:val="clear" w:color="auto" w:fill="C6D9F1"/>
            <w:vAlign w:val="center"/>
          </w:tcPr>
          <w:p w14:paraId="0E6FEBE0"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Organismo asociado del PNUD en la implementación</w:t>
            </w:r>
          </w:p>
        </w:tc>
        <w:tc>
          <w:tcPr>
            <w:tcW w:w="6087" w:type="dxa"/>
            <w:shd w:val="clear" w:color="auto" w:fill="auto"/>
          </w:tcPr>
          <w:p w14:paraId="76B8990F" w14:textId="77777777" w:rsidR="002845D0" w:rsidRPr="00A92968" w:rsidRDefault="002845D0" w:rsidP="002845D0">
            <w:pPr>
              <w:spacing w:line="240" w:lineRule="auto"/>
              <w:jc w:val="both"/>
              <w:rPr>
                <w:rFonts w:asciiTheme="majorHAnsi" w:eastAsia="Century Gothic" w:hAnsiTheme="majorHAnsi" w:cstheme="majorHAnsi"/>
              </w:rPr>
            </w:pPr>
            <w:r w:rsidRPr="00A92968">
              <w:rPr>
                <w:rFonts w:asciiTheme="majorHAnsi" w:eastAsia="Century Gothic" w:hAnsiTheme="majorHAnsi" w:cstheme="majorHAnsi"/>
              </w:rPr>
              <w:t>Dirección de Cambio Climático</w:t>
            </w:r>
          </w:p>
        </w:tc>
      </w:tr>
      <w:tr w:rsidR="002845D0" w:rsidRPr="00FC2AE6" w14:paraId="0E7A97A6" w14:textId="77777777" w:rsidTr="002845D0">
        <w:tc>
          <w:tcPr>
            <w:tcW w:w="3263" w:type="dxa"/>
            <w:shd w:val="clear" w:color="auto" w:fill="C6D9F1"/>
            <w:vAlign w:val="center"/>
          </w:tcPr>
          <w:p w14:paraId="57CF94EE"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Breve descripción de los servicios solicitados</w:t>
            </w:r>
          </w:p>
        </w:tc>
        <w:tc>
          <w:tcPr>
            <w:tcW w:w="6087" w:type="dxa"/>
            <w:shd w:val="clear" w:color="auto" w:fill="auto"/>
          </w:tcPr>
          <w:p w14:paraId="51916166" w14:textId="3E69306E" w:rsidR="002845D0" w:rsidRPr="00511367" w:rsidRDefault="002845D0" w:rsidP="002845D0">
            <w:pPr>
              <w:spacing w:line="240" w:lineRule="auto"/>
              <w:jc w:val="both"/>
              <w:rPr>
                <w:rFonts w:asciiTheme="majorHAnsi" w:eastAsia="Century Gothic" w:hAnsiTheme="majorHAnsi" w:cstheme="majorHAnsi"/>
              </w:rPr>
            </w:pPr>
            <w:r w:rsidRPr="00A92968">
              <w:rPr>
                <w:rFonts w:asciiTheme="majorHAnsi" w:eastAsia="Century Gothic" w:hAnsiTheme="majorHAnsi" w:cstheme="majorHAnsi"/>
              </w:rPr>
              <w:t>El SINAMEC</w:t>
            </w:r>
            <w:r w:rsidR="00F9472A" w:rsidRPr="00511367">
              <w:rPr>
                <w:rFonts w:asciiTheme="majorHAnsi" w:eastAsia="Century Gothic" w:hAnsiTheme="majorHAnsi" w:cstheme="majorHAnsi"/>
              </w:rPr>
              <w:t>C</w:t>
            </w:r>
            <w:r w:rsidRPr="00511367">
              <w:rPr>
                <w:rFonts w:asciiTheme="majorHAnsi" w:eastAsia="Century Gothic" w:hAnsiTheme="majorHAnsi" w:cstheme="majorHAnsi"/>
              </w:rPr>
              <w:t xml:space="preserve"> se diseña e implementa alrededor de los siguientes dos objetivos:</w:t>
            </w:r>
          </w:p>
          <w:p w14:paraId="51527852" w14:textId="5D5365A7" w:rsidR="002845D0" w:rsidRPr="00511367" w:rsidRDefault="002845D0" w:rsidP="002845D0">
            <w:pPr>
              <w:numPr>
                <w:ilvl w:val="0"/>
                <w:numId w:val="25"/>
              </w:num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Monitorear el avance del país en alcanzar las metas climáticas, implementación de las políticas, planes y acciones asociadas, con el fin de aumentar la transparencia, generar información de acceso abierto y facilitar el cumplimiento de los compromisos de reporte internacionales y nacionales</w:t>
            </w:r>
            <w:r w:rsidR="00003250" w:rsidRPr="00511367">
              <w:rPr>
                <w:rFonts w:asciiTheme="majorHAnsi" w:eastAsia="Century Gothic" w:hAnsiTheme="majorHAnsi" w:cstheme="majorHAnsi"/>
              </w:rPr>
              <w:t>.</w:t>
            </w:r>
          </w:p>
          <w:p w14:paraId="63DEBBB3" w14:textId="54378F6C" w:rsidR="002845D0" w:rsidRPr="00511367" w:rsidRDefault="002845D0" w:rsidP="002845D0">
            <w:pPr>
              <w:numPr>
                <w:ilvl w:val="0"/>
                <w:numId w:val="25"/>
              </w:num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 xml:space="preserve">Facilitar la toma de decisiones basada en datos, de manera que se tengan </w:t>
            </w:r>
            <w:r w:rsidR="00F9472A" w:rsidRPr="00511367">
              <w:rPr>
                <w:rFonts w:asciiTheme="majorHAnsi" w:eastAsia="Century Gothic" w:hAnsiTheme="majorHAnsi" w:cstheme="majorHAnsi"/>
              </w:rPr>
              <w:t>fuentes</w:t>
            </w:r>
            <w:r w:rsidRPr="00511367">
              <w:rPr>
                <w:rFonts w:asciiTheme="majorHAnsi" w:eastAsia="Century Gothic" w:hAnsiTheme="majorHAnsi" w:cstheme="majorHAnsi"/>
              </w:rPr>
              <w:t xml:space="preserve"> para informar </w:t>
            </w:r>
            <w:r w:rsidR="00F9472A" w:rsidRPr="00511367">
              <w:rPr>
                <w:rFonts w:asciiTheme="majorHAnsi" w:eastAsia="Century Gothic" w:hAnsiTheme="majorHAnsi" w:cstheme="majorHAnsi"/>
              </w:rPr>
              <w:t xml:space="preserve">de </w:t>
            </w:r>
            <w:r w:rsidRPr="00511367">
              <w:rPr>
                <w:rFonts w:asciiTheme="majorHAnsi" w:eastAsia="Century Gothic" w:hAnsiTheme="majorHAnsi" w:cstheme="majorHAnsi"/>
              </w:rPr>
              <w:t>la evaluación de políticas, planes y acciones, así como aumentar los impactos positivos de las mismas y mejorar la generación e implementación de políticas futuras</w:t>
            </w:r>
            <w:r w:rsidR="00F9472A" w:rsidRPr="00511367">
              <w:rPr>
                <w:rFonts w:asciiTheme="majorHAnsi" w:eastAsia="Century Gothic" w:hAnsiTheme="majorHAnsi" w:cstheme="majorHAnsi"/>
              </w:rPr>
              <w:t>.</w:t>
            </w:r>
          </w:p>
          <w:p w14:paraId="72D3C107" w14:textId="77777777" w:rsidR="002845D0" w:rsidRPr="00511367" w:rsidRDefault="002845D0" w:rsidP="002845D0">
            <w:pPr>
              <w:spacing w:line="240" w:lineRule="auto"/>
              <w:jc w:val="both"/>
              <w:rPr>
                <w:rFonts w:asciiTheme="majorHAnsi" w:eastAsia="Century Gothic" w:hAnsiTheme="majorHAnsi" w:cstheme="majorHAnsi"/>
                <w:highlight w:val="cyan"/>
              </w:rPr>
            </w:pPr>
          </w:p>
          <w:p w14:paraId="40A1252D" w14:textId="1C4F2A26"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Dentro de su estructura el sistema tiene 3 áreas funcionale</w:t>
            </w:r>
            <w:r w:rsidR="00F9472A" w:rsidRPr="00511367">
              <w:rPr>
                <w:rFonts w:asciiTheme="majorHAnsi" w:eastAsia="Century Gothic" w:hAnsiTheme="majorHAnsi" w:cstheme="majorHAnsi"/>
              </w:rPr>
              <w:t>s.</w:t>
            </w:r>
            <w:r w:rsidRPr="00511367">
              <w:rPr>
                <w:rFonts w:asciiTheme="majorHAnsi" w:eastAsia="Century Gothic" w:hAnsiTheme="majorHAnsi" w:cstheme="majorHAnsi"/>
              </w:rPr>
              <w:t xml:space="preserve"> </w:t>
            </w:r>
            <w:r w:rsidR="00F9472A" w:rsidRPr="00511367">
              <w:rPr>
                <w:rFonts w:asciiTheme="majorHAnsi" w:eastAsia="Century Gothic" w:hAnsiTheme="majorHAnsi" w:cstheme="majorHAnsi"/>
              </w:rPr>
              <w:t>P</w:t>
            </w:r>
            <w:r w:rsidRPr="00511367">
              <w:rPr>
                <w:rFonts w:asciiTheme="majorHAnsi" w:eastAsia="Century Gothic" w:hAnsiTheme="majorHAnsi" w:cstheme="majorHAnsi"/>
              </w:rPr>
              <w:t>ara efectos de esta consultoría</w:t>
            </w:r>
            <w:r w:rsidR="00F9472A" w:rsidRPr="00511367">
              <w:rPr>
                <w:rFonts w:asciiTheme="majorHAnsi" w:eastAsia="Century Gothic" w:hAnsiTheme="majorHAnsi" w:cstheme="majorHAnsi"/>
              </w:rPr>
              <w:t>,</w:t>
            </w:r>
            <w:r w:rsidRPr="00511367">
              <w:rPr>
                <w:rFonts w:asciiTheme="majorHAnsi" w:eastAsia="Century Gothic" w:hAnsiTheme="majorHAnsi" w:cstheme="majorHAnsi"/>
              </w:rPr>
              <w:t xml:space="preserve"> se estaría apoyando el </w:t>
            </w:r>
            <w:r w:rsidRPr="00511367">
              <w:rPr>
                <w:rFonts w:asciiTheme="majorHAnsi" w:eastAsia="Century Gothic" w:hAnsiTheme="majorHAnsi" w:cstheme="majorHAnsi"/>
                <w:i/>
              </w:rPr>
              <w:t xml:space="preserve">área funcional de mitigación y </w:t>
            </w:r>
            <w:proofErr w:type="spellStart"/>
            <w:r w:rsidRPr="00511367">
              <w:rPr>
                <w:rFonts w:asciiTheme="majorHAnsi" w:eastAsia="Century Gothic" w:hAnsiTheme="majorHAnsi" w:cstheme="majorHAnsi"/>
                <w:i/>
              </w:rPr>
              <w:t>co-beneficios</w:t>
            </w:r>
            <w:proofErr w:type="spellEnd"/>
            <w:r w:rsidRPr="00511367">
              <w:rPr>
                <w:rFonts w:asciiTheme="majorHAnsi" w:eastAsia="Century Gothic" w:hAnsiTheme="majorHAnsi" w:cstheme="majorHAnsi"/>
                <w:i/>
              </w:rPr>
              <w:t xml:space="preserve"> con enfoque en desarrollo sostenible</w:t>
            </w:r>
            <w:r w:rsidRPr="00511367">
              <w:rPr>
                <w:rFonts w:asciiTheme="majorHAnsi" w:eastAsia="Century Gothic" w:hAnsiTheme="majorHAnsi" w:cstheme="majorHAnsi"/>
              </w:rPr>
              <w:t xml:space="preserve">. </w:t>
            </w:r>
          </w:p>
          <w:p w14:paraId="011BFE1A" w14:textId="77777777" w:rsidR="002845D0" w:rsidRPr="00511367" w:rsidRDefault="002845D0" w:rsidP="002845D0">
            <w:pPr>
              <w:spacing w:line="240" w:lineRule="auto"/>
              <w:jc w:val="both"/>
              <w:rPr>
                <w:rFonts w:asciiTheme="majorHAnsi" w:eastAsia="Century Gothic" w:hAnsiTheme="majorHAnsi" w:cstheme="majorHAnsi"/>
                <w:highlight w:val="cyan"/>
              </w:rPr>
            </w:pPr>
          </w:p>
          <w:p w14:paraId="29EFDB40" w14:textId="77777777"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 xml:space="preserve">Esta consultoría busca tener un equipo técnico con conocimientos de cambio climático y de programación informática para avanzar en el robustecimiento del SINAMECC. </w:t>
            </w:r>
          </w:p>
          <w:p w14:paraId="71BAFBBE" w14:textId="77777777" w:rsidR="002845D0" w:rsidRPr="00511367" w:rsidRDefault="002845D0" w:rsidP="002845D0">
            <w:pPr>
              <w:widowControl w:val="0"/>
              <w:spacing w:line="240" w:lineRule="auto"/>
              <w:jc w:val="both"/>
              <w:rPr>
                <w:rFonts w:asciiTheme="majorHAnsi" w:eastAsia="Century Gothic" w:hAnsiTheme="majorHAnsi" w:cstheme="majorHAnsi"/>
              </w:rPr>
            </w:pPr>
          </w:p>
          <w:p w14:paraId="2D589708" w14:textId="77777777" w:rsidR="002845D0" w:rsidRPr="00511367" w:rsidRDefault="002845D0" w:rsidP="002845D0">
            <w:pPr>
              <w:widowControl w:val="0"/>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Los principales productos esperados de este proyecto son:</w:t>
            </w:r>
          </w:p>
          <w:p w14:paraId="3AA6D876" w14:textId="77777777" w:rsidR="002845D0" w:rsidRPr="00511367" w:rsidRDefault="002845D0" w:rsidP="002845D0">
            <w:pPr>
              <w:keepNext/>
              <w:numPr>
                <w:ilvl w:val="0"/>
                <w:numId w:val="23"/>
              </w:numPr>
              <w:spacing w:before="120" w:line="288" w:lineRule="auto"/>
              <w:ind w:left="425"/>
              <w:jc w:val="both"/>
              <w:rPr>
                <w:rFonts w:asciiTheme="majorHAnsi" w:eastAsia="Century Gothic" w:hAnsiTheme="majorHAnsi" w:cstheme="majorHAnsi"/>
              </w:rPr>
            </w:pPr>
            <w:r w:rsidRPr="00511367">
              <w:rPr>
                <w:rFonts w:asciiTheme="majorHAnsi" w:eastAsia="Century Gothic" w:hAnsiTheme="majorHAnsi" w:cstheme="majorHAnsi"/>
              </w:rPr>
              <w:t xml:space="preserve">Implementar un módulo de categoría de producto del Programa País de Carbono Neutralidad (PPCN) en el SINAMECC. Esto incluye: </w:t>
            </w:r>
          </w:p>
          <w:p w14:paraId="2DCAF671" w14:textId="454E8B10" w:rsidR="002845D0" w:rsidRPr="00511367" w:rsidRDefault="002845D0" w:rsidP="002845D0">
            <w:pPr>
              <w:keepNext/>
              <w:numPr>
                <w:ilvl w:val="1"/>
                <w:numId w:val="23"/>
              </w:numPr>
              <w:spacing w:before="120" w:line="288" w:lineRule="auto"/>
              <w:ind w:left="708"/>
              <w:jc w:val="both"/>
              <w:rPr>
                <w:rFonts w:asciiTheme="majorHAnsi" w:eastAsia="Century Gothic" w:hAnsiTheme="majorHAnsi" w:cstheme="majorHAnsi"/>
              </w:rPr>
            </w:pPr>
            <w:r w:rsidRPr="00511367">
              <w:rPr>
                <w:rFonts w:asciiTheme="majorHAnsi" w:eastAsia="Century Gothic" w:hAnsiTheme="majorHAnsi" w:cstheme="majorHAnsi"/>
              </w:rPr>
              <w:t xml:space="preserve">Creación de un API entre la base de datos del </w:t>
            </w:r>
            <w:r w:rsidR="00F9472A" w:rsidRPr="00511367">
              <w:rPr>
                <w:rFonts w:asciiTheme="majorHAnsi" w:eastAsia="Century Gothic" w:hAnsiTheme="majorHAnsi" w:cstheme="majorHAnsi"/>
              </w:rPr>
              <w:t>sitio web</w:t>
            </w:r>
            <w:r w:rsidRPr="00511367">
              <w:rPr>
                <w:rFonts w:asciiTheme="majorHAnsi" w:eastAsia="Century Gothic" w:hAnsiTheme="majorHAnsi" w:cstheme="majorHAnsi"/>
              </w:rPr>
              <w:t xml:space="preserve"> de cálculo de ciclo de vida y el SINAMECC. La Dirección de Cambio Climático (DCC) proveerá los detalles del </w:t>
            </w:r>
            <w:r w:rsidR="00F9472A" w:rsidRPr="00511367">
              <w:rPr>
                <w:rFonts w:asciiTheme="majorHAnsi" w:eastAsia="Century Gothic" w:hAnsiTheme="majorHAnsi" w:cstheme="majorHAnsi"/>
              </w:rPr>
              <w:t>sitio web</w:t>
            </w:r>
            <w:r w:rsidRPr="00511367">
              <w:rPr>
                <w:rFonts w:asciiTheme="majorHAnsi" w:eastAsia="Century Gothic" w:hAnsiTheme="majorHAnsi" w:cstheme="majorHAnsi"/>
              </w:rPr>
              <w:t xml:space="preserve"> de cálculo de ciclo de vida y se encargará de la coordinación para concretar esta conexión. </w:t>
            </w:r>
          </w:p>
          <w:p w14:paraId="5E5D2324" w14:textId="514DC794" w:rsidR="002845D0" w:rsidRPr="00511367" w:rsidRDefault="002845D0" w:rsidP="002845D0">
            <w:pPr>
              <w:keepNext/>
              <w:numPr>
                <w:ilvl w:val="1"/>
                <w:numId w:val="23"/>
              </w:numPr>
              <w:spacing w:before="120" w:line="288" w:lineRule="auto"/>
              <w:ind w:left="708"/>
              <w:jc w:val="both"/>
              <w:rPr>
                <w:rFonts w:asciiTheme="majorHAnsi" w:eastAsia="Century Gothic" w:hAnsiTheme="majorHAnsi" w:cstheme="majorHAnsi"/>
              </w:rPr>
            </w:pPr>
            <w:r w:rsidRPr="00511367">
              <w:rPr>
                <w:rFonts w:asciiTheme="majorHAnsi" w:eastAsia="Century Gothic" w:hAnsiTheme="majorHAnsi" w:cstheme="majorHAnsi"/>
              </w:rPr>
              <w:t xml:space="preserve">Capacidad de descargar en formato xlsx y en formato </w:t>
            </w:r>
            <w:proofErr w:type="spellStart"/>
            <w:r w:rsidRPr="00511367">
              <w:rPr>
                <w:rFonts w:asciiTheme="majorHAnsi" w:eastAsia="Century Gothic" w:hAnsiTheme="majorHAnsi" w:cstheme="majorHAnsi"/>
              </w:rPr>
              <w:t>sql</w:t>
            </w:r>
            <w:proofErr w:type="spellEnd"/>
            <w:r w:rsidRPr="00511367">
              <w:rPr>
                <w:rFonts w:asciiTheme="majorHAnsi" w:eastAsia="Century Gothic" w:hAnsiTheme="majorHAnsi" w:cstheme="majorHAnsi"/>
              </w:rPr>
              <w:t xml:space="preserve"> las bases de datos específicas para Costa Rica generadas en los procesos de cálculo de ciclo de vida con el </w:t>
            </w:r>
            <w:r w:rsidR="00F9472A" w:rsidRPr="00511367">
              <w:rPr>
                <w:rFonts w:asciiTheme="majorHAnsi" w:eastAsia="Century Gothic" w:hAnsiTheme="majorHAnsi" w:cstheme="majorHAnsi"/>
              </w:rPr>
              <w:t>sitio web</w:t>
            </w:r>
            <w:r w:rsidRPr="00511367">
              <w:rPr>
                <w:rFonts w:asciiTheme="majorHAnsi" w:eastAsia="Century Gothic" w:hAnsiTheme="majorHAnsi" w:cstheme="majorHAnsi"/>
              </w:rPr>
              <w:t xml:space="preserve"> de cálculo de ciclo de vida.</w:t>
            </w:r>
          </w:p>
          <w:p w14:paraId="361A10F8" w14:textId="77777777" w:rsidR="002845D0" w:rsidRPr="00511367" w:rsidRDefault="002845D0" w:rsidP="002845D0">
            <w:pPr>
              <w:keepNext/>
              <w:numPr>
                <w:ilvl w:val="1"/>
                <w:numId w:val="23"/>
              </w:numPr>
              <w:spacing w:before="120" w:line="288" w:lineRule="auto"/>
              <w:ind w:left="708"/>
              <w:jc w:val="both"/>
              <w:rPr>
                <w:rFonts w:asciiTheme="majorHAnsi" w:eastAsia="Century Gothic" w:hAnsiTheme="majorHAnsi" w:cstheme="majorHAnsi"/>
              </w:rPr>
            </w:pPr>
            <w:r w:rsidRPr="00511367">
              <w:rPr>
                <w:rFonts w:asciiTheme="majorHAnsi" w:eastAsia="Century Gothic" w:hAnsiTheme="majorHAnsi" w:cstheme="majorHAnsi"/>
              </w:rPr>
              <w:t>Creación de visualizaciones automatizadas de los resultados de los análisis de ciclo de vida y de las bases de datos, de manera que se facilite su comprensión y acceso a la información.</w:t>
            </w:r>
          </w:p>
          <w:p w14:paraId="2109BB5C" w14:textId="07AF0AC4" w:rsidR="002845D0" w:rsidRPr="00511367" w:rsidRDefault="002845D0" w:rsidP="002845D0">
            <w:pPr>
              <w:keepNext/>
              <w:numPr>
                <w:ilvl w:val="1"/>
                <w:numId w:val="23"/>
              </w:numPr>
              <w:spacing w:before="120" w:line="288" w:lineRule="auto"/>
              <w:ind w:left="708"/>
              <w:jc w:val="both"/>
              <w:rPr>
                <w:rFonts w:asciiTheme="majorHAnsi" w:eastAsia="Century Gothic" w:hAnsiTheme="majorHAnsi" w:cstheme="majorHAnsi"/>
              </w:rPr>
            </w:pPr>
            <w:r w:rsidRPr="00511367">
              <w:rPr>
                <w:rFonts w:asciiTheme="majorHAnsi" w:eastAsia="Century Gothic" w:hAnsiTheme="majorHAnsi" w:cstheme="majorHAnsi"/>
              </w:rPr>
              <w:t>Crear un botón con el acceso al sitio web con la herramienta de análisis de ciclo de vida en la plataforma digital del SINAMECC.</w:t>
            </w:r>
          </w:p>
          <w:p w14:paraId="081CBA64" w14:textId="77777777" w:rsidR="002845D0" w:rsidRPr="00511367" w:rsidRDefault="002845D0" w:rsidP="002845D0">
            <w:pPr>
              <w:keepNext/>
              <w:numPr>
                <w:ilvl w:val="0"/>
                <w:numId w:val="23"/>
              </w:numPr>
              <w:spacing w:before="120" w:line="288" w:lineRule="auto"/>
              <w:ind w:left="425"/>
              <w:jc w:val="both"/>
              <w:rPr>
                <w:rFonts w:asciiTheme="majorHAnsi" w:eastAsia="Century Gothic" w:hAnsiTheme="majorHAnsi" w:cstheme="majorHAnsi"/>
              </w:rPr>
            </w:pPr>
            <w:r w:rsidRPr="00511367">
              <w:rPr>
                <w:rFonts w:asciiTheme="majorHAnsi" w:eastAsia="Century Gothic" w:hAnsiTheme="majorHAnsi" w:cstheme="majorHAnsi"/>
              </w:rPr>
              <w:t>Actualizar el registro de acciones de mitigación disponible en el SINAMECC de manera que tenga una jerarquía y 3 subsecciones para registrar los impactos en desarrollo sostenible y cambio transformacional. Esto incluye, pero no limitado a:</w:t>
            </w:r>
          </w:p>
          <w:p w14:paraId="512754C3" w14:textId="77777777" w:rsidR="002845D0" w:rsidRPr="00511367" w:rsidRDefault="002845D0" w:rsidP="002845D0">
            <w:pPr>
              <w:keepNext/>
              <w:numPr>
                <w:ilvl w:val="1"/>
                <w:numId w:val="23"/>
              </w:numPr>
              <w:spacing w:before="120" w:line="288" w:lineRule="auto"/>
              <w:ind w:left="708"/>
              <w:jc w:val="both"/>
              <w:rPr>
                <w:rFonts w:asciiTheme="majorHAnsi" w:eastAsia="Century Gothic" w:hAnsiTheme="majorHAnsi" w:cstheme="majorHAnsi"/>
              </w:rPr>
            </w:pPr>
            <w:r w:rsidRPr="00511367">
              <w:rPr>
                <w:rFonts w:asciiTheme="majorHAnsi" w:eastAsia="Century Gothic" w:hAnsiTheme="majorHAnsi" w:cstheme="majorHAnsi"/>
              </w:rPr>
              <w:t xml:space="preserve">Actualización el registro de acciones de mitigación del SINAMECC, que consiste en: </w:t>
            </w:r>
          </w:p>
          <w:p w14:paraId="6CEB8CC9" w14:textId="71A72079" w:rsidR="002845D0" w:rsidRPr="00511367" w:rsidRDefault="002845D0" w:rsidP="002845D0">
            <w:pPr>
              <w:keepNext/>
              <w:numPr>
                <w:ilvl w:val="2"/>
                <w:numId w:val="23"/>
              </w:numPr>
              <w:spacing w:before="120" w:line="288" w:lineRule="auto"/>
              <w:ind w:left="1133"/>
              <w:jc w:val="both"/>
              <w:rPr>
                <w:rFonts w:asciiTheme="majorHAnsi" w:eastAsia="Century Gothic" w:hAnsiTheme="majorHAnsi" w:cstheme="majorHAnsi"/>
              </w:rPr>
            </w:pPr>
            <w:r w:rsidRPr="00511367">
              <w:rPr>
                <w:rFonts w:asciiTheme="majorHAnsi" w:eastAsia="Century Gothic" w:hAnsiTheme="majorHAnsi" w:cstheme="majorHAnsi"/>
              </w:rPr>
              <w:t xml:space="preserve">Actualizar los campos del formulario de registro de acciones de mitigación disponible en el </w:t>
            </w:r>
            <w:r w:rsidR="00F9472A" w:rsidRPr="00511367">
              <w:rPr>
                <w:rFonts w:asciiTheme="majorHAnsi" w:eastAsia="Century Gothic" w:hAnsiTheme="majorHAnsi" w:cstheme="majorHAnsi"/>
              </w:rPr>
              <w:t>sitio web</w:t>
            </w:r>
            <w:r w:rsidRPr="00511367">
              <w:rPr>
                <w:rFonts w:asciiTheme="majorHAnsi" w:eastAsia="Century Gothic" w:hAnsiTheme="majorHAnsi" w:cstheme="majorHAnsi"/>
              </w:rPr>
              <w:t xml:space="preserve"> del SINAMECC, de manera que sea coherente con la guía registro de acciones de mitigación al SINAMECC, </w:t>
            </w:r>
            <w:r w:rsidR="00F9472A" w:rsidRPr="00511367">
              <w:rPr>
                <w:rFonts w:asciiTheme="majorHAnsi" w:eastAsia="Century Gothic" w:hAnsiTheme="majorHAnsi" w:cstheme="majorHAnsi"/>
              </w:rPr>
              <w:t>versión agosto</w:t>
            </w:r>
            <w:r w:rsidRPr="00511367">
              <w:rPr>
                <w:rFonts w:asciiTheme="majorHAnsi" w:eastAsia="Century Gothic" w:hAnsiTheme="majorHAnsi" w:cstheme="majorHAnsi"/>
              </w:rPr>
              <w:t xml:space="preserve"> 2020. La guía de registro de acciones de mitigación en el SINAMECC será aportada por la DCC. </w:t>
            </w:r>
          </w:p>
          <w:p w14:paraId="2384F3F5" w14:textId="3206D2CB" w:rsidR="002845D0" w:rsidRPr="00511367" w:rsidRDefault="002845D0" w:rsidP="002845D0">
            <w:pPr>
              <w:keepNext/>
              <w:numPr>
                <w:ilvl w:val="2"/>
                <w:numId w:val="23"/>
              </w:numPr>
              <w:spacing w:before="120" w:line="288" w:lineRule="auto"/>
              <w:ind w:left="1133"/>
              <w:jc w:val="both"/>
              <w:rPr>
                <w:rFonts w:asciiTheme="majorHAnsi" w:eastAsia="Century Gothic" w:hAnsiTheme="majorHAnsi" w:cstheme="majorHAnsi"/>
              </w:rPr>
            </w:pPr>
            <w:r w:rsidRPr="00511367">
              <w:rPr>
                <w:rFonts w:asciiTheme="majorHAnsi" w:eastAsia="Century Gothic" w:hAnsiTheme="majorHAnsi" w:cstheme="majorHAnsi"/>
              </w:rPr>
              <w:t xml:space="preserve">Crear una jerarquía en el registro de acciones de mitigación que tenga la capacidad de registrar una iniciativa de mitigación y varios proyectos subsidiarios asociados a </w:t>
            </w:r>
            <w:r w:rsidR="00F9472A" w:rsidRPr="00511367">
              <w:rPr>
                <w:rFonts w:asciiTheme="majorHAnsi" w:eastAsia="Century Gothic" w:hAnsiTheme="majorHAnsi" w:cstheme="majorHAnsi"/>
                <w:lang w:val="x-none"/>
              </w:rPr>
              <w:t>é</w:t>
            </w:r>
            <w:r w:rsidRPr="00511367">
              <w:rPr>
                <w:rFonts w:asciiTheme="majorHAnsi" w:eastAsia="Century Gothic" w:hAnsiTheme="majorHAnsi" w:cstheme="majorHAnsi"/>
              </w:rPr>
              <w:t xml:space="preserve">sta, que puedan ser editados de manera independiente.  Por ejemplo, el Plan Nacional de Descarbonización (PND) sería registrado inicialmente como una iniciativa, la cual tendría varios proyectos específicos de reducción de emisiones asociados que apoyan al cumplimiento de las metas del PND, como el proyecto de la implementación de carriles exclusivos y el pilotaje de buses eléctricos. Estos proyectos se tendrían que poder registrar y editar de manera independiente a la iniciativa. </w:t>
            </w:r>
          </w:p>
          <w:p w14:paraId="3E8FB813" w14:textId="77777777" w:rsidR="002845D0" w:rsidRPr="00511367" w:rsidRDefault="002845D0" w:rsidP="002845D0">
            <w:pPr>
              <w:keepNext/>
              <w:numPr>
                <w:ilvl w:val="1"/>
                <w:numId w:val="23"/>
              </w:numPr>
              <w:spacing w:before="120" w:line="288" w:lineRule="auto"/>
              <w:ind w:left="708"/>
              <w:jc w:val="both"/>
              <w:rPr>
                <w:rFonts w:asciiTheme="majorHAnsi" w:eastAsia="Century Gothic" w:hAnsiTheme="majorHAnsi" w:cstheme="majorHAnsi"/>
              </w:rPr>
            </w:pPr>
            <w:r w:rsidRPr="00511367">
              <w:rPr>
                <w:rFonts w:asciiTheme="majorHAnsi" w:eastAsia="Century Gothic" w:hAnsiTheme="majorHAnsi" w:cstheme="majorHAnsi"/>
              </w:rPr>
              <w:t xml:space="preserve">Segmentación del registro de acciones de mitigación en 3 subsecciones, los cuales deben ser completadas de manera secuencial, pero editados de manera independiente, y se alimentan unos de otras: </w:t>
            </w:r>
          </w:p>
          <w:p w14:paraId="2A9581FA" w14:textId="77777777" w:rsidR="002845D0" w:rsidRPr="00511367" w:rsidRDefault="002845D0" w:rsidP="002845D0">
            <w:pPr>
              <w:keepNext/>
              <w:numPr>
                <w:ilvl w:val="2"/>
                <w:numId w:val="23"/>
              </w:numPr>
              <w:spacing w:before="120" w:line="288" w:lineRule="auto"/>
              <w:ind w:left="1133"/>
              <w:jc w:val="both"/>
              <w:rPr>
                <w:rFonts w:asciiTheme="majorHAnsi" w:eastAsia="Century Gothic" w:hAnsiTheme="majorHAnsi" w:cstheme="majorHAnsi"/>
              </w:rPr>
            </w:pPr>
            <w:r w:rsidRPr="00511367">
              <w:rPr>
                <w:rFonts w:asciiTheme="majorHAnsi" w:eastAsia="Century Gothic" w:hAnsiTheme="majorHAnsi" w:cstheme="majorHAnsi"/>
              </w:rPr>
              <w:t>Mitigación: basado en el registro actual de acciones de mitigación y la actualización descrita en 2.a.i</w:t>
            </w:r>
          </w:p>
          <w:p w14:paraId="44A81BD4" w14:textId="77777777" w:rsidR="002845D0" w:rsidRPr="00511367" w:rsidRDefault="002845D0" w:rsidP="002845D0">
            <w:pPr>
              <w:keepNext/>
              <w:numPr>
                <w:ilvl w:val="2"/>
                <w:numId w:val="23"/>
              </w:numPr>
              <w:spacing w:before="120" w:line="288" w:lineRule="auto"/>
              <w:ind w:left="1133"/>
              <w:jc w:val="both"/>
              <w:rPr>
                <w:rFonts w:asciiTheme="majorHAnsi" w:eastAsia="Century Gothic" w:hAnsiTheme="majorHAnsi" w:cstheme="majorHAnsi"/>
              </w:rPr>
            </w:pPr>
            <w:r w:rsidRPr="00511367">
              <w:rPr>
                <w:rFonts w:asciiTheme="majorHAnsi" w:eastAsia="Century Gothic" w:hAnsiTheme="majorHAnsi" w:cstheme="majorHAnsi"/>
              </w:rPr>
              <w:t xml:space="preserve">Co-beneficios: este registro es una segunda parte del registro, que construye sobre la información del punto 2.b.i y consiste en un formulario con una serie de campos de captura de información </w:t>
            </w:r>
          </w:p>
          <w:p w14:paraId="00405CDA" w14:textId="0F662704" w:rsidR="002845D0" w:rsidRPr="00511367" w:rsidRDefault="002845D0" w:rsidP="002845D0">
            <w:pPr>
              <w:keepNext/>
              <w:numPr>
                <w:ilvl w:val="2"/>
                <w:numId w:val="23"/>
              </w:numPr>
              <w:spacing w:before="120" w:line="288" w:lineRule="auto"/>
              <w:ind w:left="1133"/>
              <w:jc w:val="both"/>
              <w:rPr>
                <w:rFonts w:asciiTheme="majorHAnsi" w:eastAsia="Century Gothic" w:hAnsiTheme="majorHAnsi" w:cstheme="majorHAnsi"/>
              </w:rPr>
            </w:pPr>
            <w:r w:rsidRPr="00511367">
              <w:rPr>
                <w:rFonts w:asciiTheme="majorHAnsi" w:eastAsia="Century Gothic" w:hAnsiTheme="majorHAnsi" w:cstheme="majorHAnsi"/>
              </w:rPr>
              <w:t xml:space="preserve">Cambio transformacional: este registro es la tercera parte, que construye sobre la información del punto </w:t>
            </w:r>
            <w:r w:rsidR="00FC532E" w:rsidRPr="00511367">
              <w:rPr>
                <w:rFonts w:asciiTheme="majorHAnsi" w:eastAsia="Century Gothic" w:hAnsiTheme="majorHAnsi" w:cstheme="majorHAnsi"/>
              </w:rPr>
              <w:t>2.b.ii y</w:t>
            </w:r>
            <w:r w:rsidRPr="00511367">
              <w:rPr>
                <w:rFonts w:asciiTheme="majorHAnsi" w:eastAsia="Century Gothic" w:hAnsiTheme="majorHAnsi" w:cstheme="majorHAnsi"/>
              </w:rPr>
              <w:t xml:space="preserve"> consiste en un formulario con una serie de campos de captura de información</w:t>
            </w:r>
            <w:r w:rsidR="00FC532E" w:rsidRPr="00511367">
              <w:rPr>
                <w:rFonts w:asciiTheme="majorHAnsi" w:eastAsia="Century Gothic" w:hAnsiTheme="majorHAnsi" w:cstheme="majorHAnsi"/>
              </w:rPr>
              <w:t>.</w:t>
            </w:r>
            <w:r w:rsidRPr="00511367">
              <w:rPr>
                <w:rFonts w:asciiTheme="majorHAnsi" w:eastAsia="Century Gothic" w:hAnsiTheme="majorHAnsi" w:cstheme="majorHAnsi"/>
              </w:rPr>
              <w:t xml:space="preserve"> </w:t>
            </w:r>
          </w:p>
          <w:p w14:paraId="4036B996" w14:textId="5CF378C0" w:rsidR="002845D0" w:rsidRPr="00511367" w:rsidRDefault="002845D0" w:rsidP="002845D0">
            <w:pPr>
              <w:keepNext/>
              <w:spacing w:before="120" w:line="288" w:lineRule="auto"/>
              <w:ind w:left="283"/>
              <w:jc w:val="both"/>
              <w:rPr>
                <w:rFonts w:asciiTheme="majorHAnsi" w:eastAsia="Century Gothic" w:hAnsiTheme="majorHAnsi" w:cstheme="majorHAnsi"/>
              </w:rPr>
            </w:pPr>
            <w:r w:rsidRPr="00511367">
              <w:rPr>
                <w:rFonts w:asciiTheme="majorHAnsi" w:eastAsia="Century Gothic" w:hAnsiTheme="majorHAnsi" w:cstheme="majorHAnsi"/>
              </w:rPr>
              <w:t>El detalle de formato de estos sub</w:t>
            </w:r>
            <w:r w:rsidR="00FC532E" w:rsidRPr="00511367">
              <w:rPr>
                <w:rFonts w:asciiTheme="majorHAnsi" w:eastAsia="Century Gothic" w:hAnsiTheme="majorHAnsi" w:cstheme="majorHAnsi"/>
              </w:rPr>
              <w:t>-</w:t>
            </w:r>
            <w:r w:rsidRPr="00511367">
              <w:rPr>
                <w:rFonts w:asciiTheme="majorHAnsi" w:eastAsia="Century Gothic" w:hAnsiTheme="majorHAnsi" w:cstheme="majorHAnsi"/>
              </w:rPr>
              <w:t xml:space="preserve">registros será aportado por la DCC. </w:t>
            </w:r>
          </w:p>
        </w:tc>
      </w:tr>
      <w:tr w:rsidR="002845D0" w:rsidRPr="00FC2AE6" w14:paraId="3B7936F9" w14:textId="77777777" w:rsidTr="002845D0">
        <w:tc>
          <w:tcPr>
            <w:tcW w:w="3263" w:type="dxa"/>
            <w:shd w:val="clear" w:color="auto" w:fill="C6D9F1"/>
            <w:vAlign w:val="center"/>
          </w:tcPr>
          <w:p w14:paraId="1018693D"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Relación y descripción de los productos esperados</w:t>
            </w:r>
          </w:p>
        </w:tc>
        <w:tc>
          <w:tcPr>
            <w:tcW w:w="6087" w:type="dxa"/>
            <w:shd w:val="clear" w:color="auto" w:fill="auto"/>
          </w:tcPr>
          <w:p w14:paraId="138A09E7" w14:textId="77777777" w:rsidR="002845D0" w:rsidRPr="00A92968" w:rsidRDefault="002845D0" w:rsidP="002845D0">
            <w:pPr>
              <w:spacing w:line="240" w:lineRule="auto"/>
              <w:jc w:val="both"/>
              <w:rPr>
                <w:rFonts w:asciiTheme="majorHAnsi" w:eastAsia="Century Gothic" w:hAnsiTheme="majorHAnsi" w:cstheme="majorHAnsi"/>
              </w:rPr>
            </w:pPr>
          </w:p>
          <w:p w14:paraId="31AA93FF" w14:textId="77777777"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Se espera obtener como resultado de esta consultoría los siguientes productos:</w:t>
            </w:r>
          </w:p>
          <w:p w14:paraId="77FC7680" w14:textId="77777777" w:rsidR="002845D0" w:rsidRPr="00511367" w:rsidRDefault="002845D0" w:rsidP="002845D0">
            <w:pPr>
              <w:spacing w:line="240" w:lineRule="auto"/>
              <w:jc w:val="both"/>
              <w:rPr>
                <w:rFonts w:asciiTheme="majorHAnsi" w:eastAsia="Century Gothic" w:hAnsiTheme="majorHAnsi" w:cstheme="majorHAnsi"/>
              </w:rPr>
            </w:pPr>
          </w:p>
          <w:p w14:paraId="2B5AF6AD" w14:textId="48D05B93" w:rsidR="002845D0" w:rsidRPr="00A92968" w:rsidRDefault="002845D0" w:rsidP="002845D0">
            <w:pPr>
              <w:spacing w:line="240" w:lineRule="auto"/>
              <w:jc w:val="both"/>
              <w:rPr>
                <w:rFonts w:asciiTheme="majorHAnsi" w:eastAsia="Century Gothic" w:hAnsiTheme="majorHAnsi" w:cstheme="majorHAnsi"/>
                <w:b/>
              </w:rPr>
            </w:pPr>
            <w:r w:rsidRPr="00511367">
              <w:rPr>
                <w:rFonts w:asciiTheme="majorHAnsi" w:eastAsia="Century Gothic" w:hAnsiTheme="majorHAnsi" w:cstheme="majorHAnsi"/>
                <w:b/>
              </w:rPr>
              <w:t xml:space="preserve">Producto 1: </w:t>
            </w:r>
            <w:r w:rsidR="00E826CD" w:rsidRPr="00511367">
              <w:rPr>
                <w:rFonts w:asciiTheme="majorHAnsi" w:eastAsia="Century Gothic" w:hAnsiTheme="majorHAnsi" w:cstheme="majorHAnsi"/>
                <w:b/>
              </w:rPr>
              <w:t xml:space="preserve"> Plan de </w:t>
            </w:r>
            <w:r w:rsidR="00E826CD" w:rsidRPr="005854D7">
              <w:rPr>
                <w:rFonts w:asciiTheme="majorHAnsi" w:eastAsia="Century Gothic" w:hAnsiTheme="majorHAnsi" w:cstheme="majorHAnsi"/>
                <w:b/>
              </w:rPr>
              <w:t>Trabajo</w:t>
            </w:r>
          </w:p>
          <w:p w14:paraId="5BB60D28" w14:textId="77777777"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Plan de trabajo, calendario de gestión y metodología para cada entregable.</w:t>
            </w:r>
          </w:p>
          <w:p w14:paraId="7223AE37" w14:textId="77777777" w:rsidR="002845D0" w:rsidRPr="00511367" w:rsidRDefault="002845D0" w:rsidP="002845D0">
            <w:pPr>
              <w:spacing w:line="240" w:lineRule="auto"/>
              <w:jc w:val="both"/>
              <w:rPr>
                <w:rFonts w:asciiTheme="majorHAnsi" w:eastAsia="Century Gothic" w:hAnsiTheme="majorHAnsi" w:cstheme="majorHAnsi"/>
                <w:highlight w:val="cyan"/>
              </w:rPr>
            </w:pPr>
          </w:p>
          <w:p w14:paraId="5DDF6964" w14:textId="698116B9" w:rsidR="002845D0" w:rsidRPr="00A92968" w:rsidRDefault="002845D0" w:rsidP="002845D0">
            <w:pPr>
              <w:spacing w:line="240" w:lineRule="auto"/>
              <w:jc w:val="both"/>
              <w:rPr>
                <w:rFonts w:asciiTheme="majorHAnsi" w:eastAsia="Century Gothic" w:hAnsiTheme="majorHAnsi" w:cstheme="majorHAnsi"/>
                <w:b/>
              </w:rPr>
            </w:pPr>
            <w:r w:rsidRPr="00511367">
              <w:rPr>
                <w:rFonts w:asciiTheme="majorHAnsi" w:eastAsia="Century Gothic" w:hAnsiTheme="majorHAnsi" w:cstheme="majorHAnsi"/>
                <w:b/>
              </w:rPr>
              <w:t xml:space="preserve">Producto 2: </w:t>
            </w:r>
            <w:r w:rsidR="00A92968" w:rsidRPr="00A92968">
              <w:rPr>
                <w:rFonts w:asciiTheme="majorHAnsi" w:eastAsia="Century Gothic" w:hAnsiTheme="majorHAnsi" w:cstheme="majorHAnsi"/>
                <w:b/>
                <w:color w:val="000000" w:themeColor="text1"/>
              </w:rPr>
              <w:t xml:space="preserve">Informe de Desarrollo e </w:t>
            </w:r>
            <w:proofErr w:type="spellStart"/>
            <w:r w:rsidR="00A92968" w:rsidRPr="00A92968">
              <w:rPr>
                <w:rFonts w:asciiTheme="majorHAnsi" w:eastAsia="Century Gothic" w:hAnsiTheme="majorHAnsi" w:cstheme="majorHAnsi"/>
                <w:b/>
                <w:color w:val="000000" w:themeColor="text1"/>
              </w:rPr>
              <w:t>Implementaci</w:t>
            </w:r>
            <w:r w:rsidR="00A92968" w:rsidRPr="00A92968">
              <w:rPr>
                <w:rFonts w:asciiTheme="majorHAnsi" w:eastAsia="Century Gothic" w:hAnsiTheme="majorHAnsi" w:cstheme="majorHAnsi"/>
                <w:b/>
                <w:color w:val="000000" w:themeColor="text1"/>
                <w:lang w:val="x-none"/>
              </w:rPr>
              <w:t>ón</w:t>
            </w:r>
            <w:proofErr w:type="spellEnd"/>
          </w:p>
          <w:p w14:paraId="5EDB1371" w14:textId="77777777" w:rsidR="002845D0" w:rsidRPr="00511367" w:rsidRDefault="002845D0" w:rsidP="002845D0">
            <w:pPr>
              <w:spacing w:line="240" w:lineRule="auto"/>
              <w:jc w:val="both"/>
              <w:rPr>
                <w:rFonts w:asciiTheme="majorHAnsi" w:eastAsia="Century Gothic" w:hAnsiTheme="majorHAnsi" w:cstheme="majorHAnsi"/>
              </w:rPr>
            </w:pPr>
            <w:r w:rsidRPr="00A92968">
              <w:rPr>
                <w:rFonts w:asciiTheme="majorHAnsi" w:eastAsia="Century Gothic" w:hAnsiTheme="majorHAnsi" w:cstheme="majorHAnsi"/>
              </w:rPr>
              <w:t>Documento editable con las historias de usuario detalladas y el cronograma de desarrollo e implementación del módulo de categoría de producto del PPCN en el SINAMECC y la actualización del registro de acciones de mitigación dis</w:t>
            </w:r>
            <w:r w:rsidRPr="00511367">
              <w:rPr>
                <w:rFonts w:asciiTheme="majorHAnsi" w:eastAsia="Century Gothic" w:hAnsiTheme="majorHAnsi" w:cstheme="majorHAnsi"/>
              </w:rPr>
              <w:t xml:space="preserve">ponible en el SINAMECC de manera que tenga una jerarquía y 3 subsecciones para registrar los impactos en desarrollo sostenible y cambio transformacional según la descripción de los servicios en la sección anterior. </w:t>
            </w:r>
          </w:p>
          <w:p w14:paraId="1585C865" w14:textId="77777777" w:rsidR="002845D0" w:rsidRPr="00511367" w:rsidRDefault="002845D0" w:rsidP="002845D0">
            <w:pPr>
              <w:spacing w:line="240" w:lineRule="auto"/>
              <w:jc w:val="both"/>
              <w:rPr>
                <w:rFonts w:asciiTheme="majorHAnsi" w:eastAsia="Century Gothic" w:hAnsiTheme="majorHAnsi" w:cstheme="majorHAnsi"/>
              </w:rPr>
            </w:pPr>
          </w:p>
          <w:p w14:paraId="48658536" w14:textId="6C9D915A" w:rsidR="002845D0" w:rsidRPr="00A92968" w:rsidRDefault="002845D0" w:rsidP="002845D0">
            <w:pPr>
              <w:spacing w:line="240" w:lineRule="auto"/>
              <w:jc w:val="both"/>
              <w:rPr>
                <w:rFonts w:asciiTheme="majorHAnsi" w:eastAsia="Century Gothic" w:hAnsiTheme="majorHAnsi" w:cstheme="majorHAnsi"/>
                <w:b/>
              </w:rPr>
            </w:pPr>
            <w:r w:rsidRPr="00511367">
              <w:rPr>
                <w:rFonts w:asciiTheme="majorHAnsi" w:eastAsia="Century Gothic" w:hAnsiTheme="majorHAnsi" w:cstheme="majorHAnsi"/>
                <w:b/>
              </w:rPr>
              <w:t xml:space="preserve">Producto 3: </w:t>
            </w:r>
            <w:r w:rsidR="00FC2AE6" w:rsidRPr="00511367">
              <w:rPr>
                <w:rFonts w:asciiTheme="majorHAnsi" w:eastAsia="Century Gothic" w:hAnsiTheme="majorHAnsi" w:cstheme="majorHAnsi"/>
                <w:b/>
              </w:rPr>
              <w:t>Inform</w:t>
            </w:r>
            <w:r w:rsidR="00FC2AE6" w:rsidRPr="005854D7">
              <w:rPr>
                <w:rFonts w:asciiTheme="majorHAnsi" w:eastAsia="Century Gothic" w:hAnsiTheme="majorHAnsi" w:cstheme="majorHAnsi"/>
                <w:b/>
              </w:rPr>
              <w:t xml:space="preserve">e </w:t>
            </w:r>
            <w:r w:rsidR="00FC2AE6" w:rsidRPr="00A92968">
              <w:rPr>
                <w:rFonts w:asciiTheme="majorHAnsi" w:eastAsia="Century Gothic" w:hAnsiTheme="majorHAnsi" w:cstheme="majorHAnsi"/>
                <w:b/>
              </w:rPr>
              <w:t>final</w:t>
            </w:r>
          </w:p>
          <w:p w14:paraId="79B43D22" w14:textId="77777777"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Informe final de la consultoría que incluye, pero no limitado a:</w:t>
            </w:r>
          </w:p>
          <w:p w14:paraId="129A3D5C" w14:textId="06033B24" w:rsidR="002845D0" w:rsidRPr="00511367" w:rsidRDefault="002845D0" w:rsidP="002845D0">
            <w:pPr>
              <w:numPr>
                <w:ilvl w:val="0"/>
                <w:numId w:val="22"/>
              </w:numPr>
              <w:spacing w:line="240" w:lineRule="auto"/>
              <w:jc w:val="both"/>
              <w:rPr>
                <w:rFonts w:asciiTheme="majorHAnsi" w:eastAsia="Century Gothic" w:hAnsiTheme="majorHAnsi" w:cstheme="majorHAnsi"/>
              </w:rPr>
            </w:pPr>
            <w:bookmarkStart w:id="0" w:name="_kvmpnruutjmw" w:colFirst="0" w:colLast="0"/>
            <w:bookmarkEnd w:id="0"/>
            <w:r w:rsidRPr="00511367">
              <w:rPr>
                <w:rFonts w:asciiTheme="majorHAnsi" w:eastAsia="Century Gothic" w:hAnsiTheme="majorHAnsi" w:cstheme="majorHAnsi"/>
              </w:rPr>
              <w:t xml:space="preserve">Documentación del desarrollo e implementación (incluyendo documentación de pruebas, fallas y estado final de los </w:t>
            </w:r>
            <w:r w:rsidR="00FC532E" w:rsidRPr="00511367">
              <w:rPr>
                <w:rFonts w:asciiTheme="majorHAnsi" w:eastAsia="Century Gothic" w:hAnsiTheme="majorHAnsi" w:cstheme="majorHAnsi"/>
              </w:rPr>
              <w:t>desarrollos) del</w:t>
            </w:r>
            <w:r w:rsidRPr="00511367">
              <w:rPr>
                <w:rFonts w:asciiTheme="majorHAnsi" w:eastAsia="Century Gothic" w:hAnsiTheme="majorHAnsi" w:cstheme="majorHAnsi"/>
              </w:rPr>
              <w:t xml:space="preserve"> módulo de categoría de producto en el SINAMECC y el sub</w:t>
            </w:r>
            <w:r w:rsidR="00FC532E" w:rsidRPr="00511367">
              <w:rPr>
                <w:rFonts w:asciiTheme="majorHAnsi" w:eastAsia="Century Gothic" w:hAnsiTheme="majorHAnsi" w:cstheme="majorHAnsi"/>
              </w:rPr>
              <w:t>-</w:t>
            </w:r>
            <w:r w:rsidRPr="00511367">
              <w:rPr>
                <w:rFonts w:asciiTheme="majorHAnsi" w:eastAsia="Century Gothic" w:hAnsiTheme="majorHAnsi" w:cstheme="majorHAnsi"/>
              </w:rPr>
              <w:t>registro dentro del registro de acciones de mitigación para documentar los impactos en desarrollo sostenible y cambio transformacional de las acciones de mitigación.</w:t>
            </w:r>
          </w:p>
          <w:p w14:paraId="4230BD93" w14:textId="77777777" w:rsidR="002845D0" w:rsidRPr="00511367" w:rsidRDefault="002845D0" w:rsidP="002845D0">
            <w:pPr>
              <w:numPr>
                <w:ilvl w:val="0"/>
                <w:numId w:val="22"/>
              </w:numPr>
              <w:spacing w:line="240" w:lineRule="auto"/>
              <w:jc w:val="both"/>
              <w:rPr>
                <w:rFonts w:asciiTheme="majorHAnsi" w:eastAsia="Century Gothic" w:hAnsiTheme="majorHAnsi" w:cstheme="majorHAnsi"/>
              </w:rPr>
            </w:pPr>
            <w:bookmarkStart w:id="1" w:name="_rkejzuz2hurs" w:colFirst="0" w:colLast="0"/>
            <w:bookmarkEnd w:id="1"/>
            <w:r w:rsidRPr="00511367">
              <w:rPr>
                <w:rFonts w:asciiTheme="majorHAnsi" w:eastAsia="Century Gothic" w:hAnsiTheme="majorHAnsi" w:cstheme="majorHAnsi"/>
              </w:rPr>
              <w:t xml:space="preserve">Recomendaciones y pasos a seguir para el robustecimiento de las herramientas construidas. </w:t>
            </w:r>
          </w:p>
          <w:p w14:paraId="62E5915C" w14:textId="77777777" w:rsidR="002845D0" w:rsidRPr="00511367" w:rsidRDefault="002845D0" w:rsidP="002845D0">
            <w:pPr>
              <w:numPr>
                <w:ilvl w:val="0"/>
                <w:numId w:val="22"/>
              </w:numPr>
              <w:spacing w:line="240" w:lineRule="auto"/>
              <w:jc w:val="both"/>
              <w:rPr>
                <w:rFonts w:asciiTheme="majorHAnsi" w:eastAsia="Century Gothic" w:hAnsiTheme="majorHAnsi" w:cstheme="majorHAnsi"/>
              </w:rPr>
            </w:pPr>
            <w:bookmarkStart w:id="2" w:name="_1ldfct4x1muh" w:colFirst="0" w:colLast="0"/>
            <w:bookmarkEnd w:id="2"/>
            <w:r w:rsidRPr="00511367">
              <w:rPr>
                <w:rFonts w:asciiTheme="majorHAnsi" w:eastAsia="Century Gothic" w:hAnsiTheme="majorHAnsi" w:cstheme="majorHAnsi"/>
              </w:rPr>
              <w:t>Documentación de al menos 4 capacitaciones virtuales con actores clave seleccionados por la DCC y el PNUD para crear capacidades en el uso de las herramientas construidas. Esto incluye la grabación de dichas capacitaciones.</w:t>
            </w:r>
          </w:p>
          <w:p w14:paraId="1C0651E9" w14:textId="3FDBE112" w:rsidR="002845D0" w:rsidRPr="00511367" w:rsidRDefault="002845D0" w:rsidP="002845D0">
            <w:pPr>
              <w:numPr>
                <w:ilvl w:val="0"/>
                <w:numId w:val="22"/>
              </w:numPr>
              <w:spacing w:line="240" w:lineRule="auto"/>
              <w:jc w:val="both"/>
              <w:rPr>
                <w:rFonts w:asciiTheme="majorHAnsi" w:eastAsia="Century Gothic" w:hAnsiTheme="majorHAnsi" w:cstheme="majorHAnsi"/>
              </w:rPr>
            </w:pPr>
            <w:bookmarkStart w:id="3" w:name="_mkwl64dlf4xz" w:colFirst="0" w:colLast="0"/>
            <w:bookmarkEnd w:id="3"/>
            <w:r w:rsidRPr="00511367">
              <w:rPr>
                <w:rFonts w:asciiTheme="majorHAnsi" w:eastAsia="Century Gothic" w:hAnsiTheme="majorHAnsi" w:cstheme="majorHAnsi"/>
              </w:rPr>
              <w:t xml:space="preserve">Ayudas </w:t>
            </w:r>
            <w:r w:rsidR="00FC532E" w:rsidRPr="00511367">
              <w:rPr>
                <w:rFonts w:asciiTheme="majorHAnsi" w:eastAsia="Century Gothic" w:hAnsiTheme="majorHAnsi" w:cstheme="majorHAnsi"/>
              </w:rPr>
              <w:t xml:space="preserve">y </w:t>
            </w:r>
            <w:r w:rsidRPr="00511367">
              <w:rPr>
                <w:rFonts w:asciiTheme="majorHAnsi" w:eastAsia="Century Gothic" w:hAnsiTheme="majorHAnsi" w:cstheme="majorHAnsi"/>
              </w:rPr>
              <w:t>memoria de cada reunión que se lleve a cabo para la realización de la consultoría, incluyendo lista de asistencia y fotografías.</w:t>
            </w:r>
          </w:p>
          <w:p w14:paraId="3981292B" w14:textId="77777777" w:rsidR="002845D0" w:rsidRPr="00511367" w:rsidRDefault="002845D0" w:rsidP="002845D0">
            <w:pPr>
              <w:spacing w:line="240" w:lineRule="auto"/>
              <w:rPr>
                <w:rFonts w:asciiTheme="majorHAnsi" w:eastAsia="Century Gothic" w:hAnsiTheme="majorHAnsi" w:cstheme="majorHAnsi"/>
              </w:rPr>
            </w:pPr>
          </w:p>
          <w:p w14:paraId="2B152213" w14:textId="77777777"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 xml:space="preserve">Se debe elaborar para cada producto una presentación en </w:t>
            </w:r>
            <w:proofErr w:type="spellStart"/>
            <w:r w:rsidRPr="00511367">
              <w:rPr>
                <w:rFonts w:asciiTheme="majorHAnsi" w:eastAsia="Century Gothic" w:hAnsiTheme="majorHAnsi" w:cstheme="majorHAnsi"/>
              </w:rPr>
              <w:t>power</w:t>
            </w:r>
            <w:proofErr w:type="spellEnd"/>
            <w:r w:rsidRPr="00511367">
              <w:rPr>
                <w:rFonts w:asciiTheme="majorHAnsi" w:eastAsia="Century Gothic" w:hAnsiTheme="majorHAnsi" w:cstheme="majorHAnsi"/>
              </w:rPr>
              <w:t xml:space="preserve"> </w:t>
            </w:r>
            <w:proofErr w:type="spellStart"/>
            <w:r w:rsidRPr="00511367">
              <w:rPr>
                <w:rFonts w:asciiTheme="majorHAnsi" w:eastAsia="Century Gothic" w:hAnsiTheme="majorHAnsi" w:cstheme="majorHAnsi"/>
              </w:rPr>
              <w:t>point</w:t>
            </w:r>
            <w:proofErr w:type="spellEnd"/>
            <w:r w:rsidRPr="00511367">
              <w:rPr>
                <w:rFonts w:asciiTheme="majorHAnsi" w:eastAsia="Century Gothic" w:hAnsiTheme="majorHAnsi" w:cstheme="majorHAnsi"/>
              </w:rPr>
              <w:t xml:space="preserve"> “sencilla” en formato editables, para tomadores de decisiones y para comunicación en general.</w:t>
            </w:r>
          </w:p>
          <w:p w14:paraId="64C9095E" w14:textId="77777777" w:rsidR="002845D0" w:rsidRPr="00511367" w:rsidRDefault="002845D0" w:rsidP="002845D0">
            <w:pPr>
              <w:spacing w:line="240" w:lineRule="auto"/>
              <w:jc w:val="both"/>
              <w:rPr>
                <w:rFonts w:asciiTheme="majorHAnsi" w:eastAsia="Century Gothic" w:hAnsiTheme="majorHAnsi" w:cstheme="majorHAnsi"/>
              </w:rPr>
            </w:pPr>
          </w:p>
          <w:p w14:paraId="0F794C85" w14:textId="77777777"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Se espera que la propuesta contenga claramente la metodología a seguir para cada producto, así como identificación de actores relevantes.</w:t>
            </w:r>
          </w:p>
        </w:tc>
      </w:tr>
      <w:tr w:rsidR="002845D0" w:rsidRPr="00FC2AE6" w14:paraId="41DFDFDA" w14:textId="77777777" w:rsidTr="002845D0">
        <w:tc>
          <w:tcPr>
            <w:tcW w:w="3263" w:type="dxa"/>
            <w:shd w:val="clear" w:color="auto" w:fill="C6D9F1"/>
            <w:vAlign w:val="center"/>
          </w:tcPr>
          <w:p w14:paraId="343ED230"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Persona encargada de la supervisión de los trabajos/resultados del proveedor de servicios</w:t>
            </w:r>
          </w:p>
        </w:tc>
        <w:tc>
          <w:tcPr>
            <w:tcW w:w="6087" w:type="dxa"/>
            <w:shd w:val="clear" w:color="auto" w:fill="auto"/>
          </w:tcPr>
          <w:p w14:paraId="69124C35" w14:textId="77777777" w:rsidR="002845D0" w:rsidRPr="00A92968" w:rsidRDefault="002845D0" w:rsidP="002845D0">
            <w:pPr>
              <w:spacing w:line="240" w:lineRule="auto"/>
              <w:jc w:val="both"/>
              <w:rPr>
                <w:rFonts w:asciiTheme="majorHAnsi" w:eastAsia="Century Gothic" w:hAnsiTheme="majorHAnsi" w:cstheme="majorHAnsi"/>
              </w:rPr>
            </w:pPr>
          </w:p>
          <w:p w14:paraId="7E02861C" w14:textId="77777777" w:rsidR="002845D0" w:rsidRPr="00511367" w:rsidRDefault="002845D0" w:rsidP="002845D0">
            <w:pPr>
              <w:spacing w:line="240" w:lineRule="auto"/>
              <w:jc w:val="both"/>
              <w:rPr>
                <w:rFonts w:asciiTheme="majorHAnsi" w:eastAsia="Century Gothic" w:hAnsiTheme="majorHAnsi" w:cstheme="majorHAnsi"/>
                <w:i/>
                <w:color w:val="FF0000"/>
              </w:rPr>
            </w:pPr>
            <w:r w:rsidRPr="00511367">
              <w:rPr>
                <w:rFonts w:asciiTheme="majorHAnsi" w:eastAsia="Century Gothic" w:hAnsiTheme="majorHAnsi" w:cstheme="majorHAnsi"/>
                <w:i/>
              </w:rPr>
              <w:t>Coordinadora del Proyecto y la Coordinadora del SINAMECC.</w:t>
            </w:r>
          </w:p>
        </w:tc>
      </w:tr>
      <w:tr w:rsidR="002845D0" w:rsidRPr="00FC2AE6" w14:paraId="5EE16C0E" w14:textId="77777777" w:rsidTr="002845D0">
        <w:tc>
          <w:tcPr>
            <w:tcW w:w="3263" w:type="dxa"/>
            <w:shd w:val="clear" w:color="auto" w:fill="C6D9F1"/>
            <w:vAlign w:val="center"/>
          </w:tcPr>
          <w:p w14:paraId="449B7574"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Frecuencia de los informes</w:t>
            </w:r>
          </w:p>
        </w:tc>
        <w:tc>
          <w:tcPr>
            <w:tcW w:w="6087" w:type="dxa"/>
            <w:shd w:val="clear" w:color="auto" w:fill="auto"/>
          </w:tcPr>
          <w:p w14:paraId="1AF5B304" w14:textId="77777777" w:rsidR="002845D0" w:rsidRPr="00A92968" w:rsidRDefault="002845D0" w:rsidP="002845D0">
            <w:pPr>
              <w:spacing w:line="240" w:lineRule="auto"/>
              <w:jc w:val="both"/>
              <w:rPr>
                <w:rFonts w:asciiTheme="majorHAnsi" w:eastAsia="Century Gothic" w:hAnsiTheme="majorHAnsi" w:cstheme="majorHAnsi"/>
                <w:i/>
                <w:color w:val="FF0000"/>
              </w:rPr>
            </w:pPr>
            <w:r w:rsidRPr="00A92968">
              <w:rPr>
                <w:rFonts w:asciiTheme="majorHAnsi" w:eastAsia="Century Gothic" w:hAnsiTheme="majorHAnsi" w:cstheme="majorHAnsi"/>
                <w:i/>
              </w:rPr>
              <w:t>Según sea solicitado por la Coordinadora del Proyecto</w:t>
            </w:r>
          </w:p>
        </w:tc>
      </w:tr>
      <w:tr w:rsidR="002845D0" w:rsidRPr="00FC2AE6" w14:paraId="5A1D7AD1" w14:textId="77777777" w:rsidTr="002845D0">
        <w:tc>
          <w:tcPr>
            <w:tcW w:w="3263" w:type="dxa"/>
            <w:shd w:val="clear" w:color="auto" w:fill="C6D9F1"/>
            <w:vAlign w:val="center"/>
          </w:tcPr>
          <w:p w14:paraId="08FB397E"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Requisitos de los informes de avance</w:t>
            </w:r>
          </w:p>
        </w:tc>
        <w:tc>
          <w:tcPr>
            <w:tcW w:w="6087" w:type="dxa"/>
            <w:shd w:val="clear" w:color="auto" w:fill="auto"/>
          </w:tcPr>
          <w:p w14:paraId="28D95989" w14:textId="77777777" w:rsidR="002845D0" w:rsidRPr="00511367" w:rsidRDefault="002845D0" w:rsidP="002845D0">
            <w:pPr>
              <w:spacing w:line="240" w:lineRule="auto"/>
              <w:jc w:val="both"/>
              <w:rPr>
                <w:rFonts w:asciiTheme="majorHAnsi" w:eastAsia="Century Gothic" w:hAnsiTheme="majorHAnsi" w:cstheme="majorHAnsi"/>
              </w:rPr>
            </w:pPr>
            <w:r w:rsidRPr="00A92968">
              <w:rPr>
                <w:rFonts w:asciiTheme="majorHAnsi" w:eastAsia="Century Gothic" w:hAnsiTheme="majorHAnsi" w:cstheme="majorHAnsi"/>
              </w:rPr>
              <w:t>Los informes que se requieran por parte de la Coordinadora deberán incluir una presentación para difusión de los resulta</w:t>
            </w:r>
            <w:r w:rsidRPr="00511367">
              <w:rPr>
                <w:rFonts w:asciiTheme="majorHAnsi" w:eastAsia="Century Gothic" w:hAnsiTheme="majorHAnsi" w:cstheme="majorHAnsi"/>
              </w:rPr>
              <w:t xml:space="preserve">dos de avance. </w:t>
            </w:r>
          </w:p>
          <w:p w14:paraId="354CB08A" w14:textId="77777777" w:rsidR="002845D0" w:rsidRPr="00511367" w:rsidRDefault="002845D0" w:rsidP="002845D0">
            <w:pPr>
              <w:spacing w:line="240" w:lineRule="auto"/>
              <w:jc w:val="both"/>
              <w:rPr>
                <w:rFonts w:asciiTheme="majorHAnsi" w:eastAsia="Century Gothic" w:hAnsiTheme="majorHAnsi" w:cstheme="majorHAnsi"/>
              </w:rPr>
            </w:pPr>
          </w:p>
        </w:tc>
      </w:tr>
      <w:tr w:rsidR="002845D0" w:rsidRPr="00FC2AE6" w14:paraId="2A0A032C" w14:textId="77777777" w:rsidTr="002845D0">
        <w:tc>
          <w:tcPr>
            <w:tcW w:w="3263" w:type="dxa"/>
            <w:shd w:val="clear" w:color="auto" w:fill="C6D9F1"/>
            <w:vAlign w:val="center"/>
          </w:tcPr>
          <w:p w14:paraId="37FD9837"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Localización de los trabajos</w:t>
            </w:r>
          </w:p>
        </w:tc>
        <w:tc>
          <w:tcPr>
            <w:tcW w:w="6087" w:type="dxa"/>
            <w:shd w:val="clear" w:color="auto" w:fill="auto"/>
          </w:tcPr>
          <w:p w14:paraId="16C54C3A" w14:textId="5C7BBD13" w:rsidR="002845D0" w:rsidRPr="00511367" w:rsidRDefault="00661F28" w:rsidP="002845D0">
            <w:pPr>
              <w:spacing w:line="240" w:lineRule="auto"/>
              <w:rPr>
                <w:rFonts w:asciiTheme="majorHAnsi" w:eastAsia="Century Gothic" w:hAnsiTheme="majorHAnsi" w:cstheme="majorHAnsi"/>
                <w:lang w:val="es-ES_tradnl"/>
              </w:rPr>
            </w:pPr>
            <w:r w:rsidRPr="00A92968">
              <w:rPr>
                <w:rFonts w:asciiTheme="majorHAnsi" w:eastAsia="Century Gothic" w:hAnsiTheme="majorHAnsi" w:cstheme="majorHAnsi"/>
                <w:lang w:val="es-ES_tradnl"/>
              </w:rPr>
              <w:t xml:space="preserve">Sede de la organización </w:t>
            </w:r>
            <w:r w:rsidR="00A471C6" w:rsidRPr="00A92968">
              <w:rPr>
                <w:rFonts w:asciiTheme="majorHAnsi" w:eastAsia="Century Gothic" w:hAnsiTheme="majorHAnsi" w:cstheme="majorHAnsi"/>
                <w:lang w:val="es-ES_tradnl"/>
              </w:rPr>
              <w:t>que provee</w:t>
            </w:r>
            <w:r w:rsidRPr="00A92968">
              <w:rPr>
                <w:rFonts w:asciiTheme="majorHAnsi" w:eastAsia="Century Gothic" w:hAnsiTheme="majorHAnsi" w:cstheme="majorHAnsi"/>
                <w:lang w:val="es-ES_tradnl"/>
              </w:rPr>
              <w:t xml:space="preserve"> los servicios y que tenga disponibilidad para reunirse vía presencia, vía telefónica y </w:t>
            </w:r>
            <w:r w:rsidRPr="00511367">
              <w:rPr>
                <w:rFonts w:asciiTheme="majorHAnsi" w:eastAsia="Century Gothic" w:hAnsiTheme="majorHAnsi" w:cstheme="majorHAnsi"/>
                <w:lang w:val="es-ES_tradnl"/>
              </w:rPr>
              <w:t>por medio de plataformas virtuales.</w:t>
            </w:r>
          </w:p>
        </w:tc>
      </w:tr>
      <w:tr w:rsidR="002845D0" w:rsidRPr="00FC2AE6" w14:paraId="6F9F956E" w14:textId="77777777" w:rsidTr="002845D0">
        <w:tc>
          <w:tcPr>
            <w:tcW w:w="3263" w:type="dxa"/>
            <w:shd w:val="clear" w:color="auto" w:fill="C6D9F1"/>
            <w:vAlign w:val="center"/>
          </w:tcPr>
          <w:p w14:paraId="5D286801"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 xml:space="preserve">Duración prevista de los trabajos </w:t>
            </w:r>
          </w:p>
        </w:tc>
        <w:tc>
          <w:tcPr>
            <w:tcW w:w="6087" w:type="dxa"/>
            <w:shd w:val="clear" w:color="auto" w:fill="auto"/>
          </w:tcPr>
          <w:p w14:paraId="722AD0F7" w14:textId="77777777" w:rsidR="002845D0" w:rsidRPr="00A92968" w:rsidRDefault="002845D0" w:rsidP="002845D0">
            <w:pPr>
              <w:spacing w:line="240" w:lineRule="auto"/>
              <w:jc w:val="both"/>
              <w:rPr>
                <w:rFonts w:asciiTheme="majorHAnsi" w:eastAsia="Century Gothic" w:hAnsiTheme="majorHAnsi" w:cstheme="majorHAnsi"/>
              </w:rPr>
            </w:pPr>
            <w:r w:rsidRPr="00A92968">
              <w:rPr>
                <w:rFonts w:asciiTheme="majorHAnsi" w:eastAsia="Century Gothic" w:hAnsiTheme="majorHAnsi" w:cstheme="majorHAnsi"/>
              </w:rPr>
              <w:t>4 meses</w:t>
            </w:r>
          </w:p>
        </w:tc>
      </w:tr>
      <w:tr w:rsidR="002845D0" w:rsidRPr="00FC2AE6" w14:paraId="021A6517" w14:textId="77777777" w:rsidTr="002845D0">
        <w:tc>
          <w:tcPr>
            <w:tcW w:w="3263" w:type="dxa"/>
            <w:shd w:val="clear" w:color="auto" w:fill="C6D9F1"/>
            <w:vAlign w:val="center"/>
          </w:tcPr>
          <w:p w14:paraId="583486FC"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 xml:space="preserve">Fecha de inicio prevista </w:t>
            </w:r>
          </w:p>
        </w:tc>
        <w:tc>
          <w:tcPr>
            <w:tcW w:w="6087" w:type="dxa"/>
            <w:shd w:val="clear" w:color="auto" w:fill="auto"/>
          </w:tcPr>
          <w:p w14:paraId="722B4C48" w14:textId="51C61111" w:rsidR="002845D0" w:rsidRPr="00A92968" w:rsidRDefault="00A92968" w:rsidP="002845D0">
            <w:pPr>
              <w:spacing w:line="240" w:lineRule="auto"/>
              <w:jc w:val="both"/>
              <w:rPr>
                <w:rFonts w:asciiTheme="majorHAnsi" w:eastAsia="Century Gothic" w:hAnsiTheme="majorHAnsi" w:cstheme="majorHAnsi"/>
              </w:rPr>
            </w:pPr>
            <w:r w:rsidRPr="00A92968">
              <w:rPr>
                <w:rFonts w:asciiTheme="majorHAnsi" w:eastAsia="Century Gothic" w:hAnsiTheme="majorHAnsi" w:cstheme="majorHAnsi"/>
              </w:rPr>
              <w:t xml:space="preserve">Octubre </w:t>
            </w:r>
            <w:r w:rsidR="002845D0" w:rsidRPr="00A92968">
              <w:rPr>
                <w:rFonts w:asciiTheme="majorHAnsi" w:eastAsia="Century Gothic" w:hAnsiTheme="majorHAnsi" w:cstheme="majorHAnsi"/>
              </w:rPr>
              <w:t>del 2020</w:t>
            </w:r>
          </w:p>
        </w:tc>
      </w:tr>
      <w:tr w:rsidR="002845D0" w:rsidRPr="00FC2AE6" w14:paraId="52F8B2BC" w14:textId="77777777" w:rsidTr="002845D0">
        <w:tc>
          <w:tcPr>
            <w:tcW w:w="3263" w:type="dxa"/>
            <w:shd w:val="clear" w:color="auto" w:fill="C6D9F1"/>
            <w:vAlign w:val="center"/>
          </w:tcPr>
          <w:p w14:paraId="49A4CB71"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Fecha de terminación máxima</w:t>
            </w:r>
          </w:p>
        </w:tc>
        <w:tc>
          <w:tcPr>
            <w:tcW w:w="6087" w:type="dxa"/>
            <w:shd w:val="clear" w:color="auto" w:fill="auto"/>
          </w:tcPr>
          <w:p w14:paraId="521D8EB6" w14:textId="36898C59" w:rsidR="002845D0" w:rsidRPr="00A92968" w:rsidRDefault="00A92968" w:rsidP="002845D0">
            <w:pPr>
              <w:spacing w:line="240" w:lineRule="auto"/>
              <w:jc w:val="both"/>
              <w:rPr>
                <w:rFonts w:asciiTheme="majorHAnsi" w:eastAsia="Century Gothic" w:hAnsiTheme="majorHAnsi" w:cstheme="majorHAnsi"/>
              </w:rPr>
            </w:pPr>
            <w:r w:rsidRPr="00A92968">
              <w:rPr>
                <w:rFonts w:asciiTheme="majorHAnsi" w:eastAsia="Century Gothic" w:hAnsiTheme="majorHAnsi" w:cstheme="majorHAnsi"/>
              </w:rPr>
              <w:t xml:space="preserve">Febrero </w:t>
            </w:r>
            <w:r w:rsidR="002845D0" w:rsidRPr="00A92968">
              <w:rPr>
                <w:rFonts w:asciiTheme="majorHAnsi" w:eastAsia="Century Gothic" w:hAnsiTheme="majorHAnsi" w:cstheme="majorHAnsi"/>
              </w:rPr>
              <w:t>del 2021</w:t>
            </w:r>
          </w:p>
        </w:tc>
      </w:tr>
      <w:tr w:rsidR="002845D0" w:rsidRPr="00FC2AE6" w14:paraId="0B9517D9" w14:textId="77777777" w:rsidTr="00677886">
        <w:trPr>
          <w:trHeight w:val="3436"/>
        </w:trPr>
        <w:tc>
          <w:tcPr>
            <w:tcW w:w="3263" w:type="dxa"/>
            <w:shd w:val="clear" w:color="auto" w:fill="C6D9F1"/>
            <w:vAlign w:val="center"/>
          </w:tcPr>
          <w:p w14:paraId="29EDAF3D"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 xml:space="preserve">Viajes previstos </w:t>
            </w:r>
          </w:p>
        </w:tc>
        <w:tc>
          <w:tcPr>
            <w:tcW w:w="6087" w:type="dxa"/>
            <w:shd w:val="clear" w:color="auto" w:fill="auto"/>
          </w:tcPr>
          <w:p w14:paraId="1E6881F1" w14:textId="77777777" w:rsidR="002845D0" w:rsidRPr="00A92968" w:rsidRDefault="002845D0" w:rsidP="002845D0">
            <w:pPr>
              <w:spacing w:line="240" w:lineRule="auto"/>
              <w:jc w:val="both"/>
              <w:rPr>
                <w:rFonts w:asciiTheme="majorHAnsi" w:eastAsia="Century Gothic" w:hAnsiTheme="majorHAnsi" w:cstheme="majorHAnsi"/>
              </w:rPr>
            </w:pPr>
            <w:r w:rsidRPr="00A92968">
              <w:rPr>
                <w:rFonts w:asciiTheme="majorHAnsi" w:eastAsia="Century Gothic" w:hAnsiTheme="majorHAnsi" w:cstheme="majorHAnsi"/>
              </w:rPr>
              <w:t>Se espera que la oferta técnica presente formas de recolectar insumos para el proceso, tomando en consideración que no se puedan realizar viajes.</w:t>
            </w:r>
          </w:p>
          <w:p w14:paraId="2A4DB8AB" w14:textId="77777777" w:rsidR="002845D0" w:rsidRPr="00A92968" w:rsidRDefault="002845D0" w:rsidP="002845D0">
            <w:pPr>
              <w:spacing w:line="240" w:lineRule="auto"/>
              <w:jc w:val="both"/>
              <w:rPr>
                <w:rFonts w:asciiTheme="majorHAnsi" w:eastAsia="Century Gothic" w:hAnsiTheme="majorHAnsi" w:cstheme="majorHAnsi"/>
              </w:rPr>
            </w:pPr>
          </w:p>
          <w:p w14:paraId="6ECB7552" w14:textId="77777777" w:rsidR="002845D0" w:rsidRPr="00A92968" w:rsidRDefault="002845D0" w:rsidP="002845D0">
            <w:pPr>
              <w:spacing w:line="240" w:lineRule="auto"/>
              <w:jc w:val="both"/>
              <w:rPr>
                <w:rFonts w:asciiTheme="majorHAnsi" w:eastAsia="Century Gothic" w:hAnsiTheme="majorHAnsi" w:cstheme="majorHAnsi"/>
              </w:rPr>
            </w:pPr>
            <w:r w:rsidRPr="00A92968">
              <w:rPr>
                <w:rFonts w:asciiTheme="majorHAnsi" w:eastAsia="Century Gothic" w:hAnsiTheme="majorHAnsi" w:cstheme="majorHAnsi"/>
              </w:rPr>
              <w:t xml:space="preserve">Si la propuesta contempla actividades con convocatoria de personas, </w:t>
            </w:r>
            <w:r w:rsidR="00FC532E" w:rsidRPr="00511367">
              <w:rPr>
                <w:rFonts w:asciiTheme="majorHAnsi" w:eastAsia="Century Gothic" w:hAnsiTheme="majorHAnsi" w:cstheme="majorHAnsi"/>
              </w:rPr>
              <w:t>se deberá</w:t>
            </w:r>
            <w:r w:rsidRPr="00511367">
              <w:rPr>
                <w:rFonts w:asciiTheme="majorHAnsi" w:eastAsia="Century Gothic" w:hAnsiTheme="majorHAnsi" w:cstheme="majorHAnsi"/>
              </w:rPr>
              <w:t xml:space="preserve"> cumplir con establecido por el Ministerio de Salud, referente a las medidas de protección y restricciones establecidas y deberá garantizar que como contratista tomará las medidas necesarias para proteger a su personal, su contraparte y el personal del PNUD contra posibles riesgos del COVID-19.</w:t>
            </w:r>
            <w:r w:rsidR="00860130" w:rsidRPr="00511367">
              <w:rPr>
                <w:rFonts w:asciiTheme="majorHAnsi" w:eastAsia="Century Gothic" w:hAnsiTheme="majorHAnsi" w:cstheme="majorHAnsi"/>
              </w:rPr>
              <w:t xml:space="preserve"> La empresa deberá indicar el protocolo que seguirá para proteger a su personal ante la situación de Emerge</w:t>
            </w:r>
            <w:r w:rsidR="00860130" w:rsidRPr="001C6812">
              <w:rPr>
                <w:rFonts w:asciiTheme="majorHAnsi" w:eastAsia="Century Gothic" w:hAnsiTheme="majorHAnsi" w:cstheme="majorHAnsi"/>
              </w:rPr>
              <w:t>ncia</w:t>
            </w:r>
            <w:r w:rsidR="00F169FA" w:rsidRPr="00A92968">
              <w:rPr>
                <w:rFonts w:asciiTheme="majorHAnsi" w:eastAsia="Century Gothic" w:hAnsiTheme="majorHAnsi" w:cstheme="majorHAnsi"/>
              </w:rPr>
              <w:t xml:space="preserve"> Nacional.</w:t>
            </w:r>
          </w:p>
          <w:p w14:paraId="02B241DB" w14:textId="419AE838" w:rsidR="00F169FA" w:rsidRPr="00A92968" w:rsidRDefault="00F169FA" w:rsidP="002845D0">
            <w:pPr>
              <w:spacing w:line="240" w:lineRule="auto"/>
              <w:jc w:val="both"/>
              <w:rPr>
                <w:rFonts w:asciiTheme="majorHAnsi" w:eastAsia="Century Gothic" w:hAnsiTheme="majorHAnsi" w:cstheme="majorHAnsi"/>
              </w:rPr>
            </w:pPr>
          </w:p>
        </w:tc>
      </w:tr>
      <w:tr w:rsidR="00E74970" w:rsidRPr="00FC2AE6" w14:paraId="3DB13EFF" w14:textId="77777777" w:rsidTr="002845D0">
        <w:trPr>
          <w:trHeight w:val="3323"/>
        </w:trPr>
        <w:tc>
          <w:tcPr>
            <w:tcW w:w="3263" w:type="dxa"/>
            <w:shd w:val="clear" w:color="auto" w:fill="C6D9F1"/>
            <w:vAlign w:val="center"/>
          </w:tcPr>
          <w:p w14:paraId="19D468FF" w14:textId="4DDA78D6" w:rsidR="00E74970" w:rsidRPr="00FC2AE6" w:rsidRDefault="00506713" w:rsidP="002845D0">
            <w:pPr>
              <w:spacing w:line="240" w:lineRule="auto"/>
              <w:rPr>
                <w:rFonts w:asciiTheme="majorHAnsi" w:eastAsia="Century Gothic" w:hAnsiTheme="majorHAnsi" w:cstheme="majorHAnsi"/>
                <w:b/>
              </w:rPr>
            </w:pPr>
            <w:r w:rsidRPr="00D46B30">
              <w:rPr>
                <w:rFonts w:asciiTheme="majorHAnsi" w:hAnsiTheme="majorHAnsi" w:cs="Calibri"/>
                <w:b/>
                <w:lang w:val="es-ES_tradnl"/>
              </w:rPr>
              <w:t>Requisitos especiales de seguridad</w:t>
            </w:r>
          </w:p>
        </w:tc>
        <w:tc>
          <w:tcPr>
            <w:tcW w:w="6087" w:type="dxa"/>
            <w:shd w:val="clear" w:color="auto" w:fill="auto"/>
          </w:tcPr>
          <w:p w14:paraId="45CAEB4B" w14:textId="77777777" w:rsidR="0093605F" w:rsidRPr="001C6812" w:rsidRDefault="0093605F" w:rsidP="00D91260">
            <w:pPr>
              <w:spacing w:line="240" w:lineRule="auto"/>
              <w:jc w:val="both"/>
              <w:rPr>
                <w:rFonts w:asciiTheme="majorHAnsi" w:hAnsiTheme="majorHAnsi" w:cstheme="minorHAnsi"/>
                <w:b/>
                <w:lang w:val="es-ES_tradnl"/>
              </w:rPr>
            </w:pPr>
          </w:p>
          <w:p w14:paraId="04CCBE68" w14:textId="1E15B0CF" w:rsidR="00A92968" w:rsidRDefault="00EA6D7E" w:rsidP="00D91260">
            <w:pPr>
              <w:spacing w:line="240" w:lineRule="auto"/>
              <w:jc w:val="both"/>
              <w:rPr>
                <w:rFonts w:asciiTheme="majorHAnsi" w:eastAsia="Century Gothic" w:hAnsiTheme="majorHAnsi" w:cstheme="majorHAnsi"/>
              </w:rPr>
            </w:pPr>
            <w:r w:rsidRPr="001C6812">
              <w:rPr>
                <w:rFonts w:asciiTheme="majorHAnsi" w:hAnsiTheme="majorHAnsi" w:cstheme="minorHAnsi"/>
                <w:b/>
                <w:lang w:val="es-ES_tradnl"/>
              </w:rPr>
              <w:t>Los indicados por el Ministerio de Salud ante la situación de emergencia por el COVID-19</w:t>
            </w:r>
          </w:p>
          <w:p w14:paraId="412CAB73" w14:textId="3E393330" w:rsidR="00E74970" w:rsidRPr="00A92968" w:rsidRDefault="00E74970" w:rsidP="00A92968">
            <w:pPr>
              <w:tabs>
                <w:tab w:val="left" w:pos="1488"/>
              </w:tabs>
              <w:rPr>
                <w:rFonts w:asciiTheme="majorHAnsi" w:eastAsia="Century Gothic" w:hAnsiTheme="majorHAnsi" w:cstheme="majorHAnsi"/>
              </w:rPr>
            </w:pPr>
          </w:p>
        </w:tc>
      </w:tr>
      <w:tr w:rsidR="00506713" w:rsidRPr="00FC2AE6" w14:paraId="1FA05B0A" w14:textId="77777777" w:rsidTr="00332243">
        <w:trPr>
          <w:trHeight w:val="1352"/>
        </w:trPr>
        <w:tc>
          <w:tcPr>
            <w:tcW w:w="3263" w:type="dxa"/>
            <w:shd w:val="clear" w:color="auto" w:fill="C6D9F1"/>
            <w:vAlign w:val="center"/>
          </w:tcPr>
          <w:p w14:paraId="150B4DDE" w14:textId="5A9591E7" w:rsidR="00506713" w:rsidRPr="00D46B30" w:rsidRDefault="00EF1932" w:rsidP="002845D0">
            <w:pPr>
              <w:spacing w:line="240" w:lineRule="auto"/>
              <w:rPr>
                <w:rFonts w:asciiTheme="majorHAnsi" w:hAnsiTheme="majorHAnsi" w:cs="Calibri"/>
                <w:b/>
                <w:lang w:val="es-ES_tradnl"/>
              </w:rPr>
            </w:pPr>
            <w:r w:rsidRPr="00D46B30">
              <w:rPr>
                <w:rFonts w:asciiTheme="majorHAnsi" w:hAnsiTheme="majorHAnsi" w:cs="Calibri"/>
                <w:b/>
                <w:lang w:val="es-ES_tradnl"/>
              </w:rPr>
              <w:t>Instalaciones que facilitará el PNUD (es decir, no incluidas en la propuesta de precios)</w:t>
            </w:r>
          </w:p>
        </w:tc>
        <w:tc>
          <w:tcPr>
            <w:tcW w:w="6087" w:type="dxa"/>
            <w:shd w:val="clear" w:color="auto" w:fill="auto"/>
          </w:tcPr>
          <w:p w14:paraId="6DB6F9F7" w14:textId="1B0B5DAF" w:rsidR="00506713" w:rsidRPr="00FC2AE6" w:rsidRDefault="00A92968" w:rsidP="0024450D">
            <w:pPr>
              <w:spacing w:line="240" w:lineRule="auto"/>
              <w:jc w:val="both"/>
              <w:rPr>
                <w:rFonts w:asciiTheme="majorHAnsi" w:eastAsia="Century Gothic" w:hAnsiTheme="majorHAnsi" w:cstheme="majorHAnsi"/>
              </w:rPr>
            </w:pPr>
            <w:r>
              <w:rPr>
                <w:rFonts w:asciiTheme="majorHAnsi" w:hAnsiTheme="majorHAnsi" w:cs="Calibri"/>
                <w:lang w:val="es-ES_tradnl"/>
              </w:rPr>
              <w:t>No Aplica</w:t>
            </w:r>
          </w:p>
        </w:tc>
      </w:tr>
      <w:tr w:rsidR="002845D0" w:rsidRPr="00FC2AE6" w14:paraId="6782985B" w14:textId="77777777" w:rsidTr="002845D0">
        <w:tc>
          <w:tcPr>
            <w:tcW w:w="3263" w:type="dxa"/>
            <w:shd w:val="clear" w:color="auto" w:fill="C6D9F1"/>
            <w:vAlign w:val="center"/>
          </w:tcPr>
          <w:p w14:paraId="71C09688" w14:textId="77777777" w:rsidR="002845D0" w:rsidRPr="001C6812"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Calendario de ejecución, indicando d</w:t>
            </w:r>
            <w:r w:rsidRPr="001C6812">
              <w:rPr>
                <w:rFonts w:asciiTheme="majorHAnsi" w:eastAsia="Century Gothic" w:hAnsiTheme="majorHAnsi" w:cstheme="majorHAnsi"/>
                <w:b/>
              </w:rPr>
              <w:t xml:space="preserve">esglose y calendario de actividades y subactividades </w:t>
            </w:r>
          </w:p>
        </w:tc>
        <w:tc>
          <w:tcPr>
            <w:tcW w:w="6087" w:type="dxa"/>
          </w:tcPr>
          <w:p w14:paraId="045BC0CF" w14:textId="77777777" w:rsidR="002845D0" w:rsidRPr="001C6812" w:rsidRDefault="002845D0" w:rsidP="002845D0">
            <w:pPr>
              <w:spacing w:line="240" w:lineRule="auto"/>
              <w:ind w:left="432"/>
              <w:rPr>
                <w:rFonts w:asciiTheme="majorHAnsi" w:eastAsia="Century Gothic" w:hAnsiTheme="majorHAnsi" w:cstheme="majorHAnsi"/>
              </w:rPr>
            </w:pPr>
          </w:p>
          <w:p w14:paraId="4F006EA2" w14:textId="77777777" w:rsidR="002845D0" w:rsidRPr="001C6812" w:rsidRDefault="002845D0" w:rsidP="002845D0">
            <w:pPr>
              <w:spacing w:line="240" w:lineRule="auto"/>
              <w:rPr>
                <w:rFonts w:asciiTheme="majorHAnsi" w:eastAsia="Century Gothic" w:hAnsiTheme="majorHAnsi" w:cstheme="majorHAnsi"/>
              </w:rPr>
            </w:pPr>
            <w:r w:rsidRPr="001C6812">
              <w:rPr>
                <w:rFonts w:asciiTheme="majorHAnsi" w:eastAsia="Century Gothic" w:hAnsiTheme="majorHAnsi" w:cstheme="majorHAnsi"/>
              </w:rPr>
              <w:t>Obligatorio</w:t>
            </w:r>
          </w:p>
          <w:p w14:paraId="5EA127D9" w14:textId="77777777" w:rsidR="002845D0" w:rsidRPr="00A92968" w:rsidRDefault="002845D0" w:rsidP="002845D0">
            <w:pPr>
              <w:spacing w:line="240" w:lineRule="auto"/>
              <w:ind w:left="432"/>
              <w:rPr>
                <w:rFonts w:asciiTheme="majorHAnsi" w:eastAsia="Century Gothic" w:hAnsiTheme="majorHAnsi" w:cstheme="majorHAnsi"/>
              </w:rPr>
            </w:pPr>
          </w:p>
        </w:tc>
      </w:tr>
      <w:tr w:rsidR="002845D0" w:rsidRPr="00FC2AE6" w14:paraId="3B82F2E7" w14:textId="77777777" w:rsidTr="002845D0">
        <w:tc>
          <w:tcPr>
            <w:tcW w:w="3263" w:type="dxa"/>
            <w:shd w:val="clear" w:color="auto" w:fill="C6D9F1"/>
            <w:vAlign w:val="center"/>
          </w:tcPr>
          <w:p w14:paraId="181BC3D0"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 xml:space="preserve">Nombres y currículos de las personas participantes en la prestación de los servicios </w:t>
            </w:r>
          </w:p>
        </w:tc>
        <w:tc>
          <w:tcPr>
            <w:tcW w:w="6087" w:type="dxa"/>
          </w:tcPr>
          <w:p w14:paraId="7C33B37D" w14:textId="77777777" w:rsidR="002845D0" w:rsidRPr="001C6812" w:rsidRDefault="002845D0" w:rsidP="002845D0">
            <w:pPr>
              <w:spacing w:line="240" w:lineRule="auto"/>
              <w:ind w:left="432"/>
              <w:rPr>
                <w:rFonts w:asciiTheme="majorHAnsi" w:eastAsia="Century Gothic" w:hAnsiTheme="majorHAnsi" w:cstheme="majorHAnsi"/>
              </w:rPr>
            </w:pPr>
          </w:p>
          <w:p w14:paraId="6679B3B3" w14:textId="18C479E7" w:rsidR="002845D0" w:rsidRPr="00511367" w:rsidRDefault="002845D0" w:rsidP="002845D0">
            <w:pPr>
              <w:spacing w:line="240" w:lineRule="auto"/>
              <w:rPr>
                <w:rFonts w:asciiTheme="majorHAnsi" w:eastAsia="Century Gothic" w:hAnsiTheme="majorHAnsi" w:cstheme="majorHAnsi"/>
                <w:lang w:val="es-ES_tradnl"/>
              </w:rPr>
            </w:pPr>
            <w:r w:rsidRPr="001C6812">
              <w:rPr>
                <w:rFonts w:asciiTheme="majorHAnsi" w:eastAsia="Century Gothic" w:hAnsiTheme="majorHAnsi" w:cstheme="majorHAnsi"/>
              </w:rPr>
              <w:t>Obligatorio</w:t>
            </w:r>
            <w:r w:rsidR="00661F28" w:rsidRPr="001C6812">
              <w:rPr>
                <w:rFonts w:asciiTheme="majorHAnsi" w:eastAsia="Century Gothic" w:hAnsiTheme="majorHAnsi" w:cstheme="majorHAnsi"/>
              </w:rPr>
              <w:t xml:space="preserve">.  </w:t>
            </w:r>
            <w:r w:rsidR="00661F28" w:rsidRPr="001C6812">
              <w:rPr>
                <w:rFonts w:asciiTheme="majorHAnsi" w:eastAsia="Century Gothic" w:hAnsiTheme="majorHAnsi" w:cstheme="majorHAnsi"/>
                <w:lang w:val="es-ES_tradnl"/>
              </w:rPr>
              <w:t>Currículums completos del personal clave asignado para apoyar la ejecución de la ofert</w:t>
            </w:r>
            <w:r w:rsidR="00661F28" w:rsidRPr="00A92968">
              <w:rPr>
                <w:rFonts w:asciiTheme="majorHAnsi" w:eastAsia="Century Gothic" w:hAnsiTheme="majorHAnsi" w:cstheme="majorHAnsi"/>
                <w:lang w:val="es-ES_tradnl"/>
              </w:rPr>
              <w:t xml:space="preserve">a técnica y según los criterios de evaluación del anexo </w:t>
            </w:r>
            <w:r w:rsidR="00661F28" w:rsidRPr="00511367">
              <w:rPr>
                <w:rFonts w:asciiTheme="majorHAnsi" w:eastAsia="Century Gothic" w:hAnsiTheme="majorHAnsi" w:cstheme="majorHAnsi"/>
                <w:lang w:val="es-ES_tradnl"/>
              </w:rPr>
              <w:t>3.  (Utilizar el formato del Anexo 5)</w:t>
            </w:r>
          </w:p>
          <w:p w14:paraId="65EFCC71" w14:textId="77777777" w:rsidR="002845D0" w:rsidRPr="00511367" w:rsidRDefault="002845D0" w:rsidP="002845D0">
            <w:pPr>
              <w:spacing w:line="240" w:lineRule="auto"/>
              <w:ind w:left="432"/>
              <w:rPr>
                <w:rFonts w:asciiTheme="majorHAnsi" w:eastAsia="Century Gothic" w:hAnsiTheme="majorHAnsi" w:cstheme="majorHAnsi"/>
              </w:rPr>
            </w:pPr>
          </w:p>
        </w:tc>
      </w:tr>
      <w:tr w:rsidR="002845D0" w:rsidRPr="00FC2AE6" w14:paraId="6F4F0B75" w14:textId="77777777" w:rsidTr="002845D0">
        <w:tc>
          <w:tcPr>
            <w:tcW w:w="3263" w:type="dxa"/>
            <w:shd w:val="clear" w:color="auto" w:fill="C6D9F1"/>
            <w:vAlign w:val="center"/>
          </w:tcPr>
          <w:p w14:paraId="29AD5851"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Moneda de la propuesta</w:t>
            </w:r>
          </w:p>
        </w:tc>
        <w:tc>
          <w:tcPr>
            <w:tcW w:w="6087" w:type="dxa"/>
            <w:shd w:val="clear" w:color="auto" w:fill="auto"/>
          </w:tcPr>
          <w:p w14:paraId="7A21F171" w14:textId="77777777" w:rsidR="002845D0" w:rsidRPr="001C6812" w:rsidRDefault="002845D0" w:rsidP="002845D0">
            <w:pPr>
              <w:spacing w:line="240" w:lineRule="auto"/>
              <w:jc w:val="both"/>
              <w:rPr>
                <w:rFonts w:asciiTheme="majorHAnsi" w:eastAsia="Century Gothic" w:hAnsiTheme="majorHAnsi" w:cstheme="majorHAnsi"/>
              </w:rPr>
            </w:pPr>
          </w:p>
          <w:p w14:paraId="26463AEB" w14:textId="65A03359" w:rsidR="002845D0" w:rsidRPr="001C6812" w:rsidRDefault="002845D0" w:rsidP="00375760">
            <w:pPr>
              <w:spacing w:line="240" w:lineRule="auto"/>
              <w:rPr>
                <w:rFonts w:asciiTheme="majorHAnsi" w:eastAsia="Century Gothic" w:hAnsiTheme="majorHAnsi" w:cstheme="majorHAnsi"/>
              </w:rPr>
            </w:pPr>
            <w:r w:rsidRPr="001C6812">
              <w:rPr>
                <w:rFonts w:asciiTheme="majorHAnsi" w:eastAsia="Century Gothic" w:hAnsiTheme="majorHAnsi" w:cstheme="majorHAnsi"/>
              </w:rPr>
              <w:t>Dólares EE.UU.</w:t>
            </w:r>
          </w:p>
        </w:tc>
      </w:tr>
      <w:tr w:rsidR="002845D0" w:rsidRPr="00FC2AE6" w14:paraId="0CAEC7D1" w14:textId="77777777" w:rsidTr="002845D0">
        <w:tc>
          <w:tcPr>
            <w:tcW w:w="3263" w:type="dxa"/>
            <w:shd w:val="clear" w:color="auto" w:fill="C6D9F1"/>
            <w:vAlign w:val="center"/>
          </w:tcPr>
          <w:p w14:paraId="4677804A"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Impuesto sobre el Valor Añadido (IVA) en la propuesta de precios</w:t>
            </w:r>
          </w:p>
        </w:tc>
        <w:tc>
          <w:tcPr>
            <w:tcW w:w="6087" w:type="dxa"/>
          </w:tcPr>
          <w:p w14:paraId="4998842B" w14:textId="77777777" w:rsidR="002845D0" w:rsidRPr="001C6812" w:rsidRDefault="002845D0" w:rsidP="002845D0">
            <w:pPr>
              <w:spacing w:line="240" w:lineRule="auto"/>
              <w:rPr>
                <w:rFonts w:asciiTheme="majorHAnsi" w:eastAsia="Century Gothic" w:hAnsiTheme="majorHAnsi" w:cstheme="majorHAnsi"/>
              </w:rPr>
            </w:pPr>
            <w:r w:rsidRPr="001C6812">
              <w:rPr>
                <w:rFonts w:asciiTheme="majorHAnsi" w:eastAsia="Century Gothic" w:hAnsiTheme="majorHAnsi" w:cstheme="majorHAnsi"/>
                <w:u w:val="single"/>
              </w:rPr>
              <w:t>No</w:t>
            </w:r>
            <w:r w:rsidRPr="001C6812">
              <w:rPr>
                <w:rFonts w:asciiTheme="majorHAnsi" w:eastAsia="Century Gothic" w:hAnsiTheme="majorHAnsi" w:cstheme="majorHAnsi"/>
              </w:rPr>
              <w:t xml:space="preserve"> deberá incluir el IVA y otros impuestos indirectos</w:t>
            </w:r>
            <w:r w:rsidR="00FC532E" w:rsidRPr="001C6812">
              <w:rPr>
                <w:rFonts w:asciiTheme="majorHAnsi" w:eastAsia="Century Gothic" w:hAnsiTheme="majorHAnsi" w:cstheme="majorHAnsi"/>
              </w:rPr>
              <w:t>.</w:t>
            </w:r>
          </w:p>
          <w:p w14:paraId="7181693A" w14:textId="7B13302C" w:rsidR="00661F28" w:rsidRPr="00511367" w:rsidRDefault="00661F28" w:rsidP="00661F28">
            <w:pPr>
              <w:spacing w:line="240" w:lineRule="auto"/>
              <w:jc w:val="both"/>
              <w:rPr>
                <w:rFonts w:asciiTheme="majorHAnsi" w:eastAsia="Century Gothic" w:hAnsiTheme="majorHAnsi" w:cstheme="majorHAnsi"/>
              </w:rPr>
            </w:pPr>
            <w:r w:rsidRPr="00A92968">
              <w:rPr>
                <w:rFonts w:asciiTheme="majorHAnsi" w:eastAsiaTheme="majorEastAsia" w:hAnsiTheme="majorHAnsi" w:cstheme="majorHAnsi"/>
                <w:b/>
                <w:bCs/>
                <w:lang w:val="es-ES"/>
              </w:rPr>
              <w:t>El PNUD está exonerado del pago de impuestos según Ley No.5878 Art. IX, Inc. 1, del 12-01-76 y Sección 8 de la Convención de Inmunidades y Privilegios de las Naciones Unidas.</w:t>
            </w:r>
          </w:p>
        </w:tc>
      </w:tr>
      <w:tr w:rsidR="002845D0" w:rsidRPr="00FC2AE6" w14:paraId="6253D98C" w14:textId="77777777" w:rsidTr="002845D0">
        <w:tc>
          <w:tcPr>
            <w:tcW w:w="3263" w:type="dxa"/>
            <w:shd w:val="clear" w:color="auto" w:fill="C6D9F1"/>
            <w:vAlign w:val="center"/>
          </w:tcPr>
          <w:p w14:paraId="28344637" w14:textId="77777777" w:rsidR="002845D0" w:rsidRPr="001C6812"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 xml:space="preserve">Período de validez de la/s propuesta/s </w:t>
            </w:r>
            <w:r w:rsidRPr="001C6812">
              <w:rPr>
                <w:rFonts w:asciiTheme="majorHAnsi" w:eastAsia="Century Gothic" w:hAnsiTheme="majorHAnsi" w:cstheme="majorHAnsi"/>
                <w:b/>
                <w:i/>
              </w:rPr>
              <w:t>(a partir de la fecha límite para la presentación de la propuesta)</w:t>
            </w:r>
          </w:p>
        </w:tc>
        <w:tc>
          <w:tcPr>
            <w:tcW w:w="6087" w:type="dxa"/>
            <w:shd w:val="clear" w:color="auto" w:fill="auto"/>
          </w:tcPr>
          <w:p w14:paraId="787662AD" w14:textId="77777777" w:rsidR="002845D0" w:rsidRPr="00A92968" w:rsidRDefault="002845D0" w:rsidP="002845D0">
            <w:pPr>
              <w:spacing w:line="240" w:lineRule="auto"/>
              <w:rPr>
                <w:rFonts w:asciiTheme="majorHAnsi" w:eastAsia="Century Gothic" w:hAnsiTheme="majorHAnsi" w:cstheme="majorHAnsi"/>
              </w:rPr>
            </w:pPr>
            <w:r w:rsidRPr="00A92968">
              <w:rPr>
                <w:rFonts w:asciiTheme="majorHAnsi" w:eastAsia="Century Gothic" w:hAnsiTheme="majorHAnsi" w:cstheme="majorHAnsi"/>
              </w:rPr>
              <w:t xml:space="preserve">90 días </w:t>
            </w:r>
          </w:p>
          <w:p w14:paraId="70B4779D" w14:textId="77777777" w:rsidR="002845D0" w:rsidRPr="00511367" w:rsidRDefault="002845D0" w:rsidP="002845D0">
            <w:pPr>
              <w:spacing w:line="240" w:lineRule="auto"/>
              <w:jc w:val="both"/>
              <w:rPr>
                <w:rFonts w:asciiTheme="majorHAnsi" w:eastAsia="Century Gothic" w:hAnsiTheme="majorHAnsi" w:cstheme="majorHAnsi"/>
              </w:rPr>
            </w:pPr>
          </w:p>
          <w:p w14:paraId="565DAA1C" w14:textId="77777777" w:rsidR="002845D0" w:rsidRPr="00511367" w:rsidRDefault="002845D0" w:rsidP="002845D0">
            <w:pPr>
              <w:spacing w:line="240" w:lineRule="auto"/>
              <w:jc w:val="both"/>
              <w:rPr>
                <w:rFonts w:asciiTheme="majorHAnsi" w:eastAsia="Century Gothic" w:hAnsiTheme="majorHAnsi" w:cstheme="majorHAnsi"/>
              </w:rPr>
            </w:pPr>
            <w:r w:rsidRPr="00511367">
              <w:rPr>
                <w:rFonts w:asciiTheme="majorHAnsi" w:eastAsia="Century Gothic" w:hAnsiTheme="majorHAnsi" w:cstheme="majorHAnsi"/>
              </w:rPr>
              <w:t xml:space="preserve">En circunstancias excepcionales el PNUD podrá pedir al Contratista que amplíe el plazo de validez de la Propuesta más allá de lo que se ha iniciado inicialmente en las condiciones de salida de esta SdP. En este caso, el Contratista confirmará la ampliación por escrito, sin ningún tipo de modificación ulterior a la Propuesta. </w:t>
            </w:r>
          </w:p>
        </w:tc>
      </w:tr>
      <w:tr w:rsidR="002845D0" w:rsidRPr="00FC2AE6" w14:paraId="46CA3860" w14:textId="77777777" w:rsidTr="002845D0">
        <w:tc>
          <w:tcPr>
            <w:tcW w:w="326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5CDC6D8"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Cotizaciones parciales</w:t>
            </w:r>
          </w:p>
        </w:tc>
        <w:tc>
          <w:tcPr>
            <w:tcW w:w="6087" w:type="dxa"/>
            <w:tcBorders>
              <w:top w:val="single" w:sz="4" w:space="0" w:color="000000"/>
              <w:left w:val="single" w:sz="4" w:space="0" w:color="000000"/>
              <w:bottom w:val="single" w:sz="4" w:space="0" w:color="000000"/>
              <w:right w:val="single" w:sz="4" w:space="0" w:color="000000"/>
            </w:tcBorders>
          </w:tcPr>
          <w:p w14:paraId="02523765" w14:textId="77777777" w:rsidR="002845D0" w:rsidRPr="001C6812" w:rsidRDefault="002845D0" w:rsidP="002845D0">
            <w:pPr>
              <w:spacing w:line="240" w:lineRule="auto"/>
              <w:ind w:left="432" w:hanging="360"/>
              <w:rPr>
                <w:rFonts w:asciiTheme="majorHAnsi" w:eastAsia="Century Gothic" w:hAnsiTheme="majorHAnsi" w:cstheme="majorHAnsi"/>
              </w:rPr>
            </w:pPr>
          </w:p>
          <w:p w14:paraId="2723D8E3" w14:textId="77777777" w:rsidR="002845D0" w:rsidRPr="001C6812" w:rsidRDefault="002845D0" w:rsidP="002845D0">
            <w:pPr>
              <w:spacing w:line="240" w:lineRule="auto"/>
              <w:ind w:left="432" w:hanging="360"/>
              <w:rPr>
                <w:rFonts w:asciiTheme="majorHAnsi" w:eastAsia="Century Gothic" w:hAnsiTheme="majorHAnsi" w:cstheme="majorHAnsi"/>
              </w:rPr>
            </w:pPr>
            <w:r w:rsidRPr="001C6812">
              <w:rPr>
                <w:rFonts w:asciiTheme="majorHAnsi" w:eastAsia="Century Gothic" w:hAnsiTheme="majorHAnsi" w:cstheme="majorHAnsi"/>
              </w:rPr>
              <w:t>No permitidas</w:t>
            </w:r>
          </w:p>
          <w:p w14:paraId="254442FA" w14:textId="77777777" w:rsidR="002845D0" w:rsidRPr="001C6812" w:rsidRDefault="002845D0" w:rsidP="002845D0">
            <w:pPr>
              <w:spacing w:line="240" w:lineRule="auto"/>
              <w:ind w:left="432" w:hanging="360"/>
              <w:rPr>
                <w:rFonts w:asciiTheme="majorHAnsi" w:eastAsia="Century Gothic" w:hAnsiTheme="majorHAnsi" w:cstheme="majorHAnsi"/>
              </w:rPr>
            </w:pPr>
          </w:p>
        </w:tc>
      </w:tr>
      <w:tr w:rsidR="002845D0" w:rsidRPr="00FC2AE6" w14:paraId="17FAC48B" w14:textId="77777777" w:rsidTr="002845D0">
        <w:tc>
          <w:tcPr>
            <w:tcW w:w="3263" w:type="dxa"/>
            <w:shd w:val="clear" w:color="auto" w:fill="C6D9F1"/>
            <w:vAlign w:val="center"/>
          </w:tcPr>
          <w:p w14:paraId="56E1A69F"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Condiciones de pago</w:t>
            </w:r>
          </w:p>
        </w:tc>
        <w:tc>
          <w:tcPr>
            <w:tcW w:w="6087" w:type="dxa"/>
            <w:shd w:val="clear" w:color="auto" w:fill="auto"/>
          </w:tcPr>
          <w:p w14:paraId="29C2033F" w14:textId="77777777" w:rsidR="002845D0" w:rsidRPr="00FC2AE6" w:rsidRDefault="002845D0" w:rsidP="002845D0">
            <w:pPr>
              <w:spacing w:line="240" w:lineRule="auto"/>
              <w:jc w:val="both"/>
              <w:rPr>
                <w:rFonts w:asciiTheme="majorHAnsi" w:eastAsia="Century Gothic" w:hAnsiTheme="majorHAnsi" w:cstheme="majorHAnsi"/>
              </w:rPr>
            </w:pPr>
          </w:p>
          <w:tbl>
            <w:tblPr>
              <w:tblW w:w="5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3"/>
              <w:gridCol w:w="617"/>
              <w:gridCol w:w="1487"/>
              <w:gridCol w:w="1634"/>
            </w:tblGrid>
            <w:tr w:rsidR="002845D0" w:rsidRPr="00FC2AE6" w14:paraId="702762C5" w14:textId="77777777" w:rsidTr="002845D0">
              <w:tc>
                <w:tcPr>
                  <w:tcW w:w="2123" w:type="dxa"/>
                </w:tcPr>
                <w:p w14:paraId="1303476E" w14:textId="77777777" w:rsidR="002845D0" w:rsidRPr="00FC2AE6" w:rsidRDefault="002845D0" w:rsidP="002845D0">
                  <w:pPr>
                    <w:spacing w:line="240" w:lineRule="auto"/>
                    <w:jc w:val="center"/>
                    <w:rPr>
                      <w:rFonts w:asciiTheme="majorHAnsi" w:eastAsia="Century Gothic" w:hAnsiTheme="majorHAnsi" w:cstheme="majorHAnsi"/>
                    </w:rPr>
                  </w:pPr>
                  <w:r w:rsidRPr="00FC2AE6">
                    <w:rPr>
                      <w:rFonts w:asciiTheme="majorHAnsi" w:eastAsia="Century Gothic" w:hAnsiTheme="majorHAnsi" w:cstheme="majorHAnsi"/>
                    </w:rPr>
                    <w:t>Resultados</w:t>
                  </w:r>
                </w:p>
              </w:tc>
              <w:tc>
                <w:tcPr>
                  <w:tcW w:w="617" w:type="dxa"/>
                  <w:shd w:val="clear" w:color="auto" w:fill="auto"/>
                </w:tcPr>
                <w:p w14:paraId="7FD7FBA2" w14:textId="77777777" w:rsidR="002845D0" w:rsidRPr="005854D7" w:rsidRDefault="002845D0" w:rsidP="002845D0">
                  <w:pPr>
                    <w:spacing w:line="240" w:lineRule="auto"/>
                    <w:jc w:val="center"/>
                    <w:rPr>
                      <w:rFonts w:asciiTheme="majorHAnsi" w:eastAsia="Century Gothic" w:hAnsiTheme="majorHAnsi" w:cstheme="majorHAnsi"/>
                    </w:rPr>
                  </w:pPr>
                  <w:r w:rsidRPr="005854D7">
                    <w:rPr>
                      <w:rFonts w:asciiTheme="majorHAnsi" w:eastAsia="Century Gothic" w:hAnsiTheme="majorHAnsi" w:cstheme="majorHAnsi"/>
                    </w:rPr>
                    <w:t>%</w:t>
                  </w:r>
                </w:p>
              </w:tc>
              <w:tc>
                <w:tcPr>
                  <w:tcW w:w="1487" w:type="dxa"/>
                  <w:shd w:val="clear" w:color="auto" w:fill="auto"/>
                </w:tcPr>
                <w:p w14:paraId="1BDD6A4B" w14:textId="77777777" w:rsidR="002845D0" w:rsidRPr="005854D7" w:rsidRDefault="002845D0" w:rsidP="002845D0">
                  <w:pPr>
                    <w:spacing w:line="240" w:lineRule="auto"/>
                    <w:jc w:val="center"/>
                    <w:rPr>
                      <w:rFonts w:asciiTheme="majorHAnsi" w:eastAsia="Century Gothic" w:hAnsiTheme="majorHAnsi" w:cstheme="majorHAnsi"/>
                    </w:rPr>
                  </w:pPr>
                  <w:r w:rsidRPr="005854D7">
                    <w:rPr>
                      <w:rFonts w:asciiTheme="majorHAnsi" w:eastAsia="Century Gothic" w:hAnsiTheme="majorHAnsi" w:cstheme="majorHAnsi"/>
                    </w:rPr>
                    <w:t>Calendario</w:t>
                  </w:r>
                </w:p>
              </w:tc>
              <w:tc>
                <w:tcPr>
                  <w:tcW w:w="1634" w:type="dxa"/>
                  <w:shd w:val="clear" w:color="auto" w:fill="auto"/>
                </w:tcPr>
                <w:p w14:paraId="18437D37" w14:textId="77777777" w:rsidR="002845D0" w:rsidRPr="001C6812" w:rsidRDefault="002845D0" w:rsidP="002845D0">
                  <w:pPr>
                    <w:spacing w:line="240" w:lineRule="auto"/>
                    <w:jc w:val="center"/>
                    <w:rPr>
                      <w:rFonts w:asciiTheme="majorHAnsi" w:eastAsia="Century Gothic" w:hAnsiTheme="majorHAnsi" w:cstheme="majorHAnsi"/>
                    </w:rPr>
                  </w:pPr>
                  <w:r w:rsidRPr="001C6812">
                    <w:rPr>
                      <w:rFonts w:asciiTheme="majorHAnsi" w:eastAsia="Century Gothic" w:hAnsiTheme="majorHAnsi" w:cstheme="majorHAnsi"/>
                    </w:rPr>
                    <w:t xml:space="preserve">Condiciones para el desembolso </w:t>
                  </w:r>
                </w:p>
              </w:tc>
            </w:tr>
            <w:tr w:rsidR="002845D0" w:rsidRPr="00FC2AE6" w14:paraId="6E2F4D92" w14:textId="77777777" w:rsidTr="002845D0">
              <w:tc>
                <w:tcPr>
                  <w:tcW w:w="2123" w:type="dxa"/>
                </w:tcPr>
                <w:p w14:paraId="0D58F021" w14:textId="77777777" w:rsidR="00FC2AE6" w:rsidRDefault="002845D0" w:rsidP="002845D0">
                  <w:pPr>
                    <w:spacing w:line="240" w:lineRule="auto"/>
                    <w:jc w:val="both"/>
                    <w:rPr>
                      <w:rFonts w:asciiTheme="majorHAnsi" w:eastAsia="Century Gothic" w:hAnsiTheme="majorHAnsi" w:cstheme="majorHAnsi"/>
                      <w:b/>
                    </w:rPr>
                  </w:pPr>
                  <w:r w:rsidRPr="00FC2AE6">
                    <w:rPr>
                      <w:rFonts w:asciiTheme="majorHAnsi" w:eastAsia="Century Gothic" w:hAnsiTheme="majorHAnsi" w:cstheme="majorHAnsi"/>
                      <w:b/>
                    </w:rPr>
                    <w:t>Producto 1</w:t>
                  </w:r>
                  <w:r w:rsidR="00FC2AE6">
                    <w:rPr>
                      <w:rFonts w:asciiTheme="majorHAnsi" w:eastAsia="Century Gothic" w:hAnsiTheme="majorHAnsi" w:cstheme="majorHAnsi"/>
                      <w:b/>
                    </w:rPr>
                    <w:t>: Plan de Trabajo</w:t>
                  </w:r>
                </w:p>
                <w:p w14:paraId="32051DD2" w14:textId="0B78C465" w:rsidR="002845D0" w:rsidRPr="00FC2AE6" w:rsidRDefault="002845D0" w:rsidP="002845D0">
                  <w:pPr>
                    <w:spacing w:line="240" w:lineRule="auto"/>
                    <w:jc w:val="both"/>
                    <w:rPr>
                      <w:rFonts w:asciiTheme="majorHAnsi" w:eastAsia="Century Gothic" w:hAnsiTheme="majorHAnsi" w:cstheme="majorHAnsi"/>
                    </w:rPr>
                  </w:pPr>
                  <w:r w:rsidRPr="00FC2AE6">
                    <w:rPr>
                      <w:rFonts w:asciiTheme="majorHAnsi" w:eastAsia="Century Gothic" w:hAnsiTheme="majorHAnsi" w:cstheme="majorHAnsi"/>
                    </w:rPr>
                    <w:t>Plan de trabajo, calendario de gestión y metodología para cada entregable</w:t>
                  </w:r>
                </w:p>
              </w:tc>
              <w:tc>
                <w:tcPr>
                  <w:tcW w:w="617" w:type="dxa"/>
                  <w:shd w:val="clear" w:color="auto" w:fill="auto"/>
                </w:tcPr>
                <w:p w14:paraId="0955DDAE" w14:textId="629C0A14" w:rsidR="002845D0" w:rsidRPr="00FC2AE6" w:rsidRDefault="000A057B" w:rsidP="002845D0">
                  <w:pPr>
                    <w:spacing w:line="240" w:lineRule="auto"/>
                    <w:jc w:val="center"/>
                    <w:rPr>
                      <w:rFonts w:asciiTheme="majorHAnsi" w:eastAsia="Century Gothic" w:hAnsiTheme="majorHAnsi" w:cstheme="majorHAnsi"/>
                    </w:rPr>
                  </w:pPr>
                  <w:r w:rsidRPr="00FC2AE6">
                    <w:rPr>
                      <w:rFonts w:asciiTheme="majorHAnsi" w:eastAsia="Century Gothic" w:hAnsiTheme="majorHAnsi" w:cstheme="majorHAnsi"/>
                    </w:rPr>
                    <w:t>30</w:t>
                  </w:r>
                  <w:r w:rsidR="002845D0" w:rsidRPr="00FC2AE6">
                    <w:rPr>
                      <w:rFonts w:asciiTheme="majorHAnsi" w:eastAsia="Century Gothic" w:hAnsiTheme="majorHAnsi" w:cstheme="majorHAnsi"/>
                    </w:rPr>
                    <w:t>%</w:t>
                  </w:r>
                </w:p>
              </w:tc>
              <w:tc>
                <w:tcPr>
                  <w:tcW w:w="1487" w:type="dxa"/>
                  <w:shd w:val="clear" w:color="auto" w:fill="auto"/>
                </w:tcPr>
                <w:p w14:paraId="3E260E43" w14:textId="5E4EDBEE" w:rsidR="002845D0" w:rsidRPr="005854D7" w:rsidRDefault="000A057B" w:rsidP="002845D0">
                  <w:pPr>
                    <w:spacing w:line="240" w:lineRule="auto"/>
                    <w:rPr>
                      <w:rFonts w:asciiTheme="majorHAnsi" w:eastAsia="Century Gothic" w:hAnsiTheme="majorHAnsi" w:cstheme="majorHAnsi"/>
                    </w:rPr>
                  </w:pPr>
                  <w:r w:rsidRPr="005854D7">
                    <w:rPr>
                      <w:rFonts w:asciiTheme="majorHAnsi" w:eastAsia="Century Gothic" w:hAnsiTheme="majorHAnsi" w:cstheme="majorHAnsi"/>
                    </w:rPr>
                    <w:t>Octubre</w:t>
                  </w:r>
                </w:p>
                <w:p w14:paraId="54FE0711" w14:textId="77777777" w:rsidR="002845D0" w:rsidRPr="001C6812" w:rsidRDefault="002845D0" w:rsidP="002845D0">
                  <w:pPr>
                    <w:spacing w:line="240" w:lineRule="auto"/>
                    <w:rPr>
                      <w:rFonts w:asciiTheme="majorHAnsi" w:eastAsia="Century Gothic" w:hAnsiTheme="majorHAnsi" w:cstheme="majorHAnsi"/>
                    </w:rPr>
                  </w:pPr>
                  <w:r w:rsidRPr="001C6812">
                    <w:rPr>
                      <w:rFonts w:asciiTheme="majorHAnsi" w:eastAsia="Century Gothic" w:hAnsiTheme="majorHAnsi" w:cstheme="majorHAnsi"/>
                    </w:rPr>
                    <w:t>2020</w:t>
                  </w:r>
                </w:p>
                <w:p w14:paraId="3061F224" w14:textId="77777777" w:rsidR="002845D0" w:rsidRPr="001C6812" w:rsidRDefault="002845D0" w:rsidP="002845D0">
                  <w:pPr>
                    <w:spacing w:line="240" w:lineRule="auto"/>
                    <w:rPr>
                      <w:rFonts w:asciiTheme="majorHAnsi" w:eastAsia="Century Gothic" w:hAnsiTheme="majorHAnsi" w:cstheme="majorHAnsi"/>
                    </w:rPr>
                  </w:pPr>
                </w:p>
              </w:tc>
              <w:tc>
                <w:tcPr>
                  <w:tcW w:w="1634" w:type="dxa"/>
                  <w:vMerge w:val="restart"/>
                  <w:shd w:val="clear" w:color="auto" w:fill="auto"/>
                </w:tcPr>
                <w:p w14:paraId="38931630" w14:textId="77777777" w:rsidR="002845D0" w:rsidRPr="001C6812" w:rsidRDefault="002845D0" w:rsidP="002845D0">
                  <w:pPr>
                    <w:spacing w:line="240" w:lineRule="auto"/>
                    <w:rPr>
                      <w:rFonts w:asciiTheme="majorHAnsi" w:eastAsia="Century Gothic" w:hAnsiTheme="majorHAnsi" w:cstheme="majorHAnsi"/>
                    </w:rPr>
                  </w:pPr>
                  <w:r w:rsidRPr="001C6812">
                    <w:rPr>
                      <w:rFonts w:asciiTheme="majorHAnsi" w:eastAsia="Century Gothic" w:hAnsiTheme="majorHAnsi" w:cstheme="majorHAnsi"/>
                    </w:rPr>
                    <w:t>En treinta días (30) a partir de la fecha en que se cumplan las siguientes condiciones:</w:t>
                  </w:r>
                </w:p>
                <w:p w14:paraId="7DC6F15F" w14:textId="77777777" w:rsidR="002845D0" w:rsidRPr="00A92968" w:rsidRDefault="002845D0" w:rsidP="002845D0">
                  <w:pPr>
                    <w:spacing w:line="240" w:lineRule="auto"/>
                    <w:rPr>
                      <w:rFonts w:asciiTheme="majorHAnsi" w:eastAsia="Century Gothic" w:hAnsiTheme="majorHAnsi" w:cstheme="majorHAnsi"/>
                    </w:rPr>
                  </w:pPr>
                  <w:r w:rsidRPr="001C6812">
                    <w:rPr>
                      <w:rFonts w:asciiTheme="majorHAnsi" w:eastAsia="Century Gothic" w:hAnsiTheme="majorHAnsi" w:cstheme="majorHAnsi"/>
                    </w:rPr>
                    <w:t>a) aceptación por escrito por parte del PNUD (es decir, no simple recibo) de la calidad de l</w:t>
                  </w:r>
                  <w:r w:rsidRPr="00A92968">
                    <w:rPr>
                      <w:rFonts w:asciiTheme="majorHAnsi" w:eastAsia="Century Gothic" w:hAnsiTheme="majorHAnsi" w:cstheme="majorHAnsi"/>
                    </w:rPr>
                    <w:t xml:space="preserve">os resultados; y </w:t>
                  </w:r>
                </w:p>
                <w:p w14:paraId="5426C3B8" w14:textId="77777777" w:rsidR="002845D0" w:rsidRPr="00511367" w:rsidRDefault="002845D0" w:rsidP="002845D0">
                  <w:pPr>
                    <w:spacing w:line="240" w:lineRule="auto"/>
                    <w:rPr>
                      <w:rFonts w:asciiTheme="majorHAnsi" w:eastAsia="Century Gothic" w:hAnsiTheme="majorHAnsi" w:cstheme="majorHAnsi"/>
                    </w:rPr>
                  </w:pPr>
                  <w:r w:rsidRPr="00511367">
                    <w:rPr>
                      <w:rFonts w:asciiTheme="majorHAnsi" w:eastAsia="Century Gothic" w:hAnsiTheme="majorHAnsi" w:cstheme="majorHAnsi"/>
                    </w:rPr>
                    <w:t>b) recibo de la factura del Proveedor de Servicios.</w:t>
                  </w:r>
                </w:p>
              </w:tc>
            </w:tr>
            <w:tr w:rsidR="002845D0" w:rsidRPr="00FC2AE6" w14:paraId="1D156B6D" w14:textId="77777777" w:rsidTr="002845D0">
              <w:trPr>
                <w:trHeight w:val="593"/>
              </w:trPr>
              <w:tc>
                <w:tcPr>
                  <w:tcW w:w="2123" w:type="dxa"/>
                </w:tcPr>
                <w:p w14:paraId="63FDA255" w14:textId="31BC3E22" w:rsidR="00FC2AE6" w:rsidRDefault="002845D0" w:rsidP="002845D0">
                  <w:pPr>
                    <w:spacing w:line="240" w:lineRule="auto"/>
                    <w:jc w:val="both"/>
                    <w:rPr>
                      <w:rFonts w:asciiTheme="majorHAnsi" w:eastAsia="Century Gothic" w:hAnsiTheme="majorHAnsi" w:cstheme="majorHAnsi"/>
                      <w:b/>
                    </w:rPr>
                  </w:pPr>
                  <w:r w:rsidRPr="00FC2AE6">
                    <w:rPr>
                      <w:rFonts w:asciiTheme="majorHAnsi" w:eastAsia="Century Gothic" w:hAnsiTheme="majorHAnsi" w:cstheme="majorHAnsi"/>
                      <w:b/>
                    </w:rPr>
                    <w:t>Producto 2</w:t>
                  </w:r>
                  <w:r w:rsidR="00FC2AE6">
                    <w:rPr>
                      <w:rFonts w:asciiTheme="majorHAnsi" w:eastAsia="Century Gothic" w:hAnsiTheme="majorHAnsi" w:cstheme="majorHAnsi"/>
                      <w:b/>
                    </w:rPr>
                    <w:t xml:space="preserve">:  </w:t>
                  </w:r>
                  <w:r w:rsidR="00A92968">
                    <w:rPr>
                      <w:rFonts w:asciiTheme="majorHAnsi" w:eastAsia="Century Gothic" w:hAnsiTheme="majorHAnsi" w:cstheme="majorHAnsi"/>
                      <w:b/>
                    </w:rPr>
                    <w:t xml:space="preserve">Informe de Desarrollo e </w:t>
                  </w:r>
                  <w:proofErr w:type="spellStart"/>
                  <w:r w:rsidR="00A92968">
                    <w:rPr>
                      <w:rFonts w:asciiTheme="majorHAnsi" w:eastAsia="Century Gothic" w:hAnsiTheme="majorHAnsi" w:cstheme="majorHAnsi"/>
                      <w:b/>
                    </w:rPr>
                    <w:t>Implementaci</w:t>
                  </w:r>
                  <w:r w:rsidR="00A92968">
                    <w:rPr>
                      <w:rFonts w:asciiTheme="majorHAnsi" w:eastAsia="Century Gothic" w:hAnsiTheme="majorHAnsi" w:cstheme="majorHAnsi"/>
                      <w:b/>
                      <w:lang w:val="x-none"/>
                    </w:rPr>
                    <w:t>ón</w:t>
                  </w:r>
                  <w:proofErr w:type="spellEnd"/>
                </w:p>
                <w:p w14:paraId="27BFD12D" w14:textId="3312FD95" w:rsidR="002845D0" w:rsidRPr="001C6812" w:rsidRDefault="002845D0" w:rsidP="002845D0">
                  <w:pPr>
                    <w:spacing w:line="240" w:lineRule="auto"/>
                    <w:jc w:val="both"/>
                    <w:rPr>
                      <w:rFonts w:asciiTheme="majorHAnsi" w:eastAsia="Century Gothic" w:hAnsiTheme="majorHAnsi" w:cstheme="majorHAnsi"/>
                      <w:b/>
                    </w:rPr>
                  </w:pPr>
                  <w:r w:rsidRPr="00FC2AE6">
                    <w:rPr>
                      <w:rFonts w:asciiTheme="majorHAnsi" w:eastAsia="Century Gothic" w:hAnsiTheme="majorHAnsi" w:cstheme="majorHAnsi"/>
                    </w:rPr>
                    <w:t>Documento con las historias de usuario construidas para implementar el módulo de categoría de producto en el SINAMECC y la actualización del registro de acciones de mitigación disponible en el SINAMECC.  (Incluye presentación de resultados)</w:t>
                  </w:r>
                </w:p>
              </w:tc>
              <w:tc>
                <w:tcPr>
                  <w:tcW w:w="617" w:type="dxa"/>
                  <w:shd w:val="clear" w:color="auto" w:fill="auto"/>
                </w:tcPr>
                <w:p w14:paraId="04C87DFF" w14:textId="07F37252" w:rsidR="002845D0" w:rsidRPr="00FC2AE6" w:rsidRDefault="000A057B" w:rsidP="002845D0">
                  <w:pPr>
                    <w:spacing w:line="240" w:lineRule="auto"/>
                    <w:jc w:val="center"/>
                    <w:rPr>
                      <w:rFonts w:asciiTheme="majorHAnsi" w:eastAsia="Century Gothic" w:hAnsiTheme="majorHAnsi" w:cstheme="majorHAnsi"/>
                    </w:rPr>
                  </w:pPr>
                  <w:r w:rsidRPr="00FC2AE6">
                    <w:rPr>
                      <w:rFonts w:asciiTheme="majorHAnsi" w:eastAsia="Century Gothic" w:hAnsiTheme="majorHAnsi" w:cstheme="majorHAnsi"/>
                    </w:rPr>
                    <w:t>50</w:t>
                  </w:r>
                  <w:r w:rsidR="002845D0" w:rsidRPr="00FC2AE6">
                    <w:rPr>
                      <w:rFonts w:asciiTheme="majorHAnsi" w:eastAsia="Century Gothic" w:hAnsiTheme="majorHAnsi" w:cstheme="majorHAnsi"/>
                    </w:rPr>
                    <w:t>%</w:t>
                  </w:r>
                </w:p>
              </w:tc>
              <w:tc>
                <w:tcPr>
                  <w:tcW w:w="1487" w:type="dxa"/>
                  <w:shd w:val="clear" w:color="auto" w:fill="auto"/>
                </w:tcPr>
                <w:p w14:paraId="1A966087" w14:textId="77777777" w:rsidR="002845D0" w:rsidRPr="005854D7" w:rsidRDefault="002845D0" w:rsidP="002845D0">
                  <w:pPr>
                    <w:spacing w:line="240" w:lineRule="auto"/>
                    <w:rPr>
                      <w:rFonts w:asciiTheme="majorHAnsi" w:eastAsia="Century Gothic" w:hAnsiTheme="majorHAnsi" w:cstheme="majorHAnsi"/>
                    </w:rPr>
                  </w:pPr>
                </w:p>
                <w:p w14:paraId="1601DA10" w14:textId="1497BDD5" w:rsidR="002845D0" w:rsidRPr="005854D7" w:rsidRDefault="000A057B" w:rsidP="002845D0">
                  <w:pPr>
                    <w:spacing w:line="240" w:lineRule="auto"/>
                    <w:rPr>
                      <w:rFonts w:asciiTheme="majorHAnsi" w:eastAsia="Century Gothic" w:hAnsiTheme="majorHAnsi" w:cstheme="majorHAnsi"/>
                    </w:rPr>
                  </w:pPr>
                  <w:r w:rsidRPr="005854D7">
                    <w:rPr>
                      <w:rFonts w:asciiTheme="majorHAnsi" w:eastAsia="Century Gothic" w:hAnsiTheme="majorHAnsi" w:cstheme="majorHAnsi"/>
                    </w:rPr>
                    <w:t>Noviembre</w:t>
                  </w:r>
                </w:p>
                <w:p w14:paraId="60174212" w14:textId="77777777" w:rsidR="002845D0" w:rsidRPr="001C6812" w:rsidRDefault="002845D0" w:rsidP="002845D0">
                  <w:pPr>
                    <w:spacing w:line="240" w:lineRule="auto"/>
                    <w:rPr>
                      <w:rFonts w:asciiTheme="majorHAnsi" w:eastAsia="Century Gothic" w:hAnsiTheme="majorHAnsi" w:cstheme="majorHAnsi"/>
                    </w:rPr>
                  </w:pPr>
                  <w:r w:rsidRPr="001C6812">
                    <w:rPr>
                      <w:rFonts w:asciiTheme="majorHAnsi" w:eastAsia="Century Gothic" w:hAnsiTheme="majorHAnsi" w:cstheme="majorHAnsi"/>
                    </w:rPr>
                    <w:t>2020</w:t>
                  </w:r>
                </w:p>
              </w:tc>
              <w:tc>
                <w:tcPr>
                  <w:tcW w:w="1634" w:type="dxa"/>
                  <w:vMerge/>
                  <w:shd w:val="clear" w:color="auto" w:fill="auto"/>
                </w:tcPr>
                <w:p w14:paraId="774E9775" w14:textId="77777777" w:rsidR="002845D0" w:rsidRPr="001C6812" w:rsidRDefault="002845D0" w:rsidP="002845D0">
                  <w:pPr>
                    <w:widowControl w:val="0"/>
                    <w:rPr>
                      <w:rFonts w:asciiTheme="majorHAnsi" w:eastAsia="Century Gothic" w:hAnsiTheme="majorHAnsi" w:cstheme="majorHAnsi"/>
                    </w:rPr>
                  </w:pPr>
                </w:p>
              </w:tc>
            </w:tr>
            <w:tr w:rsidR="002845D0" w:rsidRPr="00FC2AE6" w14:paraId="13BFF3D4" w14:textId="77777777" w:rsidTr="002845D0">
              <w:trPr>
                <w:trHeight w:val="405"/>
              </w:trPr>
              <w:tc>
                <w:tcPr>
                  <w:tcW w:w="2123" w:type="dxa"/>
                </w:tcPr>
                <w:p w14:paraId="59C6FB41" w14:textId="78716EDA" w:rsidR="002845D0" w:rsidRDefault="002845D0" w:rsidP="002845D0">
                  <w:pPr>
                    <w:spacing w:line="240" w:lineRule="auto"/>
                    <w:jc w:val="both"/>
                    <w:rPr>
                      <w:rFonts w:asciiTheme="majorHAnsi" w:eastAsia="Century Gothic" w:hAnsiTheme="majorHAnsi" w:cstheme="majorHAnsi"/>
                      <w:b/>
                    </w:rPr>
                  </w:pPr>
                  <w:r w:rsidRPr="00FC2AE6">
                    <w:rPr>
                      <w:rFonts w:asciiTheme="majorHAnsi" w:eastAsia="Century Gothic" w:hAnsiTheme="majorHAnsi" w:cstheme="majorHAnsi"/>
                      <w:b/>
                    </w:rPr>
                    <w:t>Producto 3</w:t>
                  </w:r>
                  <w:r w:rsidR="00FC2AE6">
                    <w:rPr>
                      <w:rFonts w:asciiTheme="majorHAnsi" w:eastAsia="Century Gothic" w:hAnsiTheme="majorHAnsi" w:cstheme="majorHAnsi"/>
                      <w:b/>
                    </w:rPr>
                    <w:t>:  Informe final</w:t>
                  </w:r>
                </w:p>
                <w:p w14:paraId="41A1D178" w14:textId="39934290" w:rsidR="002845D0" w:rsidRPr="001C6812" w:rsidRDefault="002845D0" w:rsidP="002845D0">
                  <w:pPr>
                    <w:spacing w:line="240" w:lineRule="auto"/>
                    <w:jc w:val="both"/>
                    <w:rPr>
                      <w:rFonts w:asciiTheme="majorHAnsi" w:eastAsia="Century Gothic" w:hAnsiTheme="majorHAnsi" w:cstheme="majorHAnsi"/>
                      <w:highlight w:val="cyan"/>
                    </w:rPr>
                  </w:pPr>
                  <w:bookmarkStart w:id="4" w:name="_gjdgxs" w:colFirst="0" w:colLast="0"/>
                  <w:bookmarkEnd w:id="4"/>
                  <w:r w:rsidRPr="00FC2AE6">
                    <w:rPr>
                      <w:rFonts w:asciiTheme="majorHAnsi" w:eastAsia="Century Gothic" w:hAnsiTheme="majorHAnsi" w:cstheme="majorHAnsi"/>
                    </w:rPr>
                    <w:t xml:space="preserve">Informe final de la consultoría que incluye la documentación del desarrollo e implementación, recomendaciones y pasos a seguir y documentación de al menos </w:t>
                  </w:r>
                  <w:r w:rsidR="00006E49" w:rsidRPr="005854D7">
                    <w:rPr>
                      <w:rFonts w:asciiTheme="majorHAnsi" w:eastAsia="Century Gothic" w:hAnsiTheme="majorHAnsi" w:cstheme="majorHAnsi"/>
                    </w:rPr>
                    <w:t>4</w:t>
                  </w:r>
                  <w:r w:rsidRPr="005854D7">
                    <w:rPr>
                      <w:rFonts w:asciiTheme="majorHAnsi" w:eastAsia="Century Gothic" w:hAnsiTheme="majorHAnsi" w:cstheme="majorHAnsi"/>
                    </w:rPr>
                    <w:t xml:space="preserve"> capacitaciones virtuales.</w:t>
                  </w:r>
                  <w:r w:rsidRPr="001C6812">
                    <w:rPr>
                      <w:rFonts w:asciiTheme="majorHAnsi" w:eastAsia="Century Gothic" w:hAnsiTheme="majorHAnsi" w:cstheme="majorHAnsi"/>
                      <w:highlight w:val="cyan"/>
                    </w:rPr>
                    <w:t xml:space="preserve"> </w:t>
                  </w:r>
                </w:p>
                <w:p w14:paraId="77EDAECC" w14:textId="77777777" w:rsidR="002845D0" w:rsidRPr="001C6812" w:rsidRDefault="002845D0" w:rsidP="002845D0">
                  <w:pPr>
                    <w:spacing w:line="240" w:lineRule="auto"/>
                    <w:jc w:val="both"/>
                    <w:rPr>
                      <w:rFonts w:asciiTheme="majorHAnsi" w:eastAsia="Century Gothic" w:hAnsiTheme="majorHAnsi" w:cstheme="majorHAnsi"/>
                    </w:rPr>
                  </w:pPr>
                  <w:r w:rsidRPr="001C6812">
                    <w:rPr>
                      <w:rFonts w:asciiTheme="majorHAnsi" w:eastAsia="Century Gothic" w:hAnsiTheme="majorHAnsi" w:cstheme="majorHAnsi"/>
                    </w:rPr>
                    <w:t>(Incluye presentación de resultados)</w:t>
                  </w:r>
                </w:p>
              </w:tc>
              <w:tc>
                <w:tcPr>
                  <w:tcW w:w="617" w:type="dxa"/>
                  <w:shd w:val="clear" w:color="auto" w:fill="auto"/>
                </w:tcPr>
                <w:p w14:paraId="7457CFE0" w14:textId="77777777" w:rsidR="002845D0" w:rsidRPr="001C6812" w:rsidRDefault="002845D0" w:rsidP="002845D0">
                  <w:pPr>
                    <w:spacing w:line="240" w:lineRule="auto"/>
                    <w:jc w:val="center"/>
                    <w:rPr>
                      <w:rFonts w:asciiTheme="majorHAnsi" w:eastAsia="Century Gothic" w:hAnsiTheme="majorHAnsi" w:cstheme="majorHAnsi"/>
                    </w:rPr>
                  </w:pPr>
                </w:p>
                <w:p w14:paraId="67CEC9AC" w14:textId="11A3108F" w:rsidR="002845D0" w:rsidRPr="001C6812" w:rsidRDefault="000A057B" w:rsidP="002845D0">
                  <w:pPr>
                    <w:spacing w:line="240" w:lineRule="auto"/>
                    <w:jc w:val="center"/>
                    <w:rPr>
                      <w:rFonts w:asciiTheme="majorHAnsi" w:eastAsia="Century Gothic" w:hAnsiTheme="majorHAnsi" w:cstheme="majorHAnsi"/>
                    </w:rPr>
                  </w:pPr>
                  <w:r w:rsidRPr="001C6812">
                    <w:rPr>
                      <w:rFonts w:asciiTheme="majorHAnsi" w:eastAsia="Century Gothic" w:hAnsiTheme="majorHAnsi" w:cstheme="majorHAnsi"/>
                    </w:rPr>
                    <w:t>20</w:t>
                  </w:r>
                  <w:r w:rsidR="002845D0" w:rsidRPr="001C6812">
                    <w:rPr>
                      <w:rFonts w:asciiTheme="majorHAnsi" w:eastAsia="Century Gothic" w:hAnsiTheme="majorHAnsi" w:cstheme="majorHAnsi"/>
                    </w:rPr>
                    <w:t>%</w:t>
                  </w:r>
                </w:p>
              </w:tc>
              <w:tc>
                <w:tcPr>
                  <w:tcW w:w="1487" w:type="dxa"/>
                  <w:shd w:val="clear" w:color="auto" w:fill="auto"/>
                </w:tcPr>
                <w:p w14:paraId="031BAAB9" w14:textId="31C19393" w:rsidR="002845D0" w:rsidRPr="00A92968" w:rsidRDefault="000A057B" w:rsidP="002845D0">
                  <w:pPr>
                    <w:spacing w:line="240" w:lineRule="auto"/>
                    <w:rPr>
                      <w:rFonts w:asciiTheme="majorHAnsi" w:eastAsia="Century Gothic" w:hAnsiTheme="majorHAnsi" w:cstheme="majorHAnsi"/>
                    </w:rPr>
                  </w:pPr>
                  <w:r w:rsidRPr="00A92968">
                    <w:rPr>
                      <w:rFonts w:asciiTheme="majorHAnsi" w:eastAsia="Century Gothic" w:hAnsiTheme="majorHAnsi" w:cstheme="majorHAnsi"/>
                    </w:rPr>
                    <w:t>Enero</w:t>
                  </w:r>
                </w:p>
                <w:p w14:paraId="57712983" w14:textId="490AA275" w:rsidR="002845D0" w:rsidRPr="00511367" w:rsidRDefault="002845D0" w:rsidP="002845D0">
                  <w:pPr>
                    <w:spacing w:line="240" w:lineRule="auto"/>
                    <w:rPr>
                      <w:rFonts w:asciiTheme="majorHAnsi" w:eastAsia="Century Gothic" w:hAnsiTheme="majorHAnsi" w:cstheme="majorHAnsi"/>
                    </w:rPr>
                  </w:pPr>
                  <w:r w:rsidRPr="00511367">
                    <w:rPr>
                      <w:rFonts w:asciiTheme="majorHAnsi" w:eastAsia="Century Gothic" w:hAnsiTheme="majorHAnsi" w:cstheme="majorHAnsi"/>
                    </w:rPr>
                    <w:t>202</w:t>
                  </w:r>
                  <w:r w:rsidR="000A057B" w:rsidRPr="00511367">
                    <w:rPr>
                      <w:rFonts w:asciiTheme="majorHAnsi" w:eastAsia="Century Gothic" w:hAnsiTheme="majorHAnsi" w:cstheme="majorHAnsi"/>
                    </w:rPr>
                    <w:t>1</w:t>
                  </w:r>
                </w:p>
              </w:tc>
              <w:tc>
                <w:tcPr>
                  <w:tcW w:w="1634" w:type="dxa"/>
                  <w:vMerge/>
                  <w:shd w:val="clear" w:color="auto" w:fill="auto"/>
                </w:tcPr>
                <w:p w14:paraId="2B526A2C" w14:textId="77777777" w:rsidR="002845D0" w:rsidRPr="00511367" w:rsidRDefault="002845D0" w:rsidP="002845D0">
                  <w:pPr>
                    <w:widowControl w:val="0"/>
                    <w:rPr>
                      <w:rFonts w:asciiTheme="majorHAnsi" w:eastAsia="Century Gothic" w:hAnsiTheme="majorHAnsi" w:cstheme="majorHAnsi"/>
                    </w:rPr>
                  </w:pPr>
                </w:p>
              </w:tc>
            </w:tr>
          </w:tbl>
          <w:p w14:paraId="45F9B753" w14:textId="77777777" w:rsidR="002845D0" w:rsidRPr="00FC2AE6" w:rsidRDefault="002845D0" w:rsidP="002845D0">
            <w:pPr>
              <w:spacing w:line="240" w:lineRule="auto"/>
              <w:jc w:val="both"/>
              <w:rPr>
                <w:rFonts w:asciiTheme="majorHAnsi" w:eastAsia="Century Gothic" w:hAnsiTheme="majorHAnsi" w:cstheme="majorHAnsi"/>
              </w:rPr>
            </w:pPr>
          </w:p>
        </w:tc>
      </w:tr>
      <w:tr w:rsidR="002845D0" w:rsidRPr="00FC2AE6" w14:paraId="604C47D9" w14:textId="77777777" w:rsidTr="002845D0">
        <w:tc>
          <w:tcPr>
            <w:tcW w:w="3263" w:type="dxa"/>
            <w:shd w:val="clear" w:color="auto" w:fill="C6D9F1"/>
            <w:vAlign w:val="center"/>
          </w:tcPr>
          <w:p w14:paraId="0A52D6BA"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Persona/s autorizadas para revisar/inspeccionar/aprobar los productos/servicios finalizados y autorizar el desembolso de los pagos.</w:t>
            </w:r>
          </w:p>
        </w:tc>
        <w:tc>
          <w:tcPr>
            <w:tcW w:w="6087" w:type="dxa"/>
            <w:shd w:val="clear" w:color="auto" w:fill="auto"/>
          </w:tcPr>
          <w:p w14:paraId="270442F6" w14:textId="77777777" w:rsidR="002845D0" w:rsidRPr="005854D7" w:rsidRDefault="002845D0" w:rsidP="002845D0">
            <w:pPr>
              <w:spacing w:line="240" w:lineRule="auto"/>
              <w:jc w:val="both"/>
              <w:rPr>
                <w:rFonts w:asciiTheme="majorHAnsi" w:eastAsia="Century Gothic" w:hAnsiTheme="majorHAnsi" w:cstheme="majorHAnsi"/>
                <w:i/>
                <w:color w:val="FF0000"/>
              </w:rPr>
            </w:pPr>
          </w:p>
          <w:p w14:paraId="6989A358" w14:textId="77777777" w:rsidR="002845D0" w:rsidRPr="001C6812" w:rsidRDefault="002845D0" w:rsidP="002845D0">
            <w:pPr>
              <w:spacing w:line="240" w:lineRule="auto"/>
              <w:jc w:val="both"/>
              <w:rPr>
                <w:rFonts w:asciiTheme="majorHAnsi" w:eastAsia="Century Gothic" w:hAnsiTheme="majorHAnsi" w:cstheme="majorHAnsi"/>
              </w:rPr>
            </w:pPr>
            <w:r w:rsidRPr="005854D7">
              <w:rPr>
                <w:rFonts w:asciiTheme="majorHAnsi" w:eastAsia="Century Gothic" w:hAnsiTheme="majorHAnsi" w:cstheme="majorHAnsi"/>
                <w:i/>
              </w:rPr>
              <w:t>Coordinadora del Proyecto y la coordin</w:t>
            </w:r>
            <w:r w:rsidRPr="001C6812">
              <w:rPr>
                <w:rFonts w:asciiTheme="majorHAnsi" w:eastAsia="Century Gothic" w:hAnsiTheme="majorHAnsi" w:cstheme="majorHAnsi"/>
                <w:i/>
              </w:rPr>
              <w:t>adora del SINAMECC.</w:t>
            </w:r>
          </w:p>
        </w:tc>
      </w:tr>
      <w:tr w:rsidR="002845D0" w:rsidRPr="00FC2AE6" w14:paraId="34CA89D9" w14:textId="77777777" w:rsidTr="002845D0">
        <w:tc>
          <w:tcPr>
            <w:tcW w:w="3263" w:type="dxa"/>
            <w:shd w:val="clear" w:color="auto" w:fill="C6D9F1"/>
            <w:vAlign w:val="center"/>
          </w:tcPr>
          <w:p w14:paraId="696D4AB6"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Tipo de contrato que deberá firmarse</w:t>
            </w:r>
          </w:p>
        </w:tc>
        <w:tc>
          <w:tcPr>
            <w:tcW w:w="6087" w:type="dxa"/>
            <w:shd w:val="clear" w:color="auto" w:fill="auto"/>
          </w:tcPr>
          <w:p w14:paraId="20D82420" w14:textId="77777777" w:rsidR="002845D0" w:rsidRPr="005854D7" w:rsidRDefault="002845D0" w:rsidP="002845D0">
            <w:pPr>
              <w:spacing w:line="240" w:lineRule="auto"/>
              <w:jc w:val="both"/>
              <w:rPr>
                <w:rFonts w:asciiTheme="majorHAnsi" w:eastAsia="Century Gothic" w:hAnsiTheme="majorHAnsi" w:cstheme="majorHAnsi"/>
              </w:rPr>
            </w:pPr>
          </w:p>
          <w:p w14:paraId="232A8E91" w14:textId="4AE06DC4" w:rsidR="00FA3093" w:rsidRPr="001C6812" w:rsidRDefault="00FA3093" w:rsidP="002845D0">
            <w:pPr>
              <w:spacing w:line="240" w:lineRule="auto"/>
              <w:rPr>
                <w:rFonts w:asciiTheme="majorHAnsi" w:eastAsia="Century Gothic" w:hAnsiTheme="majorHAnsi" w:cstheme="majorHAnsi"/>
              </w:rPr>
            </w:pPr>
            <w:r w:rsidRPr="001C6812">
              <w:rPr>
                <w:rFonts w:asciiTheme="majorHAnsi" w:eastAsia="Century Gothic" w:hAnsiTheme="majorHAnsi" w:cstheme="majorHAnsi"/>
                <w:lang w:val="x-none"/>
              </w:rPr>
              <w:t>Contrato de servicios profesionales</w:t>
            </w:r>
            <w:r w:rsidR="00511367">
              <w:rPr>
                <w:rFonts w:asciiTheme="majorHAnsi" w:eastAsia="Century Gothic" w:hAnsiTheme="majorHAnsi" w:cstheme="majorHAnsi"/>
                <w:lang w:val="x-none"/>
              </w:rPr>
              <w:t>.</w:t>
            </w:r>
          </w:p>
          <w:p w14:paraId="45179561" w14:textId="7A971203" w:rsidR="002845D0" w:rsidRPr="001C6812" w:rsidRDefault="002845D0" w:rsidP="002845D0">
            <w:pPr>
              <w:spacing w:line="240" w:lineRule="auto"/>
              <w:ind w:left="342"/>
              <w:rPr>
                <w:rFonts w:asciiTheme="majorHAnsi" w:eastAsia="Century Gothic" w:hAnsiTheme="majorHAnsi" w:cstheme="majorHAnsi"/>
              </w:rPr>
            </w:pPr>
          </w:p>
        </w:tc>
      </w:tr>
      <w:tr w:rsidR="002845D0" w:rsidRPr="00FC2AE6" w14:paraId="728BFA17" w14:textId="77777777" w:rsidTr="002845D0">
        <w:tc>
          <w:tcPr>
            <w:tcW w:w="3263" w:type="dxa"/>
            <w:shd w:val="clear" w:color="auto" w:fill="C6D9F1"/>
            <w:vAlign w:val="center"/>
          </w:tcPr>
          <w:p w14:paraId="59171AFA" w14:textId="77777777" w:rsidR="002845D0" w:rsidRPr="00FC2AE6" w:rsidRDefault="002845D0" w:rsidP="002845D0">
            <w:pPr>
              <w:spacing w:line="240" w:lineRule="auto"/>
              <w:rPr>
                <w:rFonts w:asciiTheme="majorHAnsi" w:eastAsia="Century Gothic" w:hAnsiTheme="majorHAnsi" w:cstheme="majorHAnsi"/>
                <w:b/>
              </w:rPr>
            </w:pPr>
          </w:p>
          <w:p w14:paraId="6672DE28" w14:textId="77777777" w:rsidR="002845D0" w:rsidRPr="005854D7" w:rsidRDefault="002845D0" w:rsidP="002845D0">
            <w:pPr>
              <w:spacing w:line="240" w:lineRule="auto"/>
              <w:rPr>
                <w:rFonts w:asciiTheme="majorHAnsi" w:eastAsia="Century Gothic" w:hAnsiTheme="majorHAnsi" w:cstheme="majorHAnsi"/>
                <w:b/>
                <w:highlight w:val="green"/>
              </w:rPr>
            </w:pPr>
            <w:r w:rsidRPr="005854D7">
              <w:rPr>
                <w:rFonts w:asciiTheme="majorHAnsi" w:eastAsia="Century Gothic" w:hAnsiTheme="majorHAnsi" w:cstheme="majorHAnsi"/>
                <w:b/>
              </w:rPr>
              <w:t>Criterios de adjudicación de un contrato</w:t>
            </w:r>
          </w:p>
        </w:tc>
        <w:tc>
          <w:tcPr>
            <w:tcW w:w="6087" w:type="dxa"/>
            <w:shd w:val="clear" w:color="auto" w:fill="auto"/>
          </w:tcPr>
          <w:p w14:paraId="4403F0FD" w14:textId="3706E3A3" w:rsidR="00EE56BE" w:rsidRPr="001C6812" w:rsidRDefault="00EE56BE" w:rsidP="00511367">
            <w:pPr>
              <w:pStyle w:val="BankNormal"/>
              <w:spacing w:after="0"/>
              <w:jc w:val="both"/>
              <w:rPr>
                <w:rFonts w:asciiTheme="majorHAnsi" w:hAnsiTheme="majorHAnsi" w:cs="Calibri"/>
                <w:snapToGrid w:val="0"/>
                <w:sz w:val="22"/>
                <w:szCs w:val="22"/>
                <w:lang w:val="es-ES_tradnl"/>
              </w:rPr>
            </w:pPr>
            <w:r w:rsidRPr="001C6812">
              <w:rPr>
                <w:rFonts w:asciiTheme="majorHAnsi" w:hAnsiTheme="majorHAnsi" w:cs="Calibri"/>
                <w:snapToGrid w:val="0"/>
                <w:sz w:val="22"/>
                <w:szCs w:val="22"/>
                <w:lang w:val="es-ES_tradnl"/>
              </w:rPr>
              <w:t>Mayor puntuación combinada (con la siguiente distribución: un 70% a la oferta técnica, un 30% al precio)</w:t>
            </w:r>
            <w:r w:rsidRPr="001C6812">
              <w:rPr>
                <w:rFonts w:asciiTheme="majorHAnsi" w:hAnsiTheme="majorHAnsi" w:cs="Calibri"/>
                <w:sz w:val="22"/>
                <w:szCs w:val="22"/>
                <w:lang w:val="es-ES_tradnl"/>
              </w:rPr>
              <w:t xml:space="preserve"> </w:t>
            </w:r>
          </w:p>
          <w:p w14:paraId="1FAEF671" w14:textId="77777777" w:rsidR="002845D0" w:rsidRPr="005854D7" w:rsidRDefault="002845D0" w:rsidP="002845D0">
            <w:pPr>
              <w:spacing w:line="240" w:lineRule="auto"/>
              <w:rPr>
                <w:rFonts w:asciiTheme="majorHAnsi" w:eastAsia="Century Gothic" w:hAnsiTheme="majorHAnsi" w:cstheme="majorHAnsi"/>
              </w:rPr>
            </w:pPr>
            <w:r w:rsidRPr="00FC2AE6">
              <w:rPr>
                <w:rFonts w:asciiTheme="majorHAnsi" w:eastAsia="Century Gothic" w:hAnsiTheme="majorHAnsi" w:cstheme="majorHAnsi"/>
              </w:rPr>
              <w:t>Plena aceptación de los Términos y Condiciones Generales de Contratación del PNUD (TCG). Se trata de un criterio obligatorio que no puede obviarse en ningún caso, con independencia de la naturaleza de los servicios solicitados. La no aceptación de los TCG será motivo de inadmisión de la Propue</w:t>
            </w:r>
            <w:r w:rsidRPr="005854D7">
              <w:rPr>
                <w:rFonts w:asciiTheme="majorHAnsi" w:eastAsia="Century Gothic" w:hAnsiTheme="majorHAnsi" w:cstheme="majorHAnsi"/>
              </w:rPr>
              <w:t>sta.</w:t>
            </w:r>
          </w:p>
          <w:p w14:paraId="16310B52" w14:textId="77777777" w:rsidR="002845D0" w:rsidRPr="005854D7" w:rsidRDefault="002845D0" w:rsidP="002845D0">
            <w:pPr>
              <w:spacing w:line="240" w:lineRule="auto"/>
              <w:rPr>
                <w:rFonts w:asciiTheme="majorHAnsi" w:eastAsia="Century Gothic" w:hAnsiTheme="majorHAnsi" w:cstheme="majorHAnsi"/>
              </w:rPr>
            </w:pPr>
          </w:p>
        </w:tc>
      </w:tr>
      <w:tr w:rsidR="002845D0" w:rsidRPr="00FC2AE6" w14:paraId="2864C1F9" w14:textId="77777777" w:rsidTr="002845D0">
        <w:tc>
          <w:tcPr>
            <w:tcW w:w="3263" w:type="dxa"/>
            <w:shd w:val="clear" w:color="auto" w:fill="C6D9F1"/>
            <w:vAlign w:val="center"/>
          </w:tcPr>
          <w:p w14:paraId="7F06321F"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 xml:space="preserve">Criterios de evaluación de una propuesta </w:t>
            </w:r>
          </w:p>
        </w:tc>
        <w:tc>
          <w:tcPr>
            <w:tcW w:w="6087" w:type="dxa"/>
            <w:shd w:val="clear" w:color="auto" w:fill="auto"/>
          </w:tcPr>
          <w:p w14:paraId="2BBDD383" w14:textId="54A1C9C4" w:rsidR="002845D0" w:rsidRPr="005854D7" w:rsidRDefault="002845D0" w:rsidP="002845D0">
            <w:pPr>
              <w:spacing w:line="240" w:lineRule="auto"/>
              <w:jc w:val="both"/>
              <w:rPr>
                <w:rFonts w:asciiTheme="majorHAnsi" w:eastAsia="Century Gothic" w:hAnsiTheme="majorHAnsi" w:cstheme="majorHAnsi"/>
                <w:b/>
                <w:u w:val="single"/>
              </w:rPr>
            </w:pPr>
            <w:r w:rsidRPr="005854D7">
              <w:rPr>
                <w:rFonts w:asciiTheme="majorHAnsi" w:eastAsia="Century Gothic" w:hAnsiTheme="majorHAnsi" w:cstheme="majorHAnsi"/>
                <w:b/>
                <w:u w:val="single"/>
              </w:rPr>
              <w:t>Propuesta técnica 70% (1000 puntos)</w:t>
            </w:r>
          </w:p>
          <w:p w14:paraId="2C6812FF" w14:textId="24FB0997" w:rsidR="002845D0" w:rsidRDefault="002845D0" w:rsidP="000D1D21">
            <w:pPr>
              <w:spacing w:line="240" w:lineRule="auto"/>
              <w:jc w:val="both"/>
              <w:rPr>
                <w:rFonts w:asciiTheme="majorHAnsi" w:eastAsia="Century Gothic" w:hAnsiTheme="majorHAnsi" w:cstheme="majorHAnsi"/>
              </w:rPr>
            </w:pPr>
            <w:r w:rsidRPr="001C6812">
              <w:rPr>
                <w:rFonts w:asciiTheme="majorHAnsi" w:eastAsia="Century Gothic" w:hAnsiTheme="majorHAnsi" w:cstheme="majorHAnsi"/>
              </w:rPr>
              <w:t>Antecedentes de la empresa (2</w:t>
            </w:r>
            <w:r w:rsidR="00A8255B" w:rsidRPr="001C6812">
              <w:rPr>
                <w:rFonts w:asciiTheme="majorHAnsi" w:eastAsia="Century Gothic" w:hAnsiTheme="majorHAnsi" w:cstheme="majorHAnsi"/>
              </w:rPr>
              <w:t>2</w:t>
            </w:r>
            <w:r w:rsidRPr="001C6812">
              <w:rPr>
                <w:rFonts w:asciiTheme="majorHAnsi" w:eastAsia="Century Gothic" w:hAnsiTheme="majorHAnsi" w:cstheme="majorHAnsi"/>
              </w:rPr>
              <w:t>0 puntos)</w:t>
            </w:r>
          </w:p>
          <w:p w14:paraId="4DABB0DC" w14:textId="77777777" w:rsidR="001C6812" w:rsidRPr="001C6812" w:rsidRDefault="001C6812" w:rsidP="000D1D21">
            <w:pPr>
              <w:spacing w:line="240" w:lineRule="auto"/>
              <w:jc w:val="both"/>
              <w:rPr>
                <w:rFonts w:asciiTheme="majorHAnsi" w:eastAsia="Century Gothic" w:hAnsiTheme="majorHAnsi" w:cstheme="majorHAnsi"/>
              </w:rPr>
            </w:pPr>
          </w:p>
          <w:p w14:paraId="2E6B95C4" w14:textId="3A7B080F" w:rsidR="002845D0" w:rsidRPr="001C6812" w:rsidRDefault="002845D0" w:rsidP="001C6812">
            <w:pPr>
              <w:spacing w:line="240" w:lineRule="auto"/>
              <w:jc w:val="both"/>
              <w:rPr>
                <w:rFonts w:asciiTheme="majorHAnsi" w:eastAsia="Century Gothic" w:hAnsiTheme="majorHAnsi" w:cstheme="majorHAnsi"/>
              </w:rPr>
            </w:pPr>
            <w:r w:rsidRPr="001C6812">
              <w:rPr>
                <w:rFonts w:asciiTheme="majorHAnsi" w:eastAsia="Century Gothic" w:hAnsiTheme="majorHAnsi" w:cstheme="majorHAnsi"/>
              </w:rPr>
              <w:t>Metodología, adecuación a las condiciones y plazos del plan de ejecución (4</w:t>
            </w:r>
            <w:r w:rsidR="00A8255B" w:rsidRPr="001C6812">
              <w:rPr>
                <w:rFonts w:asciiTheme="majorHAnsi" w:eastAsia="Century Gothic" w:hAnsiTheme="majorHAnsi" w:cstheme="majorHAnsi"/>
              </w:rPr>
              <w:t>3</w:t>
            </w:r>
            <w:r w:rsidRPr="001C6812">
              <w:rPr>
                <w:rFonts w:asciiTheme="majorHAnsi" w:eastAsia="Century Gothic" w:hAnsiTheme="majorHAnsi" w:cstheme="majorHAnsi"/>
              </w:rPr>
              <w:t>0 puntos)</w:t>
            </w:r>
            <w:r w:rsidR="006E2F3E" w:rsidRPr="001C6812">
              <w:rPr>
                <w:rFonts w:asciiTheme="majorHAnsi" w:eastAsia="Century Gothic" w:hAnsiTheme="majorHAnsi" w:cstheme="majorHAnsi"/>
              </w:rPr>
              <w:t xml:space="preserve"> </w:t>
            </w:r>
            <w:r w:rsidR="006E2F3E" w:rsidRPr="001C6812">
              <w:rPr>
                <w:rFonts w:asciiTheme="majorHAnsi" w:eastAsia="Century Gothic" w:hAnsiTheme="majorHAnsi" w:cstheme="majorHAnsi"/>
                <w:i/>
              </w:rPr>
              <w:t>La propuesta metodológica debe tener un máximo de 10 páginas (sin incluir anexos) y debe brindar propuestas de escenarios que incluyan planes de contingencia por el COVID-19</w:t>
            </w:r>
          </w:p>
          <w:p w14:paraId="705D4DFA" w14:textId="77777777" w:rsidR="002845D0" w:rsidRPr="001C6812" w:rsidRDefault="002845D0" w:rsidP="000D1D21">
            <w:pPr>
              <w:spacing w:line="240" w:lineRule="auto"/>
              <w:ind w:left="342"/>
              <w:jc w:val="both"/>
              <w:rPr>
                <w:rFonts w:asciiTheme="majorHAnsi" w:eastAsia="Century Gothic" w:hAnsiTheme="majorHAnsi" w:cstheme="majorHAnsi"/>
              </w:rPr>
            </w:pPr>
          </w:p>
          <w:p w14:paraId="46855E7D" w14:textId="77777777" w:rsidR="002845D0" w:rsidRPr="001C6812" w:rsidRDefault="002845D0" w:rsidP="001C6812">
            <w:pPr>
              <w:spacing w:line="240" w:lineRule="auto"/>
              <w:jc w:val="both"/>
              <w:rPr>
                <w:rFonts w:asciiTheme="majorHAnsi" w:eastAsia="Century Gothic" w:hAnsiTheme="majorHAnsi" w:cstheme="majorHAnsi"/>
              </w:rPr>
            </w:pPr>
            <w:r w:rsidRPr="001C6812">
              <w:rPr>
                <w:rFonts w:asciiTheme="majorHAnsi" w:eastAsia="Century Gothic" w:hAnsiTheme="majorHAnsi" w:cstheme="majorHAnsi"/>
              </w:rPr>
              <w:t>Estructura gerencial y calificación del personal. (350 puntos)</w:t>
            </w:r>
          </w:p>
          <w:p w14:paraId="0586C631" w14:textId="77777777" w:rsidR="002845D0" w:rsidRPr="001C6812" w:rsidRDefault="002845D0" w:rsidP="002845D0">
            <w:pPr>
              <w:spacing w:line="240" w:lineRule="auto"/>
              <w:jc w:val="both"/>
              <w:rPr>
                <w:rFonts w:asciiTheme="majorHAnsi" w:eastAsia="Century Gothic" w:hAnsiTheme="majorHAnsi" w:cstheme="majorHAnsi"/>
              </w:rPr>
            </w:pPr>
          </w:p>
          <w:p w14:paraId="1E6E050B" w14:textId="77777777" w:rsidR="002845D0" w:rsidRPr="00332243" w:rsidRDefault="002845D0" w:rsidP="002845D0">
            <w:pPr>
              <w:spacing w:line="240" w:lineRule="auto"/>
              <w:jc w:val="both"/>
              <w:rPr>
                <w:rFonts w:asciiTheme="majorHAnsi" w:eastAsia="Century Gothic" w:hAnsiTheme="majorHAnsi" w:cstheme="majorHAnsi"/>
                <w:b/>
                <w:u w:val="single"/>
              </w:rPr>
            </w:pPr>
            <w:r w:rsidRPr="00332243">
              <w:rPr>
                <w:rFonts w:asciiTheme="majorHAnsi" w:eastAsia="Century Gothic" w:hAnsiTheme="majorHAnsi" w:cstheme="majorHAnsi"/>
                <w:b/>
                <w:u w:val="single"/>
              </w:rPr>
              <w:t>Propuesta financiera 30% (300 puntos)</w:t>
            </w:r>
          </w:p>
          <w:p w14:paraId="7DC43628" w14:textId="77777777" w:rsidR="002845D0" w:rsidRPr="00332243" w:rsidRDefault="002845D0" w:rsidP="002845D0">
            <w:pPr>
              <w:spacing w:line="240" w:lineRule="auto"/>
              <w:jc w:val="both"/>
              <w:rPr>
                <w:rFonts w:asciiTheme="majorHAnsi" w:eastAsia="Century Gothic" w:hAnsiTheme="majorHAnsi" w:cstheme="majorHAnsi"/>
              </w:rPr>
            </w:pPr>
            <w:r w:rsidRPr="00332243">
              <w:rPr>
                <w:rFonts w:asciiTheme="majorHAnsi" w:eastAsia="Century Gothic" w:hAnsiTheme="majorHAnsi" w:cstheme="majorHAnsi"/>
              </w:rPr>
              <w:t>Se calculará como la relación entre precio de la propuesta y el precio más bajo de todas las propuestas que haya recibido el PNUD.</w:t>
            </w:r>
          </w:p>
          <w:p w14:paraId="6B5EA174" w14:textId="77777777" w:rsidR="002845D0" w:rsidRPr="00A92968" w:rsidRDefault="002845D0" w:rsidP="002845D0">
            <w:pPr>
              <w:spacing w:line="240" w:lineRule="auto"/>
              <w:jc w:val="both"/>
              <w:rPr>
                <w:rFonts w:asciiTheme="majorHAnsi" w:eastAsia="Century Gothic" w:hAnsiTheme="majorHAnsi" w:cstheme="majorHAnsi"/>
              </w:rPr>
            </w:pPr>
          </w:p>
        </w:tc>
      </w:tr>
      <w:tr w:rsidR="002845D0" w:rsidRPr="00FC2AE6" w14:paraId="269DBD85" w14:textId="77777777" w:rsidTr="002845D0">
        <w:tc>
          <w:tcPr>
            <w:tcW w:w="3263" w:type="dxa"/>
            <w:shd w:val="clear" w:color="auto" w:fill="C6D9F1"/>
            <w:vAlign w:val="center"/>
          </w:tcPr>
          <w:p w14:paraId="3C723769" w14:textId="77777777" w:rsidR="002845D0" w:rsidRPr="00FC2AE6" w:rsidRDefault="002845D0" w:rsidP="002845D0">
            <w:pPr>
              <w:tabs>
                <w:tab w:val="left" w:pos="5686"/>
                <w:tab w:val="right" w:pos="7218"/>
              </w:tabs>
              <w:spacing w:line="240" w:lineRule="auto"/>
              <w:rPr>
                <w:rFonts w:asciiTheme="majorHAnsi" w:eastAsia="Century Gothic" w:hAnsiTheme="majorHAnsi" w:cstheme="majorHAnsi"/>
                <w:b/>
              </w:rPr>
            </w:pPr>
            <w:r w:rsidRPr="00FC2AE6">
              <w:rPr>
                <w:rFonts w:asciiTheme="majorHAnsi" w:eastAsia="Century Gothic" w:hAnsiTheme="majorHAnsi" w:cstheme="majorHAnsi"/>
                <w:b/>
              </w:rPr>
              <w:t>El PNUD adjudicará el Contrato a:</w:t>
            </w:r>
          </w:p>
        </w:tc>
        <w:tc>
          <w:tcPr>
            <w:tcW w:w="6087" w:type="dxa"/>
            <w:shd w:val="clear" w:color="auto" w:fill="auto"/>
          </w:tcPr>
          <w:p w14:paraId="04C49BB4" w14:textId="77777777" w:rsidR="002845D0" w:rsidRPr="005854D7" w:rsidRDefault="002845D0" w:rsidP="002845D0">
            <w:pPr>
              <w:tabs>
                <w:tab w:val="left" w:pos="342"/>
                <w:tab w:val="right" w:pos="7218"/>
              </w:tabs>
              <w:spacing w:line="240" w:lineRule="auto"/>
              <w:ind w:left="378"/>
              <w:rPr>
                <w:rFonts w:asciiTheme="majorHAnsi" w:eastAsia="Century Gothic" w:hAnsiTheme="majorHAnsi" w:cstheme="majorHAnsi"/>
              </w:rPr>
            </w:pPr>
          </w:p>
          <w:p w14:paraId="0595F2BB" w14:textId="348E6084" w:rsidR="002845D0" w:rsidRPr="001C6812" w:rsidRDefault="002845D0" w:rsidP="002845D0">
            <w:pPr>
              <w:tabs>
                <w:tab w:val="left" w:pos="342"/>
                <w:tab w:val="right" w:pos="7218"/>
              </w:tabs>
              <w:spacing w:line="240" w:lineRule="auto"/>
              <w:rPr>
                <w:rFonts w:asciiTheme="majorHAnsi" w:eastAsia="Century Gothic" w:hAnsiTheme="majorHAnsi" w:cstheme="majorHAnsi"/>
              </w:rPr>
            </w:pPr>
            <w:r w:rsidRPr="005854D7">
              <w:rPr>
                <w:rFonts w:asciiTheme="majorHAnsi" w:eastAsia="Century Gothic" w:hAnsiTheme="majorHAnsi" w:cstheme="majorHAnsi"/>
              </w:rPr>
              <w:t>Uno y sólo uno de los proveedores de servicios</w:t>
            </w:r>
            <w:r w:rsidR="00435850" w:rsidRPr="001C6812">
              <w:rPr>
                <w:rFonts w:asciiTheme="majorHAnsi" w:eastAsia="Century Gothic" w:hAnsiTheme="majorHAnsi" w:cstheme="majorHAnsi"/>
              </w:rPr>
              <w:t>.</w:t>
            </w:r>
          </w:p>
          <w:p w14:paraId="648D9519" w14:textId="77777777" w:rsidR="002845D0" w:rsidRPr="001C6812" w:rsidRDefault="002845D0" w:rsidP="002845D0">
            <w:pPr>
              <w:tabs>
                <w:tab w:val="left" w:pos="342"/>
                <w:tab w:val="right" w:pos="7218"/>
              </w:tabs>
              <w:spacing w:line="240" w:lineRule="auto"/>
              <w:rPr>
                <w:rFonts w:asciiTheme="majorHAnsi" w:eastAsia="Century Gothic" w:hAnsiTheme="majorHAnsi" w:cstheme="majorHAnsi"/>
              </w:rPr>
            </w:pPr>
          </w:p>
        </w:tc>
      </w:tr>
      <w:tr w:rsidR="002845D0" w:rsidRPr="00FC2AE6" w14:paraId="62E093BA" w14:textId="77777777" w:rsidTr="002845D0">
        <w:trPr>
          <w:trHeight w:val="460"/>
        </w:trPr>
        <w:tc>
          <w:tcPr>
            <w:tcW w:w="3263" w:type="dxa"/>
            <w:shd w:val="clear" w:color="auto" w:fill="C6D9F1"/>
            <w:vAlign w:val="center"/>
          </w:tcPr>
          <w:p w14:paraId="0C7C5E34" w14:textId="538C9348"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 xml:space="preserve">Anexos a la presente </w:t>
            </w:r>
            <w:proofErr w:type="spellStart"/>
            <w:r w:rsidRPr="00FC2AE6">
              <w:rPr>
                <w:rFonts w:asciiTheme="majorHAnsi" w:eastAsia="Century Gothic" w:hAnsiTheme="majorHAnsi" w:cstheme="majorHAnsi"/>
                <w:b/>
              </w:rPr>
              <w:t>SdP</w:t>
            </w:r>
            <w:proofErr w:type="spellEnd"/>
          </w:p>
        </w:tc>
        <w:tc>
          <w:tcPr>
            <w:tcW w:w="6087" w:type="dxa"/>
          </w:tcPr>
          <w:p w14:paraId="1A369DED" w14:textId="77777777" w:rsidR="002845D0" w:rsidRPr="005854D7" w:rsidRDefault="002845D0" w:rsidP="002845D0">
            <w:pPr>
              <w:numPr>
                <w:ilvl w:val="0"/>
                <w:numId w:val="20"/>
              </w:numPr>
              <w:spacing w:line="240" w:lineRule="auto"/>
              <w:ind w:left="302" w:hanging="284"/>
              <w:jc w:val="both"/>
              <w:rPr>
                <w:rFonts w:asciiTheme="majorHAnsi" w:eastAsia="Century Gothic" w:hAnsiTheme="majorHAnsi" w:cstheme="majorHAnsi"/>
              </w:rPr>
            </w:pPr>
            <w:r w:rsidRPr="005854D7">
              <w:rPr>
                <w:rFonts w:asciiTheme="majorHAnsi" w:eastAsia="Century Gothic" w:hAnsiTheme="majorHAnsi" w:cstheme="majorHAnsi"/>
              </w:rPr>
              <w:t>Formulario de presentación de la Propuesta (Anexo 2)</w:t>
            </w:r>
          </w:p>
          <w:p w14:paraId="3C5546F1" w14:textId="77777777" w:rsidR="002845D0" w:rsidRPr="001C6812" w:rsidRDefault="002845D0" w:rsidP="002845D0">
            <w:pPr>
              <w:spacing w:line="240" w:lineRule="auto"/>
              <w:ind w:left="302" w:hanging="284"/>
              <w:jc w:val="both"/>
              <w:rPr>
                <w:rFonts w:asciiTheme="majorHAnsi" w:eastAsia="Century Gothic" w:hAnsiTheme="majorHAnsi" w:cstheme="majorHAnsi"/>
              </w:rPr>
            </w:pPr>
          </w:p>
          <w:p w14:paraId="2E8F6E15" w14:textId="77777777" w:rsidR="002845D0" w:rsidRPr="001C6812" w:rsidRDefault="002845D0" w:rsidP="002845D0">
            <w:pPr>
              <w:numPr>
                <w:ilvl w:val="0"/>
                <w:numId w:val="20"/>
              </w:numPr>
              <w:spacing w:line="240" w:lineRule="auto"/>
              <w:ind w:left="302" w:hanging="284"/>
              <w:jc w:val="both"/>
              <w:rPr>
                <w:rFonts w:asciiTheme="majorHAnsi" w:eastAsia="Century Gothic" w:hAnsiTheme="majorHAnsi" w:cstheme="majorHAnsi"/>
              </w:rPr>
            </w:pPr>
            <w:r w:rsidRPr="001C6812">
              <w:rPr>
                <w:rFonts w:asciiTheme="majorHAnsi" w:eastAsia="Century Gothic" w:hAnsiTheme="majorHAnsi" w:cstheme="majorHAnsi"/>
              </w:rPr>
              <w:t>Criterios de Evaluación (Anexo 3)</w:t>
            </w:r>
          </w:p>
          <w:p w14:paraId="4F7EEFFF" w14:textId="77777777" w:rsidR="002845D0" w:rsidRPr="001C6812" w:rsidRDefault="002845D0" w:rsidP="002845D0">
            <w:pPr>
              <w:spacing w:line="240" w:lineRule="auto"/>
              <w:ind w:left="302" w:hanging="284"/>
              <w:jc w:val="both"/>
              <w:rPr>
                <w:rFonts w:asciiTheme="majorHAnsi" w:eastAsia="Century Gothic" w:hAnsiTheme="majorHAnsi" w:cstheme="majorHAnsi"/>
              </w:rPr>
            </w:pPr>
          </w:p>
          <w:p w14:paraId="53C9F7B5" w14:textId="77777777" w:rsidR="002845D0" w:rsidRPr="00FC2AE6" w:rsidRDefault="002845D0" w:rsidP="002845D0">
            <w:pPr>
              <w:numPr>
                <w:ilvl w:val="0"/>
                <w:numId w:val="20"/>
              </w:numPr>
              <w:spacing w:line="240" w:lineRule="auto"/>
              <w:ind w:left="302" w:hanging="284"/>
              <w:jc w:val="both"/>
              <w:rPr>
                <w:rFonts w:asciiTheme="majorHAnsi" w:eastAsia="Century Gothic" w:hAnsiTheme="majorHAnsi" w:cstheme="majorHAnsi"/>
              </w:rPr>
            </w:pPr>
            <w:r w:rsidRPr="001C6812">
              <w:rPr>
                <w:rFonts w:asciiTheme="majorHAnsi" w:eastAsia="Century Gothic" w:hAnsiTheme="majorHAnsi" w:cstheme="majorHAnsi"/>
              </w:rPr>
              <w:t>Términos y Condiciones Generales / Condiciones Especiales (Anexo 4)</w:t>
            </w:r>
            <w:r w:rsidRPr="00FC2AE6">
              <w:rPr>
                <w:rFonts w:asciiTheme="majorHAnsi" w:eastAsia="Century Gothic" w:hAnsiTheme="majorHAnsi" w:cstheme="majorHAnsi"/>
                <w:vertAlign w:val="superscript"/>
              </w:rPr>
              <w:footnoteReference w:id="1"/>
            </w:r>
          </w:p>
          <w:p w14:paraId="0630AE14" w14:textId="77777777" w:rsidR="002845D0" w:rsidRPr="005854D7" w:rsidRDefault="002845D0" w:rsidP="002845D0">
            <w:pPr>
              <w:spacing w:line="240" w:lineRule="auto"/>
              <w:ind w:left="302" w:hanging="284"/>
              <w:rPr>
                <w:rFonts w:asciiTheme="majorHAnsi" w:eastAsia="Century Gothic" w:hAnsiTheme="majorHAnsi" w:cstheme="majorHAnsi"/>
              </w:rPr>
            </w:pPr>
          </w:p>
          <w:p w14:paraId="1492E825" w14:textId="77777777" w:rsidR="002845D0" w:rsidRPr="005854D7" w:rsidRDefault="002845D0" w:rsidP="002845D0">
            <w:pPr>
              <w:numPr>
                <w:ilvl w:val="0"/>
                <w:numId w:val="20"/>
              </w:numPr>
              <w:spacing w:line="240" w:lineRule="auto"/>
              <w:ind w:left="302" w:hanging="284"/>
              <w:rPr>
                <w:rFonts w:asciiTheme="majorHAnsi" w:eastAsia="Century Gothic" w:hAnsiTheme="majorHAnsi" w:cstheme="majorHAnsi"/>
              </w:rPr>
            </w:pPr>
            <w:r w:rsidRPr="005854D7">
              <w:rPr>
                <w:rFonts w:asciiTheme="majorHAnsi" w:eastAsia="Century Gothic" w:hAnsiTheme="majorHAnsi" w:cstheme="majorHAnsi"/>
              </w:rPr>
              <w:t>Formato para presentación de C.V. (Anexo 5)</w:t>
            </w:r>
          </w:p>
        </w:tc>
      </w:tr>
      <w:tr w:rsidR="002845D0" w:rsidRPr="00FC2AE6" w14:paraId="7BF92567" w14:textId="77777777" w:rsidTr="002845D0">
        <w:trPr>
          <w:trHeight w:val="460"/>
        </w:trPr>
        <w:tc>
          <w:tcPr>
            <w:tcW w:w="3263" w:type="dxa"/>
            <w:shd w:val="clear" w:color="auto" w:fill="C6D9F1"/>
            <w:vAlign w:val="center"/>
          </w:tcPr>
          <w:p w14:paraId="5C9040ED" w14:textId="77777777" w:rsidR="002845D0" w:rsidRPr="00FC2AE6" w:rsidRDefault="002845D0"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Persona de contacto para todo tipo de información</w:t>
            </w:r>
          </w:p>
          <w:p w14:paraId="2517B5B1" w14:textId="77777777" w:rsidR="002845D0" w:rsidRPr="00FC2AE6" w:rsidRDefault="002845D0" w:rsidP="002845D0">
            <w:pPr>
              <w:spacing w:line="240" w:lineRule="auto"/>
              <w:rPr>
                <w:rFonts w:asciiTheme="majorHAnsi" w:eastAsia="Century Gothic" w:hAnsiTheme="majorHAnsi" w:cstheme="majorHAnsi"/>
                <w:b/>
              </w:rPr>
            </w:pPr>
            <w:r w:rsidRPr="005854D7">
              <w:rPr>
                <w:rFonts w:asciiTheme="majorHAnsi" w:eastAsia="Century Gothic" w:hAnsiTheme="majorHAnsi" w:cstheme="majorHAnsi"/>
                <w:b/>
              </w:rPr>
              <w:t>(Demandas por escrito únicamente)</w:t>
            </w:r>
            <w:r w:rsidRPr="00FC2AE6">
              <w:rPr>
                <w:rFonts w:asciiTheme="majorHAnsi" w:eastAsia="Century Gothic" w:hAnsiTheme="majorHAnsi" w:cstheme="majorHAnsi"/>
                <w:b/>
                <w:vertAlign w:val="superscript"/>
              </w:rPr>
              <w:footnoteReference w:id="2"/>
            </w:r>
          </w:p>
        </w:tc>
        <w:tc>
          <w:tcPr>
            <w:tcW w:w="6087" w:type="dxa"/>
          </w:tcPr>
          <w:p w14:paraId="783ADDA6" w14:textId="60D46DDA" w:rsidR="002845D0" w:rsidRPr="001C6812" w:rsidRDefault="002845D0" w:rsidP="002845D0">
            <w:pPr>
              <w:spacing w:line="240" w:lineRule="auto"/>
              <w:jc w:val="both"/>
              <w:rPr>
                <w:rFonts w:asciiTheme="majorHAnsi" w:eastAsia="Century Gothic" w:hAnsiTheme="majorHAnsi" w:cstheme="majorHAnsi"/>
              </w:rPr>
            </w:pPr>
            <w:r w:rsidRPr="005854D7">
              <w:rPr>
                <w:rFonts w:asciiTheme="majorHAnsi" w:eastAsia="Century Gothic" w:hAnsiTheme="majorHAnsi" w:cstheme="majorHAnsi"/>
              </w:rPr>
              <w:t xml:space="preserve">Se recibirán únicamente consultas por escrito a la dirección de correo electrónico </w:t>
            </w:r>
            <w:hyperlink r:id="rId15">
              <w:r w:rsidRPr="001C6812">
                <w:rPr>
                  <w:rFonts w:asciiTheme="majorHAnsi" w:eastAsia="Century Gothic" w:hAnsiTheme="majorHAnsi" w:cstheme="majorHAnsi"/>
                </w:rPr>
                <w:t>adquisiciones.cr@undp.org</w:t>
              </w:r>
            </w:hyperlink>
            <w:r w:rsidRPr="00FC2AE6">
              <w:rPr>
                <w:rFonts w:asciiTheme="majorHAnsi" w:eastAsia="Century Gothic" w:hAnsiTheme="majorHAnsi" w:cstheme="majorHAnsi"/>
              </w:rPr>
              <w:t xml:space="preserve"> indicando la </w:t>
            </w:r>
            <w:r w:rsidRPr="001C6812">
              <w:rPr>
                <w:rFonts w:asciiTheme="majorHAnsi" w:eastAsia="Century Gothic" w:hAnsiTheme="majorHAnsi" w:cstheme="majorHAnsi"/>
              </w:rPr>
              <w:t xml:space="preserve">Referencia </w:t>
            </w:r>
            <w:r w:rsidRPr="001C6812">
              <w:rPr>
                <w:rFonts w:asciiTheme="majorHAnsi" w:eastAsia="Century Gothic" w:hAnsiTheme="majorHAnsi" w:cstheme="majorHAnsi"/>
                <w:b/>
              </w:rPr>
              <w:t>SDP-2020-0</w:t>
            </w:r>
            <w:r w:rsidR="0014304A" w:rsidRPr="001C6812">
              <w:rPr>
                <w:rFonts w:asciiTheme="majorHAnsi" w:eastAsia="Century Gothic" w:hAnsiTheme="majorHAnsi" w:cstheme="majorHAnsi"/>
                <w:b/>
              </w:rPr>
              <w:t>19</w:t>
            </w:r>
            <w:r w:rsidRPr="001C6812">
              <w:rPr>
                <w:rFonts w:asciiTheme="majorHAnsi" w:eastAsia="Century Gothic" w:hAnsiTheme="majorHAnsi" w:cstheme="majorHAnsi"/>
                <w:b/>
              </w:rPr>
              <w:t xml:space="preserve"> </w:t>
            </w:r>
            <w:r w:rsidRPr="00FC2AE6">
              <w:rPr>
                <w:rFonts w:asciiTheme="majorHAnsi" w:eastAsia="Century Gothic" w:hAnsiTheme="majorHAnsi" w:cstheme="majorHAnsi"/>
                <w:b/>
                <w:i/>
              </w:rPr>
              <w:t>“Consultoría para integrar un módulo de ciclo de vida</w:t>
            </w:r>
            <w:r w:rsidRPr="005854D7">
              <w:rPr>
                <w:rFonts w:asciiTheme="majorHAnsi" w:eastAsia="Century Gothic" w:hAnsiTheme="majorHAnsi" w:cstheme="majorHAnsi"/>
                <w:b/>
                <w:i/>
              </w:rPr>
              <w:t xml:space="preserve"> en el SINAMECC e integración de </w:t>
            </w:r>
            <w:proofErr w:type="spellStart"/>
            <w:r w:rsidRPr="005854D7">
              <w:rPr>
                <w:rFonts w:asciiTheme="majorHAnsi" w:eastAsia="Century Gothic" w:hAnsiTheme="majorHAnsi" w:cstheme="majorHAnsi"/>
                <w:b/>
                <w:i/>
              </w:rPr>
              <w:t>co-beneficios</w:t>
            </w:r>
            <w:proofErr w:type="spellEnd"/>
            <w:r w:rsidRPr="005854D7">
              <w:rPr>
                <w:rFonts w:asciiTheme="majorHAnsi" w:eastAsia="Century Gothic" w:hAnsiTheme="majorHAnsi" w:cstheme="majorHAnsi"/>
                <w:b/>
                <w:i/>
              </w:rPr>
              <w:t xml:space="preserve"> en registro de acciones de mitigación”</w:t>
            </w:r>
            <w:r w:rsidR="00511367">
              <w:rPr>
                <w:rFonts w:asciiTheme="majorHAnsi" w:eastAsia="Century Gothic" w:hAnsiTheme="majorHAnsi" w:cstheme="majorHAnsi"/>
              </w:rPr>
              <w:t xml:space="preserve">, </w:t>
            </w:r>
            <w:r w:rsidRPr="001C6812">
              <w:rPr>
                <w:rFonts w:asciiTheme="majorHAnsi" w:eastAsia="Century Gothic" w:hAnsiTheme="majorHAnsi" w:cstheme="majorHAnsi"/>
              </w:rPr>
              <w:t xml:space="preserve">a más tardar el </w:t>
            </w:r>
            <w:r w:rsidR="00511367" w:rsidRPr="00511367">
              <w:rPr>
                <w:rFonts w:asciiTheme="majorHAnsi" w:eastAsia="Century Gothic" w:hAnsiTheme="majorHAnsi" w:cstheme="majorHAnsi"/>
              </w:rPr>
              <w:t xml:space="preserve">22 </w:t>
            </w:r>
            <w:r w:rsidRPr="00511367">
              <w:rPr>
                <w:rFonts w:asciiTheme="majorHAnsi" w:eastAsia="Century Gothic" w:hAnsiTheme="majorHAnsi" w:cstheme="majorHAnsi"/>
              </w:rPr>
              <w:t>de septiembre de 2020.</w:t>
            </w:r>
          </w:p>
          <w:p w14:paraId="05562192" w14:textId="77777777" w:rsidR="002845D0" w:rsidRPr="001C6812" w:rsidRDefault="002845D0" w:rsidP="002845D0">
            <w:pPr>
              <w:spacing w:line="240" w:lineRule="auto"/>
              <w:jc w:val="both"/>
              <w:rPr>
                <w:rFonts w:asciiTheme="majorHAnsi" w:eastAsia="Century Gothic" w:hAnsiTheme="majorHAnsi" w:cstheme="majorHAnsi"/>
                <w:i/>
                <w:color w:val="FF0000"/>
              </w:rPr>
            </w:pPr>
          </w:p>
          <w:p w14:paraId="4A8D28D8" w14:textId="77777777" w:rsidR="002845D0" w:rsidRPr="00A92968" w:rsidRDefault="002845D0" w:rsidP="002845D0">
            <w:pPr>
              <w:spacing w:line="240" w:lineRule="auto"/>
              <w:jc w:val="both"/>
              <w:rPr>
                <w:rFonts w:asciiTheme="majorHAnsi" w:eastAsia="Century Gothic" w:hAnsiTheme="majorHAnsi" w:cstheme="majorHAnsi"/>
              </w:rPr>
            </w:pPr>
            <w:r w:rsidRPr="00332243">
              <w:rPr>
                <w:rFonts w:asciiTheme="majorHAnsi" w:eastAsia="Century Gothic" w:hAnsiTheme="majorHAnsi" w:cstheme="majorHAnsi"/>
              </w:rPr>
              <w:t>Cualquier retraso en la respuesta del PNUD no podrá ser utilizado como motivo para ampliar el plazo de presentación, a menos que el PNUD decida que considera necesaria dicha ampliación y comunique un nuevo plazo límite a los solicitantes.</w:t>
            </w:r>
          </w:p>
          <w:p w14:paraId="54527FAE" w14:textId="551966E4" w:rsidR="00435850" w:rsidRPr="00A92968" w:rsidRDefault="00435850" w:rsidP="002845D0">
            <w:pPr>
              <w:spacing w:line="240" w:lineRule="auto"/>
              <w:jc w:val="both"/>
              <w:rPr>
                <w:rFonts w:asciiTheme="majorHAnsi" w:eastAsia="Century Gothic" w:hAnsiTheme="majorHAnsi" w:cstheme="majorHAnsi"/>
              </w:rPr>
            </w:pPr>
          </w:p>
        </w:tc>
      </w:tr>
      <w:tr w:rsidR="002845D0" w:rsidRPr="00FC2AE6" w14:paraId="2B672079" w14:textId="77777777" w:rsidTr="002845D0">
        <w:trPr>
          <w:trHeight w:val="460"/>
        </w:trPr>
        <w:tc>
          <w:tcPr>
            <w:tcW w:w="3263" w:type="dxa"/>
            <w:shd w:val="clear" w:color="auto" w:fill="C6D9F1"/>
            <w:vAlign w:val="center"/>
          </w:tcPr>
          <w:p w14:paraId="2E105467" w14:textId="52FB01EE" w:rsidR="002845D0" w:rsidRPr="005854D7" w:rsidRDefault="004331DF" w:rsidP="002845D0">
            <w:pPr>
              <w:spacing w:line="240" w:lineRule="auto"/>
              <w:rPr>
                <w:rFonts w:asciiTheme="majorHAnsi" w:eastAsia="Century Gothic" w:hAnsiTheme="majorHAnsi" w:cstheme="majorHAnsi"/>
                <w:b/>
              </w:rPr>
            </w:pPr>
            <w:r w:rsidRPr="00FC2AE6">
              <w:rPr>
                <w:rFonts w:asciiTheme="majorHAnsi" w:eastAsia="Century Gothic" w:hAnsiTheme="majorHAnsi" w:cstheme="majorHAnsi"/>
                <w:b/>
              </w:rPr>
              <w:t>Documentación que deberá presentar</w:t>
            </w:r>
          </w:p>
          <w:p w14:paraId="063747C5" w14:textId="257D1581" w:rsidR="004E72FF" w:rsidRPr="00332243" w:rsidRDefault="004E72FF" w:rsidP="002845D0">
            <w:pPr>
              <w:spacing w:line="240" w:lineRule="auto"/>
              <w:rPr>
                <w:rFonts w:asciiTheme="majorHAnsi" w:eastAsia="Century Gothic" w:hAnsiTheme="majorHAnsi" w:cstheme="majorHAnsi"/>
                <w:b/>
              </w:rPr>
            </w:pPr>
            <w:r w:rsidRPr="005854D7">
              <w:rPr>
                <w:rFonts w:asciiTheme="majorHAnsi" w:eastAsia="Century Gothic" w:hAnsiTheme="majorHAnsi" w:cstheme="majorHAnsi"/>
                <w:b/>
              </w:rPr>
              <w:t xml:space="preserve">(INDICAR EN </w:t>
            </w:r>
            <w:r w:rsidR="009D7AAF" w:rsidRPr="001C6812">
              <w:rPr>
                <w:rFonts w:asciiTheme="majorHAnsi" w:eastAsia="Century Gothic" w:hAnsiTheme="majorHAnsi" w:cstheme="majorHAnsi"/>
                <w:b/>
              </w:rPr>
              <w:t>UN</w:t>
            </w:r>
            <w:r w:rsidRPr="001C6812">
              <w:rPr>
                <w:rFonts w:asciiTheme="majorHAnsi" w:eastAsia="Century Gothic" w:hAnsiTheme="majorHAnsi" w:cstheme="majorHAnsi"/>
                <w:b/>
              </w:rPr>
              <w:t xml:space="preserve"> INDICE </w:t>
            </w:r>
            <w:r w:rsidR="00585711" w:rsidRPr="001C6812">
              <w:rPr>
                <w:rFonts w:asciiTheme="majorHAnsi" w:eastAsia="Century Gothic" w:hAnsiTheme="majorHAnsi" w:cstheme="majorHAnsi"/>
                <w:b/>
              </w:rPr>
              <w:t xml:space="preserve">EL NÚMERO DE </w:t>
            </w:r>
            <w:r w:rsidRPr="001C6812">
              <w:rPr>
                <w:rFonts w:asciiTheme="majorHAnsi" w:eastAsia="Century Gothic" w:hAnsiTheme="majorHAnsi" w:cstheme="majorHAnsi"/>
                <w:b/>
              </w:rPr>
              <w:t>PÁGINA</w:t>
            </w:r>
            <w:r w:rsidR="00585711" w:rsidRPr="001C6812">
              <w:rPr>
                <w:rFonts w:asciiTheme="majorHAnsi" w:eastAsia="Century Gothic" w:hAnsiTheme="majorHAnsi" w:cstheme="majorHAnsi"/>
                <w:b/>
              </w:rPr>
              <w:t xml:space="preserve"> QUE PERMITA UBICAR Y </w:t>
            </w:r>
            <w:proofErr w:type="gramStart"/>
            <w:r w:rsidR="00585711" w:rsidRPr="001C6812">
              <w:rPr>
                <w:rFonts w:asciiTheme="majorHAnsi" w:eastAsia="Century Gothic" w:hAnsiTheme="majorHAnsi" w:cstheme="majorHAnsi"/>
                <w:b/>
              </w:rPr>
              <w:t xml:space="preserve">VERIFICAR </w:t>
            </w:r>
            <w:r w:rsidRPr="001C6812">
              <w:rPr>
                <w:rFonts w:asciiTheme="majorHAnsi" w:eastAsia="Century Gothic" w:hAnsiTheme="majorHAnsi" w:cstheme="majorHAnsi"/>
                <w:b/>
              </w:rPr>
              <w:t xml:space="preserve"> </w:t>
            </w:r>
            <w:r w:rsidR="00615E67" w:rsidRPr="00332243">
              <w:rPr>
                <w:rFonts w:asciiTheme="majorHAnsi" w:eastAsia="Century Gothic" w:hAnsiTheme="majorHAnsi" w:cstheme="majorHAnsi"/>
                <w:b/>
              </w:rPr>
              <w:t>PARA</w:t>
            </w:r>
            <w:proofErr w:type="gramEnd"/>
            <w:r w:rsidR="00615E67" w:rsidRPr="00332243">
              <w:rPr>
                <w:rFonts w:asciiTheme="majorHAnsi" w:eastAsia="Century Gothic" w:hAnsiTheme="majorHAnsi" w:cstheme="majorHAnsi"/>
                <w:b/>
              </w:rPr>
              <w:t xml:space="preserve"> CADA </w:t>
            </w:r>
            <w:r w:rsidR="0087468D" w:rsidRPr="00332243">
              <w:rPr>
                <w:rFonts w:asciiTheme="majorHAnsi" w:eastAsia="Century Gothic" w:hAnsiTheme="majorHAnsi" w:cstheme="majorHAnsi"/>
                <w:b/>
              </w:rPr>
              <w:t>UNO DE LOS REQUISITOS AQUÍ DESCRITOS)</w:t>
            </w:r>
          </w:p>
          <w:p w14:paraId="6CA822FF" w14:textId="77777777" w:rsidR="009D193E" w:rsidRPr="00A92968" w:rsidRDefault="009D193E" w:rsidP="002845D0">
            <w:pPr>
              <w:spacing w:line="240" w:lineRule="auto"/>
              <w:rPr>
                <w:rFonts w:asciiTheme="majorHAnsi" w:eastAsia="Century Gothic" w:hAnsiTheme="majorHAnsi" w:cstheme="majorHAnsi"/>
                <w:b/>
              </w:rPr>
            </w:pPr>
          </w:p>
          <w:p w14:paraId="6DA2874A" w14:textId="5E890F08" w:rsidR="009D193E" w:rsidRPr="001C6812" w:rsidRDefault="00A7027F" w:rsidP="009D193E">
            <w:pPr>
              <w:rPr>
                <w:rFonts w:asciiTheme="majorHAnsi" w:hAnsiTheme="majorHAnsi" w:cstheme="minorHAnsi"/>
                <w:b/>
                <w:i/>
                <w:lang w:val="es-ES_tradnl"/>
              </w:rPr>
            </w:pPr>
            <w:r w:rsidRPr="001C6812">
              <w:rPr>
                <w:rFonts w:asciiTheme="majorHAnsi" w:hAnsiTheme="majorHAnsi" w:cstheme="minorHAnsi"/>
                <w:b/>
                <w:i/>
                <w:u w:val="single"/>
                <w:lang w:val="es-ES_tradnl"/>
              </w:rPr>
              <w:t>En caso de consorcios</w:t>
            </w:r>
            <w:r w:rsidR="009719E6" w:rsidRPr="001C6812">
              <w:rPr>
                <w:rFonts w:asciiTheme="majorHAnsi" w:hAnsiTheme="majorHAnsi" w:cstheme="minorHAnsi"/>
                <w:b/>
                <w:i/>
                <w:u w:val="single"/>
                <w:lang w:val="es-ES_tradnl"/>
              </w:rPr>
              <w:t xml:space="preserve">. Se </w:t>
            </w:r>
            <w:proofErr w:type="gramStart"/>
            <w:r w:rsidR="009719E6" w:rsidRPr="001C6812">
              <w:rPr>
                <w:rFonts w:asciiTheme="majorHAnsi" w:hAnsiTheme="majorHAnsi" w:cstheme="minorHAnsi"/>
                <w:b/>
                <w:i/>
                <w:u w:val="single"/>
                <w:lang w:val="es-ES_tradnl"/>
              </w:rPr>
              <w:t xml:space="preserve">debe </w:t>
            </w:r>
            <w:r w:rsidR="000A115B" w:rsidRPr="001C6812">
              <w:rPr>
                <w:rFonts w:asciiTheme="majorHAnsi" w:hAnsiTheme="majorHAnsi" w:cstheme="minorHAnsi"/>
                <w:b/>
                <w:i/>
                <w:u w:val="single"/>
                <w:lang w:val="es-ES_tradnl"/>
              </w:rPr>
              <w:t>.</w:t>
            </w:r>
            <w:proofErr w:type="gramEnd"/>
            <w:r w:rsidR="000A115B" w:rsidRPr="001C6812">
              <w:rPr>
                <w:rFonts w:asciiTheme="majorHAnsi" w:hAnsiTheme="majorHAnsi" w:cstheme="minorHAnsi"/>
                <w:b/>
                <w:i/>
                <w:u w:val="single"/>
                <w:lang w:val="es-ES_tradnl"/>
              </w:rPr>
              <w:t xml:space="preserve">  Se debe presentar la documentación</w:t>
            </w:r>
            <w:r w:rsidR="000A115B" w:rsidRPr="00FC2AE6">
              <w:rPr>
                <w:rFonts w:asciiTheme="majorHAnsi" w:eastAsia="Century Gothic" w:hAnsiTheme="majorHAnsi" w:cstheme="majorHAnsi"/>
                <w:b/>
              </w:rPr>
              <w:t xml:space="preserve"> </w:t>
            </w:r>
            <w:r w:rsidR="009D193E" w:rsidRPr="001C6812">
              <w:rPr>
                <w:rFonts w:asciiTheme="majorHAnsi" w:hAnsiTheme="majorHAnsi" w:cstheme="minorHAnsi"/>
                <w:b/>
                <w:i/>
                <w:u w:val="single"/>
                <w:lang w:val="es-ES_tradnl"/>
              </w:rPr>
              <w:t>solicitada en esta SDP para las 2 o más empresas participantes del consorcio.</w:t>
            </w:r>
            <w:r w:rsidR="009D193E" w:rsidRPr="001C6812">
              <w:rPr>
                <w:rFonts w:asciiTheme="majorHAnsi" w:hAnsiTheme="majorHAnsi" w:cstheme="minorHAnsi"/>
                <w:b/>
                <w:i/>
                <w:lang w:val="es-ES_tradnl"/>
              </w:rPr>
              <w:t xml:space="preserve"> Los roles y res</w:t>
            </w:r>
            <w:r w:rsidR="00677886">
              <w:rPr>
                <w:rFonts w:asciiTheme="majorHAnsi" w:hAnsiTheme="majorHAnsi" w:cstheme="minorHAnsi"/>
                <w:b/>
                <w:i/>
                <w:lang w:val="es-ES_tradnl"/>
              </w:rPr>
              <w:t>p</w:t>
            </w:r>
            <w:r w:rsidR="009D193E" w:rsidRPr="001C6812">
              <w:rPr>
                <w:rFonts w:asciiTheme="majorHAnsi" w:hAnsiTheme="majorHAnsi" w:cstheme="minorHAnsi"/>
                <w:b/>
                <w:i/>
                <w:lang w:val="es-ES_tradnl"/>
              </w:rPr>
              <w:t>onsabilidades de cada empresa deben de estar claramente definidos en un acuerdo consorcial.</w:t>
            </w:r>
          </w:p>
          <w:p w14:paraId="201CCF8A" w14:textId="0F2D0A90" w:rsidR="00A7027F" w:rsidRPr="00FC2AE6" w:rsidRDefault="00A7027F" w:rsidP="002845D0">
            <w:pPr>
              <w:spacing w:line="240" w:lineRule="auto"/>
              <w:rPr>
                <w:rFonts w:asciiTheme="majorHAnsi" w:eastAsia="Century Gothic" w:hAnsiTheme="majorHAnsi" w:cstheme="majorHAnsi"/>
                <w:b/>
              </w:rPr>
            </w:pPr>
          </w:p>
        </w:tc>
        <w:tc>
          <w:tcPr>
            <w:tcW w:w="6087" w:type="dxa"/>
          </w:tcPr>
          <w:p w14:paraId="43044D62" w14:textId="77777777" w:rsidR="0087468D" w:rsidRPr="001C6812" w:rsidRDefault="002845D0" w:rsidP="0087468D">
            <w:pPr>
              <w:spacing w:line="240" w:lineRule="auto"/>
              <w:rPr>
                <w:rFonts w:asciiTheme="majorHAnsi" w:eastAsia="Century Gothic" w:hAnsiTheme="majorHAnsi" w:cstheme="majorHAnsi"/>
                <w:b/>
              </w:rPr>
            </w:pPr>
            <w:r w:rsidRPr="005854D7">
              <w:rPr>
                <w:rFonts w:asciiTheme="majorHAnsi" w:eastAsia="Century Gothic" w:hAnsiTheme="majorHAnsi" w:cstheme="majorHAnsi"/>
              </w:rPr>
              <w:t>Por favor leer con mucho detalle los formularios y lo solicitado en la propuesta, si no se siguen las instrucciones brindadas el PNUD se reserva el derecho de no revisar la propuesta.</w:t>
            </w:r>
            <w:r w:rsidR="0087468D" w:rsidRPr="005854D7">
              <w:rPr>
                <w:rFonts w:asciiTheme="majorHAnsi" w:eastAsia="Century Gothic" w:hAnsiTheme="majorHAnsi" w:cstheme="majorHAnsi"/>
              </w:rPr>
              <w:t xml:space="preserve"> </w:t>
            </w:r>
            <w:r w:rsidR="0087468D" w:rsidRPr="001C6812">
              <w:rPr>
                <w:rFonts w:asciiTheme="majorHAnsi" w:eastAsia="Century Gothic" w:hAnsiTheme="majorHAnsi" w:cstheme="majorHAnsi"/>
                <w:b/>
              </w:rPr>
              <w:t xml:space="preserve">(INDICAR EN UN INDICE EL NÚMERO DE PÁGINA QUE PERMITA UBICAR Y </w:t>
            </w:r>
            <w:proofErr w:type="gramStart"/>
            <w:r w:rsidR="0087468D" w:rsidRPr="001C6812">
              <w:rPr>
                <w:rFonts w:asciiTheme="majorHAnsi" w:eastAsia="Century Gothic" w:hAnsiTheme="majorHAnsi" w:cstheme="majorHAnsi"/>
                <w:b/>
              </w:rPr>
              <w:t>VERIFICAR  PARA</w:t>
            </w:r>
            <w:proofErr w:type="gramEnd"/>
            <w:r w:rsidR="0087468D" w:rsidRPr="001C6812">
              <w:rPr>
                <w:rFonts w:asciiTheme="majorHAnsi" w:eastAsia="Century Gothic" w:hAnsiTheme="majorHAnsi" w:cstheme="majorHAnsi"/>
                <w:b/>
              </w:rPr>
              <w:t xml:space="preserve"> CADA UNO DE LOS REQUISITOS AQUÍ DESCRITOS)</w:t>
            </w:r>
          </w:p>
          <w:p w14:paraId="0C52A300" w14:textId="17198C1C" w:rsidR="002845D0" w:rsidRPr="001C6812" w:rsidRDefault="002845D0" w:rsidP="002845D0">
            <w:pPr>
              <w:spacing w:line="240" w:lineRule="auto"/>
              <w:rPr>
                <w:rFonts w:asciiTheme="majorHAnsi" w:eastAsia="Century Gothic" w:hAnsiTheme="majorHAnsi" w:cstheme="majorHAnsi"/>
              </w:rPr>
            </w:pPr>
          </w:p>
          <w:p w14:paraId="5943DD83" w14:textId="77777777" w:rsidR="002845D0" w:rsidRPr="001C6812" w:rsidRDefault="002845D0" w:rsidP="002845D0">
            <w:pPr>
              <w:spacing w:line="240" w:lineRule="auto"/>
              <w:rPr>
                <w:rFonts w:asciiTheme="majorHAnsi" w:eastAsia="Century Gothic" w:hAnsiTheme="majorHAnsi" w:cstheme="majorHAnsi"/>
              </w:rPr>
            </w:pPr>
          </w:p>
          <w:tbl>
            <w:tblPr>
              <w:tblW w:w="5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1"/>
            </w:tblGrid>
            <w:tr w:rsidR="002845D0" w:rsidRPr="00FC2AE6" w14:paraId="63ABECE7" w14:textId="77777777" w:rsidTr="002845D0">
              <w:tc>
                <w:tcPr>
                  <w:tcW w:w="5861" w:type="dxa"/>
                </w:tcPr>
                <w:p w14:paraId="6974C426" w14:textId="10445810" w:rsidR="00115965" w:rsidRPr="00332243" w:rsidRDefault="002845D0" w:rsidP="002845D0">
                  <w:pPr>
                    <w:numPr>
                      <w:ilvl w:val="0"/>
                      <w:numId w:val="24"/>
                    </w:numPr>
                    <w:spacing w:line="240" w:lineRule="auto"/>
                    <w:ind w:left="318" w:hanging="284"/>
                    <w:jc w:val="both"/>
                    <w:rPr>
                      <w:rFonts w:asciiTheme="majorHAnsi" w:eastAsia="Century Gothic" w:hAnsiTheme="majorHAnsi" w:cstheme="majorHAnsi"/>
                    </w:rPr>
                  </w:pPr>
                  <w:r w:rsidRPr="001C6812">
                    <w:rPr>
                      <w:rFonts w:asciiTheme="majorHAnsi" w:eastAsia="Century Gothic" w:hAnsiTheme="majorHAnsi" w:cstheme="majorHAnsi"/>
                      <w:b/>
                    </w:rPr>
                    <w:t>Formulario presentación ofertas</w:t>
                  </w:r>
                  <w:r w:rsidRPr="001C6812">
                    <w:rPr>
                      <w:rFonts w:asciiTheme="majorHAnsi" w:eastAsia="Century Gothic" w:hAnsiTheme="majorHAnsi" w:cstheme="majorHAnsi"/>
                    </w:rPr>
                    <w:t xml:space="preserve"> (Según Anexo 2) completado en papel carta oficial con encabezamiento de la empresa</w:t>
                  </w:r>
                  <w:r w:rsidR="00404618" w:rsidRPr="00332243">
                    <w:rPr>
                      <w:rFonts w:asciiTheme="majorHAnsi" w:eastAsia="Century Gothic" w:hAnsiTheme="majorHAnsi" w:cstheme="majorHAnsi"/>
                    </w:rPr>
                    <w:t>, como</w:t>
                  </w:r>
                  <w:r w:rsidR="00404618" w:rsidRPr="001C6812">
                    <w:rPr>
                      <w:rFonts w:asciiTheme="majorHAnsi" w:eastAsia="Century Gothic" w:hAnsiTheme="majorHAnsi" w:cstheme="majorHAnsi"/>
                    </w:rPr>
                    <w:t xml:space="preserve"> PORTADA de la Oferta</w:t>
                  </w:r>
                </w:p>
                <w:p w14:paraId="0E3D1DF6" w14:textId="64076551" w:rsidR="00295168" w:rsidRPr="00A92968" w:rsidRDefault="00425125" w:rsidP="00425125">
                  <w:pPr>
                    <w:spacing w:line="240" w:lineRule="auto"/>
                    <w:ind w:left="34"/>
                    <w:jc w:val="both"/>
                    <w:rPr>
                      <w:rFonts w:asciiTheme="majorHAnsi" w:eastAsia="Century Gothic" w:hAnsiTheme="majorHAnsi" w:cstheme="majorHAnsi"/>
                      <w:i/>
                    </w:rPr>
                  </w:pPr>
                  <w:r w:rsidRPr="00332243">
                    <w:rPr>
                      <w:rFonts w:asciiTheme="majorHAnsi" w:eastAsia="Century Gothic" w:hAnsiTheme="majorHAnsi" w:cstheme="majorHAnsi"/>
                      <w:i/>
                    </w:rPr>
                    <w:t>F</w:t>
                  </w:r>
                  <w:r w:rsidR="002845D0" w:rsidRPr="00332243">
                    <w:rPr>
                      <w:rFonts w:asciiTheme="majorHAnsi" w:eastAsia="Century Gothic" w:hAnsiTheme="majorHAnsi" w:cstheme="majorHAnsi"/>
                      <w:i/>
                    </w:rPr>
                    <w:t>acilitar información detallada</w:t>
                  </w:r>
                  <w:r w:rsidR="00404618" w:rsidRPr="00A92968">
                    <w:rPr>
                      <w:rFonts w:asciiTheme="majorHAnsi" w:eastAsia="Century Gothic" w:hAnsiTheme="majorHAnsi" w:cstheme="majorHAnsi"/>
                      <w:i/>
                    </w:rPr>
                    <w:t>:</w:t>
                  </w:r>
                </w:p>
                <w:p w14:paraId="380846EE" w14:textId="0AC6C20D" w:rsidR="0097769E" w:rsidRPr="001C6812" w:rsidRDefault="0097769E" w:rsidP="0097769E">
                  <w:pPr>
                    <w:pStyle w:val="Prrafodelista"/>
                    <w:numPr>
                      <w:ilvl w:val="1"/>
                      <w:numId w:val="31"/>
                    </w:numPr>
                    <w:contextualSpacing/>
                    <w:jc w:val="both"/>
                    <w:rPr>
                      <w:rFonts w:asciiTheme="majorHAnsi" w:hAnsiTheme="majorHAnsi" w:cstheme="minorHAnsi"/>
                      <w:i/>
                      <w:sz w:val="22"/>
                      <w:szCs w:val="22"/>
                    </w:rPr>
                  </w:pPr>
                  <w:proofErr w:type="spellStart"/>
                  <w:r w:rsidRPr="001C6812">
                    <w:rPr>
                      <w:rFonts w:asciiTheme="majorHAnsi" w:hAnsiTheme="majorHAnsi" w:cstheme="minorHAnsi"/>
                      <w:i/>
                      <w:sz w:val="22"/>
                      <w:szCs w:val="22"/>
                    </w:rPr>
                    <w:t>Fecha</w:t>
                  </w:r>
                  <w:proofErr w:type="spellEnd"/>
                </w:p>
                <w:p w14:paraId="3095E6EA" w14:textId="77777777" w:rsidR="0097769E" w:rsidRPr="001C6812" w:rsidRDefault="0097769E" w:rsidP="0097769E">
                  <w:pPr>
                    <w:pStyle w:val="Prrafodelista"/>
                    <w:numPr>
                      <w:ilvl w:val="1"/>
                      <w:numId w:val="31"/>
                    </w:numPr>
                    <w:contextualSpacing/>
                    <w:jc w:val="both"/>
                    <w:rPr>
                      <w:rFonts w:asciiTheme="majorHAnsi" w:hAnsiTheme="majorHAnsi" w:cstheme="minorHAnsi"/>
                      <w:i/>
                      <w:sz w:val="22"/>
                      <w:szCs w:val="22"/>
                    </w:rPr>
                  </w:pPr>
                  <w:r w:rsidRPr="001C6812">
                    <w:rPr>
                      <w:rFonts w:asciiTheme="majorHAnsi" w:hAnsiTheme="majorHAnsi" w:cstheme="minorHAnsi"/>
                      <w:i/>
                      <w:sz w:val="22"/>
                      <w:szCs w:val="22"/>
                    </w:rPr>
                    <w:t>Dirección</w:t>
                  </w:r>
                </w:p>
                <w:p w14:paraId="01C8594E" w14:textId="77777777" w:rsidR="0097769E" w:rsidRPr="001C6812" w:rsidRDefault="0097769E" w:rsidP="0097769E">
                  <w:pPr>
                    <w:pStyle w:val="Prrafodelista"/>
                    <w:numPr>
                      <w:ilvl w:val="1"/>
                      <w:numId w:val="31"/>
                    </w:numPr>
                    <w:contextualSpacing/>
                    <w:jc w:val="both"/>
                    <w:rPr>
                      <w:rFonts w:asciiTheme="majorHAnsi" w:hAnsiTheme="majorHAnsi" w:cstheme="minorHAnsi"/>
                      <w:i/>
                      <w:sz w:val="22"/>
                      <w:szCs w:val="22"/>
                    </w:rPr>
                  </w:pPr>
                  <w:proofErr w:type="spellStart"/>
                  <w:r w:rsidRPr="001C6812">
                    <w:rPr>
                      <w:rFonts w:asciiTheme="majorHAnsi" w:hAnsiTheme="majorHAnsi" w:cstheme="minorHAnsi"/>
                      <w:i/>
                      <w:sz w:val="22"/>
                      <w:szCs w:val="22"/>
                    </w:rPr>
                    <w:t>Correo</w:t>
                  </w:r>
                  <w:proofErr w:type="spellEnd"/>
                  <w:r w:rsidRPr="001C6812">
                    <w:rPr>
                      <w:rFonts w:asciiTheme="majorHAnsi" w:hAnsiTheme="majorHAnsi" w:cstheme="minorHAnsi"/>
                      <w:i/>
                      <w:sz w:val="22"/>
                      <w:szCs w:val="22"/>
                    </w:rPr>
                    <w:t xml:space="preserve"> </w:t>
                  </w:r>
                  <w:proofErr w:type="spellStart"/>
                  <w:r w:rsidRPr="001C6812">
                    <w:rPr>
                      <w:rFonts w:asciiTheme="majorHAnsi" w:hAnsiTheme="majorHAnsi" w:cstheme="minorHAnsi"/>
                      <w:i/>
                      <w:sz w:val="22"/>
                      <w:szCs w:val="22"/>
                    </w:rPr>
                    <w:t>electrónico</w:t>
                  </w:r>
                  <w:proofErr w:type="spellEnd"/>
                </w:p>
                <w:p w14:paraId="7E16C4F2" w14:textId="77777777" w:rsidR="0097769E" w:rsidRPr="001C6812" w:rsidRDefault="0097769E" w:rsidP="0097769E">
                  <w:pPr>
                    <w:pStyle w:val="Prrafodelista"/>
                    <w:numPr>
                      <w:ilvl w:val="1"/>
                      <w:numId w:val="31"/>
                    </w:numPr>
                    <w:contextualSpacing/>
                    <w:jc w:val="both"/>
                    <w:rPr>
                      <w:rFonts w:asciiTheme="majorHAnsi" w:hAnsiTheme="majorHAnsi" w:cstheme="minorHAnsi"/>
                      <w:i/>
                      <w:sz w:val="22"/>
                      <w:szCs w:val="22"/>
                    </w:rPr>
                  </w:pPr>
                  <w:proofErr w:type="spellStart"/>
                  <w:r w:rsidRPr="001C6812">
                    <w:rPr>
                      <w:rFonts w:asciiTheme="majorHAnsi" w:hAnsiTheme="majorHAnsi" w:cstheme="minorHAnsi"/>
                      <w:i/>
                      <w:sz w:val="22"/>
                      <w:szCs w:val="22"/>
                    </w:rPr>
                    <w:t>Números</w:t>
                  </w:r>
                  <w:proofErr w:type="spellEnd"/>
                  <w:r w:rsidRPr="001C6812">
                    <w:rPr>
                      <w:rFonts w:asciiTheme="majorHAnsi" w:hAnsiTheme="majorHAnsi" w:cstheme="minorHAnsi"/>
                      <w:i/>
                      <w:sz w:val="22"/>
                      <w:szCs w:val="22"/>
                    </w:rPr>
                    <w:t xml:space="preserve"> de </w:t>
                  </w:r>
                  <w:proofErr w:type="spellStart"/>
                  <w:r w:rsidRPr="001C6812">
                    <w:rPr>
                      <w:rFonts w:asciiTheme="majorHAnsi" w:hAnsiTheme="majorHAnsi" w:cstheme="minorHAnsi"/>
                      <w:i/>
                      <w:sz w:val="22"/>
                      <w:szCs w:val="22"/>
                    </w:rPr>
                    <w:t>teléfono</w:t>
                  </w:r>
                  <w:proofErr w:type="spellEnd"/>
                </w:p>
                <w:p w14:paraId="4A8E8049" w14:textId="77777777" w:rsidR="0097769E" w:rsidRPr="001C6812" w:rsidRDefault="0097769E" w:rsidP="0097769E">
                  <w:pPr>
                    <w:pStyle w:val="Prrafodelista"/>
                    <w:numPr>
                      <w:ilvl w:val="1"/>
                      <w:numId w:val="31"/>
                    </w:numPr>
                    <w:contextualSpacing/>
                    <w:jc w:val="both"/>
                    <w:rPr>
                      <w:rFonts w:asciiTheme="majorHAnsi" w:hAnsiTheme="majorHAnsi" w:cstheme="minorHAnsi"/>
                      <w:i/>
                      <w:sz w:val="22"/>
                      <w:szCs w:val="22"/>
                    </w:rPr>
                  </w:pPr>
                  <w:r w:rsidRPr="001C6812">
                    <w:rPr>
                      <w:rFonts w:asciiTheme="majorHAnsi" w:hAnsiTheme="majorHAnsi" w:cstheme="minorHAnsi"/>
                      <w:i/>
                      <w:sz w:val="22"/>
                      <w:szCs w:val="22"/>
                    </w:rPr>
                    <w:t xml:space="preserve">Dirección de </w:t>
                  </w:r>
                  <w:proofErr w:type="spellStart"/>
                  <w:r w:rsidRPr="001C6812">
                    <w:rPr>
                      <w:rFonts w:asciiTheme="majorHAnsi" w:hAnsiTheme="majorHAnsi" w:cstheme="minorHAnsi"/>
                      <w:i/>
                      <w:sz w:val="22"/>
                      <w:szCs w:val="22"/>
                    </w:rPr>
                    <w:t>página</w:t>
                  </w:r>
                  <w:proofErr w:type="spellEnd"/>
                  <w:r w:rsidRPr="001C6812">
                    <w:rPr>
                      <w:rFonts w:asciiTheme="majorHAnsi" w:hAnsiTheme="majorHAnsi" w:cstheme="minorHAnsi"/>
                      <w:i/>
                      <w:sz w:val="22"/>
                      <w:szCs w:val="22"/>
                    </w:rPr>
                    <w:t xml:space="preserve"> Web</w:t>
                  </w:r>
                </w:p>
                <w:p w14:paraId="57DC518D" w14:textId="77777777" w:rsidR="0097769E" w:rsidRPr="001C6812" w:rsidRDefault="0097769E" w:rsidP="0097769E">
                  <w:pPr>
                    <w:pStyle w:val="Prrafodelista"/>
                    <w:numPr>
                      <w:ilvl w:val="1"/>
                      <w:numId w:val="31"/>
                    </w:numPr>
                    <w:contextualSpacing/>
                    <w:jc w:val="both"/>
                    <w:rPr>
                      <w:rFonts w:asciiTheme="majorHAnsi" w:hAnsiTheme="majorHAnsi" w:cstheme="minorHAnsi"/>
                      <w:i/>
                      <w:sz w:val="22"/>
                      <w:szCs w:val="22"/>
                    </w:rPr>
                  </w:pPr>
                  <w:proofErr w:type="spellStart"/>
                  <w:r w:rsidRPr="001C6812">
                    <w:rPr>
                      <w:rFonts w:asciiTheme="majorHAnsi" w:hAnsiTheme="majorHAnsi" w:cstheme="minorHAnsi"/>
                      <w:i/>
                      <w:sz w:val="22"/>
                      <w:szCs w:val="22"/>
                    </w:rPr>
                    <w:t>Nombre</w:t>
                  </w:r>
                  <w:proofErr w:type="spellEnd"/>
                  <w:r w:rsidRPr="001C6812">
                    <w:rPr>
                      <w:rFonts w:asciiTheme="majorHAnsi" w:hAnsiTheme="majorHAnsi" w:cstheme="minorHAnsi"/>
                      <w:i/>
                      <w:sz w:val="22"/>
                      <w:szCs w:val="22"/>
                    </w:rPr>
                    <w:t xml:space="preserve"> de la Persona de </w:t>
                  </w:r>
                  <w:proofErr w:type="spellStart"/>
                  <w:r w:rsidRPr="001C6812">
                    <w:rPr>
                      <w:rFonts w:asciiTheme="majorHAnsi" w:hAnsiTheme="majorHAnsi" w:cstheme="minorHAnsi"/>
                      <w:i/>
                      <w:sz w:val="22"/>
                      <w:szCs w:val="22"/>
                    </w:rPr>
                    <w:t>contacto</w:t>
                  </w:r>
                  <w:proofErr w:type="spellEnd"/>
                </w:p>
                <w:p w14:paraId="3A3170AE" w14:textId="77777777" w:rsidR="0097769E" w:rsidRPr="001C6812" w:rsidRDefault="0097769E" w:rsidP="0097769E">
                  <w:pPr>
                    <w:pStyle w:val="Prrafodelista"/>
                    <w:numPr>
                      <w:ilvl w:val="1"/>
                      <w:numId w:val="31"/>
                    </w:numPr>
                    <w:contextualSpacing/>
                    <w:jc w:val="both"/>
                    <w:rPr>
                      <w:rFonts w:asciiTheme="majorHAnsi" w:hAnsiTheme="majorHAnsi" w:cstheme="minorHAnsi"/>
                      <w:i/>
                      <w:sz w:val="22"/>
                      <w:szCs w:val="22"/>
                    </w:rPr>
                  </w:pPr>
                  <w:proofErr w:type="spellStart"/>
                  <w:r w:rsidRPr="001C6812">
                    <w:rPr>
                      <w:rFonts w:asciiTheme="majorHAnsi" w:hAnsiTheme="majorHAnsi" w:cstheme="minorHAnsi"/>
                      <w:i/>
                      <w:sz w:val="22"/>
                      <w:szCs w:val="22"/>
                    </w:rPr>
                    <w:t>Correo</w:t>
                  </w:r>
                  <w:proofErr w:type="spellEnd"/>
                  <w:r w:rsidRPr="001C6812">
                    <w:rPr>
                      <w:rFonts w:asciiTheme="majorHAnsi" w:hAnsiTheme="majorHAnsi" w:cstheme="minorHAnsi"/>
                      <w:i/>
                      <w:sz w:val="22"/>
                      <w:szCs w:val="22"/>
                    </w:rPr>
                    <w:t xml:space="preserve"> </w:t>
                  </w:r>
                  <w:proofErr w:type="spellStart"/>
                  <w:r w:rsidRPr="001C6812">
                    <w:rPr>
                      <w:rFonts w:asciiTheme="majorHAnsi" w:hAnsiTheme="majorHAnsi" w:cstheme="minorHAnsi"/>
                      <w:i/>
                      <w:sz w:val="22"/>
                      <w:szCs w:val="22"/>
                    </w:rPr>
                    <w:t>electrónico</w:t>
                  </w:r>
                  <w:proofErr w:type="spellEnd"/>
                </w:p>
                <w:p w14:paraId="15BC909D" w14:textId="77777777" w:rsidR="0097769E" w:rsidRPr="001C6812" w:rsidRDefault="0097769E" w:rsidP="0097769E">
                  <w:pPr>
                    <w:pStyle w:val="Prrafodelista"/>
                    <w:numPr>
                      <w:ilvl w:val="1"/>
                      <w:numId w:val="31"/>
                    </w:numPr>
                    <w:contextualSpacing/>
                    <w:jc w:val="both"/>
                    <w:rPr>
                      <w:rFonts w:asciiTheme="majorHAnsi" w:hAnsiTheme="majorHAnsi" w:cstheme="minorHAnsi"/>
                      <w:i/>
                      <w:sz w:val="22"/>
                      <w:szCs w:val="22"/>
                    </w:rPr>
                  </w:pPr>
                  <w:proofErr w:type="spellStart"/>
                  <w:r w:rsidRPr="001C6812">
                    <w:rPr>
                      <w:rFonts w:asciiTheme="majorHAnsi" w:hAnsiTheme="majorHAnsi" w:cstheme="minorHAnsi"/>
                      <w:i/>
                      <w:sz w:val="22"/>
                      <w:szCs w:val="22"/>
                    </w:rPr>
                    <w:t>Número</w:t>
                  </w:r>
                  <w:proofErr w:type="spellEnd"/>
                  <w:r w:rsidRPr="001C6812">
                    <w:rPr>
                      <w:rFonts w:asciiTheme="majorHAnsi" w:hAnsiTheme="majorHAnsi" w:cstheme="minorHAnsi"/>
                      <w:i/>
                      <w:sz w:val="22"/>
                      <w:szCs w:val="22"/>
                    </w:rPr>
                    <w:t xml:space="preserve"> de </w:t>
                  </w:r>
                  <w:proofErr w:type="spellStart"/>
                  <w:r w:rsidRPr="001C6812">
                    <w:rPr>
                      <w:rFonts w:asciiTheme="majorHAnsi" w:hAnsiTheme="majorHAnsi" w:cstheme="minorHAnsi"/>
                      <w:i/>
                      <w:sz w:val="22"/>
                      <w:szCs w:val="22"/>
                    </w:rPr>
                    <w:t>teléfono</w:t>
                  </w:r>
                  <w:proofErr w:type="spellEnd"/>
                </w:p>
                <w:p w14:paraId="7E04A2DC" w14:textId="77777777" w:rsidR="0097769E" w:rsidRPr="001C6812" w:rsidRDefault="0097769E" w:rsidP="0097769E">
                  <w:pPr>
                    <w:pStyle w:val="Prrafodelista"/>
                    <w:numPr>
                      <w:ilvl w:val="1"/>
                      <w:numId w:val="31"/>
                    </w:numPr>
                    <w:contextualSpacing/>
                    <w:jc w:val="both"/>
                    <w:rPr>
                      <w:rFonts w:asciiTheme="majorHAnsi" w:eastAsia="Calibri" w:hAnsiTheme="majorHAnsi" w:cstheme="minorHAnsi"/>
                      <w:sz w:val="22"/>
                      <w:szCs w:val="22"/>
                    </w:rPr>
                  </w:pPr>
                  <w:proofErr w:type="spellStart"/>
                  <w:r w:rsidRPr="001C6812">
                    <w:rPr>
                      <w:rFonts w:asciiTheme="majorHAnsi" w:eastAsia="Calibri" w:hAnsiTheme="majorHAnsi" w:cstheme="minorHAnsi"/>
                      <w:sz w:val="22"/>
                      <w:szCs w:val="22"/>
                    </w:rPr>
                    <w:t>Formulario</w:t>
                  </w:r>
                  <w:proofErr w:type="spellEnd"/>
                  <w:r w:rsidRPr="001C6812">
                    <w:rPr>
                      <w:rFonts w:asciiTheme="majorHAnsi" w:eastAsia="Calibri" w:hAnsiTheme="majorHAnsi" w:cstheme="minorHAnsi"/>
                      <w:sz w:val="22"/>
                      <w:szCs w:val="22"/>
                    </w:rPr>
                    <w:t xml:space="preserve"> </w:t>
                  </w:r>
                  <w:proofErr w:type="spellStart"/>
                  <w:r w:rsidRPr="001C6812">
                    <w:rPr>
                      <w:rFonts w:asciiTheme="majorHAnsi" w:eastAsia="Calibri" w:hAnsiTheme="majorHAnsi" w:cstheme="minorHAnsi"/>
                      <w:sz w:val="22"/>
                      <w:szCs w:val="22"/>
                    </w:rPr>
                    <w:t>firmado</w:t>
                  </w:r>
                  <w:proofErr w:type="spellEnd"/>
                  <w:r w:rsidRPr="001C6812">
                    <w:rPr>
                      <w:rFonts w:asciiTheme="majorHAnsi" w:eastAsia="Calibri" w:hAnsiTheme="majorHAnsi" w:cstheme="minorHAnsi"/>
                      <w:sz w:val="22"/>
                      <w:szCs w:val="22"/>
                    </w:rPr>
                    <w:t xml:space="preserve"> por </w:t>
                  </w:r>
                  <w:proofErr w:type="spellStart"/>
                  <w:r w:rsidRPr="001C6812">
                    <w:rPr>
                      <w:rFonts w:asciiTheme="majorHAnsi" w:eastAsia="Calibri" w:hAnsiTheme="majorHAnsi" w:cstheme="minorHAnsi"/>
                      <w:sz w:val="22"/>
                      <w:szCs w:val="22"/>
                    </w:rPr>
                    <w:t>Representante</w:t>
                  </w:r>
                  <w:proofErr w:type="spellEnd"/>
                  <w:r w:rsidRPr="001C6812">
                    <w:rPr>
                      <w:rFonts w:asciiTheme="majorHAnsi" w:eastAsia="Calibri" w:hAnsiTheme="majorHAnsi" w:cstheme="minorHAnsi"/>
                      <w:sz w:val="22"/>
                      <w:szCs w:val="22"/>
                    </w:rPr>
                    <w:t xml:space="preserve"> Legal.</w:t>
                  </w:r>
                </w:p>
                <w:p w14:paraId="1B95D25E" w14:textId="3B6374E5" w:rsidR="002845D0" w:rsidRPr="00FC2AE6" w:rsidRDefault="002845D0" w:rsidP="001C6812">
                  <w:pPr>
                    <w:spacing w:line="240" w:lineRule="auto"/>
                    <w:ind w:left="34"/>
                    <w:jc w:val="both"/>
                    <w:rPr>
                      <w:rFonts w:asciiTheme="majorHAnsi" w:eastAsia="Century Gothic" w:hAnsiTheme="majorHAnsi" w:cstheme="majorHAnsi"/>
                    </w:rPr>
                  </w:pPr>
                </w:p>
                <w:p w14:paraId="5DB42994" w14:textId="77777777" w:rsidR="002845D0" w:rsidRPr="005854D7" w:rsidRDefault="002845D0" w:rsidP="002845D0">
                  <w:pPr>
                    <w:spacing w:line="240" w:lineRule="auto"/>
                    <w:ind w:left="318" w:hanging="284"/>
                    <w:jc w:val="both"/>
                    <w:rPr>
                      <w:rFonts w:asciiTheme="majorHAnsi" w:eastAsia="Century Gothic" w:hAnsiTheme="majorHAnsi" w:cstheme="majorHAnsi"/>
                    </w:rPr>
                  </w:pPr>
                </w:p>
              </w:tc>
            </w:tr>
            <w:tr w:rsidR="002845D0" w:rsidRPr="00FC2AE6" w14:paraId="6E543370" w14:textId="77777777" w:rsidTr="002845D0">
              <w:tc>
                <w:tcPr>
                  <w:tcW w:w="5861" w:type="dxa"/>
                </w:tcPr>
                <w:p w14:paraId="55AC4776" w14:textId="77777777" w:rsidR="002845D0" w:rsidRPr="00FC2AE6" w:rsidRDefault="002845D0" w:rsidP="002845D0">
                  <w:pPr>
                    <w:widowControl w:val="0"/>
                    <w:numPr>
                      <w:ilvl w:val="0"/>
                      <w:numId w:val="24"/>
                    </w:numPr>
                    <w:spacing w:line="240" w:lineRule="auto"/>
                    <w:ind w:left="318" w:hanging="284"/>
                    <w:jc w:val="both"/>
                    <w:rPr>
                      <w:rFonts w:asciiTheme="majorHAnsi" w:eastAsia="Century Gothic" w:hAnsiTheme="majorHAnsi" w:cstheme="majorHAnsi"/>
                    </w:rPr>
                  </w:pPr>
                  <w:r w:rsidRPr="00FC2AE6">
                    <w:rPr>
                      <w:rFonts w:asciiTheme="majorHAnsi" w:eastAsia="Century Gothic" w:hAnsiTheme="majorHAnsi" w:cstheme="majorHAnsi"/>
                      <w:b/>
                    </w:rPr>
                    <w:t xml:space="preserve">Certificado de registro mercantil más reciente </w:t>
                  </w:r>
                  <w:r w:rsidRPr="00FC2AE6">
                    <w:rPr>
                      <w:rFonts w:asciiTheme="majorHAnsi" w:eastAsia="Century Gothic" w:hAnsiTheme="majorHAnsi" w:cstheme="majorHAnsi"/>
                    </w:rPr>
                    <w:t xml:space="preserve">(En el caso de Costa Rica Personería Jurídica) </w:t>
                  </w:r>
                </w:p>
                <w:p w14:paraId="4D3E6923" w14:textId="77777777" w:rsidR="002845D0" w:rsidRPr="005854D7" w:rsidRDefault="002845D0" w:rsidP="002845D0">
                  <w:pPr>
                    <w:spacing w:line="240" w:lineRule="auto"/>
                    <w:ind w:left="318" w:hanging="284"/>
                    <w:jc w:val="both"/>
                    <w:rPr>
                      <w:rFonts w:asciiTheme="majorHAnsi" w:eastAsia="Century Gothic" w:hAnsiTheme="majorHAnsi" w:cstheme="majorHAnsi"/>
                    </w:rPr>
                  </w:pPr>
                </w:p>
              </w:tc>
            </w:tr>
            <w:tr w:rsidR="002845D0" w:rsidRPr="00FC2AE6" w14:paraId="74B7F3DE" w14:textId="77777777" w:rsidTr="002845D0">
              <w:tc>
                <w:tcPr>
                  <w:tcW w:w="5861" w:type="dxa"/>
                </w:tcPr>
                <w:p w14:paraId="2F4633B8" w14:textId="77777777" w:rsidR="002845D0" w:rsidRPr="005854D7" w:rsidRDefault="002845D0" w:rsidP="002845D0">
                  <w:pPr>
                    <w:widowControl w:val="0"/>
                    <w:numPr>
                      <w:ilvl w:val="0"/>
                      <w:numId w:val="24"/>
                    </w:numPr>
                    <w:spacing w:line="240" w:lineRule="auto"/>
                    <w:ind w:left="318" w:hanging="284"/>
                    <w:jc w:val="both"/>
                    <w:rPr>
                      <w:rFonts w:asciiTheme="majorHAnsi" w:eastAsia="Century Gothic" w:hAnsiTheme="majorHAnsi" w:cstheme="majorHAnsi"/>
                    </w:rPr>
                  </w:pPr>
                  <w:r w:rsidRPr="00FC2AE6">
                    <w:rPr>
                      <w:rFonts w:asciiTheme="majorHAnsi" w:eastAsia="Century Gothic" w:hAnsiTheme="majorHAnsi" w:cstheme="majorHAnsi"/>
                      <w:b/>
                    </w:rPr>
                    <w:t>Certificado de impuestos internos/exención de tasas más reciente</w:t>
                  </w:r>
                  <w:r w:rsidRPr="005854D7">
                    <w:rPr>
                      <w:rFonts w:asciiTheme="majorHAnsi" w:eastAsia="Century Gothic" w:hAnsiTheme="majorHAnsi" w:cstheme="majorHAnsi"/>
                    </w:rPr>
                    <w:t>, (En el caso de Costa Rica certificado de estar al día con impuesto de Hacienda)</w:t>
                  </w:r>
                </w:p>
                <w:p w14:paraId="333AE034" w14:textId="77777777" w:rsidR="002845D0" w:rsidRPr="001C6812" w:rsidRDefault="002845D0" w:rsidP="002845D0">
                  <w:pPr>
                    <w:spacing w:line="240" w:lineRule="auto"/>
                    <w:ind w:left="318" w:hanging="284"/>
                    <w:jc w:val="both"/>
                    <w:rPr>
                      <w:rFonts w:asciiTheme="majorHAnsi" w:eastAsia="Century Gothic" w:hAnsiTheme="majorHAnsi" w:cstheme="majorHAnsi"/>
                    </w:rPr>
                  </w:pPr>
                </w:p>
              </w:tc>
            </w:tr>
            <w:tr w:rsidR="002845D0" w:rsidRPr="00FC2AE6" w14:paraId="2588CD81" w14:textId="77777777" w:rsidTr="002845D0">
              <w:tc>
                <w:tcPr>
                  <w:tcW w:w="5861" w:type="dxa"/>
                </w:tcPr>
                <w:p w14:paraId="501388B4" w14:textId="77777777" w:rsidR="002845D0" w:rsidRPr="00FC2AE6" w:rsidRDefault="002845D0" w:rsidP="002845D0">
                  <w:pPr>
                    <w:numPr>
                      <w:ilvl w:val="0"/>
                      <w:numId w:val="24"/>
                    </w:numPr>
                    <w:spacing w:line="240" w:lineRule="auto"/>
                    <w:ind w:left="318" w:hanging="284"/>
                    <w:jc w:val="both"/>
                    <w:rPr>
                      <w:rFonts w:asciiTheme="majorHAnsi" w:eastAsia="Century Gothic" w:hAnsiTheme="majorHAnsi" w:cstheme="majorHAnsi"/>
                    </w:rPr>
                  </w:pPr>
                  <w:r w:rsidRPr="00FC2AE6">
                    <w:rPr>
                      <w:rFonts w:asciiTheme="majorHAnsi" w:eastAsia="Century Gothic" w:hAnsiTheme="majorHAnsi" w:cstheme="majorHAnsi"/>
                      <w:b/>
                    </w:rPr>
                    <w:t>Lista de referencias bancarias</w:t>
                  </w:r>
                  <w:r w:rsidRPr="00FC2AE6">
                    <w:rPr>
                      <w:rFonts w:asciiTheme="majorHAnsi" w:eastAsia="Century Gothic" w:hAnsiTheme="majorHAnsi" w:cstheme="majorHAnsi"/>
                    </w:rPr>
                    <w:t xml:space="preserve"> (nombre del banco, ubicación, persona de contacto y detalles de contacto)</w:t>
                  </w:r>
                </w:p>
                <w:p w14:paraId="18704160" w14:textId="77777777" w:rsidR="002845D0" w:rsidRPr="005854D7" w:rsidRDefault="002845D0" w:rsidP="002845D0">
                  <w:pPr>
                    <w:spacing w:line="240" w:lineRule="auto"/>
                    <w:ind w:left="318" w:hanging="284"/>
                    <w:jc w:val="both"/>
                    <w:rPr>
                      <w:rFonts w:asciiTheme="majorHAnsi" w:eastAsia="Century Gothic" w:hAnsiTheme="majorHAnsi" w:cstheme="majorHAnsi"/>
                    </w:rPr>
                  </w:pPr>
                </w:p>
              </w:tc>
            </w:tr>
            <w:tr w:rsidR="002845D0" w:rsidRPr="00FC2AE6" w14:paraId="682E631F" w14:textId="77777777" w:rsidTr="002845D0">
              <w:tc>
                <w:tcPr>
                  <w:tcW w:w="5861" w:type="dxa"/>
                  <w:shd w:val="clear" w:color="auto" w:fill="auto"/>
                </w:tcPr>
                <w:p w14:paraId="0C40883C" w14:textId="77777777" w:rsidR="002845D0" w:rsidRPr="001C6812" w:rsidRDefault="002845D0" w:rsidP="002845D0">
                  <w:pPr>
                    <w:numPr>
                      <w:ilvl w:val="0"/>
                      <w:numId w:val="24"/>
                    </w:numPr>
                    <w:spacing w:line="240" w:lineRule="auto"/>
                    <w:ind w:left="318" w:hanging="284"/>
                    <w:jc w:val="both"/>
                    <w:rPr>
                      <w:rFonts w:asciiTheme="majorHAnsi" w:eastAsia="Century Gothic" w:hAnsiTheme="majorHAnsi" w:cstheme="majorHAnsi"/>
                    </w:rPr>
                  </w:pPr>
                  <w:r w:rsidRPr="00FC2AE6">
                    <w:rPr>
                      <w:rFonts w:asciiTheme="majorHAnsi" w:eastAsia="Century Gothic" w:hAnsiTheme="majorHAnsi" w:cstheme="majorHAnsi"/>
                      <w:b/>
                    </w:rPr>
                    <w:t>Certificado de estar al día con el pago de la seguridad social en el país</w:t>
                  </w:r>
                  <w:r w:rsidRPr="005854D7">
                    <w:rPr>
                      <w:rFonts w:asciiTheme="majorHAnsi" w:eastAsia="Century Gothic" w:hAnsiTheme="majorHAnsi" w:cstheme="majorHAnsi"/>
                    </w:rPr>
                    <w:t xml:space="preserve"> (en el caso de Costa Rica Caja Costarricense Seguro Social). </w:t>
                  </w:r>
                  <w:r w:rsidRPr="001C6812">
                    <w:rPr>
                      <w:rFonts w:asciiTheme="majorHAnsi" w:eastAsia="Century Gothic" w:hAnsiTheme="majorHAnsi" w:cstheme="majorHAnsi"/>
                      <w:b/>
                    </w:rPr>
                    <w:t>Si aplica</w:t>
                  </w:r>
                </w:p>
                <w:p w14:paraId="22B72C62" w14:textId="77777777" w:rsidR="002845D0" w:rsidRPr="001C6812" w:rsidRDefault="002845D0" w:rsidP="002845D0">
                  <w:pPr>
                    <w:spacing w:line="240" w:lineRule="auto"/>
                    <w:ind w:left="318" w:hanging="284"/>
                    <w:jc w:val="both"/>
                    <w:rPr>
                      <w:rFonts w:asciiTheme="majorHAnsi" w:eastAsia="Century Gothic" w:hAnsiTheme="majorHAnsi" w:cstheme="majorHAnsi"/>
                    </w:rPr>
                  </w:pPr>
                </w:p>
              </w:tc>
            </w:tr>
            <w:tr w:rsidR="002845D0" w:rsidRPr="00FC2AE6" w14:paraId="18F1A1F1" w14:textId="77777777" w:rsidTr="002845D0">
              <w:tc>
                <w:tcPr>
                  <w:tcW w:w="5861" w:type="dxa"/>
                </w:tcPr>
                <w:p w14:paraId="569D8CF4" w14:textId="77777777" w:rsidR="002845D0" w:rsidRPr="00FC2AE6" w:rsidRDefault="002845D0" w:rsidP="002845D0">
                  <w:pPr>
                    <w:numPr>
                      <w:ilvl w:val="0"/>
                      <w:numId w:val="24"/>
                    </w:numPr>
                    <w:spacing w:line="240" w:lineRule="auto"/>
                    <w:ind w:left="318" w:hanging="284"/>
                    <w:jc w:val="both"/>
                    <w:rPr>
                      <w:rFonts w:asciiTheme="majorHAnsi" w:eastAsia="Century Gothic" w:hAnsiTheme="majorHAnsi" w:cstheme="majorHAnsi"/>
                    </w:rPr>
                  </w:pPr>
                  <w:r w:rsidRPr="00FC2AE6">
                    <w:rPr>
                      <w:rFonts w:asciiTheme="majorHAnsi" w:eastAsia="Century Gothic" w:hAnsiTheme="majorHAnsi" w:cstheme="majorHAnsi"/>
                      <w:b/>
                    </w:rPr>
                    <w:t>Copia de al menos dos (2)</w:t>
                  </w:r>
                  <w:r w:rsidRPr="00FC2AE6">
                    <w:rPr>
                      <w:rFonts w:asciiTheme="majorHAnsi" w:eastAsia="Century Gothic" w:hAnsiTheme="majorHAnsi" w:cstheme="majorHAnsi"/>
                    </w:rPr>
                    <w:t xml:space="preserve"> contratos similares o cartas de referencia de trabajos similares realizados en los últimos 5 años por la empresa.</w:t>
                  </w:r>
                </w:p>
                <w:p w14:paraId="75354DAB" w14:textId="77777777" w:rsidR="002845D0" w:rsidRPr="005854D7" w:rsidRDefault="002845D0" w:rsidP="002845D0">
                  <w:pPr>
                    <w:spacing w:line="240" w:lineRule="auto"/>
                    <w:ind w:left="318" w:hanging="284"/>
                    <w:jc w:val="both"/>
                    <w:rPr>
                      <w:rFonts w:asciiTheme="majorHAnsi" w:eastAsia="Century Gothic" w:hAnsiTheme="majorHAnsi" w:cstheme="majorHAnsi"/>
                      <w:highlight w:val="yellow"/>
                    </w:rPr>
                  </w:pPr>
                </w:p>
              </w:tc>
            </w:tr>
            <w:tr w:rsidR="002845D0" w:rsidRPr="00FC2AE6" w14:paraId="2DEBED52" w14:textId="77777777" w:rsidTr="002845D0">
              <w:tc>
                <w:tcPr>
                  <w:tcW w:w="5861" w:type="dxa"/>
                </w:tcPr>
                <w:p w14:paraId="08DE681B" w14:textId="77777777" w:rsidR="002845D0" w:rsidRPr="005854D7" w:rsidRDefault="002845D0" w:rsidP="002845D0">
                  <w:pPr>
                    <w:numPr>
                      <w:ilvl w:val="0"/>
                      <w:numId w:val="24"/>
                    </w:numPr>
                    <w:spacing w:line="240" w:lineRule="auto"/>
                    <w:ind w:left="318" w:hanging="284"/>
                    <w:jc w:val="both"/>
                    <w:rPr>
                      <w:rFonts w:asciiTheme="majorHAnsi" w:eastAsia="Century Gothic" w:hAnsiTheme="majorHAnsi" w:cstheme="majorHAnsi"/>
                    </w:rPr>
                  </w:pPr>
                  <w:r w:rsidRPr="00FC2AE6">
                    <w:rPr>
                      <w:rFonts w:asciiTheme="majorHAnsi" w:eastAsia="Century Gothic" w:hAnsiTheme="majorHAnsi" w:cstheme="majorHAnsi"/>
                      <w:b/>
                    </w:rPr>
                    <w:t>Auto declaración</w:t>
                  </w:r>
                  <w:r w:rsidRPr="00FC2AE6">
                    <w:rPr>
                      <w:rFonts w:asciiTheme="majorHAnsi" w:eastAsia="Century Gothic" w:hAnsiTheme="majorHAnsi" w:cstheme="majorHAnsi"/>
                    </w:rPr>
                    <w:t xml:space="preserve"> jurada que consigne no estar afectado en forma dire</w:t>
                  </w:r>
                  <w:r w:rsidRPr="005854D7">
                    <w:rPr>
                      <w:rFonts w:asciiTheme="majorHAnsi" w:eastAsia="Century Gothic" w:hAnsiTheme="majorHAnsi" w:cstheme="majorHAnsi"/>
                    </w:rPr>
                    <w:t>cta o indirecta por intereses contrapuestos a los de las AGENCIAS ONU o por incompatibilidades de carácter ético, ni se encuentren alcanzados por las prohibiciones establecidas</w:t>
                  </w:r>
                </w:p>
                <w:p w14:paraId="574C8735" w14:textId="77777777" w:rsidR="002845D0" w:rsidRPr="005854D7" w:rsidRDefault="002845D0" w:rsidP="002845D0">
                  <w:pPr>
                    <w:spacing w:line="240" w:lineRule="auto"/>
                    <w:ind w:left="318" w:hanging="284"/>
                    <w:jc w:val="both"/>
                    <w:rPr>
                      <w:rFonts w:asciiTheme="majorHAnsi" w:eastAsia="Century Gothic" w:hAnsiTheme="majorHAnsi" w:cstheme="majorHAnsi"/>
                    </w:rPr>
                  </w:pPr>
                </w:p>
              </w:tc>
            </w:tr>
            <w:tr w:rsidR="002845D0" w:rsidRPr="00FC2AE6" w14:paraId="3E3B97D3" w14:textId="77777777" w:rsidTr="002845D0">
              <w:tc>
                <w:tcPr>
                  <w:tcW w:w="5861" w:type="dxa"/>
                </w:tcPr>
                <w:p w14:paraId="4EFC404D" w14:textId="77777777" w:rsidR="002845D0" w:rsidRPr="005854D7" w:rsidRDefault="002845D0" w:rsidP="002845D0">
                  <w:pPr>
                    <w:numPr>
                      <w:ilvl w:val="0"/>
                      <w:numId w:val="24"/>
                    </w:numPr>
                    <w:spacing w:line="240" w:lineRule="auto"/>
                    <w:ind w:left="318" w:hanging="284"/>
                    <w:jc w:val="both"/>
                    <w:rPr>
                      <w:rFonts w:asciiTheme="majorHAnsi" w:eastAsia="Century Gothic" w:hAnsiTheme="majorHAnsi" w:cstheme="majorHAnsi"/>
                      <w:b/>
                    </w:rPr>
                  </w:pPr>
                  <w:r w:rsidRPr="00FC2AE6">
                    <w:rPr>
                      <w:rFonts w:asciiTheme="majorHAnsi" w:eastAsia="Century Gothic" w:hAnsiTheme="majorHAnsi" w:cstheme="majorHAnsi"/>
                      <w:b/>
                    </w:rPr>
                    <w:t xml:space="preserve">Auto declaración </w:t>
                  </w:r>
                  <w:r w:rsidRPr="00FC2AE6">
                    <w:rPr>
                      <w:rFonts w:asciiTheme="majorHAnsi" w:eastAsia="Century Gothic" w:hAnsiTheme="majorHAnsi" w:cstheme="majorHAnsi"/>
                    </w:rPr>
                    <w:t>jurada de Plena aceptación de los Términos y Condiciones Gen</w:t>
                  </w:r>
                  <w:r w:rsidRPr="005854D7">
                    <w:rPr>
                      <w:rFonts w:asciiTheme="majorHAnsi" w:eastAsia="Century Gothic" w:hAnsiTheme="majorHAnsi" w:cstheme="majorHAnsi"/>
                    </w:rPr>
                    <w:t>erales de Contratación del PNUD (TCG). Se trata de un criterio obligatorio que no puede obviarse en ningún caso, con independencia de la naturaleza de los servicios solicitados. La no aceptación de los TCG será motivo de inadmisión de la Propuesta</w:t>
                  </w:r>
                </w:p>
              </w:tc>
            </w:tr>
            <w:tr w:rsidR="002845D0" w:rsidRPr="00FC2AE6" w14:paraId="16C68CAF" w14:textId="77777777" w:rsidTr="002845D0">
              <w:tc>
                <w:tcPr>
                  <w:tcW w:w="5861" w:type="dxa"/>
                </w:tcPr>
                <w:p w14:paraId="0F3C48EE" w14:textId="77777777" w:rsidR="002845D0" w:rsidRPr="00FC2AE6" w:rsidRDefault="002845D0" w:rsidP="002845D0">
                  <w:pPr>
                    <w:numPr>
                      <w:ilvl w:val="0"/>
                      <w:numId w:val="24"/>
                    </w:numPr>
                    <w:spacing w:line="240" w:lineRule="auto"/>
                    <w:ind w:left="318" w:hanging="284"/>
                    <w:jc w:val="both"/>
                    <w:rPr>
                      <w:rFonts w:asciiTheme="majorHAnsi" w:eastAsia="Century Gothic" w:hAnsiTheme="majorHAnsi" w:cstheme="majorHAnsi"/>
                    </w:rPr>
                  </w:pPr>
                  <w:r w:rsidRPr="00FC2AE6">
                    <w:rPr>
                      <w:rFonts w:asciiTheme="majorHAnsi" w:eastAsia="Century Gothic" w:hAnsiTheme="majorHAnsi" w:cstheme="majorHAnsi"/>
                      <w:b/>
                    </w:rPr>
                    <w:t>Copia de CV</w:t>
                  </w:r>
                  <w:r w:rsidRPr="00FC2AE6">
                    <w:rPr>
                      <w:rFonts w:asciiTheme="majorHAnsi" w:eastAsia="Century Gothic" w:hAnsiTheme="majorHAnsi" w:cstheme="majorHAnsi"/>
                    </w:rPr>
                    <w:t xml:space="preserve"> de las y los miembros del equipo de trabajo propuesto según formato anexo.</w:t>
                  </w:r>
                </w:p>
              </w:tc>
            </w:tr>
          </w:tbl>
          <w:p w14:paraId="5A0FCE38" w14:textId="77777777" w:rsidR="002845D0" w:rsidRPr="00FC2AE6" w:rsidRDefault="002845D0" w:rsidP="002845D0">
            <w:pPr>
              <w:spacing w:line="240" w:lineRule="auto"/>
              <w:rPr>
                <w:rFonts w:asciiTheme="majorHAnsi" w:eastAsia="Century Gothic" w:hAnsiTheme="majorHAnsi" w:cstheme="majorHAnsi"/>
              </w:rPr>
            </w:pPr>
          </w:p>
        </w:tc>
      </w:tr>
    </w:tbl>
    <w:p w14:paraId="2E558B8A" w14:textId="77777777" w:rsidR="002845D0" w:rsidRPr="00FC2AE6" w:rsidRDefault="002845D0" w:rsidP="002845D0">
      <w:pPr>
        <w:spacing w:line="240" w:lineRule="auto"/>
        <w:rPr>
          <w:rFonts w:asciiTheme="majorHAnsi" w:eastAsia="Century Gothic" w:hAnsiTheme="majorHAnsi" w:cstheme="majorHAnsi"/>
          <w:b/>
        </w:rPr>
      </w:pPr>
      <w:bookmarkStart w:id="5" w:name="_GoBack"/>
      <w:bookmarkEnd w:id="5"/>
    </w:p>
    <w:sectPr w:rsidR="002845D0" w:rsidRPr="00FC2AE6">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73150" w14:textId="77777777" w:rsidR="00263528" w:rsidRDefault="00263528">
      <w:pPr>
        <w:spacing w:line="240" w:lineRule="auto"/>
      </w:pPr>
      <w:r>
        <w:separator/>
      </w:r>
    </w:p>
  </w:endnote>
  <w:endnote w:type="continuationSeparator" w:id="0">
    <w:p w14:paraId="660C4853" w14:textId="77777777" w:rsidR="00263528" w:rsidRDefault="002635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B689" w14:textId="77777777" w:rsidR="00263528" w:rsidRDefault="00263528">
      <w:pPr>
        <w:spacing w:line="240" w:lineRule="auto"/>
      </w:pPr>
      <w:r>
        <w:separator/>
      </w:r>
    </w:p>
  </w:footnote>
  <w:footnote w:type="continuationSeparator" w:id="0">
    <w:p w14:paraId="4ECCED9A" w14:textId="77777777" w:rsidR="00263528" w:rsidRDefault="00263528">
      <w:pPr>
        <w:spacing w:line="240" w:lineRule="auto"/>
      </w:pPr>
      <w:r>
        <w:continuationSeparator/>
      </w:r>
    </w:p>
  </w:footnote>
  <w:footnote w:id="1">
    <w:p w14:paraId="4711052C" w14:textId="77777777" w:rsidR="00677886" w:rsidRPr="00661F28" w:rsidRDefault="00677886" w:rsidP="002845D0">
      <w:pPr>
        <w:spacing w:line="240" w:lineRule="auto"/>
        <w:ind w:left="-18"/>
        <w:rPr>
          <w:rFonts w:asciiTheme="majorHAnsi" w:eastAsia="Times New Roman" w:hAnsiTheme="majorHAnsi" w:cstheme="majorHAnsi"/>
          <w:i/>
          <w:sz w:val="20"/>
          <w:szCs w:val="20"/>
        </w:rPr>
      </w:pPr>
      <w:r w:rsidRPr="00661F28">
        <w:rPr>
          <w:rFonts w:asciiTheme="majorHAnsi" w:hAnsiTheme="majorHAnsi" w:cstheme="majorHAnsi"/>
          <w:sz w:val="20"/>
          <w:szCs w:val="20"/>
          <w:vertAlign w:val="superscript"/>
        </w:rPr>
        <w:footnoteRef/>
      </w:r>
      <w:r w:rsidRPr="00661F28">
        <w:rPr>
          <w:rFonts w:asciiTheme="majorHAnsi" w:eastAsia="Times New Roman" w:hAnsiTheme="majorHAnsi" w:cstheme="majorHAnsi"/>
          <w:sz w:val="20"/>
          <w:szCs w:val="20"/>
        </w:rPr>
        <w:t xml:space="preserve"> </w:t>
      </w:r>
      <w:r w:rsidRPr="00661F28">
        <w:rPr>
          <w:rFonts w:asciiTheme="majorHAnsi" w:eastAsia="Times New Roman" w:hAnsiTheme="majorHAnsi" w:cstheme="majorHAnsi"/>
          <w:i/>
          <w:sz w:val="20"/>
          <w:szCs w:val="20"/>
        </w:rPr>
        <w:t xml:space="preserve">Se previene a los Proveedores de servicios de que la no aceptación del contenido de los Términos y Condiciones Generales (TCG) podrá ser motivo de descalificación de este proceso de adquisición. </w:t>
      </w:r>
    </w:p>
  </w:footnote>
  <w:footnote w:id="2">
    <w:p w14:paraId="73004A2A" w14:textId="77777777" w:rsidR="00677886" w:rsidRPr="00661F28" w:rsidRDefault="00677886" w:rsidP="002845D0">
      <w:pPr>
        <w:spacing w:line="240" w:lineRule="auto"/>
        <w:rPr>
          <w:rFonts w:asciiTheme="majorHAnsi" w:eastAsia="Times New Roman" w:hAnsiTheme="majorHAnsi" w:cstheme="majorHAnsi"/>
          <w:i/>
          <w:sz w:val="20"/>
          <w:szCs w:val="20"/>
        </w:rPr>
      </w:pPr>
      <w:r w:rsidRPr="00661F28">
        <w:rPr>
          <w:rFonts w:asciiTheme="majorHAnsi" w:hAnsiTheme="majorHAnsi" w:cstheme="majorHAnsi"/>
          <w:sz w:val="20"/>
          <w:szCs w:val="20"/>
          <w:vertAlign w:val="superscript"/>
        </w:rPr>
        <w:footnoteRef/>
      </w:r>
      <w:r w:rsidRPr="00661F28">
        <w:rPr>
          <w:rFonts w:asciiTheme="majorHAnsi" w:eastAsia="Times New Roman" w:hAnsiTheme="majorHAnsi" w:cstheme="majorHAnsi"/>
          <w:i/>
          <w:sz w:val="20"/>
          <w:szCs w:val="20"/>
        </w:rPr>
        <w:t xml:space="preserve"> Esta persona de contacto y la dirección de la misma serán designadas oficialmente por el PNUD. En caso de que se dirija una solicitud de información a otra persona o personas, o dirección o direcciones, aún cuando ésta/s forme/n parte del personal del PNUD, el PNUD no tendrá obligación de responder a dicha solicitud ni de confirmar su recepción.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68CAF" w14:textId="77777777" w:rsidR="00677886" w:rsidRDefault="00677886">
    <w:pPr>
      <w:tabs>
        <w:tab w:val="center" w:pos="4320"/>
        <w:tab w:val="right" w:pos="8640"/>
      </w:tabs>
      <w:spacing w:line="240" w:lineRule="auto"/>
      <w:rPr>
        <w:rFonts w:ascii="Century Gothic" w:eastAsia="Century Gothic" w:hAnsi="Century Gothic" w:cs="Century Gothic"/>
        <w:b/>
        <w:i/>
        <w:sz w:val="20"/>
        <w:szCs w:val="20"/>
      </w:rPr>
    </w:pPr>
    <w:r>
      <w:rPr>
        <w:rFonts w:ascii="Century Gothic" w:eastAsia="Century Gothic" w:hAnsi="Century Gothic" w:cs="Century Gothic"/>
        <w:b/>
        <w:i/>
        <w:noProof/>
        <w:sz w:val="20"/>
        <w:szCs w:val="20"/>
      </w:rPr>
      <w:drawing>
        <wp:anchor distT="0" distB="0" distL="0" distR="0" simplePos="0" relativeHeight="251658240" behindDoc="0" locked="0" layoutInCell="1" hidden="0" allowOverlap="1" wp14:anchorId="235728B0" wp14:editId="61C0A3F4">
          <wp:simplePos x="0" y="0"/>
          <wp:positionH relativeFrom="page">
            <wp:posOffset>6948109</wp:posOffset>
          </wp:positionH>
          <wp:positionV relativeFrom="page">
            <wp:posOffset>114300</wp:posOffset>
          </wp:positionV>
          <wp:extent cx="379044" cy="83502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9044" cy="835025"/>
                  </a:xfrm>
                  <a:prstGeom prst="rect">
                    <a:avLst/>
                  </a:prstGeom>
                  <a:ln/>
                </pic:spPr>
              </pic:pic>
            </a:graphicData>
          </a:graphic>
        </wp:anchor>
      </w:drawing>
    </w:r>
    <w:r>
      <w:rPr>
        <w:rFonts w:ascii="Century Gothic" w:eastAsia="Century Gothic" w:hAnsi="Century Gothic" w:cs="Century Gothic"/>
        <w:b/>
        <w:i/>
        <w:sz w:val="20"/>
        <w:szCs w:val="20"/>
      </w:rPr>
      <w:t>PROGRAMA DE LAS NACIONES UNIDAS PARA EL DESARROLLO</w:t>
    </w:r>
  </w:p>
  <w:p w14:paraId="3E8FE526" w14:textId="77777777" w:rsidR="00677886" w:rsidRDefault="00677886">
    <w:pPr>
      <w:tabs>
        <w:tab w:val="center" w:pos="4320"/>
        <w:tab w:val="right" w:pos="8640"/>
      </w:tabs>
      <w:spacing w:line="240" w:lineRule="auto"/>
      <w:rPr>
        <w:rFonts w:ascii="Century Gothic" w:eastAsia="Century Gothic" w:hAnsi="Century Gothic" w:cs="Century Gothic"/>
        <w:b/>
        <w:i/>
        <w:sz w:val="20"/>
        <w:szCs w:val="20"/>
      </w:rPr>
    </w:pPr>
  </w:p>
  <w:p w14:paraId="3156B8E6" w14:textId="77777777" w:rsidR="00677886" w:rsidRDefault="006778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DCE"/>
    <w:multiLevelType w:val="hybridMultilevel"/>
    <w:tmpl w:val="8BA016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6285A64"/>
    <w:multiLevelType w:val="multilevel"/>
    <w:tmpl w:val="FAC4E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277D60"/>
    <w:multiLevelType w:val="multilevel"/>
    <w:tmpl w:val="5FA46AA4"/>
    <w:lvl w:ilvl="0">
      <w:start w:val="2"/>
      <w:numFmt w:val="decimal"/>
      <w:lvlText w:val="%1."/>
      <w:lvlJc w:val="left"/>
      <w:pPr>
        <w:ind w:left="720" w:hanging="360"/>
      </w:pPr>
      <w:rPr>
        <w:color w:val="66666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B93F38"/>
    <w:multiLevelType w:val="multilevel"/>
    <w:tmpl w:val="0FDCCF62"/>
    <w:lvl w:ilvl="0">
      <w:start w:val="1"/>
      <w:numFmt w:val="upperLetter"/>
      <w:lvlText w:val="%1."/>
      <w:lvlJc w:val="left"/>
      <w:pPr>
        <w:ind w:left="360" w:firstLine="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5F1DD4"/>
    <w:multiLevelType w:val="multilevel"/>
    <w:tmpl w:val="E87A5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8D534D"/>
    <w:multiLevelType w:val="hybridMultilevel"/>
    <w:tmpl w:val="73285D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5F5A26"/>
    <w:multiLevelType w:val="hybridMultilevel"/>
    <w:tmpl w:val="784C74EE"/>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6EE616B"/>
    <w:multiLevelType w:val="multilevel"/>
    <w:tmpl w:val="3148EE4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0C28C1"/>
    <w:multiLevelType w:val="hybridMultilevel"/>
    <w:tmpl w:val="667E4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973071E"/>
    <w:multiLevelType w:val="multilevel"/>
    <w:tmpl w:val="9A52D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1B10A9"/>
    <w:multiLevelType w:val="multilevel"/>
    <w:tmpl w:val="8984F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E32917"/>
    <w:multiLevelType w:val="hybridMultilevel"/>
    <w:tmpl w:val="872AB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FF576E"/>
    <w:multiLevelType w:val="hybridMultilevel"/>
    <w:tmpl w:val="B20AD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6E6C90"/>
    <w:multiLevelType w:val="multilevel"/>
    <w:tmpl w:val="443651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322C70"/>
    <w:multiLevelType w:val="multilevel"/>
    <w:tmpl w:val="0C3A7BE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3730D5"/>
    <w:multiLevelType w:val="hybridMultilevel"/>
    <w:tmpl w:val="CD801E78"/>
    <w:lvl w:ilvl="0" w:tplc="140A000F">
      <w:start w:val="1"/>
      <w:numFmt w:val="decimal"/>
      <w:lvlText w:val="%1."/>
      <w:lvlJc w:val="left"/>
      <w:pPr>
        <w:ind w:left="360" w:hanging="360"/>
      </w:pPr>
      <w:rPr>
        <w:rFonts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15:restartNumberingAfterBreak="0">
    <w:nsid w:val="3A9D54C8"/>
    <w:multiLevelType w:val="multilevel"/>
    <w:tmpl w:val="95E4F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E21CE6"/>
    <w:multiLevelType w:val="hybridMultilevel"/>
    <w:tmpl w:val="047A0D24"/>
    <w:lvl w:ilvl="0" w:tplc="66486886">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E090EA2"/>
    <w:multiLevelType w:val="multilevel"/>
    <w:tmpl w:val="3B3AA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666AE1"/>
    <w:multiLevelType w:val="multilevel"/>
    <w:tmpl w:val="13109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D15823"/>
    <w:multiLevelType w:val="multilevel"/>
    <w:tmpl w:val="1BF04BAC"/>
    <w:lvl w:ilvl="0">
      <w:start w:val="23"/>
      <w:numFmt w:val="decimal"/>
      <w:lvlText w:val="%1.0"/>
      <w:lvlJc w:val="left"/>
      <w:pPr>
        <w:ind w:left="720" w:hanging="720"/>
      </w:pPr>
      <w:rPr>
        <w:b/>
      </w:r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22" w15:restartNumberingAfterBreak="0">
    <w:nsid w:val="480D5D7E"/>
    <w:multiLevelType w:val="hybridMultilevel"/>
    <w:tmpl w:val="5A5260C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96F745C"/>
    <w:multiLevelType w:val="multilevel"/>
    <w:tmpl w:val="78E2F43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946C4A"/>
    <w:multiLevelType w:val="multilevel"/>
    <w:tmpl w:val="2F6E1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F3320A"/>
    <w:multiLevelType w:val="multilevel"/>
    <w:tmpl w:val="AE440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6404CE"/>
    <w:multiLevelType w:val="multilevel"/>
    <w:tmpl w:val="121C3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6D03AE"/>
    <w:multiLevelType w:val="multilevel"/>
    <w:tmpl w:val="CB5C44E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561690"/>
    <w:multiLevelType w:val="hybridMultilevel"/>
    <w:tmpl w:val="C6901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1367142"/>
    <w:multiLevelType w:val="hybridMultilevel"/>
    <w:tmpl w:val="5E0E9DAE"/>
    <w:lvl w:ilvl="0" w:tplc="8EDE4CF0">
      <w:start w:val="1"/>
      <w:numFmt w:val="bullet"/>
      <w:lvlText w:val=""/>
      <w:lvlJc w:val="left"/>
      <w:pPr>
        <w:ind w:left="360" w:hanging="360"/>
      </w:pPr>
      <w:rPr>
        <w:rFonts w:ascii="Webdings" w:hAnsi="Webdings"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8"/>
  </w:num>
  <w:num w:numId="4">
    <w:abstractNumId w:val="23"/>
  </w:num>
  <w:num w:numId="5">
    <w:abstractNumId w:val="2"/>
  </w:num>
  <w:num w:numId="6">
    <w:abstractNumId w:val="26"/>
  </w:num>
  <w:num w:numId="7">
    <w:abstractNumId w:val="20"/>
  </w:num>
  <w:num w:numId="8">
    <w:abstractNumId w:val="24"/>
  </w:num>
  <w:num w:numId="9">
    <w:abstractNumId w:val="19"/>
  </w:num>
  <w:num w:numId="10">
    <w:abstractNumId w:val="14"/>
  </w:num>
  <w:num w:numId="11">
    <w:abstractNumId w:val="21"/>
  </w:num>
  <w:num w:numId="12">
    <w:abstractNumId w:val="15"/>
  </w:num>
  <w:num w:numId="13">
    <w:abstractNumId w:val="6"/>
  </w:num>
  <w:num w:numId="14">
    <w:abstractNumId w:val="29"/>
  </w:num>
  <w:num w:numId="15">
    <w:abstractNumId w:val="9"/>
  </w:num>
  <w:num w:numId="16">
    <w:abstractNumId w:val="13"/>
  </w:num>
  <w:num w:numId="17">
    <w:abstractNumId w:val="12"/>
  </w:num>
  <w:num w:numId="18">
    <w:abstractNumId w:val="7"/>
  </w:num>
  <w:num w:numId="19">
    <w:abstractNumId w:val="0"/>
  </w:num>
  <w:num w:numId="20">
    <w:abstractNumId w:val="11"/>
  </w:num>
  <w:num w:numId="21">
    <w:abstractNumId w:val="28"/>
  </w:num>
  <w:num w:numId="22">
    <w:abstractNumId w:val="5"/>
  </w:num>
  <w:num w:numId="23">
    <w:abstractNumId w:val="10"/>
  </w:num>
  <w:num w:numId="24">
    <w:abstractNumId w:val="17"/>
  </w:num>
  <w:num w:numId="25">
    <w:abstractNumId w:val="1"/>
  </w:num>
  <w:num w:numId="26">
    <w:abstractNumId w:val="3"/>
  </w:num>
  <w:num w:numId="27">
    <w:abstractNumId w:val="18"/>
  </w:num>
  <w:num w:numId="28">
    <w:abstractNumId w:val="30"/>
  </w:num>
  <w:num w:numId="29">
    <w:abstractNumId w:val="27"/>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E50"/>
    <w:rsid w:val="00003250"/>
    <w:rsid w:val="00003966"/>
    <w:rsid w:val="00006E49"/>
    <w:rsid w:val="000A057B"/>
    <w:rsid w:val="000A115B"/>
    <w:rsid w:val="000D1CF7"/>
    <w:rsid w:val="000D1D21"/>
    <w:rsid w:val="000E2302"/>
    <w:rsid w:val="00103528"/>
    <w:rsid w:val="00115965"/>
    <w:rsid w:val="00127F4A"/>
    <w:rsid w:val="0014304A"/>
    <w:rsid w:val="001B3091"/>
    <w:rsid w:val="001C6812"/>
    <w:rsid w:val="001D7EB6"/>
    <w:rsid w:val="00206279"/>
    <w:rsid w:val="0024450D"/>
    <w:rsid w:val="002507CD"/>
    <w:rsid w:val="00263528"/>
    <w:rsid w:val="002845D0"/>
    <w:rsid w:val="00295168"/>
    <w:rsid w:val="002B7A53"/>
    <w:rsid w:val="003004D2"/>
    <w:rsid w:val="00311B77"/>
    <w:rsid w:val="0032686F"/>
    <w:rsid w:val="00332243"/>
    <w:rsid w:val="00362F6A"/>
    <w:rsid w:val="00375760"/>
    <w:rsid w:val="00376249"/>
    <w:rsid w:val="00385149"/>
    <w:rsid w:val="003951C9"/>
    <w:rsid w:val="003A7695"/>
    <w:rsid w:val="003F5872"/>
    <w:rsid w:val="003F588A"/>
    <w:rsid w:val="00404618"/>
    <w:rsid w:val="00421900"/>
    <w:rsid w:val="00421F6C"/>
    <w:rsid w:val="00425125"/>
    <w:rsid w:val="004331DF"/>
    <w:rsid w:val="00435850"/>
    <w:rsid w:val="00456D08"/>
    <w:rsid w:val="00490D17"/>
    <w:rsid w:val="004D64AF"/>
    <w:rsid w:val="004E4946"/>
    <w:rsid w:val="004E72FF"/>
    <w:rsid w:val="004F595A"/>
    <w:rsid w:val="00500174"/>
    <w:rsid w:val="00506713"/>
    <w:rsid w:val="00511367"/>
    <w:rsid w:val="00522C84"/>
    <w:rsid w:val="00530087"/>
    <w:rsid w:val="00581F30"/>
    <w:rsid w:val="005854D7"/>
    <w:rsid w:val="00585711"/>
    <w:rsid w:val="005D51E1"/>
    <w:rsid w:val="00615E67"/>
    <w:rsid w:val="006203F3"/>
    <w:rsid w:val="006219DB"/>
    <w:rsid w:val="00661F28"/>
    <w:rsid w:val="00677886"/>
    <w:rsid w:val="006E2F3E"/>
    <w:rsid w:val="00712B0D"/>
    <w:rsid w:val="0071763D"/>
    <w:rsid w:val="0072090C"/>
    <w:rsid w:val="00721E5E"/>
    <w:rsid w:val="00726E50"/>
    <w:rsid w:val="00767A98"/>
    <w:rsid w:val="00791451"/>
    <w:rsid w:val="00796853"/>
    <w:rsid w:val="007A6B22"/>
    <w:rsid w:val="007D6D2B"/>
    <w:rsid w:val="00827617"/>
    <w:rsid w:val="0084030F"/>
    <w:rsid w:val="00840897"/>
    <w:rsid w:val="00860130"/>
    <w:rsid w:val="00871C73"/>
    <w:rsid w:val="0087468D"/>
    <w:rsid w:val="0088773B"/>
    <w:rsid w:val="008A5BA5"/>
    <w:rsid w:val="008B7467"/>
    <w:rsid w:val="008F27D9"/>
    <w:rsid w:val="008F6010"/>
    <w:rsid w:val="00921F24"/>
    <w:rsid w:val="0093605F"/>
    <w:rsid w:val="00943DD7"/>
    <w:rsid w:val="00960A2E"/>
    <w:rsid w:val="009624B2"/>
    <w:rsid w:val="009719E6"/>
    <w:rsid w:val="0097769E"/>
    <w:rsid w:val="009A14A4"/>
    <w:rsid w:val="009A29EA"/>
    <w:rsid w:val="009B6269"/>
    <w:rsid w:val="009D193E"/>
    <w:rsid w:val="009D7AAF"/>
    <w:rsid w:val="009F38C3"/>
    <w:rsid w:val="00A1023A"/>
    <w:rsid w:val="00A471C6"/>
    <w:rsid w:val="00A53F81"/>
    <w:rsid w:val="00A617AB"/>
    <w:rsid w:val="00A7027F"/>
    <w:rsid w:val="00A8255B"/>
    <w:rsid w:val="00A92968"/>
    <w:rsid w:val="00AA4E4F"/>
    <w:rsid w:val="00AE4413"/>
    <w:rsid w:val="00AE5E87"/>
    <w:rsid w:val="00AF4791"/>
    <w:rsid w:val="00B30B5C"/>
    <w:rsid w:val="00B462E1"/>
    <w:rsid w:val="00B605D6"/>
    <w:rsid w:val="00B764E6"/>
    <w:rsid w:val="00BA7BEB"/>
    <w:rsid w:val="00BB2401"/>
    <w:rsid w:val="00BC24C7"/>
    <w:rsid w:val="00BC333D"/>
    <w:rsid w:val="00C16214"/>
    <w:rsid w:val="00C50E13"/>
    <w:rsid w:val="00C71B2B"/>
    <w:rsid w:val="00CF4EF0"/>
    <w:rsid w:val="00D04D9F"/>
    <w:rsid w:val="00D106D5"/>
    <w:rsid w:val="00D12AC5"/>
    <w:rsid w:val="00D17286"/>
    <w:rsid w:val="00D4355F"/>
    <w:rsid w:val="00D46B30"/>
    <w:rsid w:val="00D60E04"/>
    <w:rsid w:val="00D91260"/>
    <w:rsid w:val="00DB4587"/>
    <w:rsid w:val="00DE2D34"/>
    <w:rsid w:val="00E35DF8"/>
    <w:rsid w:val="00E47FBF"/>
    <w:rsid w:val="00E516B5"/>
    <w:rsid w:val="00E5746A"/>
    <w:rsid w:val="00E74970"/>
    <w:rsid w:val="00E826CD"/>
    <w:rsid w:val="00E834CB"/>
    <w:rsid w:val="00E90E08"/>
    <w:rsid w:val="00E91AAD"/>
    <w:rsid w:val="00EA6D7E"/>
    <w:rsid w:val="00EE4641"/>
    <w:rsid w:val="00EE56BE"/>
    <w:rsid w:val="00EF1932"/>
    <w:rsid w:val="00EF7AF6"/>
    <w:rsid w:val="00F169FA"/>
    <w:rsid w:val="00F2006B"/>
    <w:rsid w:val="00F643DD"/>
    <w:rsid w:val="00F74F4D"/>
    <w:rsid w:val="00F9472A"/>
    <w:rsid w:val="00FA3093"/>
    <w:rsid w:val="00FB7882"/>
    <w:rsid w:val="00FC2589"/>
    <w:rsid w:val="00FC2AE6"/>
    <w:rsid w:val="00FC532E"/>
    <w:rsid w:val="00FD62C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6470B"/>
  <w15:docId w15:val="{56B51111-BCDB-4061-AC46-7AEE6DCA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link w:val="SubttuloCar"/>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43DD7"/>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43DD7"/>
    <w:rPr>
      <w:rFonts w:ascii="Times New Roman" w:hAnsi="Times New Roman" w:cs="Times New Roman"/>
      <w:sz w:val="18"/>
      <w:szCs w:val="18"/>
    </w:rPr>
  </w:style>
  <w:style w:type="paragraph" w:styleId="Prrafodelista">
    <w:name w:val="List Paragraph"/>
    <w:aliases w:val="Cuadros,figuras y gráficos,Lista multicolor - Énfasis 11,Bullets,List Paragraph1,Heading,List Paragraph (numbered (a)),Liste à puce - SC,Capítulo,corp de texte,Tab n1,Paragraphe de liste num,Paragraphe de liste 1,Listes,Tit1,Figures,lp1"/>
    <w:basedOn w:val="Normal"/>
    <w:link w:val="PrrafodelistaCar"/>
    <w:uiPriority w:val="34"/>
    <w:qFormat/>
    <w:rsid w:val="00943DD7"/>
    <w:pPr>
      <w:spacing w:line="240" w:lineRule="auto"/>
      <w:ind w:left="720"/>
    </w:pPr>
    <w:rPr>
      <w:rFonts w:ascii="Times New Roman" w:eastAsia="MS Mincho" w:hAnsi="Times New Roman" w:cs="Times New Roman"/>
      <w:sz w:val="20"/>
      <w:szCs w:val="20"/>
      <w:lang w:val="en-US" w:eastAsia="en-US"/>
    </w:rPr>
  </w:style>
  <w:style w:type="character" w:customStyle="1" w:styleId="PrrafodelistaCar">
    <w:name w:val="Párrafo de lista Car"/>
    <w:aliases w:val="Cuadros Car,figuras y gráficos Car,Lista multicolor - Énfasis 11 Car,Bullets Car,List Paragraph1 Car,Heading Car,List Paragraph (numbered (a)) Car,Liste à puce - SC Car,Capítulo Car,corp de texte Car,Tab n1 Car,Listes Car,Tit1 Car"/>
    <w:basedOn w:val="Fuentedeprrafopredeter"/>
    <w:link w:val="Prrafodelista"/>
    <w:uiPriority w:val="34"/>
    <w:qFormat/>
    <w:locked/>
    <w:rsid w:val="00943DD7"/>
    <w:rPr>
      <w:rFonts w:ascii="Times New Roman" w:eastAsia="MS Mincho"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376249"/>
    <w:rPr>
      <w:b/>
      <w:bCs/>
    </w:rPr>
  </w:style>
  <w:style w:type="character" w:customStyle="1" w:styleId="AsuntodelcomentarioCar">
    <w:name w:val="Asunto del comentario Car"/>
    <w:basedOn w:val="TextocomentarioCar"/>
    <w:link w:val="Asuntodelcomentario"/>
    <w:uiPriority w:val="99"/>
    <w:semiHidden/>
    <w:rsid w:val="00376249"/>
    <w:rPr>
      <w:b/>
      <w:bCs/>
      <w:sz w:val="20"/>
      <w:szCs w:val="20"/>
    </w:rPr>
  </w:style>
  <w:style w:type="paragraph" w:styleId="NormalWeb">
    <w:name w:val="Normal (Web)"/>
    <w:basedOn w:val="Normal"/>
    <w:uiPriority w:val="99"/>
    <w:semiHidden/>
    <w:unhideWhenUsed/>
    <w:rsid w:val="00AF479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aconcuadrcula">
    <w:name w:val="Table Grid"/>
    <w:basedOn w:val="Tablanormal"/>
    <w:uiPriority w:val="39"/>
    <w:rsid w:val="00840897"/>
    <w:pPr>
      <w:spacing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tuloCar">
    <w:name w:val="Subtítulo Car"/>
    <w:basedOn w:val="Fuentedeprrafopredeter"/>
    <w:link w:val="Subttulo"/>
    <w:uiPriority w:val="11"/>
    <w:rsid w:val="00840897"/>
    <w:rPr>
      <w:color w:val="666666"/>
      <w:sz w:val="30"/>
      <w:szCs w:val="30"/>
    </w:rPr>
  </w:style>
  <w:style w:type="character" w:styleId="Hipervnculo">
    <w:name w:val="Hyperlink"/>
    <w:basedOn w:val="Fuentedeprrafopredeter"/>
    <w:uiPriority w:val="99"/>
    <w:unhideWhenUsed/>
    <w:rsid w:val="003004D2"/>
    <w:rPr>
      <w:color w:val="0000FF" w:themeColor="hyperlink"/>
      <w:u w:val="single"/>
    </w:rPr>
  </w:style>
  <w:style w:type="character" w:styleId="Mencinsinresolver">
    <w:name w:val="Unresolved Mention"/>
    <w:basedOn w:val="Fuentedeprrafopredeter"/>
    <w:uiPriority w:val="99"/>
    <w:semiHidden/>
    <w:unhideWhenUsed/>
    <w:rsid w:val="003004D2"/>
    <w:rPr>
      <w:color w:val="605E5C"/>
      <w:shd w:val="clear" w:color="auto" w:fill="E1DFDD"/>
    </w:rPr>
  </w:style>
  <w:style w:type="paragraph" w:customStyle="1" w:styleId="BankNormal">
    <w:name w:val="BankNormal"/>
    <w:basedOn w:val="Normal"/>
    <w:rsid w:val="00EE56BE"/>
    <w:pPr>
      <w:spacing w:after="240" w:line="240" w:lineRule="auto"/>
    </w:pPr>
    <w:rPr>
      <w:rFonts w:ascii="Times New Roman" w:eastAsia="Times New Roman" w:hAnsi="Times New Roman" w:cs="Times New Roman"/>
      <w:sz w:val="24"/>
      <w:szCs w:val="20"/>
      <w:lang w:val="en-US" w:eastAsia="en-US"/>
    </w:rPr>
  </w:style>
  <w:style w:type="paragraph" w:styleId="Revisin">
    <w:name w:val="Revision"/>
    <w:hidden/>
    <w:uiPriority w:val="99"/>
    <w:semiHidden/>
    <w:rsid w:val="0051136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490">
      <w:bodyDiv w:val="1"/>
      <w:marLeft w:val="0"/>
      <w:marRight w:val="0"/>
      <w:marTop w:val="0"/>
      <w:marBottom w:val="0"/>
      <w:divBdr>
        <w:top w:val="none" w:sz="0" w:space="0" w:color="auto"/>
        <w:left w:val="none" w:sz="0" w:space="0" w:color="auto"/>
        <w:bottom w:val="none" w:sz="0" w:space="0" w:color="auto"/>
        <w:right w:val="none" w:sz="0" w:space="0" w:color="auto"/>
      </w:divBdr>
    </w:div>
    <w:div w:id="71952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operations/procurement/protestandsanc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cr@undp.org" TargetMode="External"/><Relationship Id="rId5" Type="http://schemas.openxmlformats.org/officeDocument/2006/relationships/numbering" Target="numbering.xml"/><Relationship Id="rId15" Type="http://schemas.openxmlformats.org/officeDocument/2006/relationships/hyperlink" Target="mailto:adquisiciones.cr@undp.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amecc.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32B9D40822641A2232C7AFD7180B6" ma:contentTypeVersion="13" ma:contentTypeDescription="Create a new document." ma:contentTypeScope="" ma:versionID="7c87079af8b5d785b86b950b64f648a0">
  <xsd:schema xmlns:xsd="http://www.w3.org/2001/XMLSchema" xmlns:xs="http://www.w3.org/2001/XMLSchema" xmlns:p="http://schemas.microsoft.com/office/2006/metadata/properties" xmlns:ns3="feccc9c8-5c67-4a1a-b5a4-c1a9fb4a21e0" xmlns:ns4="b53c7a4d-62f8-4f7b-a4a9-0dc44fd7c814" targetNamespace="http://schemas.microsoft.com/office/2006/metadata/properties" ma:root="true" ma:fieldsID="8440202f416e860ad3f50114a8fd827f" ns3:_="" ns4:_="">
    <xsd:import namespace="feccc9c8-5c67-4a1a-b5a4-c1a9fb4a21e0"/>
    <xsd:import namespace="b53c7a4d-62f8-4f7b-a4a9-0dc44fd7c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c9c8-5c67-4a1a-b5a4-c1a9fb4a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c7a4d-62f8-4f7b-a4a9-0dc44fd7c8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AB64-2F86-4BBD-84E8-98F4597D9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cc9c8-5c67-4a1a-b5a4-c1a9fb4a21e0"/>
    <ds:schemaRef ds:uri="b53c7a4d-62f8-4f7b-a4a9-0dc44fd7c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8AABD-C53F-4F52-8023-3B483F1CD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20FFA4-ABB7-41BC-8702-2A85031CD580}">
  <ds:schemaRefs>
    <ds:schemaRef ds:uri="http://schemas.microsoft.com/sharepoint/v3/contenttype/forms"/>
  </ds:schemaRefs>
</ds:datastoreItem>
</file>

<file path=customXml/itemProps4.xml><?xml version="1.0" encoding="utf-8"?>
<ds:datastoreItem xmlns:ds="http://schemas.openxmlformats.org/officeDocument/2006/customXml" ds:itemID="{12B18CDF-8D0D-48AA-B1B2-1B0D6965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3869</Words>
  <Characters>21283</Characters>
  <Application>Microsoft Office Word</Application>
  <DocSecurity>0</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AgripinaJ</dc:creator>
  <cp:lastModifiedBy>Rocio Cartin</cp:lastModifiedBy>
  <cp:revision>3</cp:revision>
  <dcterms:created xsi:type="dcterms:W3CDTF">2020-09-07T22:57:00Z</dcterms:created>
  <dcterms:modified xsi:type="dcterms:W3CDTF">2020-09-07T23:03:00Z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0x01010074332B9D40822641A2232C7AFD7180B6</vt:lpwstr>
  </property>
</Properties>
</file>