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26CFC" w14:textId="77777777" w:rsidR="00060041" w:rsidRPr="009819A5" w:rsidRDefault="00060041" w:rsidP="00060041">
      <w:pPr>
        <w:jc w:val="right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9819A5">
        <w:rPr>
          <w:rFonts w:ascii="Calibri" w:hAnsi="Calibri" w:cs="Calibri"/>
          <w:b/>
          <w:sz w:val="28"/>
          <w:szCs w:val="28"/>
        </w:rPr>
        <w:t>Annex 2</w:t>
      </w:r>
    </w:p>
    <w:p w14:paraId="6E6BE346" w14:textId="77777777" w:rsidR="00060041" w:rsidRPr="009819A5" w:rsidRDefault="00060041" w:rsidP="00060041">
      <w:pPr>
        <w:rPr>
          <w:rFonts w:ascii="Calibri" w:hAnsi="Calibri" w:cs="Calibri"/>
          <w:sz w:val="28"/>
          <w:szCs w:val="28"/>
        </w:rPr>
      </w:pPr>
    </w:p>
    <w:p w14:paraId="3BFAEB91" w14:textId="77777777" w:rsidR="00060041" w:rsidRPr="009819A5" w:rsidRDefault="00060041" w:rsidP="00060041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FORM FOR SUBMITTING SUPPLIER’S QUOTATION</w:t>
      </w:r>
      <w:r w:rsidRPr="009819A5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242BEC53" w14:textId="77777777" w:rsidR="00060041" w:rsidRPr="00E933A8" w:rsidRDefault="00060041" w:rsidP="00060041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4415ED0A" w14:textId="77777777" w:rsidR="00060041" w:rsidRPr="00E933A8" w:rsidRDefault="00060041" w:rsidP="00060041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18337E03" w14:textId="77777777" w:rsidR="00060041" w:rsidRPr="00E933A8" w:rsidRDefault="00060041" w:rsidP="00060041">
      <w:pPr>
        <w:jc w:val="center"/>
        <w:rPr>
          <w:rFonts w:ascii="Calibri" w:hAnsi="Calibri" w:cs="Calibri"/>
          <w:b/>
          <w:sz w:val="22"/>
          <w:szCs w:val="22"/>
        </w:rPr>
      </w:pPr>
    </w:p>
    <w:p w14:paraId="0A7609B7" w14:textId="77777777" w:rsidR="00060041" w:rsidRDefault="00060041" w:rsidP="00060041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 </w:t>
      </w:r>
      <w:r w:rsidRPr="00A84B3C">
        <w:rPr>
          <w:rFonts w:ascii="Calibri" w:hAnsi="Calibri" w:cs="Calibri"/>
          <w:b/>
          <w:bCs/>
          <w:snapToGrid w:val="0"/>
          <w:sz w:val="22"/>
          <w:szCs w:val="22"/>
        </w:rPr>
        <w:t>RfQ20/02124</w:t>
      </w:r>
      <w:r w:rsidRPr="00E933A8">
        <w:rPr>
          <w:rFonts w:ascii="Calibri" w:hAnsi="Calibri" w:cs="Calibri"/>
          <w:snapToGrid w:val="0"/>
          <w:sz w:val="22"/>
          <w:szCs w:val="22"/>
        </w:rPr>
        <w:t>:</w:t>
      </w:r>
    </w:p>
    <w:p w14:paraId="6D5F760A" w14:textId="77777777" w:rsidR="00060041" w:rsidRDefault="00060041" w:rsidP="00060041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02403F32" w14:textId="77777777" w:rsidR="00060041" w:rsidRDefault="00060041" w:rsidP="00060041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1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14:paraId="75C50175" w14:textId="77777777" w:rsidR="00060041" w:rsidRDefault="00060041" w:rsidP="00060041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tbl>
      <w:tblPr>
        <w:tblW w:w="965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1988"/>
        <w:gridCol w:w="11"/>
        <w:gridCol w:w="982"/>
        <w:gridCol w:w="11"/>
      </w:tblGrid>
      <w:tr w:rsidR="00060041" w:rsidRPr="00895D4D" w14:paraId="1ACE4260" w14:textId="77777777" w:rsidTr="00175EEA">
        <w:trPr>
          <w:gridAfter w:val="1"/>
          <w:wAfter w:w="11" w:type="dxa"/>
          <w:trHeight w:val="381"/>
          <w:tblHeader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1D5CA5D" w14:textId="77777777" w:rsidR="00060041" w:rsidRPr="00895D4D" w:rsidRDefault="00060041" w:rsidP="00175EEA">
            <w:pPr>
              <w:pStyle w:val="Tabelcentrat"/>
              <w:rPr>
                <w:i w:val="0"/>
                <w:iCs/>
              </w:rPr>
            </w:pPr>
            <w:r w:rsidRPr="00895D4D">
              <w:rPr>
                <w:i w:val="0"/>
                <w:iCs/>
              </w:rPr>
              <w:t>ACTIVITIES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14:paraId="21C108B6" w14:textId="77777777" w:rsidR="00060041" w:rsidRPr="00895D4D" w:rsidRDefault="00060041" w:rsidP="00175EEA">
            <w:pPr>
              <w:rPr>
                <w:rFonts w:ascii="Myriad Pro" w:hAnsi="Myriad Pro"/>
                <w:b/>
                <w:bCs/>
                <w:iCs/>
              </w:rPr>
            </w:pPr>
            <w:r w:rsidRPr="00895D4D">
              <w:rPr>
                <w:rFonts w:ascii="Myriad Pro" w:hAnsi="Myriad Pro"/>
                <w:b/>
                <w:bCs/>
                <w:iCs/>
              </w:rPr>
              <w:t xml:space="preserve">ESTIMATED WORK VOLUME </w:t>
            </w:r>
          </w:p>
          <w:p w14:paraId="0577E711" w14:textId="77777777" w:rsidR="00060041" w:rsidRPr="00895D4D" w:rsidRDefault="00060041" w:rsidP="00175EEA">
            <w:pPr>
              <w:pStyle w:val="Tabelcentrat"/>
              <w:rPr>
                <w:i w:val="0"/>
                <w:iCs/>
              </w:rPr>
            </w:pP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63E82C73" w14:textId="77777777" w:rsidR="00060041" w:rsidRPr="00895D4D" w:rsidRDefault="00060041" w:rsidP="00175EEA">
            <w:pPr>
              <w:rPr>
                <w:rFonts w:ascii="Myriad Pro" w:hAnsi="Myriad Pro"/>
                <w:b/>
                <w:bCs/>
                <w:iCs/>
              </w:rPr>
            </w:pPr>
            <w:r w:rsidRPr="00895D4D">
              <w:rPr>
                <w:rFonts w:ascii="Myriad Pro" w:hAnsi="Myriad Pro"/>
                <w:b/>
                <w:bCs/>
                <w:iCs/>
              </w:rPr>
              <w:t>ESTIMATED TIMEFRAME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5CFE173C" w14:textId="77777777" w:rsidR="00060041" w:rsidRPr="00895D4D" w:rsidRDefault="00060041" w:rsidP="00175EEA">
            <w:pPr>
              <w:rPr>
                <w:rFonts w:ascii="Myriad Pro" w:hAnsi="Myriad Pro"/>
                <w:b/>
                <w:bCs/>
                <w:iCs/>
              </w:rPr>
            </w:pPr>
            <w:r>
              <w:rPr>
                <w:rFonts w:ascii="Myriad Pro" w:hAnsi="Myriad Pro"/>
                <w:b/>
                <w:bCs/>
                <w:iCs/>
              </w:rPr>
              <w:t>Total price per Activity, USD</w:t>
            </w:r>
          </w:p>
        </w:tc>
      </w:tr>
      <w:tr w:rsidR="00060041" w:rsidRPr="00895D4D" w14:paraId="08B65B71" w14:textId="77777777" w:rsidTr="00175EEA">
        <w:trPr>
          <w:trHeight w:val="381"/>
          <w:tblHeader/>
        </w:trPr>
        <w:tc>
          <w:tcPr>
            <w:tcW w:w="866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D50DBA" w14:textId="77777777" w:rsidR="00060041" w:rsidRPr="00895D4D" w:rsidRDefault="00060041" w:rsidP="00175EEA">
            <w:pPr>
              <w:jc w:val="center"/>
              <w:rPr>
                <w:rFonts w:ascii="Myriad Pro" w:hAnsi="Myriad Pro"/>
                <w:b/>
                <w:bCs/>
                <w:iCs/>
              </w:rPr>
            </w:pPr>
            <w:r>
              <w:rPr>
                <w:rFonts w:ascii="Myriad Pro" w:hAnsi="Myriad Pro"/>
                <w:b/>
                <w:bCs/>
                <w:iCs/>
              </w:rPr>
              <w:t>Deliverable 1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7C82E6" w14:textId="77777777" w:rsidR="00060041" w:rsidRDefault="00060041" w:rsidP="00175EEA">
            <w:pPr>
              <w:jc w:val="center"/>
              <w:rPr>
                <w:rFonts w:ascii="Myriad Pro" w:hAnsi="Myriad Pro"/>
                <w:b/>
                <w:bCs/>
                <w:iCs/>
              </w:rPr>
            </w:pPr>
          </w:p>
        </w:tc>
      </w:tr>
      <w:tr w:rsidR="00060041" w:rsidRPr="00895D4D" w14:paraId="60B7E963" w14:textId="77777777" w:rsidTr="00175EEA">
        <w:trPr>
          <w:gridAfter w:val="1"/>
          <w:wAfter w:w="11" w:type="dxa"/>
          <w:trHeight w:val="636"/>
        </w:trPr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C621" w14:textId="77777777" w:rsidR="00060041" w:rsidRPr="00645409" w:rsidRDefault="00060041" w:rsidP="00175EEA">
            <w:pPr>
              <w:pStyle w:val="NormalWeb"/>
              <w:spacing w:before="120" w:beforeAutospacing="0" w:after="120"/>
              <w:jc w:val="left"/>
              <w:rPr>
                <w:rFonts w:ascii="Myriad Pro" w:hAnsi="Myriad Pro" w:cstheme="minorHAnsi"/>
                <w:b/>
                <w:sz w:val="22"/>
                <w:szCs w:val="22"/>
                <w:lang w:val="en-GB"/>
              </w:rPr>
            </w:pPr>
            <w:r w:rsidRPr="00895D4D">
              <w:rPr>
                <w:rFonts w:ascii="Myriad Pro" w:hAnsi="Myriad Pro" w:cstheme="minorHAnsi"/>
                <w:b/>
                <w:sz w:val="22"/>
                <w:szCs w:val="22"/>
                <w:lang w:val="en-GB"/>
              </w:rPr>
              <w:t>Activity 1 (</w:t>
            </w:r>
            <w:r w:rsidRPr="00895D4D"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  <w:t>mission to the Republic of Moldova)</w:t>
            </w:r>
            <w:r w:rsidRPr="00895D4D">
              <w:rPr>
                <w:rFonts w:ascii="Myriad Pro" w:hAnsi="Myriad Pro" w:cstheme="minorHAnsi"/>
                <w:b/>
                <w:sz w:val="22"/>
                <w:szCs w:val="22"/>
                <w:lang w:val="en-GB"/>
              </w:rPr>
              <w:t xml:space="preserve"> – </w:t>
            </w:r>
            <w:r w:rsidRPr="00895D4D">
              <w:rPr>
                <w:rFonts w:ascii="Myriad Pro" w:hAnsi="Myriad Pro" w:cstheme="minorHAnsi"/>
                <w:sz w:val="22"/>
                <w:szCs w:val="22"/>
                <w:lang w:val="en-GB"/>
              </w:rPr>
              <w:t>Conducting expertise</w:t>
            </w:r>
            <w:r w:rsidRPr="00895D4D">
              <w:rPr>
                <w:rFonts w:ascii="Myriad Pro" w:hAnsi="Myriad Pro" w:cstheme="minorHAnsi"/>
                <w:b/>
                <w:sz w:val="22"/>
                <w:szCs w:val="22"/>
                <w:lang w:val="en-GB"/>
              </w:rPr>
              <w:t xml:space="preserve">, </w:t>
            </w:r>
            <w:r w:rsidRPr="00895D4D">
              <w:rPr>
                <w:rFonts w:ascii="Myriad Pro" w:hAnsi="Myriad Pro" w:cstheme="minorHAnsi"/>
                <w:bCs/>
                <w:sz w:val="22"/>
                <w:szCs w:val="22"/>
                <w:lang w:val="en-GB"/>
              </w:rPr>
              <w:t>rough cut stage</w:t>
            </w:r>
            <w:r w:rsidRPr="00895D4D">
              <w:rPr>
                <w:rFonts w:ascii="Myriad Pro" w:hAnsi="Myriad Pro"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63D627" w14:textId="77777777" w:rsidR="00060041" w:rsidRPr="00895D4D" w:rsidRDefault="00060041" w:rsidP="00175EEA">
            <w:pPr>
              <w:pStyle w:val="NormalWeb"/>
              <w:spacing w:before="80" w:beforeAutospacing="0" w:after="80"/>
              <w:jc w:val="left"/>
              <w:rPr>
                <w:rFonts w:ascii="Myriad Pro" w:hAnsi="Myriad Pro" w:cstheme="minorHAnsi"/>
                <w:iCs/>
                <w:sz w:val="22"/>
                <w:szCs w:val="22"/>
                <w:lang w:val="en-GB"/>
              </w:rPr>
            </w:pPr>
            <w:r w:rsidRPr="00895D4D">
              <w:rPr>
                <w:rFonts w:ascii="Myriad Pro" w:hAnsi="Myriad Pro" w:cstheme="minorHAnsi"/>
                <w:iCs/>
                <w:sz w:val="22"/>
                <w:szCs w:val="22"/>
                <w:lang w:val="en-GB"/>
              </w:rPr>
              <w:t>Up to 3 working day</w:t>
            </w:r>
            <w:r w:rsidRPr="00895D4D">
              <w:rPr>
                <w:rFonts w:ascii="Myriad Pro" w:hAnsi="Myriad Pro" w:cstheme="minorHAnsi"/>
                <w:sz w:val="22"/>
                <w:szCs w:val="22"/>
                <w:lang w:val="en-GB"/>
              </w:rPr>
              <w:t>s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1B5ACE" w14:textId="77777777" w:rsidR="00060041" w:rsidRPr="00895D4D" w:rsidRDefault="00060041" w:rsidP="00175EEA">
            <w:pPr>
              <w:pStyle w:val="NormalWeb"/>
              <w:spacing w:before="80" w:beforeAutospacing="0" w:after="80"/>
              <w:jc w:val="left"/>
              <w:rPr>
                <w:rFonts w:ascii="Myriad Pro" w:hAnsi="Myriad Pro" w:cstheme="minorHAnsi"/>
                <w:iCs/>
                <w:sz w:val="22"/>
                <w:szCs w:val="22"/>
                <w:lang w:val="en-GB"/>
              </w:rPr>
            </w:pPr>
            <w:r w:rsidRPr="00895D4D">
              <w:rPr>
                <w:rFonts w:ascii="Myriad Pro" w:hAnsi="Myriad Pro" w:cstheme="minorHAnsi"/>
                <w:iCs/>
                <w:sz w:val="22"/>
                <w:szCs w:val="22"/>
                <w:lang w:val="en-GB"/>
              </w:rPr>
              <w:t>Starting with 28 of September, 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775300" w14:textId="77777777" w:rsidR="00060041" w:rsidRPr="00895D4D" w:rsidRDefault="00060041" w:rsidP="00175EEA">
            <w:pPr>
              <w:pStyle w:val="NormalWeb"/>
              <w:spacing w:before="80" w:beforeAutospacing="0" w:after="80"/>
              <w:jc w:val="left"/>
              <w:rPr>
                <w:rFonts w:ascii="Myriad Pro" w:hAnsi="Myriad Pro" w:cstheme="minorHAnsi"/>
                <w:iCs/>
                <w:sz w:val="22"/>
                <w:szCs w:val="22"/>
                <w:lang w:val="en-GB"/>
              </w:rPr>
            </w:pPr>
          </w:p>
        </w:tc>
      </w:tr>
      <w:tr w:rsidR="00060041" w:rsidRPr="00895D4D" w14:paraId="250E5955" w14:textId="77777777" w:rsidTr="00175EEA">
        <w:trPr>
          <w:gridAfter w:val="1"/>
          <w:wAfter w:w="11" w:type="dxa"/>
          <w:trHeight w:val="709"/>
        </w:trPr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60A5" w14:textId="77777777" w:rsidR="00060041" w:rsidRPr="00645409" w:rsidRDefault="00060041" w:rsidP="00175EEA">
            <w:pPr>
              <w:pStyle w:val="NormalWeb"/>
              <w:spacing w:before="120" w:beforeAutospacing="0" w:after="120"/>
              <w:jc w:val="left"/>
              <w:rPr>
                <w:rFonts w:ascii="Myriad Pro" w:hAnsi="Myriad Pro" w:cstheme="minorHAnsi"/>
                <w:sz w:val="22"/>
                <w:szCs w:val="22"/>
                <w:lang w:val="en-GB"/>
              </w:rPr>
            </w:pPr>
            <w:r w:rsidRPr="00895D4D"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  <w:t xml:space="preserve">Activity 2 (mission to the Republic of Moldova) </w:t>
            </w:r>
            <w:r w:rsidRPr="00895D4D">
              <w:rPr>
                <w:rFonts w:ascii="Myriad Pro" w:hAnsi="Myriad Pro" w:cstheme="minorHAnsi"/>
                <w:sz w:val="22"/>
                <w:szCs w:val="22"/>
                <w:lang w:val="en-GB"/>
              </w:rPr>
              <w:t>– Conducting expertise / Supervision of the final cut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656014" w14:textId="77777777" w:rsidR="00060041" w:rsidRPr="00895D4D" w:rsidRDefault="00060041" w:rsidP="00175EEA">
            <w:pPr>
              <w:pStyle w:val="NormalWeb"/>
              <w:spacing w:before="80" w:beforeAutospacing="0" w:after="80"/>
              <w:jc w:val="left"/>
              <w:rPr>
                <w:rFonts w:ascii="Myriad Pro" w:hAnsi="Myriad Pro" w:cstheme="minorHAnsi"/>
                <w:iCs/>
                <w:sz w:val="22"/>
                <w:szCs w:val="22"/>
                <w:lang w:val="en-GB"/>
              </w:rPr>
            </w:pPr>
            <w:r w:rsidRPr="00895D4D">
              <w:rPr>
                <w:rFonts w:ascii="Myriad Pro" w:hAnsi="Myriad Pro" w:cstheme="minorHAnsi"/>
                <w:iCs/>
                <w:sz w:val="22"/>
                <w:szCs w:val="22"/>
                <w:lang w:val="en-GB"/>
              </w:rPr>
              <w:t>Up to 3 working days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239357" w14:textId="77777777" w:rsidR="00060041" w:rsidRPr="00895D4D" w:rsidRDefault="00060041" w:rsidP="00175EEA">
            <w:pPr>
              <w:pStyle w:val="NormalWeb"/>
              <w:spacing w:before="80" w:beforeAutospacing="0" w:after="80"/>
              <w:jc w:val="left"/>
              <w:rPr>
                <w:rFonts w:ascii="Myriad Pro" w:hAnsi="Myriad Pro" w:cstheme="minorHAnsi"/>
                <w:iCs/>
                <w:sz w:val="22"/>
                <w:szCs w:val="22"/>
                <w:lang w:val="en-GB"/>
              </w:rPr>
            </w:pPr>
            <w:r w:rsidRPr="00895D4D">
              <w:rPr>
                <w:rFonts w:ascii="Myriad Pro" w:hAnsi="Myriad Pro" w:cstheme="minorHAnsi"/>
                <w:iCs/>
                <w:sz w:val="22"/>
                <w:szCs w:val="22"/>
                <w:lang w:val="en-GB"/>
              </w:rPr>
              <w:t>Starting with 12 October, 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D853AA" w14:textId="77777777" w:rsidR="00060041" w:rsidRPr="00895D4D" w:rsidRDefault="00060041" w:rsidP="00175EEA">
            <w:pPr>
              <w:pStyle w:val="NormalWeb"/>
              <w:spacing w:before="80" w:beforeAutospacing="0" w:after="80"/>
              <w:jc w:val="left"/>
              <w:rPr>
                <w:rFonts w:ascii="Myriad Pro" w:hAnsi="Myriad Pro" w:cstheme="minorHAnsi"/>
                <w:iCs/>
                <w:sz w:val="22"/>
                <w:szCs w:val="22"/>
                <w:lang w:val="en-GB"/>
              </w:rPr>
            </w:pPr>
          </w:p>
        </w:tc>
      </w:tr>
      <w:tr w:rsidR="00060041" w:rsidRPr="00895D4D" w14:paraId="33590C9C" w14:textId="77777777" w:rsidTr="00175EEA">
        <w:trPr>
          <w:gridAfter w:val="1"/>
          <w:wAfter w:w="11" w:type="dxa"/>
          <w:trHeight w:val="337"/>
        </w:trPr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CAAD" w14:textId="77777777" w:rsidR="00060041" w:rsidRPr="00407562" w:rsidRDefault="00060041" w:rsidP="00175EEA">
            <w:pPr>
              <w:pStyle w:val="NormalWeb"/>
              <w:spacing w:before="120" w:beforeAutospacing="0" w:after="120"/>
              <w:jc w:val="left"/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</w:pPr>
            <w:r w:rsidRPr="00895D4D"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  <w:t xml:space="preserve">Activity 3 (remotely) </w:t>
            </w:r>
            <w:r w:rsidRPr="00895D4D">
              <w:rPr>
                <w:rFonts w:ascii="Myriad Pro" w:hAnsi="Myriad Pro" w:cstheme="minorHAnsi"/>
                <w:sz w:val="22"/>
                <w:szCs w:val="22"/>
                <w:lang w:val="en-GB"/>
              </w:rPr>
              <w:t>- Final Activity Report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1BD1C8C" w14:textId="77777777" w:rsidR="00060041" w:rsidRPr="00895D4D" w:rsidRDefault="00060041" w:rsidP="00175EEA">
            <w:pPr>
              <w:pStyle w:val="NormalWeb"/>
              <w:spacing w:before="120" w:beforeAutospacing="0" w:after="120"/>
              <w:jc w:val="left"/>
              <w:rPr>
                <w:rFonts w:ascii="Myriad Pro" w:hAnsi="Myriad Pro" w:cstheme="minorHAnsi"/>
                <w:sz w:val="22"/>
                <w:szCs w:val="22"/>
                <w:lang w:val="en-GB"/>
              </w:rPr>
            </w:pPr>
            <w:r w:rsidRPr="00895D4D">
              <w:rPr>
                <w:rFonts w:ascii="Myriad Pro" w:hAnsi="Myriad Pro" w:cstheme="minorHAnsi"/>
                <w:sz w:val="22"/>
                <w:szCs w:val="22"/>
                <w:lang w:val="en-GB"/>
              </w:rPr>
              <w:t xml:space="preserve">Up to 1 working day </w:t>
            </w:r>
          </w:p>
          <w:p w14:paraId="5EFD0E8F" w14:textId="77777777" w:rsidR="00060041" w:rsidRPr="00895D4D" w:rsidRDefault="00060041" w:rsidP="00175EEA">
            <w:pPr>
              <w:pStyle w:val="NormalWeb"/>
              <w:spacing w:before="80" w:beforeAutospacing="0" w:after="80" w:line="150" w:lineRule="atLeast"/>
              <w:ind w:left="708" w:hanging="459"/>
              <w:jc w:val="left"/>
              <w:rPr>
                <w:rFonts w:ascii="Myriad Pro" w:hAnsi="Myriad Pro" w:cstheme="minorHAnsi"/>
                <w:sz w:val="22"/>
                <w:szCs w:val="22"/>
                <w:lang w:val="en-GB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246CC6" w14:textId="77777777" w:rsidR="00060041" w:rsidRPr="00895D4D" w:rsidRDefault="00060041" w:rsidP="00175EEA">
            <w:pPr>
              <w:pStyle w:val="NormalWeb"/>
              <w:spacing w:before="120" w:beforeAutospacing="0" w:after="120"/>
              <w:jc w:val="left"/>
              <w:rPr>
                <w:rFonts w:ascii="Myriad Pro" w:hAnsi="Myriad Pro" w:cstheme="minorHAnsi"/>
                <w:sz w:val="22"/>
                <w:szCs w:val="22"/>
                <w:lang w:val="en-GB"/>
              </w:rPr>
            </w:pPr>
            <w:r w:rsidRPr="00895D4D">
              <w:rPr>
                <w:rFonts w:ascii="Myriad Pro" w:hAnsi="Myriad Pro" w:cstheme="minorHAnsi"/>
                <w:sz w:val="22"/>
                <w:szCs w:val="22"/>
                <w:lang w:val="en-GB"/>
              </w:rPr>
              <w:t>By the end of October, 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6DC630" w14:textId="77777777" w:rsidR="00060041" w:rsidRPr="00895D4D" w:rsidRDefault="00060041" w:rsidP="00175EEA">
            <w:pPr>
              <w:pStyle w:val="NormalWeb"/>
              <w:spacing w:before="120" w:beforeAutospacing="0" w:after="120"/>
              <w:jc w:val="left"/>
              <w:rPr>
                <w:rFonts w:ascii="Myriad Pro" w:hAnsi="Myriad Pro" w:cstheme="minorHAnsi"/>
                <w:sz w:val="22"/>
                <w:szCs w:val="22"/>
                <w:lang w:val="en-GB"/>
              </w:rPr>
            </w:pPr>
          </w:p>
        </w:tc>
      </w:tr>
      <w:tr w:rsidR="00060041" w:rsidRPr="00895D4D" w14:paraId="1862B7A4" w14:textId="77777777" w:rsidTr="00175EEA">
        <w:trPr>
          <w:gridAfter w:val="1"/>
          <w:wAfter w:w="11" w:type="dxa"/>
          <w:trHeight w:val="64"/>
        </w:trPr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458918" w14:textId="77777777" w:rsidR="00060041" w:rsidRPr="00895D4D" w:rsidRDefault="00060041" w:rsidP="00175EEA">
            <w:pPr>
              <w:pStyle w:val="NormalWeb"/>
              <w:spacing w:before="120" w:beforeAutospacing="0" w:after="120"/>
              <w:jc w:val="left"/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</w:pPr>
            <w:r w:rsidRPr="00895D4D"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  <w:t>The total estimated workload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8A96869" w14:textId="77777777" w:rsidR="00060041" w:rsidRPr="00895D4D" w:rsidRDefault="00060041" w:rsidP="00175EEA">
            <w:pPr>
              <w:pStyle w:val="NormalWeb"/>
              <w:spacing w:before="120" w:beforeAutospacing="0" w:after="120"/>
              <w:jc w:val="left"/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</w:pPr>
            <w:r w:rsidRPr="00895D4D"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  <w:t xml:space="preserve"> 7 working days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617665F" w14:textId="77777777" w:rsidR="00060041" w:rsidRPr="00895D4D" w:rsidRDefault="00060041" w:rsidP="00175EEA">
            <w:pPr>
              <w:pStyle w:val="NormalWeb"/>
              <w:spacing w:before="120" w:beforeAutospacing="0" w:after="120"/>
              <w:jc w:val="left"/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ABF4FBB" w14:textId="77777777" w:rsidR="00060041" w:rsidRPr="00895D4D" w:rsidRDefault="00060041" w:rsidP="00175EEA">
            <w:pPr>
              <w:pStyle w:val="NormalWeb"/>
              <w:spacing w:before="120" w:beforeAutospacing="0" w:after="120"/>
              <w:jc w:val="left"/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060041" w:rsidRPr="00895D4D" w14:paraId="58E7571E" w14:textId="77777777" w:rsidTr="00175EEA">
        <w:trPr>
          <w:trHeight w:val="171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2BC80D" w14:textId="77777777" w:rsidR="00060041" w:rsidRPr="00895D4D" w:rsidRDefault="00060041" w:rsidP="00175EEA">
            <w:pPr>
              <w:pStyle w:val="NormalWeb"/>
              <w:spacing w:before="120" w:beforeAutospacing="0" w:after="120"/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  <w:t>Deliverable 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A65A6A" w14:textId="77777777" w:rsidR="00060041" w:rsidRDefault="00060041" w:rsidP="00175EEA">
            <w:pPr>
              <w:pStyle w:val="NormalWeb"/>
              <w:spacing w:before="120" w:beforeAutospacing="0" w:after="120"/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060041" w:rsidRPr="00895D4D" w14:paraId="0E4F7469" w14:textId="77777777" w:rsidTr="00175EEA">
        <w:trPr>
          <w:gridAfter w:val="1"/>
          <w:wAfter w:w="11" w:type="dxa"/>
          <w:trHeight w:val="361"/>
        </w:trPr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0618" w14:textId="77777777" w:rsidR="00060041" w:rsidRPr="00645409" w:rsidRDefault="00060041" w:rsidP="00175EEA">
            <w:pPr>
              <w:pStyle w:val="NormalWeb"/>
              <w:spacing w:before="120" w:after="120"/>
              <w:jc w:val="left"/>
            </w:pPr>
            <w:r w:rsidRPr="00895D4D">
              <w:rPr>
                <w:rFonts w:ascii="Myriad Pro" w:hAnsi="Myriad Pro" w:cs="Calibri"/>
                <w:b/>
                <w:sz w:val="22"/>
                <w:szCs w:val="22"/>
                <w:lang w:val="en-GB"/>
              </w:rPr>
              <w:t>Activity 1 (</w:t>
            </w:r>
            <w:r w:rsidRPr="00895D4D">
              <w:rPr>
                <w:rFonts w:ascii="Myriad Pro" w:hAnsi="Myriad Pro" w:cs="Calibri"/>
                <w:b/>
                <w:bCs/>
                <w:sz w:val="22"/>
                <w:szCs w:val="22"/>
                <w:lang w:val="en-GB"/>
              </w:rPr>
              <w:t>mission to the Republic of Moldova)</w:t>
            </w:r>
            <w:r w:rsidRPr="00895D4D">
              <w:rPr>
                <w:rFonts w:ascii="Myriad Pro" w:hAnsi="Myriad Pro" w:cs="Calibri"/>
                <w:b/>
                <w:sz w:val="22"/>
                <w:szCs w:val="22"/>
                <w:lang w:val="en-GB"/>
              </w:rPr>
              <w:t xml:space="preserve"> </w:t>
            </w:r>
            <w:r w:rsidRPr="00895D4D">
              <w:rPr>
                <w:rFonts w:ascii="Myriad Pro" w:hAnsi="Myriad Pro" w:cs="Calibri"/>
                <w:bCs/>
                <w:sz w:val="22"/>
                <w:szCs w:val="22"/>
                <w:lang w:val="en-GB"/>
              </w:rPr>
              <w:t>–</w:t>
            </w:r>
            <w:r w:rsidRPr="00895D4D">
              <w:rPr>
                <w:rFonts w:ascii="Myriad Pro" w:hAnsi="Myriad Pro" w:cs="Calibri"/>
                <w:b/>
                <w:sz w:val="22"/>
                <w:szCs w:val="22"/>
                <w:lang w:val="en-GB"/>
              </w:rPr>
              <w:t xml:space="preserve"> </w:t>
            </w:r>
            <w:r w:rsidRPr="00895D4D">
              <w:rPr>
                <w:rFonts w:ascii="Myriad Pro" w:hAnsi="Myriad Pro" w:cs="Calibri"/>
                <w:sz w:val="22"/>
                <w:szCs w:val="22"/>
                <w:lang w:val="en-GB"/>
              </w:rPr>
              <w:t>Conducting expertise</w:t>
            </w:r>
            <w:r w:rsidRPr="00895D4D">
              <w:rPr>
                <w:rFonts w:ascii="Myriad Pro" w:hAnsi="Myriad Pro" w:cs="Calibri"/>
                <w:b/>
                <w:sz w:val="22"/>
                <w:szCs w:val="22"/>
                <w:lang w:val="en-GB"/>
              </w:rPr>
              <w:t xml:space="preserve">, </w:t>
            </w:r>
            <w:r w:rsidRPr="00895D4D">
              <w:rPr>
                <w:rFonts w:ascii="Myriad Pro" w:hAnsi="Myriad Pro" w:cs="Calibri"/>
                <w:bCs/>
                <w:sz w:val="22"/>
                <w:szCs w:val="22"/>
                <w:lang w:val="en-GB"/>
              </w:rPr>
              <w:t>rough cut stage</w:t>
            </w:r>
            <w:r w:rsidRPr="00895D4D">
              <w:rPr>
                <w:rFonts w:ascii="Myriad Pro" w:hAnsi="Myriad Pro" w:cs="Calibr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24ABA7" w14:textId="77777777" w:rsidR="00060041" w:rsidRPr="00895D4D" w:rsidRDefault="00060041" w:rsidP="00175EEA">
            <w:pPr>
              <w:pStyle w:val="NormalWeb"/>
              <w:spacing w:before="120" w:beforeAutospacing="0" w:after="120"/>
              <w:jc w:val="left"/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</w:pPr>
            <w:r w:rsidRPr="00895D4D">
              <w:rPr>
                <w:rFonts w:ascii="Myriad Pro" w:hAnsi="Myriad Pro" w:cstheme="minorHAnsi"/>
                <w:iCs/>
                <w:sz w:val="22"/>
                <w:szCs w:val="22"/>
                <w:lang w:val="en-GB"/>
              </w:rPr>
              <w:t>Up to 3 working day</w:t>
            </w:r>
            <w:r w:rsidRPr="00895D4D">
              <w:rPr>
                <w:rFonts w:ascii="Myriad Pro" w:hAnsi="Myriad Pro" w:cstheme="minorHAnsi"/>
                <w:sz w:val="22"/>
                <w:szCs w:val="22"/>
                <w:lang w:val="en-GB"/>
              </w:rPr>
              <w:t>s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D9CC7C" w14:textId="77777777" w:rsidR="00060041" w:rsidRPr="00895D4D" w:rsidRDefault="00060041" w:rsidP="00175EEA">
            <w:pPr>
              <w:pStyle w:val="NormalWeb"/>
              <w:spacing w:before="120" w:beforeAutospacing="0" w:after="120"/>
              <w:jc w:val="left"/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</w:pPr>
            <w:r w:rsidRPr="00895D4D">
              <w:rPr>
                <w:rFonts w:ascii="Myriad Pro" w:hAnsi="Myriad Pro" w:cstheme="minorHAnsi"/>
                <w:iCs/>
                <w:sz w:val="22"/>
                <w:szCs w:val="22"/>
                <w:lang w:val="en-GB"/>
              </w:rPr>
              <w:t>Starting with 23 September, 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667F9" w14:textId="77777777" w:rsidR="00060041" w:rsidRPr="00895D4D" w:rsidRDefault="00060041" w:rsidP="00175EEA">
            <w:pPr>
              <w:pStyle w:val="NormalWeb"/>
              <w:spacing w:before="120" w:beforeAutospacing="0" w:after="120"/>
              <w:jc w:val="left"/>
              <w:rPr>
                <w:rFonts w:ascii="Myriad Pro" w:hAnsi="Myriad Pro" w:cstheme="minorHAnsi"/>
                <w:iCs/>
                <w:sz w:val="22"/>
                <w:szCs w:val="22"/>
                <w:lang w:val="en-GB"/>
              </w:rPr>
            </w:pPr>
          </w:p>
        </w:tc>
      </w:tr>
      <w:tr w:rsidR="00060041" w:rsidRPr="00895D4D" w14:paraId="1FDA86CC" w14:textId="77777777" w:rsidTr="00175EEA">
        <w:trPr>
          <w:gridAfter w:val="1"/>
          <w:wAfter w:w="11" w:type="dxa"/>
          <w:trHeight w:val="361"/>
        </w:trPr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8610" w14:textId="77777777" w:rsidR="00060041" w:rsidRPr="00407562" w:rsidRDefault="00060041" w:rsidP="00175EEA">
            <w:pPr>
              <w:pStyle w:val="NormalWeb"/>
              <w:spacing w:before="120" w:beforeAutospacing="0" w:after="120"/>
              <w:jc w:val="left"/>
              <w:rPr>
                <w:rFonts w:ascii="Myriad Pro" w:hAnsi="Myriad Pro" w:cstheme="minorHAnsi"/>
                <w:sz w:val="22"/>
                <w:szCs w:val="22"/>
                <w:lang w:val="en-GB"/>
              </w:rPr>
            </w:pPr>
            <w:r w:rsidRPr="00895D4D"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  <w:t xml:space="preserve">Activity 2 (mission to the Republic of Moldova) </w:t>
            </w:r>
            <w:r w:rsidRPr="00895D4D">
              <w:rPr>
                <w:rFonts w:ascii="Myriad Pro" w:hAnsi="Myriad Pro" w:cstheme="minorHAnsi"/>
                <w:sz w:val="22"/>
                <w:szCs w:val="22"/>
                <w:lang w:val="en-GB"/>
              </w:rPr>
              <w:t>– Conducting expertise / Supervision of the final cut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0C3D8" w14:textId="77777777" w:rsidR="00060041" w:rsidRPr="00895D4D" w:rsidRDefault="00060041" w:rsidP="00175EEA">
            <w:pPr>
              <w:pStyle w:val="NormalWeb"/>
              <w:spacing w:before="120" w:beforeAutospacing="0" w:after="120"/>
              <w:jc w:val="left"/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</w:pPr>
            <w:r w:rsidRPr="00895D4D">
              <w:rPr>
                <w:rFonts w:ascii="Myriad Pro" w:hAnsi="Myriad Pro" w:cstheme="minorHAnsi"/>
                <w:iCs/>
                <w:sz w:val="22"/>
                <w:szCs w:val="22"/>
                <w:lang w:val="en-GB"/>
              </w:rPr>
              <w:t>Up to 3 working days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95F980" w14:textId="77777777" w:rsidR="00060041" w:rsidRPr="00895D4D" w:rsidRDefault="00060041" w:rsidP="00175EEA">
            <w:pPr>
              <w:pStyle w:val="NormalWeb"/>
              <w:spacing w:before="120" w:beforeAutospacing="0" w:after="120"/>
              <w:jc w:val="left"/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</w:pPr>
            <w:r w:rsidRPr="00895D4D">
              <w:rPr>
                <w:rFonts w:ascii="Myriad Pro" w:hAnsi="Myriad Pro" w:cstheme="minorHAnsi"/>
                <w:iCs/>
                <w:sz w:val="22"/>
                <w:szCs w:val="22"/>
                <w:lang w:val="en-GB"/>
              </w:rPr>
              <w:t>Starting with 26 October, 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91A101" w14:textId="77777777" w:rsidR="00060041" w:rsidRPr="00895D4D" w:rsidRDefault="00060041" w:rsidP="00175EEA">
            <w:pPr>
              <w:pStyle w:val="NormalWeb"/>
              <w:spacing w:before="120" w:beforeAutospacing="0" w:after="120"/>
              <w:jc w:val="left"/>
              <w:rPr>
                <w:rFonts w:ascii="Myriad Pro" w:hAnsi="Myriad Pro" w:cstheme="minorHAnsi"/>
                <w:iCs/>
                <w:sz w:val="22"/>
                <w:szCs w:val="22"/>
                <w:lang w:val="en-GB"/>
              </w:rPr>
            </w:pPr>
          </w:p>
        </w:tc>
      </w:tr>
      <w:tr w:rsidR="00060041" w:rsidRPr="00895D4D" w14:paraId="4F0D823E" w14:textId="77777777" w:rsidTr="00175EEA">
        <w:trPr>
          <w:gridAfter w:val="1"/>
          <w:wAfter w:w="11" w:type="dxa"/>
          <w:trHeight w:val="361"/>
        </w:trPr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F503" w14:textId="77777777" w:rsidR="00060041" w:rsidRPr="00895D4D" w:rsidRDefault="00060041" w:rsidP="00175EEA">
            <w:pPr>
              <w:pStyle w:val="NormalWeb"/>
              <w:spacing w:before="120" w:beforeAutospacing="0" w:after="120"/>
              <w:jc w:val="left"/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</w:pPr>
            <w:r w:rsidRPr="00895D4D"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  <w:t xml:space="preserve">Activity 3 (remotely) </w:t>
            </w:r>
            <w:r w:rsidRPr="00895D4D">
              <w:rPr>
                <w:rFonts w:ascii="Myriad Pro" w:hAnsi="Myriad Pro" w:cstheme="minorHAnsi"/>
                <w:sz w:val="22"/>
                <w:szCs w:val="22"/>
                <w:lang w:val="en-GB"/>
              </w:rPr>
              <w:t>- Final Activity Report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D130B5" w14:textId="77777777" w:rsidR="00060041" w:rsidRPr="00645409" w:rsidRDefault="00060041" w:rsidP="00175EEA">
            <w:pPr>
              <w:pStyle w:val="NormalWeb"/>
              <w:spacing w:before="120" w:beforeAutospacing="0" w:after="120"/>
              <w:jc w:val="left"/>
              <w:rPr>
                <w:rFonts w:ascii="Myriad Pro" w:hAnsi="Myriad Pro" w:cstheme="minorHAnsi"/>
                <w:sz w:val="22"/>
                <w:szCs w:val="22"/>
                <w:lang w:val="en-GB"/>
              </w:rPr>
            </w:pPr>
            <w:r w:rsidRPr="00895D4D">
              <w:rPr>
                <w:rFonts w:ascii="Myriad Pro" w:hAnsi="Myriad Pro" w:cstheme="minorHAnsi"/>
                <w:sz w:val="22"/>
                <w:szCs w:val="22"/>
                <w:lang w:val="en-GB"/>
              </w:rPr>
              <w:t xml:space="preserve">Up to 1 working day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466791" w14:textId="77777777" w:rsidR="00060041" w:rsidRPr="00895D4D" w:rsidRDefault="00060041" w:rsidP="00175EEA">
            <w:pPr>
              <w:pStyle w:val="NormalWeb"/>
              <w:spacing w:before="120" w:beforeAutospacing="0" w:after="120"/>
              <w:jc w:val="left"/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</w:pPr>
            <w:r w:rsidRPr="00895D4D">
              <w:rPr>
                <w:rFonts w:ascii="Myriad Pro" w:hAnsi="Myriad Pro" w:cstheme="minorHAnsi"/>
                <w:sz w:val="22"/>
                <w:szCs w:val="22"/>
                <w:lang w:val="en-GB"/>
              </w:rPr>
              <w:t>By the end of November, 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002161" w14:textId="77777777" w:rsidR="00060041" w:rsidRPr="00895D4D" w:rsidRDefault="00060041" w:rsidP="00175EEA">
            <w:pPr>
              <w:pStyle w:val="NormalWeb"/>
              <w:spacing w:before="120" w:beforeAutospacing="0" w:after="120"/>
              <w:jc w:val="left"/>
              <w:rPr>
                <w:rFonts w:ascii="Myriad Pro" w:hAnsi="Myriad Pro" w:cstheme="minorHAnsi"/>
                <w:sz w:val="22"/>
                <w:szCs w:val="22"/>
                <w:lang w:val="en-GB"/>
              </w:rPr>
            </w:pPr>
          </w:p>
        </w:tc>
      </w:tr>
      <w:tr w:rsidR="00060041" w:rsidRPr="00895D4D" w14:paraId="3DAC9C3A" w14:textId="77777777" w:rsidTr="00175EEA">
        <w:trPr>
          <w:gridAfter w:val="1"/>
          <w:wAfter w:w="11" w:type="dxa"/>
          <w:trHeight w:val="361"/>
        </w:trPr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4A760A" w14:textId="77777777" w:rsidR="00060041" w:rsidRPr="00895D4D" w:rsidRDefault="00060041" w:rsidP="00175EEA">
            <w:pPr>
              <w:pStyle w:val="NormalWeb"/>
              <w:spacing w:before="120" w:beforeAutospacing="0" w:after="120"/>
              <w:jc w:val="left"/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</w:pPr>
            <w:r w:rsidRPr="00895D4D"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  <w:t>The total estimated workload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79F3E97" w14:textId="77777777" w:rsidR="00060041" w:rsidRPr="00895D4D" w:rsidRDefault="00060041" w:rsidP="00175EEA">
            <w:pPr>
              <w:pStyle w:val="NormalWeb"/>
              <w:spacing w:before="120" w:beforeAutospacing="0" w:after="120"/>
              <w:jc w:val="left"/>
              <w:rPr>
                <w:rFonts w:ascii="Myriad Pro" w:hAnsi="Myriad Pro" w:cstheme="minorHAnsi"/>
                <w:sz w:val="22"/>
                <w:szCs w:val="22"/>
                <w:lang w:val="en-GB"/>
              </w:rPr>
            </w:pPr>
            <w:r w:rsidRPr="00895D4D"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  <w:t xml:space="preserve"> 7 working days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3310258" w14:textId="77777777" w:rsidR="00060041" w:rsidRPr="00895D4D" w:rsidRDefault="00060041" w:rsidP="00175EEA">
            <w:pPr>
              <w:pStyle w:val="NormalWeb"/>
              <w:spacing w:before="120" w:beforeAutospacing="0" w:after="120"/>
              <w:jc w:val="left"/>
              <w:rPr>
                <w:rFonts w:ascii="Myriad Pro" w:hAnsi="Myriad Pro" w:cstheme="minorHAnsi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A33BB7E" w14:textId="77777777" w:rsidR="00060041" w:rsidRPr="00895D4D" w:rsidRDefault="00060041" w:rsidP="00175EEA">
            <w:pPr>
              <w:pStyle w:val="NormalWeb"/>
              <w:spacing w:before="120" w:beforeAutospacing="0" w:after="120"/>
              <w:jc w:val="left"/>
              <w:rPr>
                <w:rFonts w:ascii="Myriad Pro" w:hAnsi="Myriad Pro" w:cstheme="minorHAnsi"/>
                <w:sz w:val="22"/>
                <w:szCs w:val="22"/>
                <w:lang w:val="en-GB"/>
              </w:rPr>
            </w:pPr>
          </w:p>
        </w:tc>
      </w:tr>
      <w:tr w:rsidR="00060041" w:rsidRPr="00895D4D" w14:paraId="4A850664" w14:textId="77777777" w:rsidTr="00175EEA">
        <w:trPr>
          <w:gridAfter w:val="1"/>
          <w:wAfter w:w="11" w:type="dxa"/>
          <w:trHeight w:val="361"/>
        </w:trPr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2338A" w14:textId="77777777" w:rsidR="00060041" w:rsidRPr="00895D4D" w:rsidRDefault="00060041" w:rsidP="00175EEA">
            <w:pPr>
              <w:pStyle w:val="NormalWeb"/>
              <w:spacing w:before="120" w:beforeAutospacing="0" w:after="120"/>
              <w:jc w:val="left"/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B00022" w14:textId="77777777" w:rsidR="00060041" w:rsidRPr="00895D4D" w:rsidRDefault="00060041" w:rsidP="00175EEA">
            <w:pPr>
              <w:pStyle w:val="NormalWeb"/>
              <w:spacing w:before="120" w:beforeAutospacing="0" w:after="120"/>
              <w:jc w:val="left"/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0211BC" w14:textId="77777777" w:rsidR="00060041" w:rsidRPr="00895D4D" w:rsidRDefault="00060041" w:rsidP="00175EEA">
            <w:pPr>
              <w:pStyle w:val="NormalWeb"/>
              <w:spacing w:before="120" w:beforeAutospacing="0" w:after="120"/>
              <w:jc w:val="left"/>
              <w:rPr>
                <w:rFonts w:ascii="Myriad Pro" w:hAnsi="Myriad Pro" w:cstheme="minorHAnsi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6F3D07" w14:textId="77777777" w:rsidR="00060041" w:rsidRPr="00895D4D" w:rsidRDefault="00060041" w:rsidP="00175EEA">
            <w:pPr>
              <w:pStyle w:val="NormalWeb"/>
              <w:spacing w:before="120" w:beforeAutospacing="0" w:after="120"/>
              <w:jc w:val="left"/>
              <w:rPr>
                <w:rFonts w:ascii="Myriad Pro" w:hAnsi="Myriad Pro" w:cstheme="minorHAnsi"/>
                <w:sz w:val="22"/>
                <w:szCs w:val="22"/>
                <w:lang w:val="en-GB"/>
              </w:rPr>
            </w:pPr>
          </w:p>
        </w:tc>
      </w:tr>
      <w:tr w:rsidR="00060041" w:rsidRPr="00895D4D" w14:paraId="66CA37D9" w14:textId="77777777" w:rsidTr="00175EEA">
        <w:trPr>
          <w:gridAfter w:val="1"/>
          <w:wAfter w:w="11" w:type="dxa"/>
          <w:trHeight w:val="361"/>
        </w:trPr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5303CA" w14:textId="77777777" w:rsidR="00060041" w:rsidRPr="0031725F" w:rsidRDefault="00060041" w:rsidP="00175EE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Total Final and All-Inclusive Price Quotation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7C557F0" w14:textId="77777777" w:rsidR="00060041" w:rsidRPr="00895D4D" w:rsidRDefault="00060041" w:rsidP="00175EEA">
            <w:pPr>
              <w:pStyle w:val="NormalWeb"/>
              <w:spacing w:before="120" w:beforeAutospacing="0" w:after="120"/>
              <w:jc w:val="left"/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  <w:t>14 working days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8CB8041" w14:textId="77777777" w:rsidR="00060041" w:rsidRPr="00895D4D" w:rsidRDefault="00060041" w:rsidP="00175EEA">
            <w:pPr>
              <w:pStyle w:val="NormalWeb"/>
              <w:spacing w:before="120" w:beforeAutospacing="0" w:after="120"/>
              <w:jc w:val="left"/>
              <w:rPr>
                <w:rFonts w:ascii="Myriad Pro" w:hAnsi="Myriad Pro" w:cstheme="minorHAnsi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204374C" w14:textId="77777777" w:rsidR="00060041" w:rsidRPr="00895D4D" w:rsidRDefault="00060041" w:rsidP="00175EEA">
            <w:pPr>
              <w:pStyle w:val="NormalWeb"/>
              <w:spacing w:before="120" w:beforeAutospacing="0" w:after="120"/>
              <w:jc w:val="left"/>
              <w:rPr>
                <w:rFonts w:ascii="Myriad Pro" w:hAnsi="Myriad Pro" w:cstheme="minorHAnsi"/>
                <w:sz w:val="22"/>
                <w:szCs w:val="22"/>
                <w:lang w:val="en-GB"/>
              </w:rPr>
            </w:pPr>
          </w:p>
        </w:tc>
      </w:tr>
    </w:tbl>
    <w:p w14:paraId="76CD667B" w14:textId="77777777" w:rsidR="00060041" w:rsidRDefault="00060041" w:rsidP="00060041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40E1770B" w14:textId="77777777" w:rsidR="00060041" w:rsidRPr="004F6969" w:rsidRDefault="00060041" w:rsidP="00060041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p w14:paraId="24A0AC4D" w14:textId="77777777" w:rsidR="00060041" w:rsidRPr="004F6969" w:rsidRDefault="00060041" w:rsidP="00060041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p w14:paraId="42FECE81" w14:textId="77777777" w:rsidR="00060041" w:rsidRDefault="00060041" w:rsidP="00060041">
      <w:pPr>
        <w:rPr>
          <w:rFonts w:ascii="Calibri" w:hAnsi="Calibri" w:cs="Calibri"/>
          <w:sz w:val="22"/>
          <w:szCs w:val="22"/>
        </w:rPr>
      </w:pPr>
    </w:p>
    <w:p w14:paraId="4444FE1C" w14:textId="77777777" w:rsidR="00060041" w:rsidRPr="00E933A8" w:rsidRDefault="00060041" w:rsidP="00060041">
      <w:pPr>
        <w:rPr>
          <w:rFonts w:ascii="Calibri" w:hAnsi="Calibri" w:cs="Calibri"/>
          <w:sz w:val="22"/>
          <w:szCs w:val="22"/>
        </w:rPr>
      </w:pPr>
    </w:p>
    <w:p w14:paraId="25D54A72" w14:textId="77777777" w:rsidR="00060041" w:rsidRPr="00E933A8" w:rsidRDefault="00060041" w:rsidP="00060041">
      <w:pPr>
        <w:rPr>
          <w:rFonts w:ascii="Calibri" w:hAnsi="Calibri" w:cs="Calibri"/>
          <w:sz w:val="22"/>
          <w:szCs w:val="22"/>
        </w:rPr>
      </w:pPr>
    </w:p>
    <w:p w14:paraId="0295BBD4" w14:textId="77777777" w:rsidR="00060041" w:rsidRPr="00E933A8" w:rsidRDefault="00060041" w:rsidP="00060041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3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14:paraId="45536146" w14:textId="77777777" w:rsidR="00060041" w:rsidRPr="00E933A8" w:rsidRDefault="00060041" w:rsidP="00060041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060041" w:rsidRPr="00E933A8" w14:paraId="5F1AA75F" w14:textId="77777777" w:rsidTr="00175EEA">
        <w:trPr>
          <w:trHeight w:val="383"/>
        </w:trPr>
        <w:tc>
          <w:tcPr>
            <w:tcW w:w="4140" w:type="dxa"/>
            <w:vMerge w:val="restart"/>
            <w:vAlign w:val="center"/>
          </w:tcPr>
          <w:p w14:paraId="2AC7892F" w14:textId="77777777" w:rsidR="00060041" w:rsidRPr="00E933A8" w:rsidRDefault="00060041" w:rsidP="00175EEA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3E696E2" w14:textId="77777777" w:rsidR="00060041" w:rsidRPr="00E933A8" w:rsidRDefault="00060041" w:rsidP="00175EE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Other Information pertaining to our Quotation are as follows:</w:t>
            </w:r>
          </w:p>
        </w:tc>
        <w:tc>
          <w:tcPr>
            <w:tcW w:w="5310" w:type="dxa"/>
            <w:gridSpan w:val="3"/>
            <w:vAlign w:val="center"/>
          </w:tcPr>
          <w:p w14:paraId="00372888" w14:textId="77777777" w:rsidR="00060041" w:rsidRPr="00E933A8" w:rsidRDefault="00060041" w:rsidP="00175EE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060041" w:rsidRPr="00E933A8" w14:paraId="08F9E811" w14:textId="77777777" w:rsidTr="00175EEA">
        <w:trPr>
          <w:trHeight w:val="382"/>
        </w:trPr>
        <w:tc>
          <w:tcPr>
            <w:tcW w:w="4140" w:type="dxa"/>
            <w:vMerge/>
            <w:vAlign w:val="center"/>
          </w:tcPr>
          <w:p w14:paraId="1C93C9AC" w14:textId="77777777" w:rsidR="00060041" w:rsidRPr="00E933A8" w:rsidRDefault="00060041" w:rsidP="00175EEA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CAC8B65" w14:textId="77777777" w:rsidR="00060041" w:rsidRPr="00E933A8" w:rsidRDefault="00060041" w:rsidP="00175EE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  <w:vAlign w:val="center"/>
          </w:tcPr>
          <w:p w14:paraId="326C9F92" w14:textId="77777777" w:rsidR="00060041" w:rsidRPr="00E933A8" w:rsidRDefault="00060041" w:rsidP="00175EE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  <w:vAlign w:val="center"/>
          </w:tcPr>
          <w:p w14:paraId="0C3283E0" w14:textId="77777777" w:rsidR="00060041" w:rsidRPr="00E933A8" w:rsidRDefault="00060041" w:rsidP="00175EE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060041" w:rsidRPr="00E933A8" w14:paraId="534296C1" w14:textId="77777777" w:rsidTr="00175EEA">
        <w:trPr>
          <w:trHeight w:val="332"/>
        </w:trPr>
        <w:tc>
          <w:tcPr>
            <w:tcW w:w="4140" w:type="dxa"/>
            <w:tcBorders>
              <w:right w:val="nil"/>
            </w:tcBorders>
            <w:vAlign w:val="center"/>
          </w:tcPr>
          <w:p w14:paraId="764896C9" w14:textId="77777777" w:rsidR="00060041" w:rsidRPr="00C9786A" w:rsidRDefault="00060041" w:rsidP="00175EE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9786A">
              <w:rPr>
                <w:rFonts w:ascii="Calibri" w:hAnsi="Calibri" w:cs="Calibri"/>
                <w:bCs/>
                <w:sz w:val="22"/>
                <w:szCs w:val="22"/>
              </w:rPr>
              <w:t>Maximum Delivery period not to exceed</w:t>
            </w:r>
          </w:p>
          <w:p w14:paraId="59CD8937" w14:textId="77777777" w:rsidR="00060041" w:rsidRPr="00C9786A" w:rsidRDefault="00060041" w:rsidP="00175EE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 w:rsidRPr="00C9786A">
              <w:rPr>
                <w:rFonts w:ascii="Calibri" w:hAnsi="Calibri" w:cs="Calibri"/>
                <w:bCs/>
                <w:sz w:val="22"/>
                <w:szCs w:val="22"/>
              </w:rPr>
              <w:t>,5 calendar months upon signature of</w:t>
            </w:r>
          </w:p>
          <w:p w14:paraId="3D15E7E9" w14:textId="77777777" w:rsidR="00060041" w:rsidRPr="00E933A8" w:rsidRDefault="00060041" w:rsidP="00175EE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9786A">
              <w:rPr>
                <w:rFonts w:ascii="Calibri" w:hAnsi="Calibri" w:cs="Calibri"/>
                <w:bCs/>
                <w:sz w:val="22"/>
                <w:szCs w:val="22"/>
              </w:rPr>
              <w:t>Contract by both parties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6EA2D3" w14:textId="77777777" w:rsidR="00060041" w:rsidRPr="00E933A8" w:rsidRDefault="00060041" w:rsidP="00175EE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692F94" w14:textId="77777777" w:rsidR="00060041" w:rsidRPr="00E933A8" w:rsidRDefault="00060041" w:rsidP="00175EE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52F9B6" w14:textId="77777777" w:rsidR="00060041" w:rsidRPr="00E933A8" w:rsidRDefault="00060041" w:rsidP="00175EE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0041" w:rsidRPr="00E933A8" w14:paraId="14800D94" w14:textId="77777777" w:rsidTr="00175EEA">
        <w:trPr>
          <w:trHeight w:val="305"/>
        </w:trPr>
        <w:tc>
          <w:tcPr>
            <w:tcW w:w="4140" w:type="dxa"/>
            <w:tcBorders>
              <w:bottom w:val="single" w:sz="4" w:space="0" w:color="auto"/>
              <w:right w:val="nil"/>
            </w:tcBorders>
            <w:vAlign w:val="center"/>
          </w:tcPr>
          <w:p w14:paraId="3C9E4993" w14:textId="77777777" w:rsidR="00060041" w:rsidRPr="00E933A8" w:rsidRDefault="00060041" w:rsidP="00175EE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9786A">
              <w:rPr>
                <w:rFonts w:ascii="Calibri" w:hAnsi="Calibri" w:cs="Calibri"/>
                <w:bCs/>
                <w:sz w:val="22"/>
                <w:szCs w:val="22"/>
              </w:rPr>
              <w:t xml:space="preserve">Validity of Quotation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9</w:t>
            </w:r>
            <w:r w:rsidRPr="00C9786A">
              <w:rPr>
                <w:rFonts w:ascii="Calibri" w:hAnsi="Calibri" w:cs="Calibri"/>
                <w:bCs/>
                <w:sz w:val="22"/>
                <w:szCs w:val="22"/>
              </w:rPr>
              <w:t>0 calendar days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794F9E" w14:textId="77777777" w:rsidR="00060041" w:rsidRPr="00E933A8" w:rsidRDefault="00060041" w:rsidP="00175EE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F01141" w14:textId="77777777" w:rsidR="00060041" w:rsidRPr="00E933A8" w:rsidRDefault="00060041" w:rsidP="00175EE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D2AE94" w14:textId="77777777" w:rsidR="00060041" w:rsidRPr="00E933A8" w:rsidRDefault="00060041" w:rsidP="00175EE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0041" w:rsidRPr="00E933A8" w14:paraId="77A22A57" w14:textId="77777777" w:rsidTr="00175EEA">
        <w:trPr>
          <w:trHeight w:val="305"/>
        </w:trPr>
        <w:tc>
          <w:tcPr>
            <w:tcW w:w="4140" w:type="dxa"/>
            <w:tcBorders>
              <w:right w:val="nil"/>
            </w:tcBorders>
            <w:vAlign w:val="center"/>
          </w:tcPr>
          <w:p w14:paraId="0F95A7E2" w14:textId="77777777" w:rsidR="00060041" w:rsidRPr="00E933A8" w:rsidRDefault="00060041" w:rsidP="00175EE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5636A8" w14:textId="77777777" w:rsidR="00060041" w:rsidRPr="00E933A8" w:rsidRDefault="00060041" w:rsidP="00175EE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7BB5A8" w14:textId="77777777" w:rsidR="00060041" w:rsidRPr="00E933A8" w:rsidRDefault="00060041" w:rsidP="00175EE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F4B3CA" w14:textId="77777777" w:rsidR="00060041" w:rsidRPr="00E933A8" w:rsidRDefault="00060041" w:rsidP="00175EE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33F4345" w14:textId="77777777" w:rsidR="00060041" w:rsidRPr="00E933A8" w:rsidRDefault="00060041" w:rsidP="00060041">
      <w:pPr>
        <w:rPr>
          <w:rFonts w:ascii="Calibri" w:hAnsi="Calibri" w:cs="Calibri"/>
          <w:sz w:val="22"/>
          <w:szCs w:val="22"/>
        </w:rPr>
      </w:pPr>
    </w:p>
    <w:p w14:paraId="4D0464B0" w14:textId="77777777" w:rsidR="00060041" w:rsidRPr="00E933A8" w:rsidRDefault="00060041" w:rsidP="00060041">
      <w:pPr>
        <w:rPr>
          <w:rFonts w:ascii="Calibri" w:hAnsi="Calibri" w:cs="Calibri"/>
          <w:sz w:val="22"/>
          <w:szCs w:val="22"/>
        </w:rPr>
      </w:pPr>
    </w:p>
    <w:p w14:paraId="3C979DBD" w14:textId="77777777" w:rsidR="00060041" w:rsidRPr="00E933A8" w:rsidRDefault="00060041" w:rsidP="00060041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1F8B216C" w14:textId="77777777" w:rsidR="00060041" w:rsidRPr="00E933A8" w:rsidRDefault="00060041" w:rsidP="00060041">
      <w:pPr>
        <w:rPr>
          <w:rFonts w:ascii="Calibri" w:hAnsi="Calibri" w:cs="Calibri"/>
          <w:sz w:val="22"/>
          <w:szCs w:val="22"/>
        </w:rPr>
      </w:pPr>
    </w:p>
    <w:p w14:paraId="378DE3D5" w14:textId="77777777" w:rsidR="00060041" w:rsidRPr="00E933A8" w:rsidRDefault="00060041" w:rsidP="00060041">
      <w:pPr>
        <w:rPr>
          <w:rFonts w:ascii="Calibri" w:hAnsi="Calibri" w:cs="Calibri"/>
          <w:sz w:val="22"/>
          <w:szCs w:val="22"/>
        </w:rPr>
      </w:pPr>
    </w:p>
    <w:p w14:paraId="596A33AD" w14:textId="77777777" w:rsidR="00060041" w:rsidRPr="00E933A8" w:rsidRDefault="00060041" w:rsidP="00060041">
      <w:pPr>
        <w:rPr>
          <w:rFonts w:ascii="Calibri" w:hAnsi="Calibri" w:cs="Calibri"/>
          <w:sz w:val="22"/>
          <w:szCs w:val="22"/>
        </w:rPr>
      </w:pPr>
    </w:p>
    <w:p w14:paraId="5A4D50C2" w14:textId="77777777" w:rsidR="00060041" w:rsidRPr="00E933A8" w:rsidRDefault="00060041" w:rsidP="00060041">
      <w:pPr>
        <w:rPr>
          <w:rFonts w:ascii="Calibri" w:hAnsi="Calibri" w:cs="Calibri"/>
          <w:sz w:val="22"/>
          <w:szCs w:val="22"/>
        </w:rPr>
      </w:pPr>
    </w:p>
    <w:p w14:paraId="6320054E" w14:textId="77777777" w:rsidR="00060041" w:rsidRPr="00E933A8" w:rsidRDefault="00060041" w:rsidP="00060041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5E787194" w14:textId="77777777" w:rsidR="00060041" w:rsidRPr="00E933A8" w:rsidRDefault="00060041" w:rsidP="00060041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5F5EF1E8" w14:textId="3E5D38BB" w:rsidR="0018607E" w:rsidRPr="00060041" w:rsidRDefault="00060041" w:rsidP="00060041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sectPr w:rsidR="0018607E" w:rsidRPr="00060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0B162" w14:textId="77777777" w:rsidR="00B965B2" w:rsidRDefault="00B965B2" w:rsidP="00060041">
      <w:r>
        <w:separator/>
      </w:r>
    </w:p>
  </w:endnote>
  <w:endnote w:type="continuationSeparator" w:id="0">
    <w:p w14:paraId="122B1E78" w14:textId="77777777" w:rsidR="00B965B2" w:rsidRDefault="00B965B2" w:rsidP="0006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193FA" w14:textId="77777777" w:rsidR="00B965B2" w:rsidRDefault="00B965B2" w:rsidP="00060041">
      <w:r>
        <w:separator/>
      </w:r>
    </w:p>
  </w:footnote>
  <w:footnote w:type="continuationSeparator" w:id="0">
    <w:p w14:paraId="1CE7E580" w14:textId="77777777" w:rsidR="00B965B2" w:rsidRDefault="00B965B2" w:rsidP="00060041">
      <w:r>
        <w:continuationSeparator/>
      </w:r>
    </w:p>
  </w:footnote>
  <w:footnote w:id="1">
    <w:p w14:paraId="51FAD81B" w14:textId="77777777" w:rsidR="00060041" w:rsidRPr="00BA0E6E" w:rsidRDefault="00060041" w:rsidP="00060041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1F4164C5" w14:textId="77777777" w:rsidR="00060041" w:rsidRPr="007E6019" w:rsidRDefault="00060041" w:rsidP="00060041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41"/>
    <w:rsid w:val="00060041"/>
    <w:rsid w:val="0018607E"/>
    <w:rsid w:val="00B965B2"/>
    <w:rsid w:val="00DD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C1DD"/>
  <w15:chartTrackingRefBased/>
  <w15:docId w15:val="{9DD6E396-8135-400A-8649-1D0F5F20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06004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60041"/>
  </w:style>
  <w:style w:type="character" w:customStyle="1" w:styleId="FootnoteTextChar">
    <w:name w:val="Footnote Text Char"/>
    <w:basedOn w:val="DefaultParagraphFont"/>
    <w:link w:val="FootnoteText"/>
    <w:uiPriority w:val="99"/>
    <w:rsid w:val="00060041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nhideWhenUsed/>
    <w:rsid w:val="00060041"/>
    <w:pPr>
      <w:spacing w:before="100" w:beforeAutospacing="1" w:after="119"/>
      <w:jc w:val="both"/>
    </w:pPr>
    <w:rPr>
      <w:sz w:val="24"/>
      <w:szCs w:val="24"/>
      <w:lang w:val="fr-FR" w:eastAsia="fr-FR"/>
    </w:rPr>
  </w:style>
  <w:style w:type="paragraph" w:customStyle="1" w:styleId="Tabelcentrat">
    <w:name w:val="Tabel_centrat"/>
    <w:autoRedefine/>
    <w:rsid w:val="00060041"/>
    <w:pPr>
      <w:spacing w:before="120" w:after="120" w:line="240" w:lineRule="auto"/>
      <w:jc w:val="center"/>
    </w:pPr>
    <w:rPr>
      <w:rFonts w:ascii="Myriad Pro" w:eastAsia="MS Mincho" w:hAnsi="Myriad Pro" w:cs="Times New Roman"/>
      <w:b/>
      <w:i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98A30A36BA44480ABE3035CF2B53B" ma:contentTypeVersion="13" ma:contentTypeDescription="Create a new document." ma:contentTypeScope="" ma:versionID="d95fa3182803b2d756c7f61b9fc07772">
  <xsd:schema xmlns:xsd="http://www.w3.org/2001/XMLSchema" xmlns:xs="http://www.w3.org/2001/XMLSchema" xmlns:p="http://schemas.microsoft.com/office/2006/metadata/properties" xmlns:ns3="0116d54a-c22a-4f13-b2b5-08f4c6b12596" xmlns:ns4="8be64b1c-2039-4e9b-9d8e-8513cb23196c" targetNamespace="http://schemas.microsoft.com/office/2006/metadata/properties" ma:root="true" ma:fieldsID="38efbb475a2a9ddfa9bbdae5e5c17f18" ns3:_="" ns4:_="">
    <xsd:import namespace="0116d54a-c22a-4f13-b2b5-08f4c6b12596"/>
    <xsd:import namespace="8be64b1c-2039-4e9b-9d8e-8513cb2319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d54a-c22a-4f13-b2b5-08f4c6b12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64b1c-2039-4e9b-9d8e-8513cb2319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689716-4DC8-47C5-9F13-CE3E4C47DA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35F60D-938D-4492-93AA-05D0B14EC3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9F1994-51F1-4DA7-9C04-DC71480BC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6d54a-c22a-4f13-b2b5-08f4c6b12596"/>
    <ds:schemaRef ds:uri="8be64b1c-2039-4e9b-9d8e-8513cb231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Paraschiv</dc:creator>
  <cp:keywords/>
  <dc:description/>
  <cp:lastModifiedBy>Olga Driga</cp:lastModifiedBy>
  <cp:revision>2</cp:revision>
  <dcterms:created xsi:type="dcterms:W3CDTF">2020-09-09T12:52:00Z</dcterms:created>
  <dcterms:modified xsi:type="dcterms:W3CDTF">2020-09-09T12:52:00Z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0x01010021A98A30A36BA44480ABE3035CF2B53B</vt:lpwstr>
  </property>
</Properties>
</file>