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1EE2" w14:textId="77777777" w:rsidR="00DB77DD" w:rsidRPr="00E102F5" w:rsidRDefault="00DB77DD" w:rsidP="00DB77DD">
      <w:pPr>
        <w:tabs>
          <w:tab w:val="left" w:pos="1410"/>
        </w:tabs>
        <w:ind w:left="1410"/>
        <w:jc w:val="center"/>
        <w:rPr>
          <w:lang w:val="en-GB"/>
        </w:rPr>
      </w:pPr>
      <w:bookmarkStart w:id="0" w:name="_Hlk50707140"/>
      <w:r w:rsidRPr="00E102F5">
        <w:rPr>
          <w:b/>
          <w:sz w:val="28"/>
          <w:szCs w:val="28"/>
          <w:lang w:val="en-GB"/>
        </w:rPr>
        <w:t>INDIVIDUAL CONSULTANT PROCUREMENT NOTICE</w:t>
      </w:r>
      <w:r w:rsidRPr="00E102F5">
        <w:rPr>
          <w:lang w:val="en-GB"/>
        </w:rPr>
        <w:t xml:space="preserve">  </w:t>
      </w:r>
      <w:r w:rsidR="009E2B22" w:rsidRPr="00E102F5">
        <w:rPr>
          <w:lang w:val="en-GB"/>
        </w:rPr>
        <w:t xml:space="preserve">      </w:t>
      </w:r>
      <w:r w:rsidRPr="00E102F5">
        <w:rPr>
          <w:lang w:val="en-GB"/>
        </w:rPr>
        <w:t xml:space="preserve">              </w:t>
      </w:r>
      <w:r w:rsidR="009E2B22" w:rsidRPr="00E102F5">
        <w:rPr>
          <w:lang w:val="en-GB"/>
        </w:rPr>
        <w:t xml:space="preserve"> </w:t>
      </w:r>
      <w:r w:rsidRPr="00E102F5">
        <w:rPr>
          <w:noProof/>
        </w:rPr>
        <w:drawing>
          <wp:inline distT="0" distB="0" distL="0" distR="0" wp14:anchorId="436CD729" wp14:editId="41871FA7">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E102F5">
        <w:rPr>
          <w:lang w:val="en-GB"/>
        </w:rPr>
        <w:t xml:space="preserve">                                      </w:t>
      </w:r>
      <w:r w:rsidRPr="00E102F5">
        <w:rPr>
          <w:lang w:val="en-GB"/>
        </w:rPr>
        <w:t xml:space="preserve">                                                                                                                                                  </w:t>
      </w:r>
    </w:p>
    <w:p w14:paraId="42A49F4A" w14:textId="7FA2C851" w:rsidR="009E2B22" w:rsidRPr="00E102F5" w:rsidRDefault="009E2B22" w:rsidP="00EC517B">
      <w:pPr>
        <w:tabs>
          <w:tab w:val="left" w:pos="1410"/>
        </w:tabs>
        <w:jc w:val="right"/>
        <w:rPr>
          <w:lang w:val="en-GB"/>
        </w:rPr>
      </w:pPr>
      <w:r w:rsidRPr="00E102F5">
        <w:rPr>
          <w:lang w:val="en-GB"/>
        </w:rPr>
        <w:t xml:space="preserve">                                                                                                                                          Date:    </w:t>
      </w:r>
      <w:r w:rsidR="000911A7">
        <w:rPr>
          <w:lang w:val="en-GB"/>
        </w:rPr>
        <w:t>1</w:t>
      </w:r>
      <w:r w:rsidR="0004542F">
        <w:rPr>
          <w:lang w:val="en-GB"/>
        </w:rPr>
        <w:t>6</w:t>
      </w:r>
      <w:r w:rsidR="000677EC">
        <w:rPr>
          <w:lang w:val="en-GB"/>
        </w:rPr>
        <w:t xml:space="preserve"> </w:t>
      </w:r>
      <w:r w:rsidR="004E3DC5">
        <w:rPr>
          <w:lang w:val="en-GB"/>
        </w:rPr>
        <w:t>September</w:t>
      </w:r>
      <w:r w:rsidR="000D0454" w:rsidRPr="00E102F5">
        <w:rPr>
          <w:lang w:val="en-GB"/>
        </w:rPr>
        <w:t xml:space="preserve"> 2020</w:t>
      </w:r>
      <w:r w:rsidRPr="00E102F5">
        <w:rPr>
          <w:lang w:val="en-GB"/>
        </w:rPr>
        <w:t xml:space="preserve">                                          </w:t>
      </w:r>
    </w:p>
    <w:p w14:paraId="407FB5E5" w14:textId="77777777" w:rsidR="009E2B22" w:rsidRPr="00E102F5" w:rsidRDefault="007D726E" w:rsidP="009E2B22">
      <w:pPr>
        <w:tabs>
          <w:tab w:val="left" w:pos="1410"/>
        </w:tabs>
        <w:rPr>
          <w:b/>
          <w:lang w:val="en-GB"/>
        </w:rPr>
      </w:pPr>
      <w:r w:rsidRPr="00E102F5">
        <w:rPr>
          <w:b/>
          <w:noProof/>
        </w:rPr>
        <mc:AlternateContent>
          <mc:Choice Requires="wps">
            <w:drawing>
              <wp:anchor distT="0" distB="0" distL="114300" distR="114300" simplePos="0" relativeHeight="251658240" behindDoc="0" locked="0" layoutInCell="1" allowOverlap="1" wp14:anchorId="77D628C0" wp14:editId="6DE63AD8">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7E2B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4F1ED181" w14:textId="521064E9" w:rsidR="00181B6A" w:rsidRPr="00E2758F" w:rsidRDefault="00181B6A" w:rsidP="00181B6A">
      <w:pPr>
        <w:pStyle w:val="ListParagraph"/>
        <w:ind w:left="0"/>
        <w:jc w:val="both"/>
        <w:rPr>
          <w:rFonts w:cstheme="minorHAnsi"/>
        </w:rPr>
      </w:pPr>
      <w:r w:rsidRPr="00E2758F">
        <w:rPr>
          <w:rFonts w:cstheme="minorHAnsi"/>
          <w:b/>
        </w:rPr>
        <w:t>Country:</w:t>
      </w:r>
      <w:r w:rsidRPr="00E2758F">
        <w:rPr>
          <w:rFonts w:cstheme="minorHAnsi"/>
        </w:rPr>
        <w:t xml:space="preserve"> B</w:t>
      </w:r>
      <w:r w:rsidR="005E0013">
        <w:rPr>
          <w:rFonts w:cstheme="minorHAnsi"/>
        </w:rPr>
        <w:t xml:space="preserve">otswana </w:t>
      </w:r>
    </w:p>
    <w:p w14:paraId="6C581A6D" w14:textId="77777777" w:rsidR="00181B6A" w:rsidRPr="00E2758F" w:rsidRDefault="00181B6A" w:rsidP="00181B6A">
      <w:pPr>
        <w:pStyle w:val="ListParagraph"/>
        <w:ind w:left="0"/>
        <w:jc w:val="both"/>
        <w:rPr>
          <w:rFonts w:cstheme="minorHAnsi"/>
        </w:rPr>
      </w:pPr>
    </w:p>
    <w:p w14:paraId="0AFABC44" w14:textId="33609A48" w:rsidR="00181B6A" w:rsidRPr="00E2758F" w:rsidRDefault="00181B6A" w:rsidP="00181B6A">
      <w:pPr>
        <w:pStyle w:val="ListParagraph"/>
        <w:ind w:left="0"/>
        <w:jc w:val="both"/>
        <w:rPr>
          <w:rFonts w:cstheme="minorHAnsi"/>
        </w:rPr>
      </w:pPr>
      <w:r w:rsidRPr="00E2758F">
        <w:rPr>
          <w:rFonts w:cstheme="minorHAnsi"/>
          <w:b/>
        </w:rPr>
        <w:t>Description of the assignment:</w:t>
      </w:r>
      <w:r w:rsidRPr="00E2758F">
        <w:rPr>
          <w:rFonts w:cstheme="minorHAnsi"/>
        </w:rPr>
        <w:t xml:space="preserve"> </w:t>
      </w:r>
      <w:r w:rsidRPr="00E102F5">
        <w:rPr>
          <w:b/>
          <w:lang w:val="en-GB"/>
        </w:rPr>
        <w:t>Technical Adviser – Law Reform Unit</w:t>
      </w:r>
    </w:p>
    <w:p w14:paraId="50152923" w14:textId="77777777" w:rsidR="00181B6A" w:rsidRPr="00E2758F" w:rsidRDefault="00181B6A" w:rsidP="00181B6A">
      <w:pPr>
        <w:pStyle w:val="ListParagraph"/>
        <w:ind w:left="0"/>
        <w:jc w:val="both"/>
        <w:rPr>
          <w:rFonts w:cstheme="minorHAnsi"/>
        </w:rPr>
      </w:pPr>
    </w:p>
    <w:p w14:paraId="4AEE69A5" w14:textId="77777777" w:rsidR="00646186" w:rsidRDefault="00181B6A" w:rsidP="00181B6A">
      <w:pPr>
        <w:pStyle w:val="ListParagraph"/>
        <w:ind w:left="0"/>
        <w:jc w:val="both"/>
        <w:rPr>
          <w:rFonts w:cstheme="minorHAnsi"/>
        </w:rPr>
      </w:pPr>
      <w:r w:rsidRPr="00E2758F">
        <w:rPr>
          <w:rFonts w:cstheme="minorHAnsi"/>
          <w:b/>
        </w:rPr>
        <w:t>Project name:</w:t>
      </w:r>
      <w:r w:rsidRPr="00E2758F">
        <w:rPr>
          <w:rFonts w:cstheme="minorHAnsi"/>
        </w:rPr>
        <w:t xml:space="preserve"> Support to the Fulfilment of Human Rights, Access to Justice and Empowerment of Youth and Women </w:t>
      </w:r>
    </w:p>
    <w:p w14:paraId="3E46E093" w14:textId="77777777" w:rsidR="00646186" w:rsidRDefault="00646186" w:rsidP="00181B6A">
      <w:pPr>
        <w:pStyle w:val="ListParagraph"/>
        <w:ind w:left="0"/>
        <w:jc w:val="both"/>
        <w:rPr>
          <w:rFonts w:cstheme="minorHAnsi"/>
        </w:rPr>
      </w:pPr>
    </w:p>
    <w:p w14:paraId="56D7F28A" w14:textId="28F80342" w:rsidR="00181B6A" w:rsidRPr="00E2758F" w:rsidRDefault="00181B6A" w:rsidP="00181B6A">
      <w:pPr>
        <w:pStyle w:val="ListParagraph"/>
        <w:ind w:left="0"/>
        <w:jc w:val="both"/>
        <w:rPr>
          <w:rFonts w:cstheme="minorHAnsi"/>
        </w:rPr>
      </w:pPr>
      <w:r w:rsidRPr="00646186">
        <w:rPr>
          <w:rFonts w:cstheme="minorHAnsi"/>
          <w:b/>
          <w:bCs/>
        </w:rPr>
        <w:t>Project N</w:t>
      </w:r>
      <w:r w:rsidR="00CD2DEA">
        <w:rPr>
          <w:rFonts w:cstheme="minorHAnsi"/>
          <w:b/>
          <w:bCs/>
        </w:rPr>
        <w:t>umber</w:t>
      </w:r>
      <w:r w:rsidRPr="00646186">
        <w:rPr>
          <w:rFonts w:cstheme="minorHAnsi"/>
          <w:b/>
          <w:bCs/>
        </w:rPr>
        <w:t>:</w:t>
      </w:r>
      <w:r w:rsidRPr="00E2758F">
        <w:rPr>
          <w:rFonts w:cstheme="minorHAnsi"/>
        </w:rPr>
        <w:t xml:space="preserve"> 00102697</w:t>
      </w:r>
    </w:p>
    <w:p w14:paraId="35807545" w14:textId="77777777" w:rsidR="00181B6A" w:rsidRPr="00E2758F" w:rsidRDefault="00181B6A" w:rsidP="00181B6A">
      <w:pPr>
        <w:pStyle w:val="ListParagraph"/>
        <w:ind w:left="0"/>
        <w:jc w:val="both"/>
        <w:rPr>
          <w:rFonts w:cstheme="minorHAnsi"/>
        </w:rPr>
      </w:pPr>
    </w:p>
    <w:p w14:paraId="1C1FA971" w14:textId="7DB4DEEA" w:rsidR="00181B6A" w:rsidRPr="00E2758F" w:rsidRDefault="00181B6A" w:rsidP="00181B6A">
      <w:pPr>
        <w:pStyle w:val="ListParagraph"/>
        <w:ind w:left="0"/>
        <w:jc w:val="both"/>
        <w:rPr>
          <w:rFonts w:cstheme="minorHAnsi"/>
        </w:rPr>
      </w:pPr>
      <w:r w:rsidRPr="00E2758F">
        <w:rPr>
          <w:rFonts w:cstheme="minorHAnsi"/>
          <w:b/>
        </w:rPr>
        <w:t>Period of assignment/services:</w:t>
      </w:r>
      <w:r w:rsidRPr="00E2758F">
        <w:rPr>
          <w:rFonts w:cstheme="minorHAnsi"/>
        </w:rPr>
        <w:t xml:space="preserve"> </w:t>
      </w:r>
      <w:r w:rsidRPr="00E102F5">
        <w:rPr>
          <w:lang w:val="en-GB"/>
        </w:rPr>
        <w:t xml:space="preserve">120 days over 12 months </w:t>
      </w:r>
    </w:p>
    <w:p w14:paraId="05B41192" w14:textId="77777777" w:rsidR="00181B6A" w:rsidRPr="00E2758F" w:rsidRDefault="00181B6A" w:rsidP="00181B6A">
      <w:pPr>
        <w:pStyle w:val="ListParagraph"/>
        <w:ind w:left="0"/>
        <w:jc w:val="both"/>
        <w:rPr>
          <w:rFonts w:cstheme="minorHAnsi"/>
        </w:rPr>
      </w:pPr>
    </w:p>
    <w:p w14:paraId="0BE6805D" w14:textId="79C8B212" w:rsidR="00181B6A" w:rsidRPr="00E2758F" w:rsidRDefault="00181B6A" w:rsidP="00181B6A">
      <w:pPr>
        <w:pStyle w:val="ListParagraph"/>
        <w:ind w:left="0"/>
        <w:jc w:val="both"/>
        <w:rPr>
          <w:rFonts w:cstheme="minorHAnsi"/>
        </w:rPr>
      </w:pPr>
      <w:r w:rsidRPr="00E2758F">
        <w:rPr>
          <w:rFonts w:cstheme="minorHAnsi"/>
          <w:b/>
        </w:rPr>
        <w:t>Submission Requirements:</w:t>
      </w:r>
      <w:r w:rsidRPr="00E2758F">
        <w:rPr>
          <w:rFonts w:cstheme="minorHAnsi"/>
        </w:rPr>
        <w:t xml:space="preserve"> Proposals with reference should be submitted in a sealed envelope clearly labelled</w:t>
      </w:r>
      <w:r w:rsidR="00A566CF">
        <w:rPr>
          <w:rFonts w:cstheme="minorHAnsi"/>
        </w:rPr>
        <w:t xml:space="preserve"> </w:t>
      </w:r>
      <w:r w:rsidR="00BF6F1B" w:rsidRPr="000677EC">
        <w:rPr>
          <w:rFonts w:cstheme="minorHAnsi"/>
          <w:b/>
          <w:bCs/>
        </w:rPr>
        <w:t>‘</w:t>
      </w:r>
      <w:r w:rsidR="00A566CF" w:rsidRPr="000677EC">
        <w:rPr>
          <w:rFonts w:cstheme="minorHAnsi"/>
          <w:b/>
          <w:bCs/>
        </w:rPr>
        <w:t>Technical Adviser – Law Reform Unit</w:t>
      </w:r>
      <w:r w:rsidR="00BF6F1B" w:rsidRPr="000677EC">
        <w:rPr>
          <w:rFonts w:cstheme="minorHAnsi"/>
          <w:b/>
          <w:bCs/>
        </w:rPr>
        <w:t>’</w:t>
      </w:r>
      <w:r w:rsidR="00BF6F1B">
        <w:rPr>
          <w:rFonts w:cstheme="minorHAnsi"/>
        </w:rPr>
        <w:t xml:space="preserve"> </w:t>
      </w:r>
      <w:r>
        <w:rPr>
          <w:rFonts w:cstheme="minorHAnsi"/>
        </w:rPr>
        <w:t>s</w:t>
      </w:r>
      <w:r w:rsidRPr="00E2758F">
        <w:rPr>
          <w:rFonts w:cstheme="minorHAnsi"/>
        </w:rPr>
        <w:t xml:space="preserve">hould be submitted at the following address no later </w:t>
      </w:r>
      <w:r w:rsidRPr="005E0013">
        <w:rPr>
          <w:rFonts w:cstheme="minorHAnsi"/>
        </w:rPr>
        <w:t xml:space="preserve">than </w:t>
      </w:r>
      <w:r w:rsidR="00987C2B" w:rsidRPr="000677EC">
        <w:rPr>
          <w:rFonts w:cstheme="minorHAnsi"/>
          <w:b/>
          <w:bCs/>
        </w:rPr>
        <w:t>2</w:t>
      </w:r>
      <w:r w:rsidR="00BD6B52" w:rsidRPr="000677EC">
        <w:rPr>
          <w:rFonts w:cstheme="minorHAnsi"/>
          <w:b/>
          <w:bCs/>
        </w:rPr>
        <w:t xml:space="preserve"> October</w:t>
      </w:r>
      <w:r w:rsidR="00987C2B" w:rsidRPr="000677EC">
        <w:rPr>
          <w:rFonts w:cstheme="minorHAnsi"/>
          <w:b/>
          <w:bCs/>
        </w:rPr>
        <w:t xml:space="preserve"> </w:t>
      </w:r>
      <w:r w:rsidR="005E0013" w:rsidRPr="000677EC">
        <w:rPr>
          <w:rFonts w:cstheme="minorHAnsi"/>
          <w:b/>
          <w:bCs/>
        </w:rPr>
        <w:t xml:space="preserve">2020 </w:t>
      </w:r>
      <w:r w:rsidRPr="000677EC">
        <w:rPr>
          <w:rFonts w:cstheme="minorHAnsi"/>
          <w:b/>
          <w:bCs/>
        </w:rPr>
        <w:t>at</w:t>
      </w:r>
      <w:r w:rsidR="005E0013" w:rsidRPr="000677EC">
        <w:rPr>
          <w:rFonts w:cstheme="minorHAnsi"/>
          <w:b/>
          <w:bCs/>
        </w:rPr>
        <w:t xml:space="preserve"> </w:t>
      </w:r>
      <w:r w:rsidR="000911A7" w:rsidRPr="000677EC">
        <w:rPr>
          <w:rFonts w:cstheme="minorHAnsi"/>
          <w:b/>
          <w:bCs/>
        </w:rPr>
        <w:t>12</w:t>
      </w:r>
      <w:r w:rsidR="00987C2B" w:rsidRPr="000677EC">
        <w:rPr>
          <w:rFonts w:cstheme="minorHAnsi"/>
          <w:b/>
          <w:bCs/>
        </w:rPr>
        <w:t>:30pm</w:t>
      </w:r>
      <w:r w:rsidRPr="000677EC">
        <w:rPr>
          <w:rFonts w:cstheme="minorHAnsi"/>
          <w:b/>
          <w:bCs/>
          <w:color w:val="FF0000"/>
        </w:rPr>
        <w:t xml:space="preserve"> </w:t>
      </w:r>
      <w:r w:rsidRPr="000677EC">
        <w:rPr>
          <w:rFonts w:cstheme="minorHAnsi"/>
          <w:b/>
          <w:bCs/>
        </w:rPr>
        <w:t>(Botswana Time)</w:t>
      </w:r>
      <w:r w:rsidRPr="00E2758F">
        <w:rPr>
          <w:rFonts w:cstheme="minorHAnsi"/>
        </w:rPr>
        <w:t xml:space="preserve">  </w:t>
      </w:r>
    </w:p>
    <w:p w14:paraId="24D71673" w14:textId="77777777" w:rsidR="00181B6A" w:rsidRPr="00E2758F" w:rsidRDefault="00181B6A" w:rsidP="00181B6A">
      <w:pPr>
        <w:pStyle w:val="ListParagraph"/>
        <w:ind w:left="0"/>
        <w:jc w:val="both"/>
        <w:rPr>
          <w:rFonts w:cstheme="minorHAnsi"/>
        </w:rPr>
      </w:pPr>
      <w:r w:rsidRPr="00E2758F">
        <w:rPr>
          <w:rFonts w:cstheme="minorHAnsi"/>
        </w:rPr>
        <w:t>to:</w:t>
      </w:r>
      <w:r w:rsidRPr="00E2758F">
        <w:rPr>
          <w:rFonts w:cstheme="minorHAnsi"/>
        </w:rPr>
        <w:tab/>
        <w:t>The Resident Representative</w:t>
      </w:r>
    </w:p>
    <w:p w14:paraId="6A850920" w14:textId="77777777" w:rsidR="00181B6A" w:rsidRPr="00E2758F" w:rsidRDefault="00181B6A" w:rsidP="00181B6A">
      <w:pPr>
        <w:pStyle w:val="ListParagraph"/>
        <w:ind w:left="0" w:firstLine="720"/>
        <w:jc w:val="both"/>
        <w:rPr>
          <w:rFonts w:cstheme="minorHAnsi"/>
        </w:rPr>
      </w:pPr>
      <w:r w:rsidRPr="00E2758F">
        <w:rPr>
          <w:rFonts w:cstheme="minorHAnsi"/>
        </w:rPr>
        <w:t xml:space="preserve">United Nations Development </w:t>
      </w:r>
      <w:proofErr w:type="spellStart"/>
      <w:r w:rsidRPr="00E2758F">
        <w:rPr>
          <w:rFonts w:cstheme="minorHAnsi"/>
        </w:rPr>
        <w:t>Programme</w:t>
      </w:r>
      <w:proofErr w:type="spellEnd"/>
    </w:p>
    <w:p w14:paraId="0CBBF82E" w14:textId="77777777" w:rsidR="00181B6A" w:rsidRPr="00E2758F" w:rsidRDefault="00181B6A" w:rsidP="00181B6A">
      <w:pPr>
        <w:pStyle w:val="ListParagraph"/>
        <w:ind w:left="0" w:firstLine="720"/>
        <w:jc w:val="both"/>
        <w:rPr>
          <w:rFonts w:cstheme="minorHAnsi"/>
        </w:rPr>
      </w:pPr>
      <w:r w:rsidRPr="00E2758F">
        <w:rPr>
          <w:rFonts w:cstheme="minorHAnsi"/>
        </w:rPr>
        <w:t>P.O. Box 54</w:t>
      </w:r>
    </w:p>
    <w:p w14:paraId="222CB13D" w14:textId="77777777" w:rsidR="00181B6A" w:rsidRPr="00E2758F" w:rsidRDefault="00181B6A" w:rsidP="00181B6A">
      <w:pPr>
        <w:pStyle w:val="ListParagraph"/>
        <w:ind w:left="0" w:firstLine="720"/>
        <w:jc w:val="both"/>
        <w:rPr>
          <w:rFonts w:cstheme="minorHAnsi"/>
        </w:rPr>
      </w:pPr>
      <w:r w:rsidRPr="00E2758F">
        <w:rPr>
          <w:rFonts w:cstheme="minorHAnsi"/>
        </w:rPr>
        <w:t>Gaborone</w:t>
      </w:r>
    </w:p>
    <w:p w14:paraId="2798314D" w14:textId="77777777" w:rsidR="00181B6A" w:rsidRPr="00E2758F" w:rsidRDefault="00181B6A" w:rsidP="00181B6A">
      <w:pPr>
        <w:pStyle w:val="ListParagraph"/>
        <w:ind w:left="0"/>
        <w:jc w:val="both"/>
        <w:rPr>
          <w:rFonts w:cstheme="minorHAnsi"/>
        </w:rPr>
      </w:pPr>
    </w:p>
    <w:p w14:paraId="14A81D09" w14:textId="26017F5F" w:rsidR="00181B6A" w:rsidRDefault="00181B6A" w:rsidP="00181B6A">
      <w:pPr>
        <w:pStyle w:val="ListParagraph"/>
        <w:ind w:left="0"/>
        <w:jc w:val="both"/>
        <w:rPr>
          <w:rFonts w:cstheme="minorHAnsi"/>
        </w:rPr>
      </w:pPr>
      <w:r w:rsidRPr="00E2758F">
        <w:rPr>
          <w:rFonts w:cstheme="minorHAnsi"/>
        </w:rPr>
        <w:t xml:space="preserve">or by email to: </w:t>
      </w:r>
      <w:hyperlink r:id="rId12" w:history="1">
        <w:r w:rsidR="000911A7" w:rsidRPr="007B0FAA">
          <w:rPr>
            <w:rStyle w:val="Hyperlink"/>
            <w:rFonts w:cstheme="minorHAnsi"/>
          </w:rPr>
          <w:t>procurement.bw@undp.org</w:t>
        </w:r>
      </w:hyperlink>
    </w:p>
    <w:p w14:paraId="106E8F61" w14:textId="77777777" w:rsidR="00181B6A" w:rsidRPr="00E2758F" w:rsidRDefault="00181B6A" w:rsidP="00181B6A">
      <w:pPr>
        <w:pStyle w:val="ListParagraph"/>
        <w:ind w:left="0"/>
        <w:jc w:val="both"/>
        <w:rPr>
          <w:rFonts w:cstheme="minorHAnsi"/>
        </w:rPr>
      </w:pPr>
    </w:p>
    <w:p w14:paraId="7C7F3D0C" w14:textId="7DE28E02" w:rsidR="00181B6A" w:rsidRDefault="00181B6A" w:rsidP="00181B6A">
      <w:pPr>
        <w:pStyle w:val="ListParagraph"/>
        <w:ind w:left="0"/>
        <w:jc w:val="both"/>
        <w:rPr>
          <w:rFonts w:cstheme="minorHAnsi"/>
        </w:rPr>
      </w:pPr>
      <w:r w:rsidRPr="00E2758F">
        <w:rPr>
          <w:rFonts w:cstheme="minorHAnsi"/>
        </w:rPr>
        <w:t xml:space="preserve">Any request for clarification must be sent in writing, or by standard electronic communication to the address or e-mailed to </w:t>
      </w:r>
      <w:hyperlink r:id="rId13" w:history="1">
        <w:r w:rsidR="000911A7" w:rsidRPr="007B0FAA">
          <w:rPr>
            <w:rStyle w:val="Hyperlink"/>
            <w:rFonts w:cstheme="minorHAnsi"/>
          </w:rPr>
          <w:t>enquiries.bw@undp.org</w:t>
        </w:r>
      </w:hyperlink>
      <w:r w:rsidR="000911A7">
        <w:rPr>
          <w:rFonts w:cstheme="minorHAnsi"/>
        </w:rPr>
        <w:t xml:space="preserve"> </w:t>
      </w:r>
      <w:r w:rsidRPr="00E2758F">
        <w:rPr>
          <w:rFonts w:cstheme="minorHAnsi"/>
        </w:rPr>
        <w:t xml:space="preserve"> UNDP Botswana will respond in writing or by standard electronic mail and will send written copies of the response, including an explanation of the query without identifying the source of the inquiry to all prospective facilitators.</w:t>
      </w:r>
    </w:p>
    <w:p w14:paraId="320940AA" w14:textId="77777777" w:rsidR="00CA5DB9" w:rsidRPr="00E2758F" w:rsidRDefault="00CA5DB9" w:rsidP="00181B6A">
      <w:pPr>
        <w:pStyle w:val="ListParagraph"/>
        <w:ind w:left="0"/>
        <w:jc w:val="both"/>
        <w:rPr>
          <w:rFonts w:cstheme="minorHAnsi"/>
        </w:rPr>
      </w:pPr>
    </w:p>
    <w:p w14:paraId="5569BF18" w14:textId="29976559" w:rsidR="00181B6A" w:rsidRDefault="00181B6A" w:rsidP="00181B6A">
      <w:pPr>
        <w:pStyle w:val="ListParagraph"/>
        <w:ind w:left="0"/>
        <w:jc w:val="both"/>
        <w:rPr>
          <w:rFonts w:cstheme="minorHAnsi"/>
        </w:rPr>
      </w:pPr>
      <w:r w:rsidRPr="00E2758F">
        <w:rPr>
          <w:rFonts w:cstheme="minorHAnsi"/>
          <w:b/>
        </w:rPr>
        <w:t>NOTE:</w:t>
      </w:r>
      <w:r w:rsidRPr="00E2758F">
        <w:rPr>
          <w:rFonts w:cstheme="minorHAnsi"/>
        </w:rPr>
        <w:t xml:space="preserve"> </w:t>
      </w:r>
      <w:r w:rsidRPr="00E2758F">
        <w:rPr>
          <w:rFonts w:cstheme="minorHAnsi"/>
          <w:i/>
        </w:rPr>
        <w:t>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r w:rsidRPr="00E2758F">
        <w:rPr>
          <w:rFonts w:cstheme="minorHAnsi"/>
        </w:rPr>
        <w:t>.</w:t>
      </w:r>
    </w:p>
    <w:p w14:paraId="3017C73F" w14:textId="77777777" w:rsidR="000677EC" w:rsidRPr="00E2758F" w:rsidRDefault="000677EC" w:rsidP="00181B6A">
      <w:pPr>
        <w:pStyle w:val="ListParagraph"/>
        <w:ind w:left="0"/>
        <w:jc w:val="both"/>
        <w:rPr>
          <w:rFonts w:cstheme="minorHAnsi"/>
        </w:rPr>
      </w:pPr>
    </w:p>
    <w:bookmarkEnd w:id="0"/>
    <w:p w14:paraId="7A434916" w14:textId="77777777" w:rsidR="009E2B22" w:rsidRPr="00E102F5" w:rsidRDefault="009E2B22" w:rsidP="009E2B22">
      <w:pPr>
        <w:tabs>
          <w:tab w:val="left" w:pos="1410"/>
        </w:tabs>
        <w:rPr>
          <w:b/>
          <w:lang w:val="en-GB"/>
        </w:rPr>
      </w:pPr>
      <w:r w:rsidRPr="00E102F5">
        <w:rPr>
          <w:b/>
          <w:lang w:val="en-GB"/>
        </w:rPr>
        <w:lastRenderedPageBreak/>
        <w:t>1. BACKGROUND</w:t>
      </w:r>
    </w:p>
    <w:tbl>
      <w:tblPr>
        <w:tblStyle w:val="TableGrid"/>
        <w:tblW w:w="0" w:type="auto"/>
        <w:tblLook w:val="04A0" w:firstRow="1" w:lastRow="0" w:firstColumn="1" w:lastColumn="0" w:noHBand="0" w:noVBand="1"/>
      </w:tblPr>
      <w:tblGrid>
        <w:gridCol w:w="9350"/>
      </w:tblGrid>
      <w:tr w:rsidR="0065710B" w:rsidRPr="00E102F5" w14:paraId="636C0A71" w14:textId="77777777" w:rsidTr="0065710B">
        <w:tc>
          <w:tcPr>
            <w:tcW w:w="9576" w:type="dxa"/>
          </w:tcPr>
          <w:p w14:paraId="0257DB04" w14:textId="77777777" w:rsidR="00B669B3" w:rsidRPr="00E102F5" w:rsidRDefault="00B669B3" w:rsidP="00E102F5">
            <w:pPr>
              <w:spacing w:after="120"/>
              <w:jc w:val="both"/>
              <w:rPr>
                <w:rFonts w:eastAsia="Calibri" w:cs="Arial"/>
                <w:szCs w:val="20"/>
                <w:lang w:val="en-GB"/>
              </w:rPr>
            </w:pPr>
            <w:r w:rsidRPr="00E102F5">
              <w:rPr>
                <w:rFonts w:eastAsia="Calibri" w:cs="Arial"/>
                <w:szCs w:val="20"/>
                <w:lang w:val="en-GB"/>
              </w:rPr>
              <w:t>The Government of Botswana is seeking to build national law reform capacity to ensure law reform processes are nationally led and support the achievement of national strategic priorities.  In 2010, Cabinet approved the establishment of a Law Reform Division at the Attorney General’s Chambers. In October 2017, Cabinet decided to proceed with the establishment of a Law Reform Unit under the Legislative Drafting Division at the Attorney General’s Chambers</w:t>
            </w:r>
            <w:r w:rsidR="00916ACF" w:rsidRPr="00E102F5">
              <w:rPr>
                <w:rFonts w:eastAsia="Calibri" w:cs="Arial"/>
                <w:szCs w:val="20"/>
                <w:lang w:val="en-GB"/>
              </w:rPr>
              <w:t xml:space="preserve">.  </w:t>
            </w:r>
            <w:r w:rsidRPr="00E102F5">
              <w:rPr>
                <w:rFonts w:eastAsia="Calibri" w:cs="Arial"/>
                <w:szCs w:val="20"/>
                <w:lang w:val="en-GB"/>
              </w:rPr>
              <w:t>The Law Reform Unit is essential for the realisation of Government’s large and complex law reform projects which underpin the National Development Plan 11 (NDP 11) and achievement of Sustainable Development Goals (SDGs) and</w:t>
            </w:r>
            <w:r w:rsidR="00916ACF" w:rsidRPr="00E102F5">
              <w:rPr>
                <w:rFonts w:eastAsia="Calibri" w:cs="Arial"/>
                <w:szCs w:val="20"/>
                <w:lang w:val="en-GB"/>
              </w:rPr>
              <w:t>,</w:t>
            </w:r>
            <w:r w:rsidRPr="00E102F5">
              <w:rPr>
                <w:rFonts w:eastAsia="Calibri" w:cs="Arial"/>
                <w:szCs w:val="20"/>
                <w:lang w:val="en-GB"/>
              </w:rPr>
              <w:t xml:space="preserve"> as such, its establishment is a Government priority.</w:t>
            </w:r>
          </w:p>
          <w:p w14:paraId="7F79CC0A" w14:textId="73371DDC" w:rsidR="00B669B3" w:rsidRPr="00E102F5" w:rsidRDefault="00B669B3" w:rsidP="00E102F5">
            <w:pPr>
              <w:spacing w:after="120"/>
              <w:jc w:val="both"/>
              <w:rPr>
                <w:rFonts w:eastAsia="Calibri" w:cs="Arial"/>
                <w:szCs w:val="20"/>
                <w:lang w:val="en-GB"/>
              </w:rPr>
            </w:pPr>
            <w:r w:rsidRPr="00E102F5">
              <w:rPr>
                <w:rFonts w:eastAsia="Calibri" w:cs="Arial"/>
                <w:szCs w:val="20"/>
                <w:lang w:val="en-GB"/>
              </w:rPr>
              <w:t xml:space="preserve">The Government of Botswana and UNDP </w:t>
            </w:r>
            <w:r w:rsidR="004D087E">
              <w:rPr>
                <w:rFonts w:eastAsia="Calibri" w:cs="Arial"/>
                <w:szCs w:val="20"/>
                <w:lang w:val="en-GB"/>
              </w:rPr>
              <w:t>is</w:t>
            </w:r>
            <w:r w:rsidRPr="00E102F5">
              <w:rPr>
                <w:rFonts w:eastAsia="Calibri" w:cs="Arial"/>
                <w:szCs w:val="20"/>
                <w:lang w:val="en-GB"/>
              </w:rPr>
              <w:t xml:space="preserve"> implement</w:t>
            </w:r>
            <w:r w:rsidR="004D087E">
              <w:rPr>
                <w:rFonts w:eastAsia="Calibri" w:cs="Arial"/>
                <w:szCs w:val="20"/>
                <w:lang w:val="en-GB"/>
              </w:rPr>
              <w:t>ing</w:t>
            </w:r>
            <w:bookmarkStart w:id="1" w:name="_GoBack"/>
            <w:bookmarkEnd w:id="1"/>
            <w:r w:rsidRPr="00E102F5">
              <w:rPr>
                <w:rFonts w:eastAsia="Calibri" w:cs="Arial"/>
                <w:szCs w:val="20"/>
                <w:lang w:val="en-GB"/>
              </w:rPr>
              <w:t xml:space="preserve"> the “Support to the </w:t>
            </w:r>
            <w:proofErr w:type="spellStart"/>
            <w:r w:rsidRPr="00E102F5">
              <w:rPr>
                <w:rFonts w:eastAsia="Calibri" w:cs="Arial"/>
                <w:szCs w:val="20"/>
                <w:lang w:val="en-GB"/>
              </w:rPr>
              <w:t>Fulfillment</w:t>
            </w:r>
            <w:proofErr w:type="spellEnd"/>
            <w:r w:rsidRPr="00E102F5">
              <w:rPr>
                <w:rFonts w:eastAsia="Calibri" w:cs="Arial"/>
                <w:szCs w:val="20"/>
                <w:lang w:val="en-GB"/>
              </w:rPr>
              <w:t xml:space="preserve"> of Human Rights, Access to Justice and Empowerment of Youth and Women Project” (2018</w:t>
            </w:r>
            <w:r w:rsidR="00916ACF" w:rsidRPr="00E102F5">
              <w:rPr>
                <w:rFonts w:eastAsia="Calibri" w:cs="Arial"/>
                <w:szCs w:val="20"/>
                <w:lang w:val="en-GB"/>
              </w:rPr>
              <w:t>-</w:t>
            </w:r>
            <w:r w:rsidRPr="00E102F5">
              <w:rPr>
                <w:rFonts w:eastAsia="Calibri" w:cs="Arial"/>
                <w:szCs w:val="20"/>
                <w:lang w:val="en-GB"/>
              </w:rPr>
              <w:t>2021) (the Project).  The objective of the Project is to provide advisory and technical support to the Government to strengthen and enhance its capacity to respect, protect and fulfil human rights, enhance the accessibility of the justice system and empower youth and women. The expected outcomes of the Project are more effective human rights mechanisms and domestication of human rights and a justice system that fosters inclusive growth and development and provides opportunities for youth and women to participate in this inclusive growth. The Project is guided by the Government’s national development priorities and goals as articulated in Vision 2036, NDP 11, SDGs, United Nations Sustainable Development Framework (UNSDF) (2017</w:t>
            </w:r>
            <w:r w:rsidR="00916ACF" w:rsidRPr="00E102F5">
              <w:rPr>
                <w:rFonts w:eastAsia="Calibri" w:cs="Arial"/>
                <w:szCs w:val="20"/>
                <w:lang w:val="en-GB"/>
              </w:rPr>
              <w:t>-</w:t>
            </w:r>
            <w:r w:rsidRPr="00E102F5">
              <w:rPr>
                <w:rFonts w:eastAsia="Calibri" w:cs="Arial"/>
                <w:szCs w:val="20"/>
                <w:lang w:val="en-GB"/>
              </w:rPr>
              <w:t>2021) and the UNDP Country Programme Document (CPD) (2017-2021).</w:t>
            </w:r>
          </w:p>
          <w:p w14:paraId="7E95A68C" w14:textId="77777777" w:rsidR="00B669B3" w:rsidRPr="00E102F5" w:rsidRDefault="00B669B3" w:rsidP="00E102F5">
            <w:pPr>
              <w:widowControl w:val="0"/>
              <w:spacing w:after="120"/>
              <w:jc w:val="both"/>
              <w:rPr>
                <w:rFonts w:eastAsia="Calibri" w:cs="Arial"/>
                <w:szCs w:val="20"/>
                <w:lang w:val="en-GB"/>
              </w:rPr>
            </w:pPr>
            <w:r w:rsidRPr="00E102F5">
              <w:rPr>
                <w:rFonts w:eastAsia="Calibri" w:cs="Arial"/>
                <w:szCs w:val="20"/>
                <w:lang w:val="en-GB"/>
              </w:rPr>
              <w:t xml:space="preserve">Under the auspices of the Project, the Attorney General’s Chambers has requested UNDP to provide technical support to establish the Law Reform Unit. </w:t>
            </w:r>
          </w:p>
          <w:p w14:paraId="4E2356FF" w14:textId="77777777" w:rsidR="009E4A6C" w:rsidRPr="00E102F5" w:rsidRDefault="009E4A6C" w:rsidP="00E102F5">
            <w:pPr>
              <w:jc w:val="both"/>
              <w:rPr>
                <w:rFonts w:cs="Arial"/>
                <w:szCs w:val="20"/>
                <w:lang w:val="en-GB"/>
              </w:rPr>
            </w:pPr>
            <w:r w:rsidRPr="00E102F5">
              <w:rPr>
                <w:rFonts w:cs="Arial"/>
                <w:szCs w:val="20"/>
                <w:lang w:val="en-GB"/>
              </w:rPr>
              <w:t xml:space="preserve">The establishment of a Law Reform Unit with capacity to conduct high quality, </w:t>
            </w:r>
            <w:proofErr w:type="gramStart"/>
            <w:r w:rsidRPr="00E102F5">
              <w:rPr>
                <w:rFonts w:cs="Arial"/>
                <w:szCs w:val="20"/>
                <w:lang w:val="en-GB"/>
              </w:rPr>
              <w:t>nationally-led</w:t>
            </w:r>
            <w:proofErr w:type="gramEnd"/>
            <w:r w:rsidRPr="00E102F5">
              <w:rPr>
                <w:rFonts w:cs="Arial"/>
                <w:szCs w:val="20"/>
                <w:lang w:val="en-GB"/>
              </w:rPr>
              <w:t xml:space="preserve"> law reform processes will contribute to:</w:t>
            </w:r>
          </w:p>
          <w:p w14:paraId="3CCD6481" w14:textId="77777777" w:rsidR="009E4A6C" w:rsidRPr="00E102F5" w:rsidRDefault="00916ACF" w:rsidP="00E102F5">
            <w:pPr>
              <w:numPr>
                <w:ilvl w:val="0"/>
                <w:numId w:val="14"/>
              </w:numPr>
              <w:jc w:val="both"/>
              <w:rPr>
                <w:rFonts w:cs="Arial"/>
                <w:szCs w:val="20"/>
                <w:lang w:val="en-GB"/>
              </w:rPr>
            </w:pPr>
            <w:r w:rsidRPr="00E102F5">
              <w:rPr>
                <w:rFonts w:cs="Arial"/>
                <w:szCs w:val="20"/>
                <w:lang w:val="en-GB"/>
              </w:rPr>
              <w:t>E</w:t>
            </w:r>
            <w:r w:rsidR="009E4A6C" w:rsidRPr="00E102F5">
              <w:rPr>
                <w:rFonts w:cs="Arial"/>
                <w:szCs w:val="20"/>
                <w:lang w:val="en-GB"/>
              </w:rPr>
              <w:t>nsuring that Botswana’s laws are modern, complete and reflect Botswana’s unique legal context and national policy objectives;</w:t>
            </w:r>
          </w:p>
          <w:p w14:paraId="2E9589F9" w14:textId="77777777" w:rsidR="009E4A6C" w:rsidRPr="00E102F5" w:rsidRDefault="00916ACF" w:rsidP="00E102F5">
            <w:pPr>
              <w:numPr>
                <w:ilvl w:val="0"/>
                <w:numId w:val="14"/>
              </w:numPr>
              <w:jc w:val="both"/>
              <w:rPr>
                <w:rFonts w:cs="Arial"/>
                <w:szCs w:val="20"/>
                <w:lang w:val="en-GB"/>
              </w:rPr>
            </w:pPr>
            <w:r w:rsidRPr="00E102F5">
              <w:rPr>
                <w:rFonts w:cs="Arial"/>
                <w:szCs w:val="20"/>
                <w:lang w:val="en-GB"/>
              </w:rPr>
              <w:t>I</w:t>
            </w:r>
            <w:r w:rsidR="009E4A6C" w:rsidRPr="00E102F5">
              <w:rPr>
                <w:rFonts w:cs="Arial"/>
                <w:szCs w:val="20"/>
                <w:lang w:val="en-GB"/>
              </w:rPr>
              <w:t>mproved capacities to plan for delivery, identify and resolve implementation challenges and account for the delivery of quality interventions to deepen democracy outcomes and strengthen governance institutions (UNSDF 2.4);</w:t>
            </w:r>
          </w:p>
          <w:p w14:paraId="39DAD885" w14:textId="77777777" w:rsidR="009E4A6C" w:rsidRPr="00E102F5" w:rsidRDefault="00916ACF" w:rsidP="00E102F5">
            <w:pPr>
              <w:numPr>
                <w:ilvl w:val="0"/>
                <w:numId w:val="14"/>
              </w:numPr>
              <w:jc w:val="both"/>
              <w:rPr>
                <w:rFonts w:cs="Arial"/>
                <w:szCs w:val="20"/>
                <w:lang w:val="en-GB"/>
              </w:rPr>
            </w:pPr>
            <w:r w:rsidRPr="00E102F5">
              <w:rPr>
                <w:rFonts w:cs="Arial"/>
                <w:szCs w:val="20"/>
                <w:lang w:val="en-GB"/>
              </w:rPr>
              <w:t>R</w:t>
            </w:r>
            <w:r w:rsidR="009E4A6C" w:rsidRPr="00E102F5">
              <w:rPr>
                <w:rFonts w:cs="Arial"/>
                <w:szCs w:val="20"/>
                <w:lang w:val="en-GB"/>
              </w:rPr>
              <w:t>eali</w:t>
            </w:r>
            <w:r w:rsidR="00E102F5">
              <w:rPr>
                <w:rFonts w:cs="Arial"/>
                <w:szCs w:val="20"/>
                <w:lang w:val="en-GB"/>
              </w:rPr>
              <w:t>s</w:t>
            </w:r>
            <w:r w:rsidR="009E4A6C" w:rsidRPr="00E102F5">
              <w:rPr>
                <w:rFonts w:cs="Arial"/>
                <w:szCs w:val="20"/>
                <w:lang w:val="en-GB"/>
              </w:rPr>
              <w:t>ation of NDP11 and SDG 16 targets related to effective, accountable and transparent institutions and responsive, inclusive, participatory and representative decision-making; and</w:t>
            </w:r>
          </w:p>
          <w:p w14:paraId="1BB12F99" w14:textId="77777777" w:rsidR="009E4A6C" w:rsidRPr="00E102F5" w:rsidRDefault="00E102F5" w:rsidP="00EC517B">
            <w:pPr>
              <w:numPr>
                <w:ilvl w:val="0"/>
                <w:numId w:val="14"/>
              </w:numPr>
              <w:spacing w:after="120"/>
              <w:jc w:val="both"/>
              <w:rPr>
                <w:rFonts w:cs="Arial"/>
                <w:szCs w:val="20"/>
                <w:lang w:val="en-GB"/>
              </w:rPr>
            </w:pPr>
            <w:r>
              <w:rPr>
                <w:rFonts w:cs="Arial"/>
                <w:szCs w:val="20"/>
                <w:lang w:val="en-GB"/>
              </w:rPr>
              <w:t>C</w:t>
            </w:r>
            <w:r w:rsidR="009E4A6C" w:rsidRPr="00E102F5">
              <w:rPr>
                <w:rFonts w:cs="Arial"/>
                <w:szCs w:val="20"/>
                <w:lang w:val="en-GB"/>
              </w:rPr>
              <w:t xml:space="preserve">reating an enabling environment for sustainable economic growth through sound legal frameworks that are necessary to achieve a range of other NDP11 and SDG targets. </w:t>
            </w:r>
          </w:p>
          <w:p w14:paraId="777BCCC8" w14:textId="07385C7E" w:rsidR="0065710B" w:rsidRPr="00E102F5" w:rsidRDefault="0090162A" w:rsidP="00EC517B">
            <w:pPr>
              <w:widowControl w:val="0"/>
              <w:spacing w:after="120"/>
              <w:jc w:val="both"/>
              <w:rPr>
                <w:lang w:val="en-GB"/>
              </w:rPr>
            </w:pPr>
            <w:r>
              <w:rPr>
                <w:rFonts w:eastAsia="Calibri" w:cs="Arial"/>
                <w:szCs w:val="20"/>
                <w:lang w:val="en-GB"/>
              </w:rPr>
              <w:t xml:space="preserve">A Law Reform Strategy, with an implementation plan, was developed and adopted in March 2020. </w:t>
            </w:r>
            <w:r w:rsidR="009E4A6C" w:rsidRPr="00E102F5">
              <w:rPr>
                <w:rFonts w:eastAsia="Calibri" w:cs="Arial"/>
                <w:szCs w:val="20"/>
                <w:lang w:val="en-GB"/>
              </w:rPr>
              <w:t>The Technical Adviser (Law Reform</w:t>
            </w:r>
            <w:r w:rsidR="00E102F5">
              <w:rPr>
                <w:rFonts w:eastAsia="Calibri" w:cs="Arial"/>
                <w:szCs w:val="20"/>
                <w:lang w:val="en-GB"/>
              </w:rPr>
              <w:t xml:space="preserve"> Unit</w:t>
            </w:r>
            <w:r w:rsidR="009E4A6C" w:rsidRPr="00E102F5">
              <w:rPr>
                <w:rFonts w:eastAsia="Calibri" w:cs="Arial"/>
                <w:szCs w:val="20"/>
                <w:lang w:val="en-GB"/>
              </w:rPr>
              <w:t xml:space="preserve">) will spearhead the implementation of </w:t>
            </w:r>
            <w:r w:rsidR="00E102F5">
              <w:rPr>
                <w:rFonts w:eastAsia="Calibri" w:cs="Arial"/>
                <w:szCs w:val="20"/>
                <w:lang w:val="en-GB"/>
              </w:rPr>
              <w:t>the Law Reform Strategy</w:t>
            </w:r>
            <w:r w:rsidR="009E4A6C" w:rsidRPr="00E102F5">
              <w:rPr>
                <w:rFonts w:eastAsia="Calibri" w:cs="Arial"/>
                <w:szCs w:val="20"/>
                <w:lang w:val="en-GB"/>
              </w:rPr>
              <w:t xml:space="preserve"> to establish the Law Reform Unit within the Legislative Drafting Division of the Attorney General’s Chambers. </w:t>
            </w:r>
            <w:r w:rsidR="009F04D5" w:rsidRPr="00E102F5">
              <w:rPr>
                <w:rFonts w:eastAsia="Calibri" w:cs="Arial"/>
                <w:szCs w:val="20"/>
                <w:lang w:val="en-GB"/>
              </w:rPr>
              <w:t>The Technical Adviser (Law Reform</w:t>
            </w:r>
            <w:r w:rsidR="009F04D5">
              <w:rPr>
                <w:rFonts w:eastAsia="Calibri" w:cs="Arial"/>
                <w:szCs w:val="20"/>
                <w:lang w:val="en-GB"/>
              </w:rPr>
              <w:t xml:space="preserve"> Unit</w:t>
            </w:r>
            <w:r w:rsidR="009F04D5" w:rsidRPr="00E102F5">
              <w:rPr>
                <w:rFonts w:eastAsia="Calibri" w:cs="Arial"/>
                <w:szCs w:val="20"/>
                <w:lang w:val="en-GB"/>
              </w:rPr>
              <w:t>) will also provide technical advice to build institutional and staff capacity and strengthen networks</w:t>
            </w:r>
            <w:r w:rsidR="009E4A6C" w:rsidRPr="00E102F5">
              <w:rPr>
                <w:rFonts w:eastAsia="Calibri" w:cs="Arial"/>
                <w:szCs w:val="20"/>
                <w:lang w:val="en-GB"/>
              </w:rPr>
              <w:t xml:space="preserve">. </w:t>
            </w:r>
            <w:r w:rsidR="00B669B3" w:rsidRPr="00E102F5">
              <w:rPr>
                <w:rFonts w:eastAsia="Calibri" w:cs="Arial"/>
                <w:szCs w:val="20"/>
                <w:lang w:val="en-GB"/>
              </w:rPr>
              <w:t>The Technical Adviser (Law Reform</w:t>
            </w:r>
            <w:r w:rsidR="00E102F5">
              <w:rPr>
                <w:rFonts w:eastAsia="Calibri" w:cs="Arial"/>
                <w:szCs w:val="20"/>
                <w:lang w:val="en-GB"/>
              </w:rPr>
              <w:t xml:space="preserve"> Unit</w:t>
            </w:r>
            <w:r w:rsidR="00B669B3" w:rsidRPr="00E102F5">
              <w:rPr>
                <w:rFonts w:eastAsia="Calibri" w:cs="Arial"/>
                <w:szCs w:val="20"/>
                <w:lang w:val="en-GB"/>
              </w:rPr>
              <w:t xml:space="preserve">) will report to the Attorney General and the UNDP Resident Representative in close coordination with the </w:t>
            </w:r>
            <w:r w:rsidR="004336E4" w:rsidRPr="00E102F5">
              <w:rPr>
                <w:rFonts w:eastAsia="Calibri" w:cs="Arial"/>
                <w:szCs w:val="20"/>
                <w:lang w:val="en-GB"/>
              </w:rPr>
              <w:t xml:space="preserve">UNDP </w:t>
            </w:r>
            <w:r w:rsidR="00E102F5">
              <w:rPr>
                <w:rFonts w:eastAsia="Calibri" w:cs="Arial"/>
                <w:szCs w:val="20"/>
                <w:lang w:val="en-GB"/>
              </w:rPr>
              <w:t>Governance</w:t>
            </w:r>
            <w:r w:rsidR="00B669B3" w:rsidRPr="00E102F5">
              <w:rPr>
                <w:rFonts w:eastAsia="Calibri" w:cs="Arial"/>
                <w:szCs w:val="20"/>
                <w:lang w:val="en-GB"/>
              </w:rPr>
              <w:t xml:space="preserve"> Specialist.</w:t>
            </w:r>
            <w:r w:rsidR="00B64FB5" w:rsidRPr="00E102F5">
              <w:rPr>
                <w:rFonts w:eastAsia="Calibri" w:cs="Arial"/>
                <w:szCs w:val="20"/>
                <w:lang w:val="en-GB"/>
              </w:rPr>
              <w:t xml:space="preserve">  The Technical </w:t>
            </w:r>
            <w:r w:rsidR="00E102F5">
              <w:rPr>
                <w:rFonts w:eastAsia="Calibri" w:cs="Arial"/>
                <w:szCs w:val="20"/>
                <w:lang w:val="en-GB"/>
              </w:rPr>
              <w:t>A</w:t>
            </w:r>
            <w:r w:rsidR="00B64FB5" w:rsidRPr="00E102F5">
              <w:rPr>
                <w:rFonts w:eastAsia="Calibri" w:cs="Arial"/>
                <w:szCs w:val="20"/>
                <w:lang w:val="en-GB"/>
              </w:rPr>
              <w:t>dviser will work 1</w:t>
            </w:r>
            <w:r w:rsidR="00E102F5">
              <w:rPr>
                <w:rFonts w:eastAsia="Calibri" w:cs="Arial"/>
                <w:szCs w:val="20"/>
                <w:lang w:val="en-GB"/>
              </w:rPr>
              <w:t>2</w:t>
            </w:r>
            <w:r w:rsidR="00B64FB5" w:rsidRPr="00E102F5">
              <w:rPr>
                <w:rFonts w:eastAsia="Calibri" w:cs="Arial"/>
                <w:szCs w:val="20"/>
                <w:lang w:val="en-GB"/>
              </w:rPr>
              <w:t xml:space="preserve">0 days over </w:t>
            </w:r>
            <w:proofErr w:type="gramStart"/>
            <w:r w:rsidR="00B64FB5" w:rsidRPr="00E102F5">
              <w:rPr>
                <w:rFonts w:eastAsia="Calibri" w:cs="Arial"/>
                <w:szCs w:val="20"/>
                <w:lang w:val="en-GB"/>
              </w:rPr>
              <w:t>an</w:t>
            </w:r>
            <w:proofErr w:type="gramEnd"/>
            <w:r w:rsidR="00B64FB5" w:rsidRPr="00E102F5">
              <w:rPr>
                <w:rFonts w:eastAsia="Calibri" w:cs="Arial"/>
                <w:szCs w:val="20"/>
                <w:lang w:val="en-GB"/>
              </w:rPr>
              <w:t xml:space="preserve"> 1</w:t>
            </w:r>
            <w:r w:rsidR="00E102F5">
              <w:rPr>
                <w:rFonts w:eastAsia="Calibri" w:cs="Arial"/>
                <w:szCs w:val="20"/>
                <w:lang w:val="en-GB"/>
              </w:rPr>
              <w:t>2</w:t>
            </w:r>
            <w:r w:rsidR="00B64FB5" w:rsidRPr="00E102F5">
              <w:rPr>
                <w:rFonts w:eastAsia="Calibri" w:cs="Arial"/>
                <w:szCs w:val="20"/>
                <w:lang w:val="en-GB"/>
              </w:rPr>
              <w:t xml:space="preserve"> month period, on the basis of an agreed workplan and deliverables. </w:t>
            </w:r>
            <w:r w:rsidR="000A14CC" w:rsidRPr="00E102F5">
              <w:rPr>
                <w:rFonts w:eastAsia="Calibri" w:cs="Arial"/>
                <w:szCs w:val="20"/>
                <w:lang w:val="en-GB"/>
              </w:rPr>
              <w:t xml:space="preserve">The Technical </w:t>
            </w:r>
            <w:r w:rsidR="00487643">
              <w:rPr>
                <w:rFonts w:eastAsia="Calibri" w:cs="Arial"/>
                <w:szCs w:val="20"/>
                <w:lang w:val="en-GB"/>
              </w:rPr>
              <w:t>A</w:t>
            </w:r>
            <w:r w:rsidR="000A14CC" w:rsidRPr="00E102F5">
              <w:rPr>
                <w:rFonts w:eastAsia="Calibri" w:cs="Arial"/>
                <w:szCs w:val="20"/>
                <w:lang w:val="en-GB"/>
              </w:rPr>
              <w:t xml:space="preserve">dviser </w:t>
            </w:r>
            <w:r w:rsidR="00B64FB5" w:rsidRPr="00E102F5">
              <w:rPr>
                <w:rFonts w:eastAsia="Calibri" w:cs="Arial"/>
                <w:szCs w:val="20"/>
                <w:lang w:val="en-GB"/>
              </w:rPr>
              <w:t xml:space="preserve">will </w:t>
            </w:r>
            <w:r w:rsidR="008B4158" w:rsidRPr="00E102F5">
              <w:rPr>
                <w:rFonts w:eastAsia="Calibri" w:cs="Arial"/>
                <w:szCs w:val="20"/>
                <w:lang w:val="en-GB"/>
              </w:rPr>
              <w:t>work</w:t>
            </w:r>
            <w:r w:rsidR="00B64FB5" w:rsidRPr="00E102F5">
              <w:rPr>
                <w:rFonts w:eastAsia="Calibri" w:cs="Arial"/>
                <w:szCs w:val="20"/>
                <w:lang w:val="en-GB"/>
              </w:rPr>
              <w:t xml:space="preserve"> on site in Botswana</w:t>
            </w:r>
            <w:r w:rsidR="00487643">
              <w:rPr>
                <w:rFonts w:eastAsia="Calibri" w:cs="Arial"/>
                <w:szCs w:val="20"/>
                <w:lang w:val="en-GB"/>
              </w:rPr>
              <w:t xml:space="preserve"> for a period of 30 days per quarter, over the </w:t>
            </w:r>
            <w:proofErr w:type="gramStart"/>
            <w:r w:rsidR="00487643">
              <w:rPr>
                <w:rFonts w:eastAsia="Calibri" w:cs="Arial"/>
                <w:szCs w:val="20"/>
                <w:lang w:val="en-GB"/>
              </w:rPr>
              <w:t>12 month</w:t>
            </w:r>
            <w:proofErr w:type="gramEnd"/>
            <w:r w:rsidR="00487643">
              <w:rPr>
                <w:rFonts w:eastAsia="Calibri" w:cs="Arial"/>
                <w:szCs w:val="20"/>
                <w:lang w:val="en-GB"/>
              </w:rPr>
              <w:t xml:space="preserve"> period</w:t>
            </w:r>
            <w:r w:rsidR="00B64FB5" w:rsidRPr="00E102F5">
              <w:rPr>
                <w:rFonts w:eastAsia="Calibri" w:cs="Arial"/>
                <w:szCs w:val="20"/>
                <w:lang w:val="en-GB"/>
              </w:rPr>
              <w:t>.</w:t>
            </w:r>
          </w:p>
        </w:tc>
      </w:tr>
    </w:tbl>
    <w:p w14:paraId="42D97F92" w14:textId="77777777" w:rsidR="00EC517B" w:rsidRDefault="00EC517B" w:rsidP="00EC517B">
      <w:pPr>
        <w:spacing w:after="120" w:line="240" w:lineRule="auto"/>
        <w:rPr>
          <w:b/>
          <w:lang w:val="en-GB"/>
        </w:rPr>
      </w:pPr>
    </w:p>
    <w:p w14:paraId="2BD6A59B" w14:textId="77777777" w:rsidR="00807A6E" w:rsidRDefault="00807A6E" w:rsidP="00EC517B">
      <w:pPr>
        <w:spacing w:after="120" w:line="240" w:lineRule="auto"/>
        <w:rPr>
          <w:b/>
          <w:lang w:val="en-GB"/>
        </w:rPr>
      </w:pPr>
    </w:p>
    <w:p w14:paraId="4C25E686" w14:textId="77777777" w:rsidR="00807A6E" w:rsidRDefault="00807A6E" w:rsidP="00EC517B">
      <w:pPr>
        <w:spacing w:after="120" w:line="240" w:lineRule="auto"/>
        <w:rPr>
          <w:b/>
          <w:lang w:val="en-GB"/>
        </w:rPr>
      </w:pPr>
    </w:p>
    <w:p w14:paraId="2CFFDACF" w14:textId="649BE826" w:rsidR="00944F40" w:rsidRPr="00E102F5" w:rsidRDefault="00944F40" w:rsidP="00EC517B">
      <w:pPr>
        <w:spacing w:after="120" w:line="240" w:lineRule="auto"/>
        <w:rPr>
          <w:b/>
          <w:lang w:val="en-GB"/>
        </w:rPr>
      </w:pPr>
      <w:r w:rsidRPr="00E102F5">
        <w:rPr>
          <w:b/>
          <w:lang w:val="en-GB"/>
        </w:rPr>
        <w:lastRenderedPageBreak/>
        <w:t xml:space="preserve">2. SCOPE OF WORK, </w:t>
      </w:r>
      <w:r w:rsidR="00DE1432" w:rsidRPr="00E102F5">
        <w:rPr>
          <w:b/>
          <w:lang w:val="en-GB"/>
        </w:rPr>
        <w:t>RESPONSIBILITIES</w:t>
      </w:r>
      <w:r w:rsidRPr="00E102F5">
        <w:rPr>
          <w:b/>
          <w:lang w:val="en-GB"/>
        </w:rPr>
        <w:t xml:space="preserve"> AND DESCRIPTION OF THE PROPOSED</w:t>
      </w:r>
      <w:r w:rsidR="00487643">
        <w:rPr>
          <w:b/>
          <w:lang w:val="en-GB"/>
        </w:rPr>
        <w:t xml:space="preserve"> </w:t>
      </w:r>
      <w:r w:rsidRPr="00E102F5">
        <w:rPr>
          <w:b/>
          <w:lang w:val="en-GB"/>
        </w:rPr>
        <w:t xml:space="preserve">WORK </w:t>
      </w:r>
    </w:p>
    <w:tbl>
      <w:tblPr>
        <w:tblStyle w:val="TableGrid"/>
        <w:tblW w:w="0" w:type="auto"/>
        <w:tblLook w:val="04A0" w:firstRow="1" w:lastRow="0" w:firstColumn="1" w:lastColumn="0" w:noHBand="0" w:noVBand="1"/>
      </w:tblPr>
      <w:tblGrid>
        <w:gridCol w:w="9350"/>
      </w:tblGrid>
      <w:tr w:rsidR="000F0061" w:rsidRPr="00E102F5" w14:paraId="1F650B07" w14:textId="77777777" w:rsidTr="000F0061">
        <w:tc>
          <w:tcPr>
            <w:tcW w:w="9350" w:type="dxa"/>
          </w:tcPr>
          <w:p w14:paraId="6E79F7B6" w14:textId="67FBC2D1" w:rsidR="000F0061" w:rsidRPr="0090162A" w:rsidRDefault="000F0061" w:rsidP="00FD0362">
            <w:pPr>
              <w:pStyle w:val="ListParagraph"/>
              <w:numPr>
                <w:ilvl w:val="0"/>
                <w:numId w:val="21"/>
              </w:numPr>
              <w:spacing w:after="120"/>
              <w:ind w:left="714" w:hanging="357"/>
              <w:contextualSpacing w:val="0"/>
              <w:jc w:val="both"/>
              <w:rPr>
                <w:rFonts w:eastAsia="Times New Roman" w:cstheme="minorHAnsi"/>
                <w:b/>
                <w:lang w:val="en-GB"/>
              </w:rPr>
            </w:pPr>
            <w:r w:rsidRPr="0090162A">
              <w:rPr>
                <w:rFonts w:eastAsia="Times New Roman" w:cstheme="minorHAnsi"/>
                <w:b/>
                <w:lang w:val="en-GB"/>
              </w:rPr>
              <w:t xml:space="preserve">Lead the implementation of </w:t>
            </w:r>
            <w:r w:rsidR="00487643" w:rsidRPr="0090162A">
              <w:rPr>
                <w:rFonts w:eastAsia="Times New Roman" w:cstheme="minorHAnsi"/>
                <w:b/>
                <w:lang w:val="en-GB"/>
              </w:rPr>
              <w:t>the Law Reform S</w:t>
            </w:r>
            <w:r w:rsidRPr="0090162A">
              <w:rPr>
                <w:rFonts w:eastAsia="Times New Roman" w:cstheme="minorHAnsi"/>
                <w:b/>
                <w:lang w:val="en-GB"/>
              </w:rPr>
              <w:t xml:space="preserve">trategy </w:t>
            </w:r>
            <w:r w:rsidR="006A608F">
              <w:rPr>
                <w:rFonts w:eastAsia="Times New Roman" w:cstheme="minorHAnsi"/>
                <w:b/>
                <w:lang w:val="en-GB"/>
              </w:rPr>
              <w:t>w</w:t>
            </w:r>
            <w:r w:rsidR="004E3DC5">
              <w:rPr>
                <w:rFonts w:eastAsia="Times New Roman" w:cstheme="minorHAnsi"/>
                <w:b/>
                <w:lang w:val="en-GB"/>
              </w:rPr>
              <w:t>hile</w:t>
            </w:r>
            <w:r w:rsidR="006A608F">
              <w:rPr>
                <w:rFonts w:eastAsia="Times New Roman" w:cstheme="minorHAnsi"/>
                <w:b/>
                <w:lang w:val="en-GB"/>
              </w:rPr>
              <w:t xml:space="preserve"> </w:t>
            </w:r>
            <w:r w:rsidR="004E3DC5">
              <w:rPr>
                <w:rFonts w:eastAsia="Times New Roman" w:cstheme="minorHAnsi"/>
                <w:b/>
                <w:lang w:val="en-GB"/>
              </w:rPr>
              <w:t xml:space="preserve">building the capacity of and mentoring staff </w:t>
            </w:r>
            <w:r w:rsidRPr="0090162A">
              <w:rPr>
                <w:rFonts w:eastAsia="Times New Roman" w:cstheme="minorHAnsi"/>
                <w:b/>
                <w:lang w:val="en-GB"/>
              </w:rPr>
              <w:t xml:space="preserve">to establish a </w:t>
            </w:r>
            <w:r w:rsidR="004E3DC5">
              <w:rPr>
                <w:rFonts w:eastAsia="Times New Roman" w:cstheme="minorHAnsi"/>
                <w:b/>
                <w:lang w:val="en-GB"/>
              </w:rPr>
              <w:t xml:space="preserve">functional </w:t>
            </w:r>
            <w:r w:rsidRPr="0090162A">
              <w:rPr>
                <w:rFonts w:eastAsia="Times New Roman" w:cstheme="minorHAnsi"/>
                <w:b/>
                <w:lang w:val="en-GB"/>
              </w:rPr>
              <w:t>Law Reform Unit at the Attorney General’s Chambers</w:t>
            </w:r>
          </w:p>
          <w:p w14:paraId="5820EA04" w14:textId="0993D387" w:rsidR="000F0061" w:rsidRDefault="00487643" w:rsidP="00FD0362">
            <w:pPr>
              <w:numPr>
                <w:ilvl w:val="0"/>
                <w:numId w:val="13"/>
              </w:numPr>
              <w:spacing w:after="120"/>
              <w:ind w:left="714" w:hanging="357"/>
              <w:jc w:val="both"/>
              <w:rPr>
                <w:rFonts w:cstheme="minorHAnsi"/>
                <w:lang w:val="en-GB"/>
              </w:rPr>
            </w:pPr>
            <w:r w:rsidRPr="00F0140A">
              <w:rPr>
                <w:rFonts w:cstheme="minorHAnsi"/>
                <w:lang w:val="en-GB"/>
              </w:rPr>
              <w:t xml:space="preserve">Implement </w:t>
            </w:r>
            <w:r w:rsidR="004E3DC5">
              <w:rPr>
                <w:rFonts w:cstheme="minorHAnsi"/>
                <w:lang w:val="en-GB"/>
              </w:rPr>
              <w:t xml:space="preserve">with staff </w:t>
            </w:r>
            <w:r w:rsidRPr="00F0140A">
              <w:rPr>
                <w:rFonts w:cstheme="minorHAnsi"/>
                <w:lang w:val="en-GB"/>
              </w:rPr>
              <w:t xml:space="preserve">the Law Reform Unit Work Plan as outlined in the </w:t>
            </w:r>
            <w:r w:rsidR="004E3DC5">
              <w:rPr>
                <w:rFonts w:cstheme="minorHAnsi"/>
                <w:lang w:val="en-GB"/>
              </w:rPr>
              <w:t xml:space="preserve">approved </w:t>
            </w:r>
            <w:r w:rsidRPr="00F0140A">
              <w:rPr>
                <w:rFonts w:cstheme="minorHAnsi"/>
                <w:lang w:val="en-GB"/>
              </w:rPr>
              <w:t xml:space="preserve">Law Reform Strategy, </w:t>
            </w:r>
            <w:r w:rsidR="002E4896" w:rsidRPr="00F0140A">
              <w:rPr>
                <w:rFonts w:cstheme="minorHAnsi"/>
                <w:lang w:val="en-GB"/>
              </w:rPr>
              <w:t>consistent with the anticipated Legislative Programme</w:t>
            </w:r>
            <w:r w:rsidR="000F0061" w:rsidRPr="00F0140A">
              <w:rPr>
                <w:rFonts w:cstheme="minorHAnsi"/>
                <w:lang w:val="en-GB"/>
              </w:rPr>
              <w:t>;</w:t>
            </w:r>
          </w:p>
          <w:p w14:paraId="01BE80AF" w14:textId="77777777" w:rsidR="000F0061" w:rsidRPr="00F0140A" w:rsidRDefault="000F0061" w:rsidP="00FD0362">
            <w:pPr>
              <w:pStyle w:val="ListParagraph"/>
              <w:numPr>
                <w:ilvl w:val="0"/>
                <w:numId w:val="13"/>
              </w:numPr>
              <w:spacing w:after="120"/>
              <w:ind w:left="714" w:hanging="357"/>
              <w:contextualSpacing w:val="0"/>
              <w:jc w:val="both"/>
              <w:rPr>
                <w:rFonts w:cstheme="minorHAnsi"/>
                <w:lang w:val="en-GB"/>
              </w:rPr>
            </w:pPr>
            <w:r w:rsidRPr="00F0140A">
              <w:rPr>
                <w:rFonts w:cstheme="minorHAnsi"/>
                <w:lang w:val="en-GB"/>
              </w:rPr>
              <w:t xml:space="preserve">Coordinate with national, regional and international stakeholders and partners to ensure the </w:t>
            </w:r>
            <w:r w:rsidR="0042486E" w:rsidRPr="00F0140A">
              <w:rPr>
                <w:rFonts w:cstheme="minorHAnsi"/>
                <w:lang w:val="en-GB"/>
              </w:rPr>
              <w:t>Law Reform Unit W</w:t>
            </w:r>
            <w:r w:rsidR="00487643" w:rsidRPr="00F0140A">
              <w:rPr>
                <w:rFonts w:cstheme="minorHAnsi"/>
                <w:lang w:val="en-GB"/>
              </w:rPr>
              <w:t xml:space="preserve">ork </w:t>
            </w:r>
            <w:r w:rsidR="0042486E" w:rsidRPr="00F0140A">
              <w:rPr>
                <w:rFonts w:cstheme="minorHAnsi"/>
                <w:lang w:val="en-GB"/>
              </w:rPr>
              <w:t>P</w:t>
            </w:r>
            <w:r w:rsidR="00487643" w:rsidRPr="00F0140A">
              <w:rPr>
                <w:rFonts w:cstheme="minorHAnsi"/>
                <w:lang w:val="en-GB"/>
              </w:rPr>
              <w:t>lan is</w:t>
            </w:r>
            <w:r w:rsidRPr="00F0140A">
              <w:rPr>
                <w:rFonts w:cstheme="minorHAnsi"/>
                <w:lang w:val="en-GB"/>
              </w:rPr>
              <w:t xml:space="preserve"> technically rigorous, feasible and scalable;</w:t>
            </w:r>
          </w:p>
          <w:p w14:paraId="045B7C44" w14:textId="5C66E184" w:rsidR="000F0061" w:rsidRPr="00F0140A" w:rsidRDefault="000F0061" w:rsidP="00FD0362">
            <w:pPr>
              <w:numPr>
                <w:ilvl w:val="0"/>
                <w:numId w:val="13"/>
              </w:numPr>
              <w:spacing w:after="120"/>
              <w:ind w:left="714" w:hanging="357"/>
              <w:jc w:val="both"/>
              <w:rPr>
                <w:rFonts w:cstheme="minorHAnsi"/>
                <w:lang w:val="en-GB"/>
              </w:rPr>
            </w:pPr>
            <w:r w:rsidRPr="00F0140A">
              <w:rPr>
                <w:rFonts w:cstheme="minorHAnsi"/>
                <w:lang w:val="en-GB"/>
              </w:rPr>
              <w:t>Develop an indicative budget</w:t>
            </w:r>
            <w:r w:rsidR="004E3DC5">
              <w:rPr>
                <w:rFonts w:cstheme="minorHAnsi"/>
                <w:lang w:val="en-GB"/>
              </w:rPr>
              <w:t xml:space="preserve"> with staff</w:t>
            </w:r>
            <w:r w:rsidRPr="00F0140A">
              <w:rPr>
                <w:rFonts w:cstheme="minorHAnsi"/>
                <w:lang w:val="en-GB"/>
              </w:rPr>
              <w:t xml:space="preserve"> for</w:t>
            </w:r>
            <w:r w:rsidR="00487643" w:rsidRPr="00F0140A">
              <w:rPr>
                <w:rFonts w:cstheme="minorHAnsi"/>
                <w:lang w:val="en-GB"/>
              </w:rPr>
              <w:t xml:space="preserve"> implementation of the Law Reform Unit Work Plan</w:t>
            </w:r>
            <w:r w:rsidRPr="00F0140A">
              <w:rPr>
                <w:rFonts w:cstheme="minorHAnsi"/>
                <w:lang w:val="en-GB"/>
              </w:rPr>
              <w:t>;</w:t>
            </w:r>
          </w:p>
          <w:p w14:paraId="44BAE325" w14:textId="53229E69" w:rsidR="00554E4A" w:rsidRPr="00F0140A" w:rsidRDefault="000F0061" w:rsidP="00FD0362">
            <w:pPr>
              <w:pStyle w:val="ListParagraph"/>
              <w:numPr>
                <w:ilvl w:val="0"/>
                <w:numId w:val="13"/>
              </w:numPr>
              <w:spacing w:after="120"/>
              <w:ind w:left="714" w:hanging="357"/>
              <w:contextualSpacing w:val="0"/>
              <w:jc w:val="both"/>
              <w:rPr>
                <w:rFonts w:cstheme="minorHAnsi"/>
                <w:lang w:val="en-GB"/>
              </w:rPr>
            </w:pPr>
            <w:r w:rsidRPr="00F0140A">
              <w:rPr>
                <w:rFonts w:cstheme="minorHAnsi"/>
                <w:lang w:val="en-GB"/>
              </w:rPr>
              <w:t xml:space="preserve">Set the strategic direction of the Unit </w:t>
            </w:r>
            <w:r w:rsidR="004E3DC5">
              <w:rPr>
                <w:rFonts w:cstheme="minorHAnsi"/>
                <w:lang w:val="en-GB"/>
              </w:rPr>
              <w:t xml:space="preserve">with staff </w:t>
            </w:r>
            <w:r w:rsidRPr="00F0140A">
              <w:rPr>
                <w:rFonts w:cstheme="minorHAnsi"/>
                <w:lang w:val="en-GB"/>
              </w:rPr>
              <w:t>and identify priority areas for law reform, research and inform policy development;</w:t>
            </w:r>
          </w:p>
          <w:p w14:paraId="50A8D3E1" w14:textId="5B137C27" w:rsidR="000F0061" w:rsidRPr="00F0140A" w:rsidRDefault="000F0061" w:rsidP="00097515">
            <w:pPr>
              <w:numPr>
                <w:ilvl w:val="0"/>
                <w:numId w:val="13"/>
              </w:numPr>
              <w:spacing w:after="120"/>
              <w:rPr>
                <w:rFonts w:cstheme="minorHAnsi"/>
                <w:lang w:val="en-GB"/>
              </w:rPr>
            </w:pPr>
            <w:r w:rsidRPr="00F0140A">
              <w:rPr>
                <w:rFonts w:cstheme="minorHAnsi"/>
                <w:lang w:val="en-GB"/>
              </w:rPr>
              <w:t>Ensure results-based management of the establishment of the Law Reform Unit, including developing</w:t>
            </w:r>
            <w:r w:rsidR="004E3DC5">
              <w:rPr>
                <w:rFonts w:cstheme="minorHAnsi"/>
                <w:lang w:val="en-GB"/>
              </w:rPr>
              <w:t xml:space="preserve"> with staff</w:t>
            </w:r>
            <w:r w:rsidRPr="00F0140A">
              <w:rPr>
                <w:rFonts w:cstheme="minorHAnsi"/>
                <w:lang w:val="en-GB"/>
              </w:rPr>
              <w:t xml:space="preserve"> process plans to ensure that all outputs and activities </w:t>
            </w:r>
            <w:r w:rsidR="00FD0362">
              <w:rPr>
                <w:rFonts w:cstheme="minorHAnsi"/>
                <w:lang w:val="en-GB"/>
              </w:rPr>
              <w:t xml:space="preserve">in the Work Plan </w:t>
            </w:r>
            <w:r w:rsidRPr="00F0140A">
              <w:rPr>
                <w:rFonts w:cstheme="minorHAnsi"/>
                <w:lang w:val="en-GB"/>
              </w:rPr>
              <w:t xml:space="preserve">are achieved within the appropriate timeframe;  </w:t>
            </w:r>
          </w:p>
          <w:p w14:paraId="77D53A4C" w14:textId="57C19E70" w:rsidR="000F0061" w:rsidRPr="00F0140A" w:rsidRDefault="000F0061" w:rsidP="00097515">
            <w:pPr>
              <w:numPr>
                <w:ilvl w:val="0"/>
                <w:numId w:val="13"/>
              </w:numPr>
              <w:spacing w:after="120"/>
              <w:rPr>
                <w:rFonts w:cstheme="minorHAnsi"/>
                <w:lang w:val="en-GB"/>
              </w:rPr>
            </w:pPr>
            <w:r w:rsidRPr="00F0140A">
              <w:rPr>
                <w:rFonts w:cstheme="minorHAnsi"/>
                <w:lang w:val="en-GB"/>
              </w:rPr>
              <w:t>Monitor implementation status, track progress, prepare relevant reports and briefings</w:t>
            </w:r>
            <w:r w:rsidR="004E3DC5">
              <w:rPr>
                <w:rFonts w:cstheme="minorHAnsi"/>
                <w:lang w:val="en-GB"/>
              </w:rPr>
              <w:t xml:space="preserve"> and mentor staff to do the same</w:t>
            </w:r>
            <w:r w:rsidRPr="00F0140A">
              <w:rPr>
                <w:rFonts w:cstheme="minorHAnsi"/>
                <w:lang w:val="en-GB"/>
              </w:rPr>
              <w:t xml:space="preserve">;  </w:t>
            </w:r>
          </w:p>
          <w:p w14:paraId="4A2A7476" w14:textId="2FBAC952" w:rsidR="000F0061" w:rsidRPr="00F0140A" w:rsidRDefault="000F0061" w:rsidP="00097515">
            <w:pPr>
              <w:numPr>
                <w:ilvl w:val="0"/>
                <w:numId w:val="13"/>
              </w:numPr>
              <w:spacing w:after="120"/>
              <w:rPr>
                <w:rFonts w:cstheme="minorHAnsi"/>
                <w:lang w:val="en-GB"/>
              </w:rPr>
            </w:pPr>
            <w:r w:rsidRPr="00F0140A">
              <w:rPr>
                <w:rFonts w:cstheme="minorHAnsi"/>
                <w:lang w:val="en-GB"/>
              </w:rPr>
              <w:t xml:space="preserve">Support </w:t>
            </w:r>
            <w:r w:rsidR="004E3DC5">
              <w:rPr>
                <w:rFonts w:cstheme="minorHAnsi"/>
                <w:lang w:val="en-GB"/>
              </w:rPr>
              <w:t xml:space="preserve">staff </w:t>
            </w:r>
            <w:r w:rsidRPr="00F0140A">
              <w:rPr>
                <w:rFonts w:cstheme="minorHAnsi"/>
                <w:lang w:val="en-GB"/>
              </w:rPr>
              <w:t>preparation and submission of bi-annual progress reports; </w:t>
            </w:r>
            <w:r w:rsidR="00FD0362">
              <w:rPr>
                <w:rFonts w:cstheme="minorHAnsi"/>
                <w:lang w:val="en-GB"/>
              </w:rPr>
              <w:t>and</w:t>
            </w:r>
          </w:p>
          <w:p w14:paraId="4A137634" w14:textId="77777777" w:rsidR="00097515" w:rsidRDefault="000F0061" w:rsidP="0090162A">
            <w:pPr>
              <w:numPr>
                <w:ilvl w:val="0"/>
                <w:numId w:val="13"/>
              </w:numPr>
              <w:spacing w:after="120"/>
              <w:rPr>
                <w:rFonts w:cstheme="minorHAnsi"/>
                <w:lang w:val="en-GB"/>
              </w:rPr>
            </w:pPr>
            <w:r w:rsidRPr="00F0140A">
              <w:rPr>
                <w:rFonts w:cstheme="minorHAnsi"/>
                <w:lang w:val="en-GB"/>
              </w:rPr>
              <w:t xml:space="preserve">Support evaluation and audit missions for the Project as required. </w:t>
            </w:r>
          </w:p>
          <w:p w14:paraId="59C2C0A3" w14:textId="0317FB61" w:rsidR="00807A6E" w:rsidRPr="0090162A" w:rsidRDefault="00807A6E" w:rsidP="00807A6E">
            <w:pPr>
              <w:spacing w:after="120"/>
              <w:ind w:left="720"/>
              <w:rPr>
                <w:rFonts w:cstheme="minorHAnsi"/>
                <w:lang w:val="en-GB"/>
              </w:rPr>
            </w:pPr>
          </w:p>
        </w:tc>
      </w:tr>
      <w:tr w:rsidR="0008027C" w:rsidRPr="00E102F5" w14:paraId="6B139172" w14:textId="77777777" w:rsidTr="000F0061">
        <w:tc>
          <w:tcPr>
            <w:tcW w:w="9350" w:type="dxa"/>
          </w:tcPr>
          <w:p w14:paraId="0264CEE8" w14:textId="19517197" w:rsidR="0008027C" w:rsidRPr="00E46B72" w:rsidRDefault="0008027C" w:rsidP="00E46B72">
            <w:pPr>
              <w:pStyle w:val="ListParagraph"/>
              <w:numPr>
                <w:ilvl w:val="0"/>
                <w:numId w:val="21"/>
              </w:numPr>
              <w:spacing w:after="120"/>
              <w:ind w:left="714" w:hanging="357"/>
              <w:contextualSpacing w:val="0"/>
              <w:jc w:val="both"/>
              <w:rPr>
                <w:b/>
                <w:szCs w:val="20"/>
              </w:rPr>
            </w:pPr>
            <w:r w:rsidRPr="00E46B72">
              <w:rPr>
                <w:b/>
                <w:szCs w:val="20"/>
              </w:rPr>
              <w:t>Provide high-level technical advice and capacity-building</w:t>
            </w:r>
            <w:r w:rsidR="004E3DC5">
              <w:rPr>
                <w:b/>
                <w:szCs w:val="20"/>
              </w:rPr>
              <w:t xml:space="preserve"> and mentorship to staff</w:t>
            </w:r>
            <w:r w:rsidRPr="00E46B72">
              <w:rPr>
                <w:b/>
                <w:szCs w:val="20"/>
              </w:rPr>
              <w:t xml:space="preserve"> on Law Reform Processes to the Law Reform Unit and Legal Officers in Line Ministries </w:t>
            </w:r>
          </w:p>
          <w:p w14:paraId="70625912" w14:textId="77777777" w:rsidR="0008027C" w:rsidRPr="00004E83" w:rsidRDefault="0008027C" w:rsidP="00E46B72">
            <w:pPr>
              <w:pStyle w:val="ListParagraph"/>
              <w:numPr>
                <w:ilvl w:val="0"/>
                <w:numId w:val="12"/>
              </w:numPr>
              <w:spacing w:after="120"/>
              <w:ind w:left="714" w:hanging="357"/>
              <w:contextualSpacing w:val="0"/>
              <w:jc w:val="both"/>
              <w:rPr>
                <w:rFonts w:cs="Arial"/>
                <w:szCs w:val="20"/>
              </w:rPr>
            </w:pPr>
            <w:r w:rsidRPr="00004E83">
              <w:rPr>
                <w:rFonts w:cs="Arial"/>
                <w:szCs w:val="20"/>
              </w:rPr>
              <w:t>Build the technical capacity of staff in the Law Reform Unit to research, develop policy, consult and generate law reform proposals that are respected, reliable, technically rigorous and responsive;</w:t>
            </w:r>
          </w:p>
          <w:p w14:paraId="07FFE9A0" w14:textId="295BACC1" w:rsidR="0008027C" w:rsidRPr="00004E83" w:rsidRDefault="0008027C" w:rsidP="00E46B72">
            <w:pPr>
              <w:pStyle w:val="ListParagraph"/>
              <w:numPr>
                <w:ilvl w:val="0"/>
                <w:numId w:val="12"/>
              </w:numPr>
              <w:spacing w:after="120"/>
              <w:contextualSpacing w:val="0"/>
              <w:jc w:val="both"/>
              <w:rPr>
                <w:rFonts w:cs="Arial"/>
                <w:szCs w:val="20"/>
              </w:rPr>
            </w:pPr>
            <w:r w:rsidRPr="00004E83">
              <w:rPr>
                <w:rFonts w:cs="Arial"/>
                <w:szCs w:val="20"/>
              </w:rPr>
              <w:t>Provide expert technical advice on strengthening and streamlining law reform processes to the Law Reform Unit</w:t>
            </w:r>
            <w:r w:rsidR="004E3DC5">
              <w:rPr>
                <w:rFonts w:cs="Arial"/>
                <w:szCs w:val="20"/>
              </w:rPr>
              <w:t xml:space="preserve"> staff</w:t>
            </w:r>
            <w:r w:rsidRPr="00004E83">
              <w:rPr>
                <w:rFonts w:cs="Arial"/>
                <w:szCs w:val="20"/>
              </w:rPr>
              <w:t xml:space="preserve"> and legal officers in line ministries and other relevant stakeholders (including but not limited to the Parliamentary Law Reform Committee); </w:t>
            </w:r>
          </w:p>
          <w:p w14:paraId="7FB260AF" w14:textId="77777777" w:rsidR="0008027C" w:rsidRPr="00004E83" w:rsidRDefault="0008027C" w:rsidP="00E46B72">
            <w:pPr>
              <w:pStyle w:val="ListParagraph"/>
              <w:numPr>
                <w:ilvl w:val="0"/>
                <w:numId w:val="12"/>
              </w:numPr>
              <w:spacing w:after="120"/>
              <w:contextualSpacing w:val="0"/>
              <w:jc w:val="both"/>
              <w:rPr>
                <w:rFonts w:cs="Arial"/>
                <w:szCs w:val="20"/>
              </w:rPr>
            </w:pPr>
            <w:r w:rsidRPr="00004E83">
              <w:rPr>
                <w:rFonts w:cs="Arial"/>
                <w:szCs w:val="20"/>
              </w:rPr>
              <w:t>Provide expert technical support to government implementation of the Regulatory Impact Assessment component of the Government of Botswana Better Regulation Strategy</w:t>
            </w:r>
            <w:r>
              <w:rPr>
                <w:rFonts w:cs="Arial"/>
                <w:szCs w:val="20"/>
              </w:rPr>
              <w:t xml:space="preserve"> as required</w:t>
            </w:r>
            <w:r w:rsidRPr="00004E83">
              <w:rPr>
                <w:rFonts w:cs="Arial"/>
                <w:szCs w:val="20"/>
              </w:rPr>
              <w:t xml:space="preserve">; </w:t>
            </w:r>
          </w:p>
          <w:p w14:paraId="7934174D" w14:textId="406DABFC" w:rsidR="0008027C" w:rsidRPr="00004E83" w:rsidRDefault="00D94C66" w:rsidP="00E46B72">
            <w:pPr>
              <w:pStyle w:val="ListParagraph"/>
              <w:numPr>
                <w:ilvl w:val="0"/>
                <w:numId w:val="12"/>
              </w:numPr>
              <w:spacing w:after="120"/>
              <w:contextualSpacing w:val="0"/>
              <w:jc w:val="both"/>
              <w:rPr>
                <w:rFonts w:cs="Arial"/>
                <w:szCs w:val="20"/>
              </w:rPr>
            </w:pPr>
            <w:r>
              <w:rPr>
                <w:rFonts w:cs="Arial"/>
                <w:szCs w:val="20"/>
              </w:rPr>
              <w:t>Together with staff, d</w:t>
            </w:r>
            <w:r w:rsidR="0008027C" w:rsidRPr="00004E83">
              <w:rPr>
                <w:rFonts w:cs="Arial"/>
                <w:szCs w:val="20"/>
              </w:rPr>
              <w:t xml:space="preserve">evelop and support the drafting of technical guidance materials and procedures for the Law Reform Unit, including but not limited to Law Reform Guidelines; </w:t>
            </w:r>
          </w:p>
          <w:p w14:paraId="5E6EDD62" w14:textId="424AA331" w:rsidR="0008027C" w:rsidRDefault="0008027C" w:rsidP="00E46B72">
            <w:pPr>
              <w:numPr>
                <w:ilvl w:val="0"/>
                <w:numId w:val="12"/>
              </w:numPr>
              <w:spacing w:after="120"/>
              <w:jc w:val="both"/>
              <w:rPr>
                <w:rFonts w:cs="Arial"/>
                <w:szCs w:val="20"/>
              </w:rPr>
            </w:pPr>
            <w:r w:rsidRPr="005B169B">
              <w:rPr>
                <w:rFonts w:cs="Arial"/>
                <w:szCs w:val="20"/>
              </w:rPr>
              <w:t xml:space="preserve">Provide technical advice to the Attorney General’s Chambers on issues related to law reform including Legislative Drafting Guidelines </w:t>
            </w:r>
            <w:r>
              <w:rPr>
                <w:rFonts w:cs="Arial"/>
                <w:szCs w:val="20"/>
              </w:rPr>
              <w:t>(including</w:t>
            </w:r>
            <w:r w:rsidRPr="005B169B">
              <w:rPr>
                <w:rFonts w:cs="Arial"/>
                <w:szCs w:val="20"/>
              </w:rPr>
              <w:t xml:space="preserve"> legislative process</w:t>
            </w:r>
            <w:r>
              <w:rPr>
                <w:rFonts w:cs="Arial"/>
                <w:szCs w:val="20"/>
              </w:rPr>
              <w:t>, Botswana e-laws</w:t>
            </w:r>
            <w:r w:rsidRPr="005B169B">
              <w:rPr>
                <w:rFonts w:cs="Arial"/>
                <w:szCs w:val="20"/>
              </w:rPr>
              <w:t xml:space="preserve"> </w:t>
            </w:r>
            <w:r>
              <w:rPr>
                <w:rFonts w:cs="Arial"/>
                <w:szCs w:val="20"/>
              </w:rPr>
              <w:t xml:space="preserve">and regulatory impact assessment </w:t>
            </w:r>
            <w:r w:rsidRPr="005B169B">
              <w:rPr>
                <w:rFonts w:cs="Arial"/>
                <w:szCs w:val="20"/>
              </w:rPr>
              <w:t>as required</w:t>
            </w:r>
            <w:r>
              <w:rPr>
                <w:rFonts w:cs="Arial"/>
                <w:szCs w:val="20"/>
              </w:rPr>
              <w:t xml:space="preserve">); </w:t>
            </w:r>
            <w:r w:rsidRPr="005B169B">
              <w:rPr>
                <w:rFonts w:cs="Arial"/>
                <w:szCs w:val="20"/>
              </w:rPr>
              <w:t>and</w:t>
            </w:r>
          </w:p>
          <w:p w14:paraId="3B33C6DF" w14:textId="77777777" w:rsidR="00E46B72" w:rsidRPr="00807A6E" w:rsidRDefault="00E46B72" w:rsidP="00E46B72">
            <w:pPr>
              <w:numPr>
                <w:ilvl w:val="0"/>
                <w:numId w:val="12"/>
              </w:numPr>
              <w:spacing w:after="120"/>
              <w:jc w:val="both"/>
              <w:rPr>
                <w:rFonts w:cstheme="minorHAnsi"/>
                <w:lang w:val="en-GB"/>
              </w:rPr>
            </w:pPr>
            <w:r w:rsidRPr="0008027C">
              <w:rPr>
                <w:rFonts w:cs="Arial"/>
                <w:szCs w:val="20"/>
              </w:rPr>
              <w:t xml:space="preserve">Provide technical input and oversight of a communications strategy </w:t>
            </w:r>
            <w:r w:rsidR="004E3DC5">
              <w:rPr>
                <w:rFonts w:cs="Arial"/>
                <w:szCs w:val="20"/>
              </w:rPr>
              <w:t xml:space="preserve">jointly developed with staff </w:t>
            </w:r>
            <w:r w:rsidRPr="0008027C">
              <w:rPr>
                <w:rFonts w:cs="Arial"/>
                <w:szCs w:val="20"/>
              </w:rPr>
              <w:t xml:space="preserve">to increase public awareness of law reform projects, opportunities for engagement and </w:t>
            </w:r>
            <w:proofErr w:type="spellStart"/>
            <w:r w:rsidRPr="0008027C">
              <w:rPr>
                <w:rFonts w:cs="Arial"/>
                <w:szCs w:val="20"/>
              </w:rPr>
              <w:t>publicising</w:t>
            </w:r>
            <w:proofErr w:type="spellEnd"/>
            <w:r w:rsidRPr="0008027C">
              <w:rPr>
                <w:rFonts w:cs="Arial"/>
                <w:szCs w:val="20"/>
              </w:rPr>
              <w:t xml:space="preserve"> reports.</w:t>
            </w:r>
          </w:p>
          <w:p w14:paraId="5E2FCE8B" w14:textId="4C6138EB" w:rsidR="00807A6E" w:rsidRPr="00E46B72" w:rsidRDefault="00807A6E" w:rsidP="00807A6E">
            <w:pPr>
              <w:spacing w:after="120"/>
              <w:jc w:val="both"/>
              <w:rPr>
                <w:rFonts w:cstheme="minorHAnsi"/>
                <w:lang w:val="en-GB"/>
              </w:rPr>
            </w:pPr>
          </w:p>
        </w:tc>
      </w:tr>
      <w:tr w:rsidR="0042486E" w:rsidRPr="00E102F5" w14:paraId="3FC8F1FC" w14:textId="77777777" w:rsidTr="000F0061">
        <w:tc>
          <w:tcPr>
            <w:tcW w:w="9350" w:type="dxa"/>
          </w:tcPr>
          <w:p w14:paraId="68BFB248" w14:textId="4A6BB724" w:rsidR="0042486E" w:rsidRPr="008B32FE" w:rsidRDefault="00F0140A" w:rsidP="00FD0362">
            <w:pPr>
              <w:pStyle w:val="ListParagraph"/>
              <w:numPr>
                <w:ilvl w:val="0"/>
                <w:numId w:val="21"/>
              </w:numPr>
              <w:spacing w:after="120"/>
              <w:ind w:left="714" w:hanging="357"/>
              <w:contextualSpacing w:val="0"/>
              <w:rPr>
                <w:rFonts w:cstheme="minorHAnsi"/>
                <w:b/>
                <w:lang w:val="en-GB"/>
              </w:rPr>
            </w:pPr>
            <w:r w:rsidRPr="0090162A">
              <w:rPr>
                <w:rFonts w:cstheme="minorHAnsi"/>
                <w:b/>
                <w:lang w:val="en-GB"/>
              </w:rPr>
              <w:lastRenderedPageBreak/>
              <w:t xml:space="preserve">Provide high-level technical advice and </w:t>
            </w:r>
            <w:r w:rsidR="004E3DC5">
              <w:rPr>
                <w:rFonts w:cstheme="minorHAnsi"/>
                <w:b/>
                <w:lang w:val="en-GB"/>
              </w:rPr>
              <w:t xml:space="preserve">build the capacity of the Law Reform Unit staff to </w:t>
            </w:r>
            <w:r w:rsidR="007D666F" w:rsidRPr="008B32FE">
              <w:rPr>
                <w:rFonts w:cstheme="minorHAnsi"/>
                <w:b/>
                <w:lang w:val="en-GB"/>
              </w:rPr>
              <w:t xml:space="preserve">conduct </w:t>
            </w:r>
            <w:r w:rsidRPr="008B32FE">
              <w:rPr>
                <w:rFonts w:cstheme="minorHAnsi"/>
                <w:b/>
                <w:lang w:val="en-GB"/>
              </w:rPr>
              <w:t xml:space="preserve"> the Law Reform Pilot Phase</w:t>
            </w:r>
            <w:r w:rsidR="0085190F" w:rsidRPr="008B32FE">
              <w:rPr>
                <w:rFonts w:cstheme="minorHAnsi"/>
                <w:b/>
                <w:lang w:val="en-GB"/>
              </w:rPr>
              <w:t xml:space="preserve"> </w:t>
            </w:r>
          </w:p>
          <w:p w14:paraId="1D275557" w14:textId="215DBCB1" w:rsidR="00F0140A" w:rsidRPr="008B32FE" w:rsidRDefault="004E3DC5" w:rsidP="00FD0362">
            <w:pPr>
              <w:pStyle w:val="ListParagraph"/>
              <w:numPr>
                <w:ilvl w:val="0"/>
                <w:numId w:val="13"/>
              </w:numPr>
              <w:spacing w:after="120"/>
              <w:ind w:left="714" w:hanging="357"/>
              <w:contextualSpacing w:val="0"/>
              <w:jc w:val="both"/>
              <w:rPr>
                <w:rFonts w:cstheme="minorHAnsi"/>
              </w:rPr>
            </w:pPr>
            <w:r w:rsidRPr="008B32FE">
              <w:rPr>
                <w:rFonts w:cstheme="minorHAnsi"/>
              </w:rPr>
              <w:t>Mentor staff on how to c</w:t>
            </w:r>
            <w:r w:rsidR="0042486E" w:rsidRPr="008B32FE">
              <w:rPr>
                <w:rFonts w:cstheme="minorHAnsi"/>
              </w:rPr>
              <w:t>onduct a scoping exercise</w:t>
            </w:r>
            <w:r w:rsidR="00E46B72" w:rsidRPr="008B32FE">
              <w:rPr>
                <w:rFonts w:cstheme="minorHAnsi"/>
              </w:rPr>
              <w:t>;</w:t>
            </w:r>
          </w:p>
          <w:p w14:paraId="0901B4A3" w14:textId="241C9943" w:rsidR="00191969" w:rsidRPr="008B32FE" w:rsidRDefault="004E3DC5" w:rsidP="00FD0362">
            <w:pPr>
              <w:pStyle w:val="ListParagraph"/>
              <w:numPr>
                <w:ilvl w:val="0"/>
                <w:numId w:val="13"/>
              </w:numPr>
              <w:spacing w:after="120"/>
              <w:ind w:left="714" w:hanging="357"/>
              <w:contextualSpacing w:val="0"/>
              <w:jc w:val="both"/>
              <w:rPr>
                <w:rFonts w:cstheme="minorHAnsi"/>
              </w:rPr>
            </w:pPr>
            <w:r w:rsidRPr="008B32FE">
              <w:rPr>
                <w:rFonts w:cstheme="minorHAnsi"/>
              </w:rPr>
              <w:t xml:space="preserve">Mentor staff on how to conduct </w:t>
            </w:r>
            <w:r w:rsidR="002B7976" w:rsidRPr="008B32FE">
              <w:rPr>
                <w:rFonts w:cstheme="minorHAnsi"/>
              </w:rPr>
              <w:t>l</w:t>
            </w:r>
            <w:r w:rsidR="0085190F" w:rsidRPr="008B32FE">
              <w:rPr>
                <w:rFonts w:cstheme="minorHAnsi"/>
              </w:rPr>
              <w:t>egal research;</w:t>
            </w:r>
          </w:p>
          <w:p w14:paraId="217B9660" w14:textId="70FA0CB1" w:rsidR="0085190F" w:rsidRPr="008B32FE" w:rsidRDefault="004E3DC5" w:rsidP="00FD0362">
            <w:pPr>
              <w:pStyle w:val="ListParagraph"/>
              <w:numPr>
                <w:ilvl w:val="0"/>
                <w:numId w:val="13"/>
              </w:numPr>
              <w:spacing w:after="120"/>
              <w:ind w:left="714" w:hanging="357"/>
              <w:contextualSpacing w:val="0"/>
              <w:jc w:val="both"/>
              <w:rPr>
                <w:rFonts w:cstheme="minorHAnsi"/>
              </w:rPr>
            </w:pPr>
            <w:r w:rsidRPr="008B32FE">
              <w:rPr>
                <w:rFonts w:cstheme="minorHAnsi"/>
              </w:rPr>
              <w:t xml:space="preserve">Mentor staff on how to conduct </w:t>
            </w:r>
            <w:r w:rsidR="0085190F" w:rsidRPr="008B32FE">
              <w:rPr>
                <w:rFonts w:cstheme="minorHAnsi"/>
              </w:rPr>
              <w:t xml:space="preserve">consultations; </w:t>
            </w:r>
          </w:p>
          <w:p w14:paraId="1D44AD74" w14:textId="65D6E211" w:rsidR="0042486E" w:rsidRDefault="00F0140A" w:rsidP="00FD0362">
            <w:pPr>
              <w:pStyle w:val="ListParagraph"/>
              <w:numPr>
                <w:ilvl w:val="0"/>
                <w:numId w:val="13"/>
              </w:numPr>
              <w:spacing w:after="120"/>
              <w:ind w:left="714" w:hanging="357"/>
              <w:contextualSpacing w:val="0"/>
              <w:jc w:val="both"/>
              <w:rPr>
                <w:rFonts w:cstheme="minorHAnsi"/>
              </w:rPr>
            </w:pPr>
            <w:r w:rsidRPr="00F0140A">
              <w:rPr>
                <w:rFonts w:cstheme="minorHAnsi"/>
              </w:rPr>
              <w:t>P</w:t>
            </w:r>
            <w:r w:rsidR="0042486E" w:rsidRPr="00F0140A">
              <w:rPr>
                <w:rFonts w:cstheme="minorHAnsi"/>
              </w:rPr>
              <w:t xml:space="preserve">roduce </w:t>
            </w:r>
            <w:r w:rsidR="004E3DC5">
              <w:rPr>
                <w:rFonts w:cstheme="minorHAnsi"/>
              </w:rPr>
              <w:t xml:space="preserve">together with staff </w:t>
            </w:r>
            <w:r w:rsidR="0042486E" w:rsidRPr="00F0140A">
              <w:rPr>
                <w:rFonts w:cstheme="minorHAnsi"/>
              </w:rPr>
              <w:t xml:space="preserve">a verified draft of the scoping study, </w:t>
            </w:r>
            <w:r w:rsidR="00FD0362">
              <w:rPr>
                <w:rFonts w:cstheme="minorHAnsi"/>
              </w:rPr>
              <w:t>including:</w:t>
            </w:r>
            <w:r w:rsidR="0042486E" w:rsidRPr="00F0140A">
              <w:rPr>
                <w:rFonts w:cstheme="minorHAnsi"/>
              </w:rPr>
              <w:t xml:space="preserve"> the selection of 2 pilot projects, an implementation plan for each project, and a Standing Advisory Committee for each project;</w:t>
            </w:r>
          </w:p>
          <w:p w14:paraId="6EBF070A" w14:textId="535E92EC" w:rsidR="00F0140A" w:rsidRPr="00F0140A" w:rsidRDefault="00F0140A" w:rsidP="00FD0362">
            <w:pPr>
              <w:pStyle w:val="Default"/>
              <w:numPr>
                <w:ilvl w:val="0"/>
                <w:numId w:val="13"/>
              </w:numPr>
              <w:spacing w:after="120"/>
              <w:ind w:left="714" w:hanging="357"/>
              <w:jc w:val="both"/>
              <w:rPr>
                <w:rFonts w:asciiTheme="minorHAnsi" w:hAnsiTheme="minorHAnsi" w:cstheme="minorHAnsi"/>
                <w:sz w:val="22"/>
                <w:szCs w:val="22"/>
              </w:rPr>
            </w:pPr>
            <w:r w:rsidRPr="00F0140A">
              <w:rPr>
                <w:rFonts w:asciiTheme="minorHAnsi" w:hAnsiTheme="minorHAnsi" w:cstheme="minorHAnsi"/>
                <w:sz w:val="22"/>
                <w:szCs w:val="22"/>
              </w:rPr>
              <w:t xml:space="preserve">Ensure the Law Reform Unit implements the 2 </w:t>
            </w:r>
            <w:r w:rsidR="00FD0362">
              <w:rPr>
                <w:rFonts w:asciiTheme="minorHAnsi" w:hAnsiTheme="minorHAnsi" w:cstheme="minorHAnsi"/>
                <w:sz w:val="22"/>
                <w:szCs w:val="22"/>
              </w:rPr>
              <w:t xml:space="preserve">selected </w:t>
            </w:r>
            <w:r w:rsidRPr="00F0140A">
              <w:rPr>
                <w:rFonts w:asciiTheme="minorHAnsi" w:hAnsiTheme="minorHAnsi" w:cstheme="minorHAnsi"/>
                <w:sz w:val="22"/>
                <w:szCs w:val="22"/>
              </w:rPr>
              <w:t>pilot projects</w:t>
            </w:r>
            <w:r w:rsidR="00D94C66">
              <w:rPr>
                <w:rFonts w:asciiTheme="minorHAnsi" w:hAnsiTheme="minorHAnsi" w:cstheme="minorHAnsi"/>
                <w:sz w:val="22"/>
                <w:szCs w:val="22"/>
              </w:rPr>
              <w:t xml:space="preserve"> and that these have been implemented with staff mentored at every phase</w:t>
            </w:r>
            <w:r w:rsidRPr="00F0140A">
              <w:rPr>
                <w:rFonts w:asciiTheme="minorHAnsi" w:hAnsiTheme="minorHAnsi" w:cstheme="minorHAnsi"/>
                <w:sz w:val="22"/>
                <w:szCs w:val="22"/>
              </w:rPr>
              <w:t>;</w:t>
            </w:r>
          </w:p>
          <w:p w14:paraId="317E0AE9" w14:textId="0D305394" w:rsidR="0042486E" w:rsidRPr="00F0140A" w:rsidRDefault="0042486E" w:rsidP="00FD0362">
            <w:pPr>
              <w:pStyle w:val="Default"/>
              <w:numPr>
                <w:ilvl w:val="0"/>
                <w:numId w:val="13"/>
              </w:numPr>
              <w:spacing w:after="120"/>
              <w:ind w:left="714" w:hanging="357"/>
              <w:jc w:val="both"/>
              <w:rPr>
                <w:rFonts w:asciiTheme="minorHAnsi" w:hAnsiTheme="minorHAnsi" w:cstheme="minorHAnsi"/>
                <w:sz w:val="22"/>
                <w:szCs w:val="22"/>
              </w:rPr>
            </w:pPr>
            <w:r w:rsidRPr="00F0140A">
              <w:rPr>
                <w:rFonts w:asciiTheme="minorHAnsi" w:hAnsiTheme="minorHAnsi" w:cstheme="minorHAnsi"/>
                <w:sz w:val="22"/>
                <w:szCs w:val="22"/>
              </w:rPr>
              <w:t xml:space="preserve">Develop </w:t>
            </w:r>
            <w:r w:rsidR="004E3DC5">
              <w:rPr>
                <w:rFonts w:asciiTheme="minorHAnsi" w:hAnsiTheme="minorHAnsi" w:cstheme="minorHAnsi"/>
                <w:sz w:val="22"/>
                <w:szCs w:val="22"/>
              </w:rPr>
              <w:t xml:space="preserve">with staff </w:t>
            </w:r>
            <w:r w:rsidRPr="00F0140A">
              <w:rPr>
                <w:rFonts w:asciiTheme="minorHAnsi" w:hAnsiTheme="minorHAnsi" w:cstheme="minorHAnsi"/>
                <w:sz w:val="22"/>
                <w:szCs w:val="22"/>
              </w:rPr>
              <w:t xml:space="preserve">a law reform </w:t>
            </w:r>
            <w:proofErr w:type="spellStart"/>
            <w:r w:rsidRPr="00F0140A">
              <w:rPr>
                <w:rFonts w:asciiTheme="minorHAnsi" w:hAnsiTheme="minorHAnsi" w:cstheme="minorHAnsi"/>
                <w:sz w:val="22"/>
                <w:szCs w:val="22"/>
              </w:rPr>
              <w:t>programme</w:t>
            </w:r>
            <w:proofErr w:type="spellEnd"/>
            <w:r w:rsidRPr="00F0140A">
              <w:rPr>
                <w:rFonts w:asciiTheme="minorHAnsi" w:hAnsiTheme="minorHAnsi" w:cstheme="minorHAnsi"/>
                <w:sz w:val="22"/>
                <w:szCs w:val="22"/>
              </w:rPr>
              <w:t xml:space="preserve"> for NDP11 which sets out, in priority order, law reform projects, lead agency, support ministries and key stakeholders, size and complexity of project and timeframes</w:t>
            </w:r>
            <w:r w:rsidR="00F0140A">
              <w:rPr>
                <w:rFonts w:asciiTheme="minorHAnsi" w:hAnsiTheme="minorHAnsi" w:cstheme="minorHAnsi"/>
                <w:sz w:val="22"/>
                <w:szCs w:val="22"/>
              </w:rPr>
              <w:t>;</w:t>
            </w:r>
          </w:p>
          <w:p w14:paraId="4B756549" w14:textId="0FA67DAF" w:rsidR="0042486E" w:rsidRPr="00F0140A" w:rsidRDefault="0042486E" w:rsidP="00F0140A">
            <w:pPr>
              <w:pStyle w:val="Default"/>
              <w:numPr>
                <w:ilvl w:val="0"/>
                <w:numId w:val="13"/>
              </w:numPr>
              <w:spacing w:after="120"/>
              <w:jc w:val="both"/>
              <w:rPr>
                <w:rFonts w:asciiTheme="minorHAnsi" w:hAnsiTheme="minorHAnsi" w:cstheme="minorHAnsi"/>
                <w:sz w:val="22"/>
                <w:szCs w:val="22"/>
              </w:rPr>
            </w:pPr>
            <w:r w:rsidRPr="00F0140A">
              <w:rPr>
                <w:rFonts w:asciiTheme="minorHAnsi" w:hAnsiTheme="minorHAnsi" w:cstheme="minorHAnsi"/>
                <w:sz w:val="22"/>
                <w:szCs w:val="22"/>
              </w:rPr>
              <w:t xml:space="preserve">Develop </w:t>
            </w:r>
            <w:r w:rsidR="004E3DC5">
              <w:rPr>
                <w:rFonts w:asciiTheme="minorHAnsi" w:hAnsiTheme="minorHAnsi" w:cstheme="minorHAnsi"/>
                <w:sz w:val="22"/>
                <w:szCs w:val="22"/>
              </w:rPr>
              <w:t xml:space="preserve">with staff </w:t>
            </w:r>
            <w:r w:rsidRPr="00F0140A">
              <w:rPr>
                <w:rFonts w:asciiTheme="minorHAnsi" w:hAnsiTheme="minorHAnsi" w:cstheme="minorHAnsi"/>
                <w:sz w:val="22"/>
                <w:szCs w:val="22"/>
              </w:rPr>
              <w:t>a report setting out results of desk research and outcomes from meetings with relevant Technical Working Groups and Law Reform Advisory Steering Committee;</w:t>
            </w:r>
            <w:r w:rsidR="00FD0362">
              <w:rPr>
                <w:rFonts w:asciiTheme="minorHAnsi" w:hAnsiTheme="minorHAnsi" w:cstheme="minorHAnsi"/>
                <w:sz w:val="22"/>
                <w:szCs w:val="22"/>
              </w:rPr>
              <w:t xml:space="preserve"> and</w:t>
            </w:r>
          </w:p>
          <w:p w14:paraId="0FD8EB05" w14:textId="652F4BA1" w:rsidR="008B32FE" w:rsidRPr="00807A6E" w:rsidRDefault="0042486E" w:rsidP="008B32FE">
            <w:pPr>
              <w:pStyle w:val="Default"/>
              <w:numPr>
                <w:ilvl w:val="0"/>
                <w:numId w:val="13"/>
              </w:numPr>
              <w:spacing w:after="120"/>
              <w:jc w:val="both"/>
              <w:rPr>
                <w:rFonts w:asciiTheme="minorHAnsi" w:hAnsiTheme="minorHAnsi" w:cstheme="minorHAnsi"/>
                <w:sz w:val="22"/>
                <w:szCs w:val="22"/>
              </w:rPr>
            </w:pPr>
            <w:r w:rsidRPr="00F0140A">
              <w:rPr>
                <w:rFonts w:asciiTheme="minorHAnsi" w:hAnsiTheme="minorHAnsi" w:cstheme="minorHAnsi"/>
                <w:sz w:val="22"/>
                <w:szCs w:val="22"/>
              </w:rPr>
              <w:t>Facilitate the evaluation of the pilot phase, including efficiency and effectiveness.</w:t>
            </w:r>
          </w:p>
          <w:p w14:paraId="71BB76C9" w14:textId="0C861B7B" w:rsidR="008B32FE" w:rsidRPr="00F0140A" w:rsidRDefault="008B32FE" w:rsidP="008B32FE">
            <w:pPr>
              <w:pStyle w:val="Default"/>
              <w:spacing w:after="120"/>
              <w:jc w:val="both"/>
              <w:rPr>
                <w:rFonts w:asciiTheme="minorHAnsi" w:hAnsiTheme="minorHAnsi" w:cstheme="minorHAnsi"/>
                <w:sz w:val="22"/>
                <w:szCs w:val="22"/>
              </w:rPr>
            </w:pPr>
          </w:p>
        </w:tc>
      </w:tr>
      <w:tr w:rsidR="00097515" w:rsidRPr="00E102F5" w14:paraId="6CCBDB40" w14:textId="77777777" w:rsidTr="000F0061">
        <w:tc>
          <w:tcPr>
            <w:tcW w:w="9350" w:type="dxa"/>
          </w:tcPr>
          <w:p w14:paraId="1C24C4EE" w14:textId="3B7797B0" w:rsidR="00097515" w:rsidRPr="00F0140A" w:rsidRDefault="0090162A" w:rsidP="0090162A">
            <w:pPr>
              <w:numPr>
                <w:ilvl w:val="0"/>
                <w:numId w:val="21"/>
              </w:numPr>
              <w:spacing w:after="120"/>
              <w:ind w:left="714" w:hanging="357"/>
              <w:rPr>
                <w:rFonts w:cstheme="minorHAnsi"/>
                <w:b/>
                <w:lang w:val="en-GB"/>
              </w:rPr>
            </w:pPr>
            <w:r>
              <w:rPr>
                <w:rFonts w:cstheme="minorHAnsi"/>
                <w:b/>
                <w:lang w:val="en-GB"/>
              </w:rPr>
              <w:t xml:space="preserve">Facilitate </w:t>
            </w:r>
            <w:r w:rsidR="00097515" w:rsidRPr="00F0140A">
              <w:rPr>
                <w:rFonts w:cstheme="minorHAnsi"/>
                <w:b/>
                <w:lang w:val="en-GB"/>
              </w:rPr>
              <w:t>partnerships and resource mobilisation</w:t>
            </w:r>
            <w:r w:rsidR="004E3DC5">
              <w:rPr>
                <w:rFonts w:cstheme="minorHAnsi"/>
                <w:b/>
                <w:lang w:val="en-GB"/>
              </w:rPr>
              <w:t xml:space="preserve"> and mentor staff to continue t</w:t>
            </w:r>
            <w:r w:rsidR="00D94C66">
              <w:rPr>
                <w:rFonts w:cstheme="minorHAnsi"/>
                <w:b/>
                <w:lang w:val="en-GB"/>
              </w:rPr>
              <w:t>he</w:t>
            </w:r>
            <w:r w:rsidR="004E3DC5">
              <w:rPr>
                <w:rFonts w:cstheme="minorHAnsi"/>
                <w:b/>
                <w:lang w:val="en-GB"/>
              </w:rPr>
              <w:t xml:space="preserve"> support</w:t>
            </w:r>
            <w:r w:rsidR="00D94C66">
              <w:rPr>
                <w:rFonts w:cstheme="minorHAnsi"/>
                <w:b/>
                <w:lang w:val="en-GB"/>
              </w:rPr>
              <w:t xml:space="preserve"> to</w:t>
            </w:r>
            <w:r w:rsidR="004E3DC5">
              <w:rPr>
                <w:rFonts w:cstheme="minorHAnsi"/>
                <w:b/>
                <w:lang w:val="en-GB"/>
              </w:rPr>
              <w:t xml:space="preserve"> the Law Reform Unit</w:t>
            </w:r>
          </w:p>
          <w:p w14:paraId="49A396BB" w14:textId="4090962E" w:rsidR="00097515" w:rsidRDefault="000E0B8A" w:rsidP="0008027C">
            <w:pPr>
              <w:numPr>
                <w:ilvl w:val="0"/>
                <w:numId w:val="10"/>
              </w:numPr>
              <w:spacing w:after="120"/>
              <w:ind w:left="714" w:hanging="357"/>
              <w:jc w:val="both"/>
              <w:rPr>
                <w:rFonts w:cstheme="minorHAnsi"/>
                <w:lang w:val="en-GB"/>
              </w:rPr>
            </w:pPr>
            <w:r>
              <w:rPr>
                <w:rFonts w:cstheme="minorHAnsi"/>
                <w:lang w:val="en-GB"/>
              </w:rPr>
              <w:t>With staff, i</w:t>
            </w:r>
            <w:r w:rsidR="00097515" w:rsidRPr="00F0140A">
              <w:rPr>
                <w:rFonts w:cstheme="minorHAnsi"/>
                <w:lang w:val="en-GB"/>
              </w:rPr>
              <w:t>dentify and foster opportunities for peer</w:t>
            </w:r>
            <w:r w:rsidR="00D94C66">
              <w:rPr>
                <w:rFonts w:cstheme="minorHAnsi"/>
                <w:lang w:val="en-GB"/>
              </w:rPr>
              <w:t>-</w:t>
            </w:r>
            <w:r w:rsidR="00097515" w:rsidRPr="00F0140A">
              <w:rPr>
                <w:rFonts w:cstheme="minorHAnsi"/>
                <w:lang w:val="en-GB"/>
              </w:rPr>
              <w:t>to</w:t>
            </w:r>
            <w:r w:rsidR="00D94C66">
              <w:rPr>
                <w:rFonts w:cstheme="minorHAnsi"/>
                <w:lang w:val="en-GB"/>
              </w:rPr>
              <w:t>-</w:t>
            </w:r>
            <w:r w:rsidR="00097515" w:rsidRPr="00F0140A">
              <w:rPr>
                <w:rFonts w:cstheme="minorHAnsi"/>
                <w:lang w:val="en-GB"/>
              </w:rPr>
              <w:t>peer learning, south-south and triangular cooperation on law reform issues and processes;</w:t>
            </w:r>
          </w:p>
          <w:p w14:paraId="23DA6D96" w14:textId="77B53DC0" w:rsidR="00E46B72" w:rsidRPr="005B169B" w:rsidRDefault="00E46B72" w:rsidP="00E46B72">
            <w:pPr>
              <w:numPr>
                <w:ilvl w:val="0"/>
                <w:numId w:val="10"/>
              </w:numPr>
              <w:spacing w:after="120"/>
              <w:rPr>
                <w:rFonts w:cs="Arial"/>
                <w:szCs w:val="20"/>
              </w:rPr>
            </w:pPr>
            <w:r>
              <w:rPr>
                <w:rFonts w:cs="Arial"/>
                <w:szCs w:val="20"/>
              </w:rPr>
              <w:t xml:space="preserve">Provide </w:t>
            </w:r>
            <w:r w:rsidR="00D94C66">
              <w:rPr>
                <w:rFonts w:cs="Arial"/>
                <w:szCs w:val="20"/>
              </w:rPr>
              <w:t xml:space="preserve">along </w:t>
            </w:r>
            <w:r w:rsidR="004E3DC5">
              <w:rPr>
                <w:rFonts w:cs="Arial"/>
                <w:szCs w:val="20"/>
              </w:rPr>
              <w:t xml:space="preserve">with staff </w:t>
            </w:r>
            <w:r>
              <w:rPr>
                <w:rFonts w:cs="Arial"/>
                <w:szCs w:val="20"/>
              </w:rPr>
              <w:t>updates on results of the project to increase visibility and awareness of the results;</w:t>
            </w:r>
          </w:p>
          <w:p w14:paraId="0DAACB51" w14:textId="05DE367C" w:rsidR="00097515" w:rsidRPr="00F0140A" w:rsidRDefault="004E3DC5" w:rsidP="0008027C">
            <w:pPr>
              <w:numPr>
                <w:ilvl w:val="0"/>
                <w:numId w:val="10"/>
              </w:numPr>
              <w:spacing w:after="120"/>
              <w:ind w:left="714" w:hanging="357"/>
              <w:jc w:val="both"/>
              <w:rPr>
                <w:rFonts w:cstheme="minorHAnsi"/>
                <w:lang w:val="en-GB"/>
              </w:rPr>
            </w:pPr>
            <w:r>
              <w:rPr>
                <w:rFonts w:cstheme="minorHAnsi"/>
                <w:lang w:val="en-GB"/>
              </w:rPr>
              <w:t>Provide t</w:t>
            </w:r>
            <w:r w:rsidR="00097515" w:rsidRPr="00F0140A">
              <w:rPr>
                <w:rFonts w:cstheme="minorHAnsi"/>
                <w:lang w:val="en-GB"/>
              </w:rPr>
              <w:t>imely and effective resource mobilisation to support the Law Reform Unit and its work programme, as required</w:t>
            </w:r>
            <w:r w:rsidR="00D94C66">
              <w:rPr>
                <w:rFonts w:cstheme="minorHAnsi"/>
                <w:lang w:val="en-GB"/>
              </w:rPr>
              <w:t>, and to mentor staff to be able to do likewise</w:t>
            </w:r>
            <w:r w:rsidR="00097515" w:rsidRPr="00F0140A">
              <w:rPr>
                <w:rFonts w:cstheme="minorHAnsi"/>
                <w:lang w:val="en-GB"/>
              </w:rPr>
              <w:t>; and</w:t>
            </w:r>
          </w:p>
          <w:p w14:paraId="46CEB58F" w14:textId="77777777" w:rsidR="00097515" w:rsidRDefault="000E0B8A" w:rsidP="0008027C">
            <w:pPr>
              <w:widowControl w:val="0"/>
              <w:numPr>
                <w:ilvl w:val="0"/>
                <w:numId w:val="10"/>
              </w:numPr>
              <w:spacing w:after="120"/>
              <w:ind w:left="714" w:hanging="357"/>
              <w:jc w:val="both"/>
              <w:rPr>
                <w:rFonts w:cstheme="minorHAnsi"/>
                <w:lang w:val="en-GB"/>
              </w:rPr>
            </w:pPr>
            <w:r>
              <w:rPr>
                <w:rFonts w:cstheme="minorHAnsi"/>
                <w:lang w:val="en-GB"/>
              </w:rPr>
              <w:t>Together with staff, d</w:t>
            </w:r>
            <w:r w:rsidR="00097515" w:rsidRPr="00F0140A">
              <w:rPr>
                <w:rFonts w:cstheme="minorHAnsi"/>
                <w:lang w:val="en-GB"/>
              </w:rPr>
              <w:t>evelop strategic partnerships and initiatives, prepare policy papers and present at meetings, workshops and conferences as required.</w:t>
            </w:r>
          </w:p>
          <w:p w14:paraId="6C46A243" w14:textId="62753DBF" w:rsidR="00807A6E" w:rsidRPr="0090162A" w:rsidRDefault="00807A6E" w:rsidP="00807A6E">
            <w:pPr>
              <w:widowControl w:val="0"/>
              <w:spacing w:after="120"/>
              <w:ind w:left="714"/>
              <w:jc w:val="both"/>
              <w:rPr>
                <w:rFonts w:cstheme="minorHAnsi"/>
                <w:lang w:val="en-GB"/>
              </w:rPr>
            </w:pPr>
          </w:p>
        </w:tc>
      </w:tr>
    </w:tbl>
    <w:p w14:paraId="591A54F2" w14:textId="77777777" w:rsidR="009A0344" w:rsidRDefault="009A0344" w:rsidP="009A0344">
      <w:pPr>
        <w:rPr>
          <w:b/>
        </w:rPr>
      </w:pPr>
    </w:p>
    <w:p w14:paraId="61F06CDD" w14:textId="675F966A" w:rsidR="009A0344" w:rsidRDefault="009A0344" w:rsidP="009A0344">
      <w:pPr>
        <w:rPr>
          <w:b/>
        </w:rPr>
      </w:pPr>
      <w:r>
        <w:rPr>
          <w:b/>
        </w:rPr>
        <w:t>DELIVERABLES</w:t>
      </w:r>
    </w:p>
    <w:p w14:paraId="59BA340D" w14:textId="14522990" w:rsidR="000677EC" w:rsidRPr="000677EC" w:rsidRDefault="00622B73" w:rsidP="000342FF">
      <w:pPr>
        <w:pStyle w:val="NoSpacing"/>
        <w:numPr>
          <w:ilvl w:val="0"/>
          <w:numId w:val="23"/>
        </w:numPr>
        <w:pBdr>
          <w:top w:val="single" w:sz="4" w:space="1" w:color="auto"/>
          <w:left w:val="single" w:sz="4" w:space="4" w:color="auto"/>
          <w:bottom w:val="single" w:sz="4" w:space="1" w:color="auto"/>
          <w:right w:val="single" w:sz="4" w:space="4" w:color="auto"/>
        </w:pBdr>
        <w:spacing w:after="240"/>
        <w:jc w:val="both"/>
      </w:pPr>
      <w:r>
        <w:t>Workplan including target</w:t>
      </w:r>
      <w:r w:rsidR="000677EC">
        <w:t>s and key performance indicators</w:t>
      </w:r>
      <w:r>
        <w:t xml:space="preserve"> for each</w:t>
      </w:r>
      <w:r w:rsidR="000677EC">
        <w:t xml:space="preserve"> area of</w:t>
      </w:r>
      <w:r>
        <w:t xml:space="preserve"> responsibility</w:t>
      </w:r>
      <w:r w:rsidR="00F66C95">
        <w:t>;</w:t>
      </w:r>
    </w:p>
    <w:p w14:paraId="11D3FE3F" w14:textId="44DF9B45" w:rsidR="00871242" w:rsidRDefault="000342FF" w:rsidP="000342FF">
      <w:pPr>
        <w:pStyle w:val="NoSpacing"/>
        <w:numPr>
          <w:ilvl w:val="0"/>
          <w:numId w:val="23"/>
        </w:numPr>
        <w:pBdr>
          <w:top w:val="single" w:sz="4" w:space="1" w:color="auto"/>
          <w:left w:val="single" w:sz="4" w:space="4" w:color="auto"/>
          <w:bottom w:val="single" w:sz="4" w:space="1" w:color="auto"/>
          <w:right w:val="single" w:sz="4" w:space="4" w:color="auto"/>
        </w:pBdr>
        <w:spacing w:after="240"/>
        <w:jc w:val="both"/>
        <w:rPr>
          <w:rFonts w:cs="Times New Roman"/>
          <w:color w:val="0D0D0D" w:themeColor="text1" w:themeTint="F2"/>
        </w:rPr>
      </w:pPr>
      <w:r>
        <w:t>Monthly</w:t>
      </w:r>
      <w:r w:rsidR="00871242">
        <w:t xml:space="preserve"> reports which outline progress against</w:t>
      </w:r>
      <w:r w:rsidR="000677EC">
        <w:t xml:space="preserve"> workplan</w:t>
      </w:r>
      <w:r w:rsidR="00871242">
        <w:t xml:space="preserve"> targets</w:t>
      </w:r>
      <w:r w:rsidR="000677EC">
        <w:t>.</w:t>
      </w:r>
      <w:r w:rsidR="00871242">
        <w:t xml:space="preserve"> </w:t>
      </w:r>
    </w:p>
    <w:p w14:paraId="2D962A6C" w14:textId="77777777" w:rsidR="009A0344" w:rsidRPr="00433070" w:rsidRDefault="009A0344" w:rsidP="009A0344">
      <w:pPr>
        <w:pStyle w:val="NoSpacing"/>
        <w:pBdr>
          <w:top w:val="single" w:sz="4" w:space="1" w:color="auto"/>
          <w:left w:val="single" w:sz="4" w:space="4" w:color="auto"/>
          <w:bottom w:val="single" w:sz="4" w:space="1" w:color="auto"/>
          <w:right w:val="single" w:sz="4" w:space="4" w:color="auto"/>
        </w:pBdr>
        <w:ind w:left="360"/>
        <w:rPr>
          <w:rFonts w:cs="Times New Roman"/>
          <w:b/>
          <w:bCs/>
        </w:rPr>
      </w:pPr>
    </w:p>
    <w:p w14:paraId="498ECD1A" w14:textId="675A6CC1" w:rsidR="00A57C48" w:rsidRDefault="00A57C48" w:rsidP="00A57C48">
      <w:pPr>
        <w:jc w:val="both"/>
        <w:rPr>
          <w:b/>
          <w:lang w:val="en-GB"/>
        </w:rPr>
      </w:pPr>
    </w:p>
    <w:p w14:paraId="130B07FD" w14:textId="293E24DE" w:rsidR="000677EC" w:rsidRDefault="000677EC" w:rsidP="00A57C48">
      <w:pPr>
        <w:jc w:val="both"/>
        <w:rPr>
          <w:b/>
          <w:lang w:val="en-GB"/>
        </w:rPr>
      </w:pPr>
    </w:p>
    <w:p w14:paraId="501915B7" w14:textId="77777777" w:rsidR="000677EC" w:rsidRDefault="000677EC" w:rsidP="00A57C48">
      <w:pPr>
        <w:jc w:val="both"/>
        <w:rPr>
          <w:b/>
          <w:lang w:val="en-GB"/>
        </w:rPr>
      </w:pPr>
    </w:p>
    <w:p w14:paraId="1A423284" w14:textId="77777777" w:rsidR="002223E0" w:rsidRPr="00E102F5" w:rsidRDefault="002223E0" w:rsidP="00A24134">
      <w:pPr>
        <w:rPr>
          <w:b/>
          <w:lang w:val="en-GB"/>
        </w:rPr>
      </w:pPr>
      <w:r w:rsidRPr="00E102F5">
        <w:rPr>
          <w:b/>
          <w:lang w:val="en-GB"/>
        </w:rPr>
        <w:lastRenderedPageBreak/>
        <w:t xml:space="preserve">3. </w:t>
      </w:r>
      <w:r w:rsidR="00C22E07" w:rsidRPr="00E102F5">
        <w:rPr>
          <w:b/>
          <w:lang w:val="en-GB"/>
        </w:rPr>
        <w:t xml:space="preserve">REQUIREMENTS FOR EXPERIENCE AND </w:t>
      </w:r>
      <w:r w:rsidRPr="00E102F5">
        <w:rPr>
          <w:b/>
          <w:lang w:val="en-GB"/>
        </w:rPr>
        <w:t>QUALIFICATIONS</w:t>
      </w:r>
    </w:p>
    <w:tbl>
      <w:tblPr>
        <w:tblStyle w:val="TableGrid"/>
        <w:tblW w:w="0" w:type="auto"/>
        <w:tblLook w:val="04A0" w:firstRow="1" w:lastRow="0" w:firstColumn="1" w:lastColumn="0" w:noHBand="0" w:noVBand="1"/>
      </w:tblPr>
      <w:tblGrid>
        <w:gridCol w:w="9350"/>
      </w:tblGrid>
      <w:tr w:rsidR="00443E94" w:rsidRPr="00E102F5" w14:paraId="5F72A5E5" w14:textId="77777777" w:rsidTr="00443E94">
        <w:tc>
          <w:tcPr>
            <w:tcW w:w="9576" w:type="dxa"/>
          </w:tcPr>
          <w:p w14:paraId="7898BAEE" w14:textId="77777777" w:rsidR="0065710B" w:rsidRPr="00E102F5" w:rsidRDefault="0065710B" w:rsidP="00EC517B">
            <w:pPr>
              <w:spacing w:after="120"/>
              <w:jc w:val="both"/>
              <w:rPr>
                <w:rFonts w:ascii="Calibri" w:hAnsi="Calibri" w:cs="Arial"/>
                <w:u w:val="single"/>
                <w:lang w:val="en-GB"/>
              </w:rPr>
            </w:pPr>
            <w:r w:rsidRPr="00E46B72">
              <w:rPr>
                <w:rFonts w:ascii="Calibri" w:hAnsi="Calibri" w:cs="Arial"/>
                <w:lang w:val="en-GB"/>
              </w:rPr>
              <w:t xml:space="preserve">I. </w:t>
            </w:r>
            <w:r w:rsidRPr="00E102F5">
              <w:rPr>
                <w:rFonts w:ascii="Calibri" w:hAnsi="Calibri" w:cs="Arial"/>
                <w:u w:val="single"/>
                <w:lang w:val="en-GB"/>
              </w:rPr>
              <w:t>Academic Qualifications</w:t>
            </w:r>
            <w:r w:rsidRPr="00E46B72">
              <w:rPr>
                <w:rFonts w:ascii="Calibri" w:hAnsi="Calibri" w:cs="Arial"/>
                <w:lang w:val="en-GB"/>
              </w:rPr>
              <w:t>:</w:t>
            </w:r>
          </w:p>
          <w:p w14:paraId="16483985" w14:textId="77777777" w:rsidR="00082F78" w:rsidRPr="00E102F5" w:rsidRDefault="00082F78" w:rsidP="00EC517B">
            <w:pPr>
              <w:numPr>
                <w:ilvl w:val="0"/>
                <w:numId w:val="16"/>
              </w:numPr>
              <w:spacing w:after="120"/>
              <w:jc w:val="both"/>
              <w:rPr>
                <w:rFonts w:cs="Arial"/>
                <w:szCs w:val="20"/>
                <w:lang w:val="en-GB"/>
              </w:rPr>
            </w:pPr>
            <w:r w:rsidRPr="00E102F5">
              <w:rPr>
                <w:rFonts w:cs="Arial"/>
                <w:szCs w:val="20"/>
                <w:lang w:val="en-GB"/>
              </w:rPr>
              <w:t>Master’s degree or equivalent, in law required.</w:t>
            </w:r>
          </w:p>
          <w:p w14:paraId="6BD35CEF" w14:textId="77777777" w:rsidR="00082F78" w:rsidRPr="00E102F5" w:rsidRDefault="00082F78" w:rsidP="00EC517B">
            <w:pPr>
              <w:numPr>
                <w:ilvl w:val="0"/>
                <w:numId w:val="16"/>
              </w:numPr>
              <w:spacing w:after="120"/>
              <w:jc w:val="both"/>
              <w:rPr>
                <w:rFonts w:cs="Arial"/>
                <w:szCs w:val="20"/>
                <w:lang w:val="en-GB"/>
              </w:rPr>
            </w:pPr>
            <w:r w:rsidRPr="00E102F5">
              <w:rPr>
                <w:rFonts w:cs="Arial"/>
                <w:szCs w:val="20"/>
                <w:lang w:val="en-GB"/>
              </w:rPr>
              <w:t xml:space="preserve">Additional </w:t>
            </w:r>
            <w:r w:rsidR="006173EE" w:rsidRPr="00E102F5">
              <w:rPr>
                <w:rFonts w:cs="Arial"/>
                <w:szCs w:val="20"/>
                <w:lang w:val="en-GB"/>
              </w:rPr>
              <w:t xml:space="preserve">tertiary </w:t>
            </w:r>
            <w:r w:rsidRPr="00E102F5">
              <w:rPr>
                <w:rFonts w:cs="Arial"/>
                <w:szCs w:val="20"/>
                <w:lang w:val="en-GB"/>
              </w:rPr>
              <w:t>qualifications in public policy or public administration preferred.</w:t>
            </w:r>
          </w:p>
          <w:p w14:paraId="26A130D1" w14:textId="77777777" w:rsidR="0065710B" w:rsidRPr="00E46B72" w:rsidRDefault="0065710B" w:rsidP="00EC517B">
            <w:pPr>
              <w:spacing w:after="120"/>
              <w:jc w:val="both"/>
              <w:rPr>
                <w:rFonts w:ascii="Calibri" w:hAnsi="Calibri" w:cs="Arial"/>
                <w:lang w:val="en-GB"/>
              </w:rPr>
            </w:pPr>
            <w:r w:rsidRPr="00E46B72">
              <w:rPr>
                <w:rFonts w:ascii="Calibri" w:hAnsi="Calibri" w:cs="Arial"/>
                <w:lang w:val="en-GB"/>
              </w:rPr>
              <w:t xml:space="preserve">II. </w:t>
            </w:r>
            <w:r w:rsidR="00E34891" w:rsidRPr="00E46B72">
              <w:rPr>
                <w:rFonts w:ascii="Calibri" w:hAnsi="Calibri" w:cs="Arial"/>
                <w:u w:val="single"/>
                <w:lang w:val="en-GB"/>
              </w:rPr>
              <w:t xml:space="preserve">Required </w:t>
            </w:r>
            <w:r w:rsidR="00E46B72">
              <w:rPr>
                <w:rFonts w:ascii="Calibri" w:hAnsi="Calibri" w:cs="Arial"/>
                <w:u w:val="single"/>
                <w:lang w:val="en-GB"/>
              </w:rPr>
              <w:t>E</w:t>
            </w:r>
            <w:r w:rsidR="00E34891" w:rsidRPr="00E46B72">
              <w:rPr>
                <w:rFonts w:ascii="Calibri" w:hAnsi="Calibri" w:cs="Arial"/>
                <w:u w:val="single"/>
                <w:lang w:val="en-GB"/>
              </w:rPr>
              <w:t>xperience</w:t>
            </w:r>
            <w:r w:rsidRPr="00E46B72">
              <w:rPr>
                <w:rFonts w:ascii="Calibri" w:hAnsi="Calibri" w:cs="Arial"/>
                <w:lang w:val="en-GB"/>
              </w:rPr>
              <w:t>:</w:t>
            </w:r>
          </w:p>
          <w:p w14:paraId="10DA7C4C"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 xml:space="preserve">Minimum 10 years’ experience providing high level technical advisory services to law reform processes or programmes, </w:t>
            </w:r>
            <w:r w:rsidR="00AC652B" w:rsidRPr="00E102F5">
              <w:rPr>
                <w:rFonts w:cs="Arial"/>
                <w:szCs w:val="20"/>
                <w:lang w:val="en-GB"/>
              </w:rPr>
              <w:t>(including</w:t>
            </w:r>
            <w:r w:rsidRPr="00E102F5">
              <w:rPr>
                <w:rFonts w:cs="Arial"/>
                <w:szCs w:val="20"/>
                <w:lang w:val="en-GB"/>
              </w:rPr>
              <w:t xml:space="preserve"> a minimum of 7 years in a </w:t>
            </w:r>
            <w:r w:rsidR="00EC517B">
              <w:rPr>
                <w:rFonts w:cs="Arial"/>
                <w:szCs w:val="20"/>
                <w:lang w:val="en-GB"/>
              </w:rPr>
              <w:t>C</w:t>
            </w:r>
            <w:r w:rsidRPr="00E102F5">
              <w:rPr>
                <w:rFonts w:cs="Arial"/>
                <w:szCs w:val="20"/>
                <w:lang w:val="en-GB"/>
              </w:rPr>
              <w:t xml:space="preserve">ommon </w:t>
            </w:r>
            <w:r w:rsidR="00EC517B">
              <w:rPr>
                <w:rFonts w:cs="Arial"/>
                <w:szCs w:val="20"/>
                <w:lang w:val="en-GB"/>
              </w:rPr>
              <w:t>L</w:t>
            </w:r>
            <w:r w:rsidRPr="00E102F5">
              <w:rPr>
                <w:rFonts w:cs="Arial"/>
                <w:szCs w:val="20"/>
                <w:lang w:val="en-GB"/>
              </w:rPr>
              <w:t>aw/Commonwealth jurisdiction</w:t>
            </w:r>
            <w:r w:rsidR="00AC652B" w:rsidRPr="00E102F5">
              <w:rPr>
                <w:rFonts w:cs="Arial"/>
                <w:szCs w:val="20"/>
                <w:lang w:val="en-GB"/>
              </w:rPr>
              <w:t>)</w:t>
            </w:r>
            <w:r w:rsidRPr="00E102F5">
              <w:rPr>
                <w:rFonts w:cs="Arial"/>
                <w:szCs w:val="20"/>
                <w:lang w:val="en-GB"/>
              </w:rPr>
              <w:t>;</w:t>
            </w:r>
          </w:p>
          <w:p w14:paraId="28DF3632" w14:textId="77777777" w:rsidR="00AC652B" w:rsidRPr="00E102F5" w:rsidRDefault="00AC652B" w:rsidP="00EC517B">
            <w:pPr>
              <w:numPr>
                <w:ilvl w:val="0"/>
                <w:numId w:val="17"/>
              </w:numPr>
              <w:spacing w:after="120"/>
              <w:jc w:val="both"/>
              <w:rPr>
                <w:rFonts w:cs="Arial"/>
                <w:szCs w:val="20"/>
                <w:lang w:val="en-GB"/>
              </w:rPr>
            </w:pPr>
            <w:r w:rsidRPr="00E102F5">
              <w:rPr>
                <w:rFonts w:cs="Arial"/>
                <w:szCs w:val="20"/>
                <w:lang w:val="en-GB"/>
              </w:rPr>
              <w:t xml:space="preserve">Strong </w:t>
            </w:r>
            <w:r w:rsidR="004336E4" w:rsidRPr="00E102F5">
              <w:rPr>
                <w:rFonts w:cs="Arial"/>
                <w:szCs w:val="20"/>
                <w:lang w:val="en-GB"/>
              </w:rPr>
              <w:t xml:space="preserve">international </w:t>
            </w:r>
            <w:r w:rsidRPr="00E102F5">
              <w:rPr>
                <w:rFonts w:cs="Arial"/>
                <w:szCs w:val="20"/>
                <w:lang w:val="en-GB"/>
              </w:rPr>
              <w:t xml:space="preserve">experience in law reform processes, with a minimum of 5 years’ experience gained </w:t>
            </w:r>
            <w:r w:rsidR="004336E4" w:rsidRPr="00E102F5">
              <w:rPr>
                <w:rFonts w:cs="Arial"/>
                <w:szCs w:val="20"/>
                <w:lang w:val="en-GB"/>
              </w:rPr>
              <w:t>in jurisdiction(s) outside Botswana or in an international organisation</w:t>
            </w:r>
            <w:r w:rsidRPr="00E102F5">
              <w:rPr>
                <w:rFonts w:cs="Arial"/>
                <w:szCs w:val="20"/>
                <w:lang w:val="en-GB"/>
              </w:rPr>
              <w:t>;</w:t>
            </w:r>
          </w:p>
          <w:p w14:paraId="162ED3B0" w14:textId="68145ABA"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Strong and demonstrated programme management and results-based management skills, including planning, budgeting,</w:t>
            </w:r>
            <w:r w:rsidR="00AF7E09">
              <w:rPr>
                <w:rFonts w:cs="Arial"/>
                <w:szCs w:val="20"/>
                <w:lang w:val="en-GB"/>
              </w:rPr>
              <w:t xml:space="preserve"> mentoring,</w:t>
            </w:r>
            <w:r w:rsidRPr="00E102F5">
              <w:rPr>
                <w:rFonts w:cs="Arial"/>
                <w:szCs w:val="20"/>
                <w:lang w:val="en-GB"/>
              </w:rPr>
              <w:t xml:space="preserve"> performance management and institutional strengthening;</w:t>
            </w:r>
          </w:p>
          <w:p w14:paraId="1D7BD145"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 xml:space="preserve">Demonstrated experience in designing and implementing strategies, structures, systems and procedures for rule of law or justice institutions; </w:t>
            </w:r>
          </w:p>
          <w:p w14:paraId="3217FEBD" w14:textId="684CFB40"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In-depth understanding of capacity</w:t>
            </w:r>
            <w:r w:rsidR="00AB4D2E">
              <w:rPr>
                <w:rFonts w:cs="Arial"/>
                <w:szCs w:val="20"/>
                <w:lang w:val="en-GB"/>
              </w:rPr>
              <w:t>-</w:t>
            </w:r>
            <w:r w:rsidRPr="00E102F5">
              <w:rPr>
                <w:rFonts w:cs="Arial"/>
                <w:szCs w:val="20"/>
                <w:lang w:val="en-GB"/>
              </w:rPr>
              <w:t>building theory and practice, and practical experience of working with governments, preferably in developing  / middle income country contexts to build sustained capacity;</w:t>
            </w:r>
          </w:p>
          <w:p w14:paraId="5D9454C0"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Demonstrated experience in mainstreaming human rights-based approaches and gender equality in law reform;</w:t>
            </w:r>
          </w:p>
          <w:p w14:paraId="1E843D84"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Team-building skills and proven ability to work with diverse groups to facilitate dialogue and build consensus;</w:t>
            </w:r>
          </w:p>
          <w:p w14:paraId="5238BCC8"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 xml:space="preserve">Knowledge and command of the role of information technology and communications preferably in the field of law and justice; </w:t>
            </w:r>
          </w:p>
          <w:p w14:paraId="65AF179A"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Demonstrated knowledge of the legal context in Botswana;</w:t>
            </w:r>
          </w:p>
          <w:p w14:paraId="09294BB6" w14:textId="77777777" w:rsidR="00E34891" w:rsidRPr="00E102F5" w:rsidRDefault="00E34891" w:rsidP="00EC517B">
            <w:pPr>
              <w:numPr>
                <w:ilvl w:val="0"/>
                <w:numId w:val="17"/>
              </w:numPr>
              <w:spacing w:after="120"/>
              <w:jc w:val="both"/>
              <w:rPr>
                <w:rFonts w:cs="Arial"/>
                <w:szCs w:val="20"/>
                <w:lang w:val="en-GB"/>
              </w:rPr>
            </w:pPr>
            <w:r w:rsidRPr="00E102F5">
              <w:rPr>
                <w:rFonts w:cs="Arial"/>
                <w:szCs w:val="20"/>
                <w:lang w:val="en-GB"/>
              </w:rPr>
              <w:t>Excellent written and oral communication skills.</w:t>
            </w:r>
          </w:p>
          <w:p w14:paraId="104A33A7" w14:textId="77777777" w:rsidR="0065710B" w:rsidRPr="00E102F5" w:rsidRDefault="0065710B" w:rsidP="00EC517B">
            <w:pPr>
              <w:spacing w:after="120"/>
              <w:jc w:val="both"/>
              <w:rPr>
                <w:rFonts w:ascii="Calibri" w:hAnsi="Calibri" w:cs="Arial"/>
                <w:u w:val="single"/>
                <w:lang w:val="en-GB"/>
              </w:rPr>
            </w:pPr>
            <w:r w:rsidRPr="00E46B72">
              <w:rPr>
                <w:rFonts w:ascii="Calibri" w:hAnsi="Calibri" w:cs="Arial"/>
                <w:lang w:val="en-GB"/>
              </w:rPr>
              <w:t>III.</w:t>
            </w:r>
            <w:r w:rsidRPr="00B808B6">
              <w:rPr>
                <w:rFonts w:ascii="Calibri" w:hAnsi="Calibri" w:cs="Arial"/>
                <w:lang w:val="en-GB"/>
              </w:rPr>
              <w:t xml:space="preserve"> </w:t>
            </w:r>
            <w:r w:rsidRPr="00E102F5">
              <w:rPr>
                <w:rFonts w:ascii="Calibri" w:hAnsi="Calibri" w:cs="Arial"/>
                <w:u w:val="single"/>
                <w:lang w:val="en-GB"/>
              </w:rPr>
              <w:t>Competencies</w:t>
            </w:r>
            <w:r w:rsidRPr="00B808B6">
              <w:rPr>
                <w:rFonts w:ascii="Calibri" w:hAnsi="Calibri" w:cs="Arial"/>
                <w:lang w:val="en-GB"/>
              </w:rPr>
              <w:t>:</w:t>
            </w:r>
          </w:p>
          <w:p w14:paraId="09AC396E" w14:textId="77777777" w:rsidR="00082F78" w:rsidRPr="00E102F5" w:rsidRDefault="00082F78" w:rsidP="00EC517B">
            <w:pPr>
              <w:spacing w:after="120"/>
              <w:jc w:val="both"/>
              <w:rPr>
                <w:rFonts w:cs="Arial"/>
                <w:b/>
                <w:szCs w:val="20"/>
                <w:lang w:val="en-GB"/>
              </w:rPr>
            </w:pPr>
            <w:r w:rsidRPr="00E102F5">
              <w:rPr>
                <w:rFonts w:cs="Arial"/>
                <w:b/>
                <w:szCs w:val="20"/>
                <w:lang w:val="en-GB"/>
              </w:rPr>
              <w:t>Core Competencies:</w:t>
            </w:r>
          </w:p>
          <w:p w14:paraId="2F23E76F"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Uses substantive mastery of technical content to model excellence and motivate performance;</w:t>
            </w:r>
          </w:p>
          <w:p w14:paraId="0F726931"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Ability to lead effectively, using mentoring as well as conflict resolution skills;</w:t>
            </w:r>
          </w:p>
          <w:p w14:paraId="333A2470"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Sets strategic goals and builds the means to achieve results;</w:t>
            </w:r>
          </w:p>
          <w:p w14:paraId="5894B9E6"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 xml:space="preserve">Scales up innovation for greater impact; </w:t>
            </w:r>
          </w:p>
          <w:p w14:paraId="5CAC84E5"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Promotes knowledge management and a learning environment through leadership and personal example;</w:t>
            </w:r>
          </w:p>
          <w:p w14:paraId="617324F3"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 xml:space="preserve">Demonstrates openness to change and ability to manage uncertainties and complexities; </w:t>
            </w:r>
          </w:p>
          <w:p w14:paraId="195D5D5D" w14:textId="77777777" w:rsidR="00082F78" w:rsidRPr="00E102F5" w:rsidRDefault="00082F78" w:rsidP="00EC517B">
            <w:pPr>
              <w:numPr>
                <w:ilvl w:val="0"/>
                <w:numId w:val="15"/>
              </w:numPr>
              <w:spacing w:after="120"/>
              <w:jc w:val="both"/>
              <w:rPr>
                <w:rFonts w:cs="Arial"/>
                <w:szCs w:val="20"/>
                <w:lang w:val="en-GB"/>
              </w:rPr>
            </w:pPr>
            <w:r w:rsidRPr="00E102F5">
              <w:rPr>
                <w:rFonts w:cs="Arial"/>
                <w:szCs w:val="20"/>
                <w:lang w:val="en-GB"/>
              </w:rPr>
              <w:t>Remains calm, in control and good</w:t>
            </w:r>
            <w:r w:rsidR="00E46B72">
              <w:rPr>
                <w:rFonts w:cs="Arial"/>
                <w:szCs w:val="20"/>
                <w:lang w:val="en-GB"/>
              </w:rPr>
              <w:t>-</w:t>
            </w:r>
            <w:r w:rsidRPr="00E102F5">
              <w:rPr>
                <w:rFonts w:cs="Arial"/>
                <w:szCs w:val="20"/>
                <w:lang w:val="en-GB"/>
              </w:rPr>
              <w:t>humo</w:t>
            </w:r>
            <w:r w:rsidR="00E46B72">
              <w:rPr>
                <w:rFonts w:cs="Arial"/>
                <w:szCs w:val="20"/>
                <w:lang w:val="en-GB"/>
              </w:rPr>
              <w:t>u</w:t>
            </w:r>
            <w:r w:rsidRPr="00E102F5">
              <w:rPr>
                <w:rFonts w:cs="Arial"/>
                <w:szCs w:val="20"/>
                <w:lang w:val="en-GB"/>
              </w:rPr>
              <w:t>red even under pressure;</w:t>
            </w:r>
          </w:p>
          <w:p w14:paraId="2DD37F85" w14:textId="77777777" w:rsidR="00E34891" w:rsidRDefault="00082F78" w:rsidP="00EC517B">
            <w:pPr>
              <w:numPr>
                <w:ilvl w:val="0"/>
                <w:numId w:val="15"/>
              </w:numPr>
              <w:spacing w:after="120"/>
              <w:jc w:val="both"/>
              <w:rPr>
                <w:rFonts w:cs="Arial"/>
                <w:szCs w:val="20"/>
                <w:lang w:val="en-GB"/>
              </w:rPr>
            </w:pPr>
            <w:r w:rsidRPr="00E102F5">
              <w:rPr>
                <w:rFonts w:cs="Arial"/>
                <w:szCs w:val="20"/>
                <w:lang w:val="en-GB"/>
              </w:rPr>
              <w:t>Demonstrates excellent oral and written communication skills.</w:t>
            </w:r>
          </w:p>
          <w:p w14:paraId="316F5262" w14:textId="77777777" w:rsidR="00082F78" w:rsidRPr="00E102F5" w:rsidRDefault="00082F78" w:rsidP="00E46B72">
            <w:pPr>
              <w:spacing w:after="120"/>
              <w:jc w:val="both"/>
              <w:rPr>
                <w:rFonts w:cs="Arial"/>
                <w:szCs w:val="20"/>
                <w:lang w:val="en-GB"/>
              </w:rPr>
            </w:pPr>
            <w:r w:rsidRPr="00E102F5">
              <w:rPr>
                <w:rFonts w:cs="Arial"/>
                <w:b/>
                <w:szCs w:val="20"/>
                <w:lang w:val="en-GB"/>
              </w:rPr>
              <w:lastRenderedPageBreak/>
              <w:t>Technical Competencies</w:t>
            </w:r>
            <w:r w:rsidRPr="00E102F5">
              <w:rPr>
                <w:rFonts w:cs="Arial"/>
                <w:szCs w:val="20"/>
                <w:lang w:val="en-GB"/>
              </w:rPr>
              <w:t>:</w:t>
            </w:r>
          </w:p>
          <w:p w14:paraId="16B83506" w14:textId="77777777" w:rsidR="00082F78" w:rsidRPr="00E102F5" w:rsidRDefault="00082F78" w:rsidP="00E46B72">
            <w:pPr>
              <w:numPr>
                <w:ilvl w:val="0"/>
                <w:numId w:val="15"/>
              </w:numPr>
              <w:spacing w:after="120"/>
              <w:jc w:val="both"/>
              <w:rPr>
                <w:rFonts w:cs="Arial"/>
                <w:szCs w:val="20"/>
                <w:lang w:val="en-GB"/>
              </w:rPr>
            </w:pPr>
            <w:r w:rsidRPr="00E102F5">
              <w:rPr>
                <w:rFonts w:cs="Arial"/>
                <w:szCs w:val="20"/>
                <w:lang w:val="en-GB"/>
              </w:rPr>
              <w:t xml:space="preserve">Expertise in law reform processes in </w:t>
            </w:r>
            <w:r w:rsidR="00EC517B">
              <w:rPr>
                <w:rFonts w:cs="Arial"/>
                <w:szCs w:val="20"/>
                <w:lang w:val="en-GB"/>
              </w:rPr>
              <w:t>C</w:t>
            </w:r>
            <w:r w:rsidRPr="00E102F5">
              <w:rPr>
                <w:rFonts w:cs="Arial"/>
                <w:szCs w:val="20"/>
                <w:lang w:val="en-GB"/>
              </w:rPr>
              <w:t xml:space="preserve">ommon </w:t>
            </w:r>
            <w:r w:rsidR="00EC517B">
              <w:rPr>
                <w:rFonts w:cs="Arial"/>
                <w:szCs w:val="20"/>
                <w:lang w:val="en-GB"/>
              </w:rPr>
              <w:t>L</w:t>
            </w:r>
            <w:r w:rsidRPr="00E102F5">
              <w:rPr>
                <w:rFonts w:cs="Arial"/>
                <w:szCs w:val="20"/>
                <w:lang w:val="en-GB"/>
              </w:rPr>
              <w:t>aw/Commonwealth jurisdictions and familiarity with law reform in hybrid systems;</w:t>
            </w:r>
          </w:p>
          <w:p w14:paraId="33D6DC3B" w14:textId="77777777" w:rsidR="00082F78" w:rsidRPr="00E102F5" w:rsidRDefault="00082F78" w:rsidP="00E46B72">
            <w:pPr>
              <w:numPr>
                <w:ilvl w:val="0"/>
                <w:numId w:val="15"/>
              </w:numPr>
              <w:spacing w:after="120"/>
              <w:jc w:val="both"/>
              <w:rPr>
                <w:rFonts w:cs="Arial"/>
                <w:szCs w:val="20"/>
                <w:lang w:val="en-GB"/>
              </w:rPr>
            </w:pPr>
            <w:r w:rsidRPr="00E102F5">
              <w:rPr>
                <w:rFonts w:cs="Arial"/>
                <w:szCs w:val="20"/>
                <w:lang w:val="en-GB"/>
              </w:rPr>
              <w:t>Ability to engage in comparative research and analysis and contextualise strategic and technical advice to the local context and conditions;</w:t>
            </w:r>
          </w:p>
          <w:p w14:paraId="54CB8DFC" w14:textId="77777777" w:rsidR="00082F78" w:rsidRPr="00E102F5" w:rsidRDefault="00082F78" w:rsidP="00E46B72">
            <w:pPr>
              <w:numPr>
                <w:ilvl w:val="0"/>
                <w:numId w:val="15"/>
              </w:numPr>
              <w:spacing w:after="120"/>
              <w:jc w:val="both"/>
              <w:rPr>
                <w:rFonts w:cs="Arial"/>
                <w:szCs w:val="20"/>
                <w:lang w:val="en-GB"/>
              </w:rPr>
            </w:pPr>
            <w:r w:rsidRPr="00E102F5">
              <w:rPr>
                <w:rFonts w:cs="Arial"/>
                <w:szCs w:val="20"/>
                <w:lang w:val="en-GB"/>
              </w:rPr>
              <w:t>Ability to effectively lead strategic planning, results-based management and reporting and build institutional capacity in these areas;</w:t>
            </w:r>
          </w:p>
          <w:p w14:paraId="2012F27C" w14:textId="77777777" w:rsidR="00082F78" w:rsidRPr="00E102F5" w:rsidRDefault="00082F78" w:rsidP="00E46B72">
            <w:pPr>
              <w:numPr>
                <w:ilvl w:val="0"/>
                <w:numId w:val="15"/>
              </w:numPr>
              <w:spacing w:after="120"/>
              <w:jc w:val="both"/>
              <w:rPr>
                <w:rFonts w:cs="Arial"/>
                <w:szCs w:val="20"/>
                <w:lang w:val="en-GB"/>
              </w:rPr>
            </w:pPr>
            <w:r w:rsidRPr="00E102F5">
              <w:rPr>
                <w:rFonts w:cs="Arial"/>
                <w:szCs w:val="20"/>
                <w:lang w:val="en-GB"/>
              </w:rPr>
              <w:t>Ability to lead formulation and monitoring of projects;</w:t>
            </w:r>
          </w:p>
          <w:p w14:paraId="11ED5525" w14:textId="77777777" w:rsidR="00082F78" w:rsidRPr="00E102F5" w:rsidRDefault="00082F78" w:rsidP="00E46B72">
            <w:pPr>
              <w:numPr>
                <w:ilvl w:val="0"/>
                <w:numId w:val="15"/>
              </w:numPr>
              <w:spacing w:after="120"/>
              <w:jc w:val="both"/>
              <w:rPr>
                <w:rFonts w:cs="Arial"/>
                <w:szCs w:val="20"/>
                <w:lang w:val="en-GB"/>
              </w:rPr>
            </w:pPr>
            <w:r w:rsidRPr="00E102F5">
              <w:rPr>
                <w:rFonts w:cs="Arial"/>
                <w:szCs w:val="20"/>
                <w:lang w:val="en-GB"/>
              </w:rPr>
              <w:t>Ability to assess scope of request for advisory services, prepare detailed TORs, brief and manage a variety of technical consultants, assess quality of services provided by technical consultants and take remed</w:t>
            </w:r>
            <w:r w:rsidR="00E34891" w:rsidRPr="00E102F5">
              <w:rPr>
                <w:rFonts w:cs="Arial"/>
                <w:szCs w:val="20"/>
                <w:lang w:val="en-GB"/>
              </w:rPr>
              <w:t>ial measures as appropriate;</w:t>
            </w:r>
          </w:p>
          <w:p w14:paraId="58E8149A" w14:textId="77777777" w:rsidR="00E34891" w:rsidRPr="00E102F5" w:rsidRDefault="00082F78" w:rsidP="00E46B72">
            <w:pPr>
              <w:numPr>
                <w:ilvl w:val="0"/>
                <w:numId w:val="15"/>
              </w:numPr>
              <w:spacing w:after="120"/>
              <w:jc w:val="both"/>
              <w:rPr>
                <w:rFonts w:cs="Arial"/>
                <w:szCs w:val="20"/>
                <w:lang w:val="en-GB"/>
              </w:rPr>
            </w:pPr>
            <w:r w:rsidRPr="00E102F5">
              <w:rPr>
                <w:rFonts w:cs="Arial"/>
                <w:szCs w:val="20"/>
                <w:lang w:val="en-GB"/>
              </w:rPr>
              <w:t>Ability to apply human rights based and participatory approaches to ensure effective and inclusive eng</w:t>
            </w:r>
            <w:r w:rsidR="00E34891" w:rsidRPr="00E102F5">
              <w:rPr>
                <w:rFonts w:cs="Arial"/>
                <w:szCs w:val="20"/>
                <w:lang w:val="en-GB"/>
              </w:rPr>
              <w:t>agement in law reform processes; and</w:t>
            </w:r>
          </w:p>
          <w:p w14:paraId="5A6B3F92" w14:textId="77777777" w:rsidR="00443E94" w:rsidRPr="00EC517B" w:rsidRDefault="00E34891" w:rsidP="00E46B72">
            <w:pPr>
              <w:numPr>
                <w:ilvl w:val="0"/>
                <w:numId w:val="15"/>
              </w:numPr>
              <w:spacing w:after="120"/>
              <w:jc w:val="both"/>
              <w:rPr>
                <w:rFonts w:cs="Arial"/>
                <w:szCs w:val="20"/>
                <w:lang w:val="en-GB"/>
              </w:rPr>
            </w:pPr>
            <w:r w:rsidRPr="00E102F5">
              <w:rPr>
                <w:rFonts w:cs="Arial"/>
                <w:szCs w:val="20"/>
                <w:lang w:val="en-GB"/>
              </w:rPr>
              <w:t>Fluency in written and spoken English.</w:t>
            </w:r>
          </w:p>
        </w:tc>
      </w:tr>
    </w:tbl>
    <w:p w14:paraId="4C532492" w14:textId="77777777" w:rsidR="00EC517B" w:rsidRDefault="00EC517B" w:rsidP="00EC517B">
      <w:pPr>
        <w:spacing w:after="120" w:line="240" w:lineRule="auto"/>
        <w:rPr>
          <w:b/>
          <w:lang w:val="en-GB"/>
        </w:rPr>
      </w:pPr>
    </w:p>
    <w:p w14:paraId="2CAEE1D6" w14:textId="77777777" w:rsidR="002223E0" w:rsidRPr="00E102F5" w:rsidRDefault="006C491D" w:rsidP="00EC517B">
      <w:pPr>
        <w:spacing w:after="120" w:line="240" w:lineRule="auto"/>
        <w:rPr>
          <w:b/>
          <w:lang w:val="en-GB"/>
        </w:rPr>
      </w:pPr>
      <w:r w:rsidRPr="00E102F5">
        <w:rPr>
          <w:b/>
          <w:lang w:val="en-GB"/>
        </w:rPr>
        <w:t xml:space="preserve">4. DOCUMENTS TO BE </w:t>
      </w:r>
      <w:r w:rsidR="004D3F24" w:rsidRPr="00E102F5">
        <w:rPr>
          <w:b/>
          <w:lang w:val="en-GB"/>
        </w:rPr>
        <w:t xml:space="preserve">INCLUDED </w:t>
      </w:r>
      <w:r w:rsidRPr="00E102F5">
        <w:rPr>
          <w:b/>
          <w:lang w:val="en-GB"/>
        </w:rPr>
        <w:t>WHEN SUBMITTING THE PROPOSALS</w:t>
      </w:r>
    </w:p>
    <w:tbl>
      <w:tblPr>
        <w:tblStyle w:val="TableGrid"/>
        <w:tblW w:w="0" w:type="auto"/>
        <w:tblLook w:val="04A0" w:firstRow="1" w:lastRow="0" w:firstColumn="1" w:lastColumn="0" w:noHBand="0" w:noVBand="1"/>
      </w:tblPr>
      <w:tblGrid>
        <w:gridCol w:w="9350"/>
      </w:tblGrid>
      <w:tr w:rsidR="00443E94" w:rsidRPr="00E102F5" w14:paraId="5FF5E4B0" w14:textId="77777777" w:rsidTr="00443E94">
        <w:tc>
          <w:tcPr>
            <w:tcW w:w="9576" w:type="dxa"/>
          </w:tcPr>
          <w:p w14:paraId="4C1A9EB1" w14:textId="77777777" w:rsidR="0065710B" w:rsidRPr="00E102F5" w:rsidRDefault="0065710B" w:rsidP="0065710B">
            <w:pPr>
              <w:rPr>
                <w:lang w:val="en-GB"/>
              </w:rPr>
            </w:pPr>
            <w:r w:rsidRPr="00E102F5">
              <w:rPr>
                <w:lang w:val="en-GB"/>
              </w:rPr>
              <w:t>Interested individual consultants must submit the following documents/information to demonstrate their qualifications:</w:t>
            </w:r>
          </w:p>
          <w:p w14:paraId="3446BEDF" w14:textId="77777777" w:rsidR="00E34891" w:rsidRPr="00E102F5" w:rsidRDefault="00E34891" w:rsidP="0065710B">
            <w:pPr>
              <w:rPr>
                <w:lang w:val="en-GB"/>
              </w:rPr>
            </w:pPr>
          </w:p>
          <w:p w14:paraId="1915514C" w14:textId="77777777" w:rsidR="0065710B" w:rsidRPr="00E102F5" w:rsidRDefault="0065710B" w:rsidP="0065710B">
            <w:pPr>
              <w:rPr>
                <w:lang w:val="en-GB"/>
              </w:rPr>
            </w:pPr>
            <w:r w:rsidRPr="00E102F5">
              <w:rPr>
                <w:lang w:val="en-GB"/>
              </w:rPr>
              <w:t>1. Proposal:</w:t>
            </w:r>
          </w:p>
          <w:p w14:paraId="61DC93BE" w14:textId="77777777" w:rsidR="0065710B" w:rsidRPr="00E102F5" w:rsidRDefault="0065710B" w:rsidP="0065710B">
            <w:pPr>
              <w:rPr>
                <w:lang w:val="en-GB"/>
              </w:rPr>
            </w:pPr>
            <w:r w:rsidRPr="00E102F5">
              <w:rPr>
                <w:lang w:val="en-GB"/>
              </w:rPr>
              <w:t>(i) Explaining why they are the most suitable for the work</w:t>
            </w:r>
          </w:p>
          <w:p w14:paraId="661CD6A2" w14:textId="20556E81" w:rsidR="0065710B" w:rsidRPr="00E102F5" w:rsidRDefault="0065710B" w:rsidP="0065710B">
            <w:pPr>
              <w:rPr>
                <w:lang w:val="en-GB"/>
              </w:rPr>
            </w:pPr>
            <w:r w:rsidRPr="00E102F5">
              <w:rPr>
                <w:lang w:val="en-GB"/>
              </w:rPr>
              <w:t xml:space="preserve">(ii) Provide a </w:t>
            </w:r>
            <w:r w:rsidR="00D71B00" w:rsidRPr="00E102F5">
              <w:rPr>
                <w:lang w:val="en-GB"/>
              </w:rPr>
              <w:t>detailed</w:t>
            </w:r>
            <w:r w:rsidRPr="00E102F5">
              <w:rPr>
                <w:lang w:val="en-GB"/>
              </w:rPr>
              <w:t xml:space="preserve"> methodology on how they will approach and conduct the </w:t>
            </w:r>
            <w:r w:rsidR="00E34891" w:rsidRPr="00E102F5">
              <w:rPr>
                <w:lang w:val="en-GB"/>
              </w:rPr>
              <w:t>work</w:t>
            </w:r>
            <w:r w:rsidR="00D71B00" w:rsidRPr="00E102F5">
              <w:rPr>
                <w:lang w:val="en-GB"/>
              </w:rPr>
              <w:t>, taking into consideration the objectives of the assignment, the required technical competencies and the duration of the assignment (1</w:t>
            </w:r>
            <w:r w:rsidR="00F0140A">
              <w:rPr>
                <w:lang w:val="en-GB"/>
              </w:rPr>
              <w:t>2</w:t>
            </w:r>
            <w:r w:rsidR="00D71B00" w:rsidRPr="00E102F5">
              <w:rPr>
                <w:lang w:val="en-GB"/>
              </w:rPr>
              <w:t>0 days over a</w:t>
            </w:r>
            <w:r w:rsidR="0050382C">
              <w:rPr>
                <w:lang w:val="en-GB"/>
              </w:rPr>
              <w:t xml:space="preserve"> </w:t>
            </w:r>
            <w:proofErr w:type="gramStart"/>
            <w:r w:rsidR="00D71B00" w:rsidRPr="00E102F5">
              <w:rPr>
                <w:lang w:val="en-GB"/>
              </w:rPr>
              <w:t>1</w:t>
            </w:r>
            <w:r w:rsidR="00F0140A">
              <w:rPr>
                <w:lang w:val="en-GB"/>
              </w:rPr>
              <w:t>2</w:t>
            </w:r>
            <w:r w:rsidR="00D71B00" w:rsidRPr="00E102F5">
              <w:rPr>
                <w:lang w:val="en-GB"/>
              </w:rPr>
              <w:t xml:space="preserve"> month</w:t>
            </w:r>
            <w:proofErr w:type="gramEnd"/>
            <w:r w:rsidR="00D71B00" w:rsidRPr="00E102F5">
              <w:rPr>
                <w:lang w:val="en-GB"/>
              </w:rPr>
              <w:t xml:space="preserve"> period)</w:t>
            </w:r>
            <w:r w:rsidR="00E34891" w:rsidRPr="00E102F5">
              <w:rPr>
                <w:lang w:val="en-GB"/>
              </w:rPr>
              <w:t>.</w:t>
            </w:r>
          </w:p>
          <w:p w14:paraId="1E1C7A69" w14:textId="77777777" w:rsidR="0065710B" w:rsidRPr="00E102F5" w:rsidRDefault="0065710B" w:rsidP="0065710B">
            <w:pPr>
              <w:rPr>
                <w:lang w:val="en-GB"/>
              </w:rPr>
            </w:pPr>
            <w:r w:rsidRPr="00E102F5">
              <w:rPr>
                <w:lang w:val="en-GB"/>
              </w:rPr>
              <w:t>2. Financial proposal</w:t>
            </w:r>
          </w:p>
          <w:p w14:paraId="38F34D1B" w14:textId="77777777" w:rsidR="0065710B" w:rsidRPr="005E0013" w:rsidRDefault="0065710B" w:rsidP="00A24134">
            <w:pPr>
              <w:rPr>
                <w:lang w:val="en-GB"/>
              </w:rPr>
            </w:pPr>
            <w:r w:rsidRPr="00E102F5">
              <w:rPr>
                <w:lang w:val="en-GB"/>
              </w:rPr>
              <w:t xml:space="preserve">3. </w:t>
            </w:r>
            <w:r w:rsidRPr="005E0013">
              <w:rPr>
                <w:lang w:val="en-GB"/>
              </w:rPr>
              <w:t>Personal CV including at least 3 references</w:t>
            </w:r>
          </w:p>
          <w:p w14:paraId="4590D2DB" w14:textId="33FEFD78" w:rsidR="00143712" w:rsidRPr="005E0013" w:rsidRDefault="00143712" w:rsidP="00A24134">
            <w:pPr>
              <w:rPr>
                <w:lang w:val="en-GB"/>
              </w:rPr>
            </w:pPr>
            <w:r w:rsidRPr="005E0013">
              <w:rPr>
                <w:lang w:val="en-GB"/>
              </w:rPr>
              <w:t xml:space="preserve">4. Statement of Good Health and proof of medical insurance. </w:t>
            </w:r>
          </w:p>
        </w:tc>
      </w:tr>
    </w:tbl>
    <w:p w14:paraId="77531890" w14:textId="77777777" w:rsidR="00EC517B" w:rsidRDefault="00EC517B" w:rsidP="00EC517B">
      <w:pPr>
        <w:autoSpaceDE w:val="0"/>
        <w:autoSpaceDN w:val="0"/>
        <w:adjustRightInd w:val="0"/>
        <w:spacing w:after="120" w:line="240" w:lineRule="auto"/>
        <w:rPr>
          <w:rFonts w:ascii="Calibri" w:hAnsi="Calibri" w:cs="Calibri"/>
          <w:b/>
          <w:lang w:val="en-GB"/>
        </w:rPr>
      </w:pPr>
    </w:p>
    <w:p w14:paraId="49E24A57" w14:textId="77777777" w:rsidR="0033411B" w:rsidRPr="00E102F5" w:rsidRDefault="00FE7C9D" w:rsidP="00EC517B">
      <w:pPr>
        <w:autoSpaceDE w:val="0"/>
        <w:autoSpaceDN w:val="0"/>
        <w:adjustRightInd w:val="0"/>
        <w:spacing w:after="120" w:line="240" w:lineRule="auto"/>
        <w:rPr>
          <w:rFonts w:ascii="Calibri" w:hAnsi="Calibri" w:cs="Calibri"/>
          <w:b/>
          <w:lang w:val="en-GB"/>
        </w:rPr>
      </w:pPr>
      <w:r w:rsidRPr="00E102F5">
        <w:rPr>
          <w:rFonts w:ascii="Calibri" w:hAnsi="Calibri" w:cs="Calibri"/>
          <w:b/>
          <w:lang w:val="en-GB"/>
        </w:rPr>
        <w:t xml:space="preserve">5. </w:t>
      </w:r>
      <w:r w:rsidR="0001012F" w:rsidRPr="00E102F5">
        <w:rPr>
          <w:rFonts w:ascii="Calibri" w:hAnsi="Calibri" w:cs="Calibri"/>
          <w:b/>
          <w:lang w:val="en-GB"/>
        </w:rPr>
        <w:t>FINANCIAL PROPOSAL</w:t>
      </w:r>
    </w:p>
    <w:tbl>
      <w:tblPr>
        <w:tblStyle w:val="TableGrid"/>
        <w:tblW w:w="0" w:type="auto"/>
        <w:tblLook w:val="04A0" w:firstRow="1" w:lastRow="0" w:firstColumn="1" w:lastColumn="0" w:noHBand="0" w:noVBand="1"/>
      </w:tblPr>
      <w:tblGrid>
        <w:gridCol w:w="9350"/>
      </w:tblGrid>
      <w:tr w:rsidR="00443E94" w:rsidRPr="00E102F5" w14:paraId="511E828B" w14:textId="77777777" w:rsidTr="00443E94">
        <w:tc>
          <w:tcPr>
            <w:tcW w:w="9576" w:type="dxa"/>
          </w:tcPr>
          <w:p w14:paraId="094AD987" w14:textId="77777777" w:rsidR="00480D13" w:rsidRPr="00E102F5" w:rsidRDefault="0065710B" w:rsidP="00EC517B">
            <w:pPr>
              <w:spacing w:after="120"/>
              <w:jc w:val="both"/>
              <w:rPr>
                <w:lang w:val="en-GB"/>
              </w:rPr>
            </w:pPr>
            <w:r w:rsidRPr="00E102F5">
              <w:rPr>
                <w:lang w:val="en-GB"/>
              </w:rPr>
              <w:t xml:space="preserve">The financial proposal shall specify a total lump sum amount, and payment terms around specific and measurable (qualitative and quantitative) deliverables (i.e. whether payments fall in </w:t>
            </w:r>
            <w:proofErr w:type="spellStart"/>
            <w:r w:rsidRPr="00E102F5">
              <w:rPr>
                <w:lang w:val="en-GB"/>
              </w:rPr>
              <w:t>installments</w:t>
            </w:r>
            <w:proofErr w:type="spellEnd"/>
            <w:r w:rsidRPr="00E102F5">
              <w:rPr>
                <w:lang w:val="en-GB"/>
              </w:rPr>
              <w:t xml:space="preserve"> or upon completion of the entire contract). </w:t>
            </w:r>
          </w:p>
          <w:p w14:paraId="1787D56E" w14:textId="4C94325A" w:rsidR="0065710B" w:rsidRPr="00E102F5" w:rsidRDefault="0065710B" w:rsidP="00EC517B">
            <w:pPr>
              <w:spacing w:after="120"/>
              <w:jc w:val="both"/>
              <w:rPr>
                <w:lang w:val="en-GB"/>
              </w:rPr>
            </w:pPr>
            <w:r w:rsidRPr="00E102F5">
              <w:rPr>
                <w:lang w:val="en-GB"/>
              </w:rPr>
              <w:t xml:space="preserve">Payments are based upon output, i.e. upon delivery of the services specified in the TOR.  In order to assist the requesting unit in the comparison of financial proposals, the financial proposal will include a breakdown of this lump sum amount (including </w:t>
            </w:r>
            <w:r w:rsidR="00480D13" w:rsidRPr="00E102F5">
              <w:rPr>
                <w:lang w:val="en-GB"/>
              </w:rPr>
              <w:t xml:space="preserve">timing of </w:t>
            </w:r>
            <w:proofErr w:type="spellStart"/>
            <w:r w:rsidR="00480D13" w:rsidRPr="00E102F5">
              <w:rPr>
                <w:lang w:val="en-GB"/>
              </w:rPr>
              <w:t>installments</w:t>
            </w:r>
            <w:proofErr w:type="spellEnd"/>
            <w:r w:rsidR="00480D13" w:rsidRPr="00E102F5">
              <w:rPr>
                <w:lang w:val="en-GB"/>
              </w:rPr>
              <w:t xml:space="preserve">, </w:t>
            </w:r>
            <w:r w:rsidRPr="00E102F5">
              <w:rPr>
                <w:lang w:val="en-GB"/>
              </w:rPr>
              <w:t>and number of anticipated working days)</w:t>
            </w:r>
            <w:r w:rsidR="00DB0EB6" w:rsidRPr="00E102F5">
              <w:rPr>
                <w:lang w:val="en-GB"/>
              </w:rPr>
              <w:t>.</w:t>
            </w:r>
          </w:p>
          <w:p w14:paraId="51139814" w14:textId="77777777" w:rsidR="0065710B" w:rsidRPr="00E102F5" w:rsidRDefault="00C81E56" w:rsidP="00605D4A">
            <w:pPr>
              <w:spacing w:after="120"/>
              <w:jc w:val="both"/>
              <w:rPr>
                <w:b/>
                <w:u w:val="single"/>
                <w:lang w:val="en-GB"/>
              </w:rPr>
            </w:pPr>
            <w:r w:rsidRPr="00E102F5">
              <w:rPr>
                <w:b/>
                <w:u w:val="single"/>
                <w:lang w:val="en-GB"/>
              </w:rPr>
              <w:t>Travel</w:t>
            </w:r>
          </w:p>
          <w:p w14:paraId="606CEC6E" w14:textId="77777777" w:rsidR="00A57C48" w:rsidRDefault="004955FD" w:rsidP="00605D4A">
            <w:pPr>
              <w:spacing w:after="120"/>
              <w:jc w:val="both"/>
              <w:rPr>
                <w:rFonts w:cstheme="minorHAnsi"/>
              </w:rPr>
            </w:pPr>
            <w:r w:rsidRPr="008E1EBE">
              <w:rPr>
                <w:rFonts w:cstheme="minorHAnsi"/>
              </w:rPr>
              <w:t>The financial proposal will specify the daily fee, travel expenses and per diems quoted in separate line items, and payments are made to the Individual Consultant based on the number of days worked.</w:t>
            </w:r>
            <w:r w:rsidR="002A0C3A">
              <w:rPr>
                <w:rFonts w:cstheme="minorHAnsi"/>
              </w:rPr>
              <w:t xml:space="preserve"> </w:t>
            </w:r>
          </w:p>
          <w:p w14:paraId="2FA42D9C" w14:textId="13989A87" w:rsidR="004955FD" w:rsidRDefault="004955FD" w:rsidP="00605D4A">
            <w:pPr>
              <w:spacing w:after="120"/>
              <w:jc w:val="both"/>
              <w:rPr>
                <w:rFonts w:cstheme="minorHAnsi"/>
              </w:rPr>
            </w:pPr>
            <w:r w:rsidRPr="008E1EBE">
              <w:rPr>
                <w:rFonts w:cstheme="minorHAnsi"/>
                <w:u w:val="single"/>
              </w:rPr>
              <w:t xml:space="preserve">All envisaged travel costs must be included in the financial proposal, </w:t>
            </w:r>
            <w:proofErr w:type="gramStart"/>
            <w:r w:rsidRPr="008E1EBE">
              <w:rPr>
                <w:rFonts w:cstheme="minorHAnsi"/>
                <w:u w:val="single"/>
              </w:rPr>
              <w:t>however</w:t>
            </w:r>
            <w:proofErr w:type="gramEnd"/>
            <w:r w:rsidRPr="008E1EBE">
              <w:rPr>
                <w:rFonts w:cstheme="minorHAnsi"/>
                <w:u w:val="single"/>
              </w:rPr>
              <w:t xml:space="preserve"> travel related cost may require revision in line with evolution of the COVID-19 pandemic and related restrictions</w:t>
            </w:r>
            <w:r w:rsidRPr="008E1EBE">
              <w:rPr>
                <w:rFonts w:cstheme="minorHAnsi"/>
              </w:rPr>
              <w:t xml:space="preserve">. This includes all travel to join duty station/repatriation travel.  In general, UNDP should not accept travel costs </w:t>
            </w:r>
            <w:r w:rsidRPr="008E1EBE">
              <w:rPr>
                <w:rFonts w:cstheme="minorHAnsi"/>
              </w:rPr>
              <w:lastRenderedPageBreak/>
              <w:t>exceeding those of an economy class ticket. Should the IC wish to travel on a higher class he/she should do so using their own resources.</w:t>
            </w:r>
          </w:p>
          <w:p w14:paraId="5371D5A8" w14:textId="77777777" w:rsidR="0065710B" w:rsidRPr="00E102F5" w:rsidRDefault="0065710B" w:rsidP="00605D4A">
            <w:pPr>
              <w:spacing w:after="120"/>
              <w:jc w:val="both"/>
              <w:rPr>
                <w:lang w:val="en-GB"/>
              </w:rPr>
            </w:pPr>
            <w:r w:rsidRPr="00E102F5">
              <w:rPr>
                <w:lang w:val="en-GB"/>
              </w:rPr>
              <w:t>In the case of unforeseeable travel, payment of travel costs including tickets, lodging and terminal expenses should be agreed upon, between the respective business unit and Individual Consultant, prior to travel and will be reimbursed</w:t>
            </w:r>
            <w:r w:rsidR="00C81E56" w:rsidRPr="00E102F5">
              <w:rPr>
                <w:lang w:val="en-GB"/>
              </w:rPr>
              <w:t>.  Local travel costs (transfer to and from airport and travel within Botswana for purposes of completing the assignment) should not be included in the financial proposal.</w:t>
            </w:r>
          </w:p>
        </w:tc>
      </w:tr>
    </w:tbl>
    <w:p w14:paraId="1A82F9A5" w14:textId="77777777" w:rsidR="00E46B72" w:rsidRDefault="00E46B72" w:rsidP="00E46B72">
      <w:pPr>
        <w:spacing w:after="120" w:line="240" w:lineRule="auto"/>
        <w:rPr>
          <w:b/>
          <w:lang w:val="en-GB"/>
        </w:rPr>
      </w:pPr>
    </w:p>
    <w:p w14:paraId="2DAFFF0B" w14:textId="77777777" w:rsidR="00E94857" w:rsidRPr="00E102F5" w:rsidRDefault="00FE7C9D" w:rsidP="00E46B72">
      <w:pPr>
        <w:spacing w:after="120" w:line="240" w:lineRule="auto"/>
        <w:rPr>
          <w:b/>
          <w:lang w:val="en-GB"/>
        </w:rPr>
      </w:pPr>
      <w:r w:rsidRPr="00E102F5">
        <w:rPr>
          <w:b/>
          <w:lang w:val="en-GB"/>
        </w:rPr>
        <w:t>6</w:t>
      </w:r>
      <w:r w:rsidR="00E94857" w:rsidRPr="00E102F5">
        <w:rPr>
          <w:b/>
          <w:lang w:val="en-GB"/>
        </w:rPr>
        <w:t>. EVALUATION</w:t>
      </w:r>
    </w:p>
    <w:tbl>
      <w:tblPr>
        <w:tblStyle w:val="TableGrid"/>
        <w:tblW w:w="0" w:type="auto"/>
        <w:tblLook w:val="04A0" w:firstRow="1" w:lastRow="0" w:firstColumn="1" w:lastColumn="0" w:noHBand="0" w:noVBand="1"/>
      </w:tblPr>
      <w:tblGrid>
        <w:gridCol w:w="9350"/>
      </w:tblGrid>
      <w:tr w:rsidR="0004542F" w14:paraId="7C79C871" w14:textId="77777777" w:rsidTr="00F45F52">
        <w:tc>
          <w:tcPr>
            <w:tcW w:w="9350" w:type="dxa"/>
          </w:tcPr>
          <w:p w14:paraId="6DBF842D" w14:textId="77777777" w:rsidR="0004542F" w:rsidRPr="00EA697D" w:rsidRDefault="0004542F" w:rsidP="00A07EB8"/>
          <w:p w14:paraId="673EA8A8" w14:textId="77777777" w:rsidR="0004542F" w:rsidRDefault="0004542F" w:rsidP="00A07EB8">
            <w:r w:rsidRPr="00816B78">
              <w:t>In</w:t>
            </w:r>
            <w:r>
              <w:t>dividual consultants will be evaluated based on the following methodology:</w:t>
            </w:r>
          </w:p>
          <w:p w14:paraId="69D92E0A" w14:textId="77777777" w:rsidR="0004542F" w:rsidRDefault="0004542F" w:rsidP="00A07EB8">
            <w:pPr>
              <w:rPr>
                <w:i/>
                <w:u w:val="thick"/>
              </w:rPr>
            </w:pPr>
          </w:p>
          <w:p w14:paraId="4BC81CE2" w14:textId="77777777" w:rsidR="0004542F" w:rsidRPr="0044772D" w:rsidRDefault="0004542F" w:rsidP="00A07EB8">
            <w:r w:rsidRPr="00432027">
              <w:rPr>
                <w:i/>
                <w:u w:val="thick"/>
              </w:rPr>
              <w:t xml:space="preserve">Cumulative analysis </w:t>
            </w:r>
          </w:p>
          <w:p w14:paraId="5708EF7A" w14:textId="77777777" w:rsidR="0004542F" w:rsidRPr="00432027" w:rsidRDefault="0004542F" w:rsidP="00A07EB8">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0CD8124F" w14:textId="77777777" w:rsidR="0004542F" w:rsidRPr="00432027" w:rsidRDefault="0004542F" w:rsidP="00A07EB8">
            <w:pPr>
              <w:rPr>
                <w:i/>
              </w:rPr>
            </w:pPr>
            <w:r w:rsidRPr="00432027">
              <w:rPr>
                <w:i/>
              </w:rPr>
              <w:t>a) responsive/compliant/acceptable, and</w:t>
            </w:r>
          </w:p>
          <w:p w14:paraId="58432542" w14:textId="77777777" w:rsidR="0004542F" w:rsidRDefault="0004542F" w:rsidP="00A07EB8">
            <w:pPr>
              <w:rPr>
                <w:i/>
              </w:rPr>
            </w:pPr>
            <w:r w:rsidRPr="00432027">
              <w:rPr>
                <w:i/>
              </w:rPr>
              <w:t xml:space="preserve">b) Having received the highest score out of a pre-determined set of weighted technical and financial criteria specific to the solicitation. </w:t>
            </w:r>
          </w:p>
          <w:p w14:paraId="22F93689" w14:textId="196807DA" w:rsidR="0004542F" w:rsidRDefault="0004542F" w:rsidP="00A07EB8">
            <w:pPr>
              <w:spacing w:line="360" w:lineRule="auto"/>
              <w:rPr>
                <w:i/>
              </w:rPr>
            </w:pPr>
            <w:r>
              <w:rPr>
                <w:i/>
              </w:rPr>
              <w:t>* Technical Criteria weight; [7</w:t>
            </w:r>
            <w:r w:rsidR="000518DB">
              <w:rPr>
                <w:i/>
              </w:rPr>
              <w:t>5</w:t>
            </w:r>
            <w:r>
              <w:rPr>
                <w:i/>
              </w:rPr>
              <w:t>%]</w:t>
            </w:r>
          </w:p>
          <w:p w14:paraId="4DADEC47" w14:textId="02C4BDCF" w:rsidR="0004542F" w:rsidRDefault="0004542F" w:rsidP="00A07EB8">
            <w:pPr>
              <w:spacing w:line="360" w:lineRule="auto"/>
              <w:rPr>
                <w:i/>
              </w:rPr>
            </w:pPr>
            <w:r>
              <w:rPr>
                <w:i/>
              </w:rPr>
              <w:t>* Financial Criteria weight; [</w:t>
            </w:r>
            <w:r w:rsidR="000518DB">
              <w:rPr>
                <w:i/>
              </w:rPr>
              <w:t>25</w:t>
            </w:r>
            <w:r>
              <w:rPr>
                <w:i/>
              </w:rPr>
              <w:t>%]</w:t>
            </w:r>
          </w:p>
          <w:p w14:paraId="244E36B6" w14:textId="77777777" w:rsidR="0004542F" w:rsidRDefault="0004542F" w:rsidP="00A07EB8">
            <w:pPr>
              <w:spacing w:line="360" w:lineRule="auto"/>
              <w:rPr>
                <w:i/>
              </w:rPr>
            </w:pPr>
            <w:r>
              <w:rPr>
                <w:i/>
              </w:rPr>
              <w:t>Only candidates obtaining a minimum of 50 point will be considered for the Financial Evaluation</w:t>
            </w:r>
          </w:p>
          <w:tbl>
            <w:tblPr>
              <w:tblStyle w:val="TableGrid"/>
              <w:tblW w:w="0" w:type="auto"/>
              <w:tblLook w:val="04A0" w:firstRow="1" w:lastRow="0" w:firstColumn="1" w:lastColumn="0" w:noHBand="0" w:noVBand="1"/>
            </w:tblPr>
            <w:tblGrid>
              <w:gridCol w:w="3100"/>
              <w:gridCol w:w="3065"/>
              <w:gridCol w:w="2959"/>
            </w:tblGrid>
            <w:tr w:rsidR="0004542F" w14:paraId="7020BAA3" w14:textId="77777777" w:rsidTr="00A07EB8">
              <w:tc>
                <w:tcPr>
                  <w:tcW w:w="3100" w:type="dxa"/>
                </w:tcPr>
                <w:p w14:paraId="6795B291" w14:textId="77777777" w:rsidR="0004542F" w:rsidRPr="004758AA" w:rsidRDefault="0004542F" w:rsidP="00A07EB8">
                  <w:pPr>
                    <w:spacing w:line="360" w:lineRule="auto"/>
                    <w:rPr>
                      <w:b/>
                      <w:i/>
                    </w:rPr>
                  </w:pPr>
                  <w:r w:rsidRPr="004758AA">
                    <w:rPr>
                      <w:b/>
                      <w:i/>
                    </w:rPr>
                    <w:t>Criteria</w:t>
                  </w:r>
                </w:p>
              </w:tc>
              <w:tc>
                <w:tcPr>
                  <w:tcW w:w="3065" w:type="dxa"/>
                </w:tcPr>
                <w:p w14:paraId="74F04555" w14:textId="77777777" w:rsidR="0004542F" w:rsidRPr="004758AA" w:rsidRDefault="0004542F" w:rsidP="00A07EB8">
                  <w:pPr>
                    <w:spacing w:line="360" w:lineRule="auto"/>
                    <w:rPr>
                      <w:b/>
                      <w:i/>
                    </w:rPr>
                  </w:pPr>
                  <w:r w:rsidRPr="004758AA">
                    <w:rPr>
                      <w:b/>
                      <w:i/>
                    </w:rPr>
                    <w:t xml:space="preserve">Weight </w:t>
                  </w:r>
                </w:p>
              </w:tc>
              <w:tc>
                <w:tcPr>
                  <w:tcW w:w="2959" w:type="dxa"/>
                </w:tcPr>
                <w:p w14:paraId="40A0B3DB" w14:textId="77777777" w:rsidR="0004542F" w:rsidRPr="004758AA" w:rsidRDefault="0004542F" w:rsidP="00A07EB8">
                  <w:pPr>
                    <w:spacing w:line="360" w:lineRule="auto"/>
                    <w:rPr>
                      <w:b/>
                      <w:i/>
                    </w:rPr>
                  </w:pPr>
                  <w:r w:rsidRPr="004758AA">
                    <w:rPr>
                      <w:b/>
                      <w:i/>
                    </w:rPr>
                    <w:t>Max. Point</w:t>
                  </w:r>
                </w:p>
              </w:tc>
            </w:tr>
            <w:tr w:rsidR="0004542F" w14:paraId="4F0CDDE5" w14:textId="77777777" w:rsidTr="00A07EB8">
              <w:tc>
                <w:tcPr>
                  <w:tcW w:w="3100" w:type="dxa"/>
                </w:tcPr>
                <w:p w14:paraId="32A4F680" w14:textId="469703BB" w:rsidR="0050382C" w:rsidRPr="0050382C" w:rsidRDefault="0004542F" w:rsidP="00AB4D2E">
                  <w:pPr>
                    <w:spacing w:after="120"/>
                    <w:jc w:val="both"/>
                    <w:rPr>
                      <w:rFonts w:cs="Arial"/>
                      <w:szCs w:val="20"/>
                    </w:rPr>
                  </w:pPr>
                  <w:r>
                    <w:rPr>
                      <w:rFonts w:cs="Arial"/>
                      <w:szCs w:val="20"/>
                    </w:rPr>
                    <w:t xml:space="preserve">Minimum </w:t>
                  </w:r>
                  <w:r w:rsidRPr="004C6A31">
                    <w:rPr>
                      <w:rFonts w:cs="Arial"/>
                      <w:szCs w:val="20"/>
                    </w:rPr>
                    <w:t>Master’s degree or equivalent, in law</w:t>
                  </w:r>
                  <w:r>
                    <w:rPr>
                      <w:rFonts w:cs="Arial"/>
                      <w:szCs w:val="20"/>
                    </w:rPr>
                    <w:t xml:space="preserve"> </w:t>
                  </w:r>
                  <w:r w:rsidRPr="004C6A31">
                    <w:rPr>
                      <w:rFonts w:cs="Arial"/>
                      <w:szCs w:val="20"/>
                    </w:rPr>
                    <w:t>required</w:t>
                  </w:r>
                  <w:r w:rsidR="00AF7E09">
                    <w:rPr>
                      <w:rFonts w:cs="Arial"/>
                      <w:szCs w:val="20"/>
                    </w:rPr>
                    <w:t>; with a</w:t>
                  </w:r>
                  <w:proofErr w:type="spellStart"/>
                  <w:r w:rsidR="00AF7E09" w:rsidRPr="00E102F5">
                    <w:rPr>
                      <w:rFonts w:cs="Arial"/>
                      <w:szCs w:val="20"/>
                      <w:lang w:val="en-GB"/>
                    </w:rPr>
                    <w:t>dditional</w:t>
                  </w:r>
                  <w:proofErr w:type="spellEnd"/>
                  <w:r w:rsidR="00AF7E09" w:rsidRPr="00E102F5">
                    <w:rPr>
                      <w:rFonts w:cs="Arial"/>
                      <w:szCs w:val="20"/>
                      <w:lang w:val="en-GB"/>
                    </w:rPr>
                    <w:t xml:space="preserve"> tertiary qualifications in public policy or public administration preferred.</w:t>
                  </w:r>
                </w:p>
              </w:tc>
              <w:tc>
                <w:tcPr>
                  <w:tcW w:w="6024" w:type="dxa"/>
                  <w:gridSpan w:val="2"/>
                </w:tcPr>
                <w:p w14:paraId="7D916CEE" w14:textId="77777777" w:rsidR="0004542F" w:rsidRPr="004758AA" w:rsidRDefault="0004542F" w:rsidP="00A07EB8">
                  <w:pPr>
                    <w:spacing w:line="360" w:lineRule="auto"/>
                    <w:rPr>
                      <w:b/>
                      <w:i/>
                    </w:rPr>
                  </w:pPr>
                  <w:r>
                    <w:rPr>
                      <w:b/>
                      <w:i/>
                    </w:rPr>
                    <w:t>Mandatory exclusionary criteria</w:t>
                  </w:r>
                </w:p>
              </w:tc>
            </w:tr>
            <w:tr w:rsidR="0004542F" w14:paraId="666CB8FA" w14:textId="77777777" w:rsidTr="00A07EB8">
              <w:tc>
                <w:tcPr>
                  <w:tcW w:w="3100" w:type="dxa"/>
                </w:tcPr>
                <w:p w14:paraId="3BA988B6" w14:textId="77331E82" w:rsidR="0004542F" w:rsidRDefault="00F45F52" w:rsidP="00F45F52">
                  <w:pPr>
                    <w:spacing w:after="120"/>
                    <w:jc w:val="both"/>
                    <w:rPr>
                      <w:rFonts w:cs="Arial"/>
                      <w:szCs w:val="20"/>
                    </w:rPr>
                  </w:pPr>
                  <w:r w:rsidRPr="00E102F5">
                    <w:rPr>
                      <w:rFonts w:cs="Arial"/>
                      <w:szCs w:val="20"/>
                      <w:lang w:val="en-GB"/>
                    </w:rPr>
                    <w:t xml:space="preserve">Minimum 10 years’ experience providing high level technical advisory services to law reform processes or programmes, (including a minimum of 7 years in a </w:t>
                  </w:r>
                  <w:r>
                    <w:rPr>
                      <w:rFonts w:cs="Arial"/>
                      <w:szCs w:val="20"/>
                      <w:lang w:val="en-GB"/>
                    </w:rPr>
                    <w:t>C</w:t>
                  </w:r>
                  <w:r w:rsidRPr="00E102F5">
                    <w:rPr>
                      <w:rFonts w:cs="Arial"/>
                      <w:szCs w:val="20"/>
                      <w:lang w:val="en-GB"/>
                    </w:rPr>
                    <w:t xml:space="preserve">ommon </w:t>
                  </w:r>
                  <w:r>
                    <w:rPr>
                      <w:rFonts w:cs="Arial"/>
                      <w:szCs w:val="20"/>
                      <w:lang w:val="en-GB"/>
                    </w:rPr>
                    <w:t>L</w:t>
                  </w:r>
                  <w:r w:rsidRPr="00E102F5">
                    <w:rPr>
                      <w:rFonts w:cs="Arial"/>
                      <w:szCs w:val="20"/>
                      <w:lang w:val="en-GB"/>
                    </w:rPr>
                    <w:t>aw/Commonwealth jurisdiction);</w:t>
                  </w:r>
                </w:p>
              </w:tc>
              <w:tc>
                <w:tcPr>
                  <w:tcW w:w="6024" w:type="dxa"/>
                  <w:gridSpan w:val="2"/>
                </w:tcPr>
                <w:p w14:paraId="71EE84E2" w14:textId="77777777" w:rsidR="0004542F" w:rsidRDefault="0004542F" w:rsidP="00A07EB8">
                  <w:pPr>
                    <w:spacing w:line="360" w:lineRule="auto"/>
                    <w:rPr>
                      <w:b/>
                      <w:i/>
                    </w:rPr>
                  </w:pPr>
                  <w:r>
                    <w:rPr>
                      <w:b/>
                      <w:i/>
                    </w:rPr>
                    <w:t>Mandatory exclusionary criteria</w:t>
                  </w:r>
                </w:p>
              </w:tc>
            </w:tr>
            <w:tr w:rsidR="0004542F" w14:paraId="6C68CC7A" w14:textId="77777777" w:rsidTr="00A07EB8">
              <w:tc>
                <w:tcPr>
                  <w:tcW w:w="3100" w:type="dxa"/>
                </w:tcPr>
                <w:p w14:paraId="740137CB" w14:textId="77777777" w:rsidR="0004542F" w:rsidRDefault="0004542F" w:rsidP="00A07EB8">
                  <w:pPr>
                    <w:jc w:val="both"/>
                    <w:rPr>
                      <w:rFonts w:cs="Arial"/>
                      <w:szCs w:val="20"/>
                    </w:rPr>
                  </w:pPr>
                  <w:r>
                    <w:rPr>
                      <w:rFonts w:cs="Arial"/>
                      <w:szCs w:val="20"/>
                    </w:rPr>
                    <w:t>Complete proposal submitted as per Item 4 Documents to be Included when Submitting the Proposal;</w:t>
                  </w:r>
                </w:p>
              </w:tc>
              <w:tc>
                <w:tcPr>
                  <w:tcW w:w="6024" w:type="dxa"/>
                  <w:gridSpan w:val="2"/>
                </w:tcPr>
                <w:p w14:paraId="6DC652F1" w14:textId="77777777" w:rsidR="0004542F" w:rsidRDefault="0004542F" w:rsidP="00A07EB8">
                  <w:pPr>
                    <w:spacing w:line="360" w:lineRule="auto"/>
                    <w:rPr>
                      <w:b/>
                      <w:i/>
                    </w:rPr>
                  </w:pPr>
                  <w:r>
                    <w:rPr>
                      <w:b/>
                      <w:i/>
                    </w:rPr>
                    <w:t>Mandatory exclusionary criteria</w:t>
                  </w:r>
                </w:p>
              </w:tc>
            </w:tr>
            <w:tr w:rsidR="0004542F" w14:paraId="3722CA53" w14:textId="77777777" w:rsidTr="00A07EB8">
              <w:tc>
                <w:tcPr>
                  <w:tcW w:w="3100" w:type="dxa"/>
                </w:tcPr>
                <w:p w14:paraId="0B7957F0" w14:textId="77777777" w:rsidR="0004542F" w:rsidRDefault="0004542F" w:rsidP="00A07EB8">
                  <w:pPr>
                    <w:jc w:val="both"/>
                    <w:rPr>
                      <w:rFonts w:cs="Arial"/>
                      <w:szCs w:val="20"/>
                    </w:rPr>
                  </w:pPr>
                  <w:r>
                    <w:rPr>
                      <w:rFonts w:cs="Arial"/>
                      <w:szCs w:val="20"/>
                    </w:rPr>
                    <w:t>Fluency in written and spoken English.</w:t>
                  </w:r>
                </w:p>
              </w:tc>
              <w:tc>
                <w:tcPr>
                  <w:tcW w:w="6024" w:type="dxa"/>
                  <w:gridSpan w:val="2"/>
                </w:tcPr>
                <w:p w14:paraId="492F5027" w14:textId="77777777" w:rsidR="0004542F" w:rsidRDefault="0004542F" w:rsidP="00A07EB8">
                  <w:pPr>
                    <w:spacing w:line="360" w:lineRule="auto"/>
                    <w:rPr>
                      <w:b/>
                      <w:i/>
                    </w:rPr>
                  </w:pPr>
                  <w:r>
                    <w:rPr>
                      <w:b/>
                      <w:i/>
                    </w:rPr>
                    <w:t>Mandatory exclusionary criteria</w:t>
                  </w:r>
                </w:p>
              </w:tc>
            </w:tr>
            <w:tr w:rsidR="0004542F" w14:paraId="70C0E249" w14:textId="77777777" w:rsidTr="00A07EB8">
              <w:tc>
                <w:tcPr>
                  <w:tcW w:w="3100" w:type="dxa"/>
                </w:tcPr>
                <w:p w14:paraId="4CB8AA0B" w14:textId="77777777" w:rsidR="0004542F" w:rsidRPr="004758AA" w:rsidRDefault="0004542F" w:rsidP="00A07EB8">
                  <w:pPr>
                    <w:spacing w:line="360" w:lineRule="auto"/>
                    <w:rPr>
                      <w:i/>
                      <w:u w:val="single"/>
                    </w:rPr>
                  </w:pPr>
                  <w:r w:rsidRPr="004758AA">
                    <w:rPr>
                      <w:i/>
                      <w:u w:val="single"/>
                    </w:rPr>
                    <w:t>Technical</w:t>
                  </w:r>
                </w:p>
              </w:tc>
              <w:tc>
                <w:tcPr>
                  <w:tcW w:w="3065" w:type="dxa"/>
                </w:tcPr>
                <w:p w14:paraId="6360444E" w14:textId="63CA9902" w:rsidR="0004542F" w:rsidRDefault="0004542F" w:rsidP="00A07EB8">
                  <w:pPr>
                    <w:spacing w:line="360" w:lineRule="auto"/>
                    <w:rPr>
                      <w:i/>
                    </w:rPr>
                  </w:pPr>
                  <w:r>
                    <w:rPr>
                      <w:i/>
                    </w:rPr>
                    <w:t>7</w:t>
                  </w:r>
                  <w:r w:rsidR="000518DB">
                    <w:rPr>
                      <w:i/>
                    </w:rPr>
                    <w:t>5</w:t>
                  </w:r>
                  <w:r>
                    <w:rPr>
                      <w:i/>
                    </w:rPr>
                    <w:t>%</w:t>
                  </w:r>
                </w:p>
              </w:tc>
              <w:tc>
                <w:tcPr>
                  <w:tcW w:w="2959" w:type="dxa"/>
                </w:tcPr>
                <w:p w14:paraId="7F295C25" w14:textId="770A560B" w:rsidR="0004542F" w:rsidRDefault="0004542F" w:rsidP="00A07EB8">
                  <w:pPr>
                    <w:spacing w:line="360" w:lineRule="auto"/>
                    <w:rPr>
                      <w:i/>
                    </w:rPr>
                  </w:pPr>
                  <w:r>
                    <w:rPr>
                      <w:i/>
                    </w:rPr>
                    <w:t>7</w:t>
                  </w:r>
                  <w:r w:rsidR="000518DB">
                    <w:rPr>
                      <w:i/>
                    </w:rPr>
                    <w:t>5</w:t>
                  </w:r>
                </w:p>
              </w:tc>
            </w:tr>
            <w:tr w:rsidR="0004542F" w14:paraId="2471258A" w14:textId="77777777" w:rsidTr="00A07EB8">
              <w:tc>
                <w:tcPr>
                  <w:tcW w:w="3100" w:type="dxa"/>
                </w:tcPr>
                <w:p w14:paraId="32B60B9F" w14:textId="4AC571BE" w:rsidR="0004542F" w:rsidRPr="00B269B9" w:rsidRDefault="00AF7E09" w:rsidP="00AF7E09">
                  <w:pPr>
                    <w:spacing w:after="120"/>
                    <w:jc w:val="both"/>
                    <w:rPr>
                      <w:i/>
                    </w:rPr>
                  </w:pPr>
                  <w:r w:rsidRPr="00E102F5">
                    <w:rPr>
                      <w:rFonts w:cs="Arial"/>
                      <w:szCs w:val="20"/>
                      <w:lang w:val="en-GB"/>
                    </w:rPr>
                    <w:t xml:space="preserve">Strong international experience in law reform processes, with a minimum of 5 years’ experience </w:t>
                  </w:r>
                  <w:r w:rsidRPr="00E102F5">
                    <w:rPr>
                      <w:rFonts w:cs="Arial"/>
                      <w:szCs w:val="20"/>
                      <w:lang w:val="en-GB"/>
                    </w:rPr>
                    <w:lastRenderedPageBreak/>
                    <w:t>gained in jurisdiction(s) outside Botswana or in an international organisation;</w:t>
                  </w:r>
                </w:p>
              </w:tc>
              <w:tc>
                <w:tcPr>
                  <w:tcW w:w="3065" w:type="dxa"/>
                </w:tcPr>
                <w:p w14:paraId="0CE8AB68" w14:textId="3E57FE01" w:rsidR="0004542F" w:rsidRDefault="000518DB" w:rsidP="00A07EB8">
                  <w:pPr>
                    <w:spacing w:line="240" w:lineRule="atLeast"/>
                    <w:contextualSpacing/>
                    <w:rPr>
                      <w:i/>
                    </w:rPr>
                  </w:pPr>
                  <w:r>
                    <w:rPr>
                      <w:i/>
                    </w:rPr>
                    <w:lastRenderedPageBreak/>
                    <w:t>25</w:t>
                  </w:r>
                </w:p>
              </w:tc>
              <w:tc>
                <w:tcPr>
                  <w:tcW w:w="2959" w:type="dxa"/>
                </w:tcPr>
                <w:p w14:paraId="550463AF" w14:textId="55AF34F5" w:rsidR="0004542F" w:rsidRDefault="000518DB" w:rsidP="00A07EB8">
                  <w:pPr>
                    <w:spacing w:line="360" w:lineRule="auto"/>
                    <w:rPr>
                      <w:i/>
                    </w:rPr>
                  </w:pPr>
                  <w:r>
                    <w:rPr>
                      <w:i/>
                    </w:rPr>
                    <w:t>25</w:t>
                  </w:r>
                </w:p>
              </w:tc>
            </w:tr>
            <w:tr w:rsidR="0004542F" w14:paraId="2D7F00D1" w14:textId="77777777" w:rsidTr="00A07EB8">
              <w:tc>
                <w:tcPr>
                  <w:tcW w:w="3100" w:type="dxa"/>
                </w:tcPr>
                <w:p w14:paraId="23B9E75E" w14:textId="0CF11A88" w:rsidR="0004542F" w:rsidRPr="00B269B9" w:rsidRDefault="00AB4D2E" w:rsidP="00AB4D2E">
                  <w:pPr>
                    <w:spacing w:after="120"/>
                    <w:jc w:val="both"/>
                    <w:rPr>
                      <w:i/>
                    </w:rPr>
                  </w:pPr>
                  <w:r w:rsidRPr="00E102F5">
                    <w:rPr>
                      <w:rFonts w:cs="Arial"/>
                      <w:szCs w:val="20"/>
                      <w:lang w:val="en-GB"/>
                    </w:rPr>
                    <w:t>Strong and demonstrated programme management and results-based management skills, including planning, budgeting,</w:t>
                  </w:r>
                  <w:r>
                    <w:rPr>
                      <w:rFonts w:cs="Arial"/>
                      <w:szCs w:val="20"/>
                      <w:lang w:val="en-GB"/>
                    </w:rPr>
                    <w:t xml:space="preserve"> mentoring,</w:t>
                  </w:r>
                  <w:r w:rsidRPr="00E102F5">
                    <w:rPr>
                      <w:rFonts w:cs="Arial"/>
                      <w:szCs w:val="20"/>
                      <w:lang w:val="en-GB"/>
                    </w:rPr>
                    <w:t xml:space="preserve"> performance management and institutional strengthening;</w:t>
                  </w:r>
                </w:p>
              </w:tc>
              <w:tc>
                <w:tcPr>
                  <w:tcW w:w="3065" w:type="dxa"/>
                </w:tcPr>
                <w:p w14:paraId="2DEDB886" w14:textId="77777777" w:rsidR="0004542F" w:rsidRDefault="0004542F" w:rsidP="00A07EB8">
                  <w:pPr>
                    <w:spacing w:line="240" w:lineRule="atLeast"/>
                    <w:contextualSpacing/>
                    <w:rPr>
                      <w:i/>
                    </w:rPr>
                  </w:pPr>
                  <w:r>
                    <w:rPr>
                      <w:i/>
                    </w:rPr>
                    <w:t>10</w:t>
                  </w:r>
                </w:p>
              </w:tc>
              <w:tc>
                <w:tcPr>
                  <w:tcW w:w="2959" w:type="dxa"/>
                </w:tcPr>
                <w:p w14:paraId="13CCA913" w14:textId="77777777" w:rsidR="0004542F" w:rsidRDefault="0004542F" w:rsidP="00A07EB8">
                  <w:pPr>
                    <w:spacing w:line="360" w:lineRule="auto"/>
                    <w:rPr>
                      <w:i/>
                    </w:rPr>
                  </w:pPr>
                  <w:r>
                    <w:rPr>
                      <w:i/>
                    </w:rPr>
                    <w:t>10</w:t>
                  </w:r>
                </w:p>
              </w:tc>
            </w:tr>
            <w:tr w:rsidR="0004542F" w14:paraId="222593DA" w14:textId="77777777" w:rsidTr="00A07EB8">
              <w:tc>
                <w:tcPr>
                  <w:tcW w:w="3100" w:type="dxa"/>
                </w:tcPr>
                <w:p w14:paraId="7C4F0D44" w14:textId="55F02DBE" w:rsidR="0004542F" w:rsidRPr="00B269B9" w:rsidRDefault="00AB4D2E" w:rsidP="00AB4D2E">
                  <w:pPr>
                    <w:spacing w:after="120"/>
                    <w:jc w:val="both"/>
                    <w:rPr>
                      <w:i/>
                    </w:rPr>
                  </w:pPr>
                  <w:r w:rsidRPr="00E102F5">
                    <w:rPr>
                      <w:rFonts w:cs="Arial"/>
                      <w:szCs w:val="20"/>
                      <w:lang w:val="en-GB"/>
                    </w:rPr>
                    <w:t xml:space="preserve">Demonstrated experience in designing and implementing strategies, structures, systems and procedures for rule of law or justice institutions; </w:t>
                  </w:r>
                </w:p>
              </w:tc>
              <w:tc>
                <w:tcPr>
                  <w:tcW w:w="3065" w:type="dxa"/>
                </w:tcPr>
                <w:p w14:paraId="7FBCE482" w14:textId="77777777" w:rsidR="0004542F" w:rsidRDefault="0004542F" w:rsidP="00A07EB8">
                  <w:pPr>
                    <w:spacing w:line="240" w:lineRule="atLeast"/>
                    <w:contextualSpacing/>
                    <w:rPr>
                      <w:i/>
                    </w:rPr>
                  </w:pPr>
                  <w:r>
                    <w:rPr>
                      <w:i/>
                    </w:rPr>
                    <w:t>10</w:t>
                  </w:r>
                </w:p>
              </w:tc>
              <w:tc>
                <w:tcPr>
                  <w:tcW w:w="2959" w:type="dxa"/>
                </w:tcPr>
                <w:p w14:paraId="0C974458" w14:textId="77777777" w:rsidR="0004542F" w:rsidRDefault="0004542F" w:rsidP="00A07EB8">
                  <w:pPr>
                    <w:spacing w:line="360" w:lineRule="auto"/>
                    <w:rPr>
                      <w:i/>
                    </w:rPr>
                  </w:pPr>
                  <w:r>
                    <w:rPr>
                      <w:i/>
                    </w:rPr>
                    <w:t>10</w:t>
                  </w:r>
                </w:p>
              </w:tc>
            </w:tr>
            <w:tr w:rsidR="0004542F" w14:paraId="3A0B6F0F" w14:textId="77777777" w:rsidTr="00A07EB8">
              <w:tc>
                <w:tcPr>
                  <w:tcW w:w="3100" w:type="dxa"/>
                </w:tcPr>
                <w:p w14:paraId="16A5C84C" w14:textId="50D02131" w:rsidR="0004542F" w:rsidRPr="00B269B9" w:rsidRDefault="00AB4D2E" w:rsidP="00AB4D2E">
                  <w:pPr>
                    <w:spacing w:after="120"/>
                    <w:jc w:val="both"/>
                    <w:rPr>
                      <w:i/>
                    </w:rPr>
                  </w:pPr>
                  <w:r w:rsidRPr="00E102F5">
                    <w:rPr>
                      <w:rFonts w:cs="Arial"/>
                      <w:szCs w:val="20"/>
                      <w:lang w:val="en-GB"/>
                    </w:rPr>
                    <w:t>In-depth understanding of capacity</w:t>
                  </w:r>
                  <w:r>
                    <w:rPr>
                      <w:rFonts w:cs="Arial"/>
                      <w:szCs w:val="20"/>
                      <w:lang w:val="en-GB"/>
                    </w:rPr>
                    <w:t>-</w:t>
                  </w:r>
                  <w:r w:rsidRPr="00E102F5">
                    <w:rPr>
                      <w:rFonts w:cs="Arial"/>
                      <w:szCs w:val="20"/>
                      <w:lang w:val="en-GB"/>
                    </w:rPr>
                    <w:t>building theory and practice, and practical experience of working with governments, preferably in developing  / middle income country contexts to build sustained capacity;</w:t>
                  </w:r>
                </w:p>
              </w:tc>
              <w:tc>
                <w:tcPr>
                  <w:tcW w:w="3065" w:type="dxa"/>
                </w:tcPr>
                <w:p w14:paraId="7101C4A1" w14:textId="77777777" w:rsidR="0004542F" w:rsidRDefault="0004542F" w:rsidP="00A07EB8">
                  <w:pPr>
                    <w:spacing w:line="360" w:lineRule="auto"/>
                    <w:rPr>
                      <w:i/>
                    </w:rPr>
                  </w:pPr>
                  <w:r>
                    <w:rPr>
                      <w:i/>
                    </w:rPr>
                    <w:t>5</w:t>
                  </w:r>
                </w:p>
              </w:tc>
              <w:tc>
                <w:tcPr>
                  <w:tcW w:w="2959" w:type="dxa"/>
                </w:tcPr>
                <w:p w14:paraId="6BE13717" w14:textId="77777777" w:rsidR="0004542F" w:rsidRDefault="0004542F" w:rsidP="00A07EB8">
                  <w:pPr>
                    <w:spacing w:line="360" w:lineRule="auto"/>
                    <w:rPr>
                      <w:i/>
                    </w:rPr>
                  </w:pPr>
                  <w:r>
                    <w:rPr>
                      <w:i/>
                    </w:rPr>
                    <w:t>5</w:t>
                  </w:r>
                </w:p>
              </w:tc>
            </w:tr>
            <w:tr w:rsidR="00AB4D2E" w14:paraId="21F14999" w14:textId="77777777" w:rsidTr="00A07EB8">
              <w:tc>
                <w:tcPr>
                  <w:tcW w:w="3100" w:type="dxa"/>
                </w:tcPr>
                <w:p w14:paraId="0746942E" w14:textId="2B59406C" w:rsidR="00AB4D2E" w:rsidRPr="00BE0C5C" w:rsidRDefault="00AB4D2E" w:rsidP="00AB4D2E">
                  <w:pPr>
                    <w:spacing w:after="120"/>
                    <w:jc w:val="both"/>
                  </w:pPr>
                  <w:r w:rsidRPr="00E102F5">
                    <w:rPr>
                      <w:rFonts w:cs="Arial"/>
                      <w:szCs w:val="20"/>
                      <w:lang w:val="en-GB"/>
                    </w:rPr>
                    <w:t>Demonstrated experience in mainstreaming human rights-based approaches and gender equality in law reform;</w:t>
                  </w:r>
                </w:p>
              </w:tc>
              <w:tc>
                <w:tcPr>
                  <w:tcW w:w="3065" w:type="dxa"/>
                </w:tcPr>
                <w:p w14:paraId="39AF6255" w14:textId="5674B048" w:rsidR="00AB4D2E" w:rsidRDefault="000518DB" w:rsidP="00A07EB8">
                  <w:pPr>
                    <w:spacing w:line="360" w:lineRule="auto"/>
                    <w:rPr>
                      <w:i/>
                    </w:rPr>
                  </w:pPr>
                  <w:r>
                    <w:rPr>
                      <w:i/>
                    </w:rPr>
                    <w:t>5</w:t>
                  </w:r>
                </w:p>
              </w:tc>
              <w:tc>
                <w:tcPr>
                  <w:tcW w:w="2959" w:type="dxa"/>
                </w:tcPr>
                <w:p w14:paraId="185C2482" w14:textId="3D8F72F8" w:rsidR="00AB4D2E" w:rsidRDefault="000518DB" w:rsidP="00A07EB8">
                  <w:pPr>
                    <w:spacing w:line="360" w:lineRule="auto"/>
                    <w:rPr>
                      <w:i/>
                    </w:rPr>
                  </w:pPr>
                  <w:r>
                    <w:rPr>
                      <w:i/>
                    </w:rPr>
                    <w:t>5</w:t>
                  </w:r>
                </w:p>
              </w:tc>
            </w:tr>
            <w:tr w:rsidR="00AB4D2E" w14:paraId="3DF25719" w14:textId="77777777" w:rsidTr="00A07EB8">
              <w:tc>
                <w:tcPr>
                  <w:tcW w:w="3100" w:type="dxa"/>
                </w:tcPr>
                <w:p w14:paraId="5A6F9599" w14:textId="0B41EFAB" w:rsidR="00AB4D2E" w:rsidRPr="00BE0C5C" w:rsidRDefault="00AB4D2E" w:rsidP="00AB4D2E">
                  <w:pPr>
                    <w:spacing w:after="120"/>
                    <w:jc w:val="both"/>
                  </w:pPr>
                  <w:r w:rsidRPr="00E102F5">
                    <w:rPr>
                      <w:rFonts w:cs="Arial"/>
                      <w:szCs w:val="20"/>
                      <w:lang w:val="en-GB"/>
                    </w:rPr>
                    <w:t>Team-building skills and proven ability to work with diverse groups to facilitate dialogue and build consensus;</w:t>
                  </w:r>
                </w:p>
              </w:tc>
              <w:tc>
                <w:tcPr>
                  <w:tcW w:w="3065" w:type="dxa"/>
                </w:tcPr>
                <w:p w14:paraId="05CAF10B" w14:textId="559B9A97" w:rsidR="00AB4D2E" w:rsidRDefault="000518DB" w:rsidP="00A07EB8">
                  <w:pPr>
                    <w:spacing w:line="360" w:lineRule="auto"/>
                    <w:rPr>
                      <w:i/>
                    </w:rPr>
                  </w:pPr>
                  <w:r>
                    <w:rPr>
                      <w:i/>
                    </w:rPr>
                    <w:t>5</w:t>
                  </w:r>
                </w:p>
              </w:tc>
              <w:tc>
                <w:tcPr>
                  <w:tcW w:w="2959" w:type="dxa"/>
                </w:tcPr>
                <w:p w14:paraId="558DDA08" w14:textId="433A7760" w:rsidR="00AB4D2E" w:rsidRDefault="000518DB" w:rsidP="00A07EB8">
                  <w:pPr>
                    <w:spacing w:line="360" w:lineRule="auto"/>
                    <w:rPr>
                      <w:i/>
                    </w:rPr>
                  </w:pPr>
                  <w:r>
                    <w:rPr>
                      <w:i/>
                    </w:rPr>
                    <w:t>5</w:t>
                  </w:r>
                </w:p>
              </w:tc>
            </w:tr>
            <w:tr w:rsidR="00AB4D2E" w14:paraId="69F0FDEA" w14:textId="77777777" w:rsidTr="00A07EB8">
              <w:tc>
                <w:tcPr>
                  <w:tcW w:w="3100" w:type="dxa"/>
                </w:tcPr>
                <w:p w14:paraId="6A519E11" w14:textId="6E8CAA26" w:rsidR="00AB4D2E" w:rsidRPr="00BE0C5C" w:rsidRDefault="00AB4D2E" w:rsidP="00AB4D2E">
                  <w:pPr>
                    <w:spacing w:after="120"/>
                    <w:jc w:val="both"/>
                  </w:pPr>
                  <w:r w:rsidRPr="00E102F5">
                    <w:rPr>
                      <w:rFonts w:cs="Arial"/>
                      <w:szCs w:val="20"/>
                      <w:lang w:val="en-GB"/>
                    </w:rPr>
                    <w:t xml:space="preserve">Knowledge and command of the role of information technology and communications preferably in the field of law and justice; </w:t>
                  </w:r>
                </w:p>
              </w:tc>
              <w:tc>
                <w:tcPr>
                  <w:tcW w:w="3065" w:type="dxa"/>
                </w:tcPr>
                <w:p w14:paraId="5829DF45" w14:textId="4D8663ED" w:rsidR="00AB4D2E" w:rsidRDefault="000518DB" w:rsidP="00A07EB8">
                  <w:pPr>
                    <w:spacing w:line="360" w:lineRule="auto"/>
                    <w:rPr>
                      <w:i/>
                    </w:rPr>
                  </w:pPr>
                  <w:r>
                    <w:rPr>
                      <w:i/>
                    </w:rPr>
                    <w:t>5</w:t>
                  </w:r>
                </w:p>
              </w:tc>
              <w:tc>
                <w:tcPr>
                  <w:tcW w:w="2959" w:type="dxa"/>
                </w:tcPr>
                <w:p w14:paraId="596745E3" w14:textId="35026B34" w:rsidR="00AB4D2E" w:rsidRDefault="000518DB" w:rsidP="00A07EB8">
                  <w:pPr>
                    <w:spacing w:line="360" w:lineRule="auto"/>
                    <w:rPr>
                      <w:i/>
                    </w:rPr>
                  </w:pPr>
                  <w:r>
                    <w:rPr>
                      <w:i/>
                    </w:rPr>
                    <w:t>5</w:t>
                  </w:r>
                </w:p>
              </w:tc>
            </w:tr>
            <w:tr w:rsidR="00AB4D2E" w14:paraId="4AF5B0E0" w14:textId="77777777" w:rsidTr="00A07EB8">
              <w:tc>
                <w:tcPr>
                  <w:tcW w:w="3100" w:type="dxa"/>
                </w:tcPr>
                <w:p w14:paraId="495C7C82" w14:textId="075D5A86" w:rsidR="00AB4D2E" w:rsidRPr="00BE0C5C" w:rsidRDefault="00931A7B" w:rsidP="00931A7B">
                  <w:pPr>
                    <w:spacing w:after="120"/>
                    <w:jc w:val="both"/>
                  </w:pPr>
                  <w:r w:rsidRPr="00E102F5">
                    <w:rPr>
                      <w:rFonts w:cs="Arial"/>
                      <w:szCs w:val="20"/>
                      <w:lang w:val="en-GB"/>
                    </w:rPr>
                    <w:t>Demonstrated knowledge of the legal context in Botswana;</w:t>
                  </w:r>
                </w:p>
              </w:tc>
              <w:tc>
                <w:tcPr>
                  <w:tcW w:w="3065" w:type="dxa"/>
                </w:tcPr>
                <w:p w14:paraId="7C216209" w14:textId="37B46978" w:rsidR="00AB4D2E" w:rsidRDefault="000518DB" w:rsidP="00A07EB8">
                  <w:pPr>
                    <w:spacing w:line="360" w:lineRule="auto"/>
                    <w:rPr>
                      <w:i/>
                    </w:rPr>
                  </w:pPr>
                  <w:r>
                    <w:rPr>
                      <w:i/>
                    </w:rPr>
                    <w:t>5</w:t>
                  </w:r>
                </w:p>
              </w:tc>
              <w:tc>
                <w:tcPr>
                  <w:tcW w:w="2959" w:type="dxa"/>
                </w:tcPr>
                <w:p w14:paraId="27BAF92B" w14:textId="38D76EC0" w:rsidR="00AB4D2E" w:rsidRDefault="000518DB" w:rsidP="00A07EB8">
                  <w:pPr>
                    <w:spacing w:line="360" w:lineRule="auto"/>
                    <w:rPr>
                      <w:i/>
                    </w:rPr>
                  </w:pPr>
                  <w:r>
                    <w:rPr>
                      <w:i/>
                    </w:rPr>
                    <w:t>5</w:t>
                  </w:r>
                </w:p>
              </w:tc>
            </w:tr>
            <w:tr w:rsidR="0004542F" w14:paraId="05FA6D1B" w14:textId="77777777" w:rsidTr="00A07EB8">
              <w:tc>
                <w:tcPr>
                  <w:tcW w:w="3100" w:type="dxa"/>
                </w:tcPr>
                <w:p w14:paraId="63B0561C" w14:textId="77777777" w:rsidR="0004542F" w:rsidRPr="00B269B9" w:rsidRDefault="0004542F" w:rsidP="00A07EB8">
                  <w:pPr>
                    <w:spacing w:line="240" w:lineRule="atLeast"/>
                    <w:contextualSpacing/>
                    <w:rPr>
                      <w:i/>
                    </w:rPr>
                  </w:pPr>
                  <w:r w:rsidRPr="00BE0C5C">
                    <w:t>Excellent written and oral communication skills</w:t>
                  </w:r>
                  <w:r>
                    <w:t>.</w:t>
                  </w:r>
                </w:p>
              </w:tc>
              <w:tc>
                <w:tcPr>
                  <w:tcW w:w="3065" w:type="dxa"/>
                </w:tcPr>
                <w:p w14:paraId="7EE44AD5" w14:textId="77777777" w:rsidR="0004542F" w:rsidRDefault="0004542F" w:rsidP="00A07EB8">
                  <w:pPr>
                    <w:spacing w:line="360" w:lineRule="auto"/>
                    <w:rPr>
                      <w:i/>
                    </w:rPr>
                  </w:pPr>
                  <w:r>
                    <w:rPr>
                      <w:i/>
                    </w:rPr>
                    <w:t>5</w:t>
                  </w:r>
                </w:p>
              </w:tc>
              <w:tc>
                <w:tcPr>
                  <w:tcW w:w="2959" w:type="dxa"/>
                </w:tcPr>
                <w:p w14:paraId="1717C558" w14:textId="77777777" w:rsidR="0004542F" w:rsidRDefault="0004542F" w:rsidP="00A07EB8">
                  <w:pPr>
                    <w:spacing w:line="360" w:lineRule="auto"/>
                    <w:rPr>
                      <w:i/>
                    </w:rPr>
                  </w:pPr>
                  <w:r>
                    <w:rPr>
                      <w:i/>
                    </w:rPr>
                    <w:t>5</w:t>
                  </w:r>
                </w:p>
              </w:tc>
            </w:tr>
            <w:tr w:rsidR="0004542F" w14:paraId="3457AB7A" w14:textId="77777777" w:rsidTr="00A07EB8">
              <w:tc>
                <w:tcPr>
                  <w:tcW w:w="3100" w:type="dxa"/>
                </w:tcPr>
                <w:p w14:paraId="733857C2" w14:textId="77777777" w:rsidR="0004542F" w:rsidRPr="004758AA" w:rsidRDefault="0004542F" w:rsidP="00A07EB8">
                  <w:pPr>
                    <w:spacing w:line="240" w:lineRule="atLeast"/>
                    <w:contextualSpacing/>
                    <w:rPr>
                      <w:i/>
                      <w:u w:val="single"/>
                    </w:rPr>
                  </w:pPr>
                  <w:r w:rsidRPr="004758AA">
                    <w:rPr>
                      <w:i/>
                      <w:u w:val="single"/>
                    </w:rPr>
                    <w:t>Financial</w:t>
                  </w:r>
                </w:p>
              </w:tc>
              <w:tc>
                <w:tcPr>
                  <w:tcW w:w="3065" w:type="dxa"/>
                </w:tcPr>
                <w:p w14:paraId="538B9B19" w14:textId="7A75877F" w:rsidR="0004542F" w:rsidRDefault="000518DB" w:rsidP="00A07EB8">
                  <w:pPr>
                    <w:spacing w:line="360" w:lineRule="auto"/>
                    <w:rPr>
                      <w:i/>
                    </w:rPr>
                  </w:pPr>
                  <w:r>
                    <w:rPr>
                      <w:i/>
                    </w:rPr>
                    <w:t>25</w:t>
                  </w:r>
                  <w:r w:rsidR="0004542F">
                    <w:rPr>
                      <w:i/>
                    </w:rPr>
                    <w:t>%</w:t>
                  </w:r>
                </w:p>
              </w:tc>
              <w:tc>
                <w:tcPr>
                  <w:tcW w:w="2959" w:type="dxa"/>
                </w:tcPr>
                <w:p w14:paraId="2DC9DE08" w14:textId="2A172F0C" w:rsidR="0004542F" w:rsidRDefault="000518DB" w:rsidP="00A07EB8">
                  <w:pPr>
                    <w:spacing w:line="360" w:lineRule="auto"/>
                    <w:rPr>
                      <w:i/>
                    </w:rPr>
                  </w:pPr>
                  <w:r>
                    <w:rPr>
                      <w:i/>
                    </w:rPr>
                    <w:t>25</w:t>
                  </w:r>
                </w:p>
              </w:tc>
            </w:tr>
          </w:tbl>
          <w:p w14:paraId="225A479B" w14:textId="77777777" w:rsidR="0004542F" w:rsidRDefault="0004542F" w:rsidP="00A07EB8">
            <w:pPr>
              <w:rPr>
                <w:b/>
              </w:rPr>
            </w:pPr>
          </w:p>
        </w:tc>
      </w:tr>
    </w:tbl>
    <w:p w14:paraId="0A13142F" w14:textId="77777777" w:rsidR="005C50A0" w:rsidRDefault="005C50A0" w:rsidP="00A57C48">
      <w:pPr>
        <w:rPr>
          <w:b/>
          <w:sz w:val="24"/>
          <w:szCs w:val="24"/>
          <w:u w:val="single"/>
        </w:rPr>
      </w:pPr>
    </w:p>
    <w:p w14:paraId="1A1FCC96" w14:textId="1C83DF1D" w:rsidR="00A57C48" w:rsidRDefault="00A57C48" w:rsidP="00A57C48">
      <w:pPr>
        <w:rPr>
          <w:b/>
          <w:sz w:val="24"/>
          <w:szCs w:val="24"/>
          <w:u w:val="single"/>
        </w:rPr>
      </w:pPr>
      <w:r w:rsidRPr="002F799A">
        <w:rPr>
          <w:b/>
          <w:sz w:val="24"/>
          <w:szCs w:val="24"/>
          <w:u w:val="single"/>
        </w:rPr>
        <w:t>ANNEX</w:t>
      </w:r>
    </w:p>
    <w:p w14:paraId="0F6C28FB" w14:textId="53517CA6" w:rsidR="00F0140A" w:rsidRPr="00E102F5" w:rsidRDefault="00A57C48" w:rsidP="00103276">
      <w:pPr>
        <w:rPr>
          <w:b/>
          <w:lang w:val="en-GB"/>
        </w:rPr>
      </w:pPr>
      <w:r>
        <w:rPr>
          <w:b/>
        </w:rPr>
        <w:t xml:space="preserve">ANNEX 1- INDIVIDUAL CONSULTANT GENERAL TERMS AND CONDITIONS </w:t>
      </w:r>
    </w:p>
    <w:sectPr w:rsidR="00F0140A" w:rsidRPr="00E102F5"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6FA3" w14:textId="77777777" w:rsidR="005807BB" w:rsidRDefault="005807BB" w:rsidP="00A24134">
      <w:pPr>
        <w:spacing w:after="0" w:line="240" w:lineRule="auto"/>
      </w:pPr>
      <w:r>
        <w:separator/>
      </w:r>
    </w:p>
  </w:endnote>
  <w:endnote w:type="continuationSeparator" w:id="0">
    <w:p w14:paraId="5333276B" w14:textId="77777777" w:rsidR="005807BB" w:rsidRDefault="005807B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618E" w14:textId="77777777" w:rsidR="005807BB" w:rsidRDefault="005807BB" w:rsidP="00A24134">
      <w:pPr>
        <w:spacing w:after="0" w:line="240" w:lineRule="auto"/>
      </w:pPr>
      <w:r>
        <w:separator/>
      </w:r>
    </w:p>
  </w:footnote>
  <w:footnote w:type="continuationSeparator" w:id="0">
    <w:p w14:paraId="7ED9D507" w14:textId="77777777" w:rsidR="005807BB" w:rsidRDefault="005807BB"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575"/>
    <w:multiLevelType w:val="hybridMultilevel"/>
    <w:tmpl w:val="4D901332"/>
    <w:lvl w:ilvl="0" w:tplc="4CD6268A">
      <w:numFmt w:val="bullet"/>
      <w:lvlText w:val="-"/>
      <w:lvlJc w:val="left"/>
      <w:pPr>
        <w:ind w:left="720" w:hanging="360"/>
      </w:pPr>
      <w:rPr>
        <w:rFonts w:ascii="Calibri" w:eastAsia="Times New Roman"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62F3"/>
    <w:multiLevelType w:val="hybridMultilevel"/>
    <w:tmpl w:val="95E4CB44"/>
    <w:lvl w:ilvl="0" w:tplc="942607E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6F68"/>
    <w:multiLevelType w:val="hybridMultilevel"/>
    <w:tmpl w:val="543E3D6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A6023"/>
    <w:multiLevelType w:val="hybridMultilevel"/>
    <w:tmpl w:val="C99E3F7A"/>
    <w:lvl w:ilvl="0" w:tplc="2000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5750E"/>
    <w:multiLevelType w:val="hybridMultilevel"/>
    <w:tmpl w:val="FE34B2C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6A2F1A"/>
    <w:multiLevelType w:val="hybridMultilevel"/>
    <w:tmpl w:val="9AB0C4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10F20"/>
    <w:multiLevelType w:val="hybridMultilevel"/>
    <w:tmpl w:val="FBC67548"/>
    <w:lvl w:ilvl="0" w:tplc="942607EE">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F321A"/>
    <w:multiLevelType w:val="hybridMultilevel"/>
    <w:tmpl w:val="776A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52C57"/>
    <w:multiLevelType w:val="multilevel"/>
    <w:tmpl w:val="6AC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8296B"/>
    <w:multiLevelType w:val="hybridMultilevel"/>
    <w:tmpl w:val="3A9AAFB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90182F"/>
    <w:multiLevelType w:val="hybridMultilevel"/>
    <w:tmpl w:val="DFF0AA06"/>
    <w:lvl w:ilvl="0" w:tplc="942607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739D4"/>
    <w:multiLevelType w:val="hybridMultilevel"/>
    <w:tmpl w:val="7012E226"/>
    <w:lvl w:ilvl="0" w:tplc="79A4FA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C1225"/>
    <w:multiLevelType w:val="hybridMultilevel"/>
    <w:tmpl w:val="99D294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2E6EFA"/>
    <w:multiLevelType w:val="hybridMultilevel"/>
    <w:tmpl w:val="F690753E"/>
    <w:lvl w:ilvl="0" w:tplc="04F4464A">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0A270C"/>
    <w:multiLevelType w:val="hybridMultilevel"/>
    <w:tmpl w:val="15EC7CB0"/>
    <w:lvl w:ilvl="0" w:tplc="4CD6268A">
      <w:numFmt w:val="bullet"/>
      <w:lvlText w:val="-"/>
      <w:lvlJc w:val="left"/>
      <w:pPr>
        <w:ind w:left="720" w:hanging="360"/>
      </w:pPr>
      <w:rPr>
        <w:rFonts w:ascii="Calibri" w:eastAsia="Times New Roman" w:hAnsi="Calibri" w:cs="Calibri"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1"/>
  </w:num>
  <w:num w:numId="5">
    <w:abstractNumId w:val="12"/>
  </w:num>
  <w:num w:numId="6">
    <w:abstractNumId w:val="14"/>
  </w:num>
  <w:num w:numId="7">
    <w:abstractNumId w:val="19"/>
  </w:num>
  <w:num w:numId="8">
    <w:abstractNumId w:val="9"/>
  </w:num>
  <w:num w:numId="9">
    <w:abstractNumId w:val="11"/>
  </w:num>
  <w:num w:numId="10">
    <w:abstractNumId w:val="16"/>
  </w:num>
  <w:num w:numId="11">
    <w:abstractNumId w:val="17"/>
  </w:num>
  <w:num w:numId="12">
    <w:abstractNumId w:val="10"/>
  </w:num>
  <w:num w:numId="13">
    <w:abstractNumId w:val="2"/>
  </w:num>
  <w:num w:numId="14">
    <w:abstractNumId w:val="13"/>
  </w:num>
  <w:num w:numId="15">
    <w:abstractNumId w:val="3"/>
  </w:num>
  <w:num w:numId="16">
    <w:abstractNumId w:val="5"/>
  </w:num>
  <w:num w:numId="17">
    <w:abstractNumId w:val="15"/>
  </w:num>
  <w:num w:numId="18">
    <w:abstractNumId w:val="21"/>
  </w:num>
  <w:num w:numId="19">
    <w:abstractNumId w:val="22"/>
  </w:num>
  <w:num w:numId="20">
    <w:abstractNumId w:val="20"/>
  </w:num>
  <w:num w:numId="21">
    <w:abstractNumId w:val="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22B9"/>
    <w:rsid w:val="00004E83"/>
    <w:rsid w:val="0001012F"/>
    <w:rsid w:val="000342FF"/>
    <w:rsid w:val="0004542F"/>
    <w:rsid w:val="000518DB"/>
    <w:rsid w:val="00057DA8"/>
    <w:rsid w:val="000677EC"/>
    <w:rsid w:val="0008027C"/>
    <w:rsid w:val="0008072E"/>
    <w:rsid w:val="00082F78"/>
    <w:rsid w:val="00086485"/>
    <w:rsid w:val="000911A7"/>
    <w:rsid w:val="00095C71"/>
    <w:rsid w:val="000964DE"/>
    <w:rsid w:val="00096E55"/>
    <w:rsid w:val="00097515"/>
    <w:rsid w:val="000A14CC"/>
    <w:rsid w:val="000B3C3A"/>
    <w:rsid w:val="000C0458"/>
    <w:rsid w:val="000C478D"/>
    <w:rsid w:val="000D0454"/>
    <w:rsid w:val="000D3E4C"/>
    <w:rsid w:val="000E0B8A"/>
    <w:rsid w:val="000E2C6B"/>
    <w:rsid w:val="000E45E5"/>
    <w:rsid w:val="000F0061"/>
    <w:rsid w:val="00103276"/>
    <w:rsid w:val="00120D36"/>
    <w:rsid w:val="00134A66"/>
    <w:rsid w:val="00143712"/>
    <w:rsid w:val="001473B3"/>
    <w:rsid w:val="00180DF8"/>
    <w:rsid w:val="00181B6A"/>
    <w:rsid w:val="0018521E"/>
    <w:rsid w:val="00191969"/>
    <w:rsid w:val="001A04E2"/>
    <w:rsid w:val="001A0DCE"/>
    <w:rsid w:val="001E30BA"/>
    <w:rsid w:val="00203033"/>
    <w:rsid w:val="002223E0"/>
    <w:rsid w:val="00262642"/>
    <w:rsid w:val="002A0C3A"/>
    <w:rsid w:val="002A1486"/>
    <w:rsid w:val="002B197A"/>
    <w:rsid w:val="002B7976"/>
    <w:rsid w:val="002D63FE"/>
    <w:rsid w:val="002E4896"/>
    <w:rsid w:val="002F799A"/>
    <w:rsid w:val="00325259"/>
    <w:rsid w:val="0033411B"/>
    <w:rsid w:val="003644DC"/>
    <w:rsid w:val="003754C3"/>
    <w:rsid w:val="003812A9"/>
    <w:rsid w:val="003836C0"/>
    <w:rsid w:val="003A15F4"/>
    <w:rsid w:val="003A22D4"/>
    <w:rsid w:val="003A5D5D"/>
    <w:rsid w:val="003B0C3C"/>
    <w:rsid w:val="003D798E"/>
    <w:rsid w:val="003F0258"/>
    <w:rsid w:val="00412ECD"/>
    <w:rsid w:val="0042486E"/>
    <w:rsid w:val="00431F40"/>
    <w:rsid w:val="00432027"/>
    <w:rsid w:val="004336E4"/>
    <w:rsid w:val="00440ECE"/>
    <w:rsid w:val="00443E94"/>
    <w:rsid w:val="00467AF4"/>
    <w:rsid w:val="004726AC"/>
    <w:rsid w:val="004758AA"/>
    <w:rsid w:val="00480D13"/>
    <w:rsid w:val="00487643"/>
    <w:rsid w:val="004955FD"/>
    <w:rsid w:val="004A2B79"/>
    <w:rsid w:val="004B3042"/>
    <w:rsid w:val="004C11ED"/>
    <w:rsid w:val="004D087E"/>
    <w:rsid w:val="004D3F24"/>
    <w:rsid w:val="004E3DC5"/>
    <w:rsid w:val="0050382C"/>
    <w:rsid w:val="00510429"/>
    <w:rsid w:val="0054452B"/>
    <w:rsid w:val="00554E4A"/>
    <w:rsid w:val="00555D51"/>
    <w:rsid w:val="00566775"/>
    <w:rsid w:val="005807BB"/>
    <w:rsid w:val="005A6E14"/>
    <w:rsid w:val="005B038A"/>
    <w:rsid w:val="005C50A0"/>
    <w:rsid w:val="005E0013"/>
    <w:rsid w:val="005F1B65"/>
    <w:rsid w:val="00605D4A"/>
    <w:rsid w:val="006173EE"/>
    <w:rsid w:val="00622B73"/>
    <w:rsid w:val="0063524A"/>
    <w:rsid w:val="00637BD7"/>
    <w:rsid w:val="00646186"/>
    <w:rsid w:val="0065212C"/>
    <w:rsid w:val="006547ED"/>
    <w:rsid w:val="0065710B"/>
    <w:rsid w:val="00676AD5"/>
    <w:rsid w:val="00676B3F"/>
    <w:rsid w:val="006924EC"/>
    <w:rsid w:val="006A608F"/>
    <w:rsid w:val="006C491D"/>
    <w:rsid w:val="006D594B"/>
    <w:rsid w:val="006E087F"/>
    <w:rsid w:val="006E1090"/>
    <w:rsid w:val="006E6751"/>
    <w:rsid w:val="006F070A"/>
    <w:rsid w:val="007121D9"/>
    <w:rsid w:val="007354EA"/>
    <w:rsid w:val="00746D87"/>
    <w:rsid w:val="00753357"/>
    <w:rsid w:val="007650C2"/>
    <w:rsid w:val="007C23A3"/>
    <w:rsid w:val="007C4235"/>
    <w:rsid w:val="007D382E"/>
    <w:rsid w:val="007D666F"/>
    <w:rsid w:val="007D726E"/>
    <w:rsid w:val="007E4F76"/>
    <w:rsid w:val="00807A6E"/>
    <w:rsid w:val="00810FC3"/>
    <w:rsid w:val="00816B78"/>
    <w:rsid w:val="00834D1A"/>
    <w:rsid w:val="0083711D"/>
    <w:rsid w:val="00837F09"/>
    <w:rsid w:val="0085190F"/>
    <w:rsid w:val="00871242"/>
    <w:rsid w:val="00871AC6"/>
    <w:rsid w:val="00882780"/>
    <w:rsid w:val="008A0260"/>
    <w:rsid w:val="008A4E69"/>
    <w:rsid w:val="008A6F73"/>
    <w:rsid w:val="008B32FE"/>
    <w:rsid w:val="008B33D2"/>
    <w:rsid w:val="008B4158"/>
    <w:rsid w:val="008E21EC"/>
    <w:rsid w:val="008F2F7A"/>
    <w:rsid w:val="0090162A"/>
    <w:rsid w:val="00916ACF"/>
    <w:rsid w:val="00931A7B"/>
    <w:rsid w:val="00944F40"/>
    <w:rsid w:val="00945784"/>
    <w:rsid w:val="0094779C"/>
    <w:rsid w:val="009723CE"/>
    <w:rsid w:val="00987C2B"/>
    <w:rsid w:val="009912B9"/>
    <w:rsid w:val="00993E07"/>
    <w:rsid w:val="009A0344"/>
    <w:rsid w:val="009A7E68"/>
    <w:rsid w:val="009C6A6A"/>
    <w:rsid w:val="009D30EF"/>
    <w:rsid w:val="009E2B22"/>
    <w:rsid w:val="009E4A6C"/>
    <w:rsid w:val="009F04D5"/>
    <w:rsid w:val="00A030A0"/>
    <w:rsid w:val="00A24134"/>
    <w:rsid w:val="00A566CF"/>
    <w:rsid w:val="00A57C48"/>
    <w:rsid w:val="00A60C2A"/>
    <w:rsid w:val="00A66D24"/>
    <w:rsid w:val="00A6756E"/>
    <w:rsid w:val="00A83454"/>
    <w:rsid w:val="00A84AEE"/>
    <w:rsid w:val="00AA4872"/>
    <w:rsid w:val="00AA76B6"/>
    <w:rsid w:val="00AB4D2E"/>
    <w:rsid w:val="00AC652B"/>
    <w:rsid w:val="00AC6F4C"/>
    <w:rsid w:val="00AF3C0C"/>
    <w:rsid w:val="00AF6929"/>
    <w:rsid w:val="00AF7E09"/>
    <w:rsid w:val="00B11011"/>
    <w:rsid w:val="00B14F6E"/>
    <w:rsid w:val="00B1621B"/>
    <w:rsid w:val="00B16A9F"/>
    <w:rsid w:val="00B2445F"/>
    <w:rsid w:val="00B267EB"/>
    <w:rsid w:val="00B438A3"/>
    <w:rsid w:val="00B60FD8"/>
    <w:rsid w:val="00B63C3C"/>
    <w:rsid w:val="00B64969"/>
    <w:rsid w:val="00B64FB5"/>
    <w:rsid w:val="00B669B3"/>
    <w:rsid w:val="00B808B6"/>
    <w:rsid w:val="00B879BD"/>
    <w:rsid w:val="00BA28AC"/>
    <w:rsid w:val="00BB36C0"/>
    <w:rsid w:val="00BD6B52"/>
    <w:rsid w:val="00BF6F1B"/>
    <w:rsid w:val="00C22E07"/>
    <w:rsid w:val="00C47F25"/>
    <w:rsid w:val="00C62F49"/>
    <w:rsid w:val="00C64099"/>
    <w:rsid w:val="00C74ADB"/>
    <w:rsid w:val="00C81E56"/>
    <w:rsid w:val="00C8315F"/>
    <w:rsid w:val="00C8605F"/>
    <w:rsid w:val="00C87526"/>
    <w:rsid w:val="00CA5DB9"/>
    <w:rsid w:val="00CC5BDF"/>
    <w:rsid w:val="00CD2DEA"/>
    <w:rsid w:val="00CE647E"/>
    <w:rsid w:val="00CF522C"/>
    <w:rsid w:val="00D17475"/>
    <w:rsid w:val="00D2659A"/>
    <w:rsid w:val="00D46804"/>
    <w:rsid w:val="00D563CD"/>
    <w:rsid w:val="00D71B00"/>
    <w:rsid w:val="00D8744E"/>
    <w:rsid w:val="00D92FCE"/>
    <w:rsid w:val="00D94C66"/>
    <w:rsid w:val="00DA646F"/>
    <w:rsid w:val="00DA70EF"/>
    <w:rsid w:val="00DB0EB6"/>
    <w:rsid w:val="00DB77DD"/>
    <w:rsid w:val="00DB7F57"/>
    <w:rsid w:val="00DC0FE2"/>
    <w:rsid w:val="00DD3BA3"/>
    <w:rsid w:val="00DE1432"/>
    <w:rsid w:val="00E102F5"/>
    <w:rsid w:val="00E30FFD"/>
    <w:rsid w:val="00E34891"/>
    <w:rsid w:val="00E430E1"/>
    <w:rsid w:val="00E430E5"/>
    <w:rsid w:val="00E46B72"/>
    <w:rsid w:val="00E523F7"/>
    <w:rsid w:val="00E56341"/>
    <w:rsid w:val="00E6736D"/>
    <w:rsid w:val="00E72307"/>
    <w:rsid w:val="00E8310E"/>
    <w:rsid w:val="00E90323"/>
    <w:rsid w:val="00E94857"/>
    <w:rsid w:val="00EA50D0"/>
    <w:rsid w:val="00EA697D"/>
    <w:rsid w:val="00EC517B"/>
    <w:rsid w:val="00ED649B"/>
    <w:rsid w:val="00EE2DEF"/>
    <w:rsid w:val="00EE6EAE"/>
    <w:rsid w:val="00EE76A4"/>
    <w:rsid w:val="00F0140A"/>
    <w:rsid w:val="00F05523"/>
    <w:rsid w:val="00F2324C"/>
    <w:rsid w:val="00F31FED"/>
    <w:rsid w:val="00F40EEB"/>
    <w:rsid w:val="00F45F52"/>
    <w:rsid w:val="00F46A4B"/>
    <w:rsid w:val="00F659D5"/>
    <w:rsid w:val="00F662A3"/>
    <w:rsid w:val="00F66C95"/>
    <w:rsid w:val="00F7753E"/>
    <w:rsid w:val="00F9130D"/>
    <w:rsid w:val="00F918E6"/>
    <w:rsid w:val="00FB195B"/>
    <w:rsid w:val="00FD0362"/>
    <w:rsid w:val="00FE3C4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49D3"/>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4876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A0344"/>
    <w:pPr>
      <w:spacing w:after="0" w:line="240" w:lineRule="auto"/>
    </w:pPr>
  </w:style>
  <w:style w:type="character" w:styleId="UnresolvedMention">
    <w:name w:val="Unresolved Mention"/>
    <w:basedOn w:val="DefaultParagraphFont"/>
    <w:uiPriority w:val="99"/>
    <w:semiHidden/>
    <w:unhideWhenUsed/>
    <w:rsid w:val="0009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w@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w@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9" ma:contentTypeDescription="Create a new document." ma:contentTypeScope="" ma:versionID="5a4621fbdad0698fb817bff6c456e1e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924262d3c52a04cd3bfd148e33a55829"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2D8FA-C7E9-4271-B0A7-4F7904E0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8C5C6-0615-4F4C-885A-81019E44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Kelebogile</cp:lastModifiedBy>
  <cp:revision>3</cp:revision>
  <cp:lastPrinted>2019-05-20T16:03:00Z</cp:lastPrinted>
  <dcterms:created xsi:type="dcterms:W3CDTF">2020-09-16T09:22:00Z</dcterms:created>
  <dcterms:modified xsi:type="dcterms:W3CDTF">2020-09-16T09:25:00Z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