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321" w:rsidRPr="008D699D" w:rsidRDefault="00CA0321" w:rsidP="00CA0321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  <w:lang w:val="es-ES_tradnl"/>
        </w:rPr>
      </w:pPr>
      <w:bookmarkStart w:id="0" w:name="_Toc48666828"/>
      <w:r w:rsidRPr="008D699D">
        <w:rPr>
          <w:rFonts w:ascii="Century Gothic" w:hAnsi="Century Gothic"/>
          <w:b/>
          <w:bCs/>
          <w:color w:val="4472C4" w:themeColor="accent1"/>
          <w:sz w:val="32"/>
          <w:szCs w:val="32"/>
          <w:lang w:val="es-ES_tradnl"/>
        </w:rPr>
        <w:t>INSTRUCCIONES PARA LOS LICITANTES/OFERENTES</w:t>
      </w:r>
    </w:p>
    <w:p w:rsidR="00CA0321" w:rsidRPr="008D699D" w:rsidRDefault="00CA0321" w:rsidP="00CA0321">
      <w:pPr>
        <w:jc w:val="center"/>
        <w:rPr>
          <w:rFonts w:ascii="Century Gothic" w:hAnsi="Century Gothic"/>
          <w:b/>
          <w:bCs/>
          <w:color w:val="4472C4" w:themeColor="accent1"/>
          <w:sz w:val="28"/>
          <w:szCs w:val="28"/>
          <w:lang w:val="es-ES_tradnl"/>
        </w:rPr>
      </w:pPr>
    </w:p>
    <w:p w:rsidR="00CA0321" w:rsidRPr="008D699D" w:rsidRDefault="00CA0321" w:rsidP="00CA0321">
      <w:pPr>
        <w:jc w:val="center"/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</w:pPr>
      <w:r w:rsidRPr="008D699D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  <w:t xml:space="preserve">FORMULARIO </w:t>
      </w:r>
      <w:r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  <w:t>F</w:t>
      </w:r>
      <w:r w:rsidRPr="008D699D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  <w:t xml:space="preserve"> FORMULARIO DE</w:t>
      </w:r>
      <w:r w:rsidR="00CC6ECA" w:rsidRPr="00CC6ECA">
        <w:rPr>
          <w:rFonts w:ascii="Century Gothic" w:hAnsi="Century Gothic"/>
          <w:b/>
          <w:bCs/>
          <w:color w:val="4472C4" w:themeColor="accent1"/>
          <w:sz w:val="28"/>
          <w:szCs w:val="28"/>
          <w:u w:val="single"/>
          <w:lang w:val="es-ES_tradnl"/>
        </w:rPr>
        <w:t xml:space="preserve"> LISTA DE PRECIOS</w:t>
      </w:r>
    </w:p>
    <w:p w:rsidR="00CA0321" w:rsidRPr="008D699D" w:rsidRDefault="00CA0321" w:rsidP="00CA0321">
      <w:pPr>
        <w:rPr>
          <w:rFonts w:ascii="Century Gothic" w:hAnsi="Century Gothic"/>
          <w:lang w:val="es-ES_tradnl"/>
        </w:rPr>
      </w:pPr>
    </w:p>
    <w:p w:rsidR="00CA0321" w:rsidRPr="000132B1" w:rsidRDefault="00CA0321" w:rsidP="00CA0321">
      <w:pPr>
        <w:jc w:val="both"/>
        <w:rPr>
          <w:rFonts w:ascii="Century Gothic" w:hAnsi="Century Gothic"/>
          <w:sz w:val="22"/>
          <w:szCs w:val="22"/>
          <w:lang w:val="es-ES_tradnl"/>
        </w:rPr>
      </w:pPr>
      <w:r w:rsidRPr="000132B1">
        <w:rPr>
          <w:rFonts w:ascii="Century Gothic" w:hAnsi="Century Gothic"/>
          <w:sz w:val="22"/>
          <w:szCs w:val="22"/>
          <w:lang w:val="es-ES_tradnl"/>
        </w:rPr>
        <w:t xml:space="preserve">Este formulario es de carácter obligatorio para presentar su oferta, con el formulario </w:t>
      </w:r>
      <w:r>
        <w:rPr>
          <w:rFonts w:ascii="Century Gothic" w:hAnsi="Century Gothic"/>
          <w:sz w:val="22"/>
          <w:szCs w:val="22"/>
          <w:lang w:val="es-ES_tradnl"/>
        </w:rPr>
        <w:t>F</w:t>
      </w:r>
      <w:r w:rsidRPr="000132B1">
        <w:rPr>
          <w:rFonts w:ascii="Century Gothic" w:hAnsi="Century Gothic"/>
          <w:sz w:val="22"/>
          <w:szCs w:val="22"/>
          <w:lang w:val="es-ES_tradnl"/>
        </w:rPr>
        <w:t xml:space="preserve"> usted deberá:</w:t>
      </w:r>
    </w:p>
    <w:p w:rsidR="00CA0321" w:rsidRPr="000132B1" w:rsidRDefault="00CA0321" w:rsidP="00CA0321">
      <w:pPr>
        <w:pStyle w:val="Prrafodelista"/>
        <w:numPr>
          <w:ilvl w:val="0"/>
          <w:numId w:val="10"/>
        </w:numPr>
        <w:spacing w:before="120"/>
        <w:ind w:left="777" w:hanging="357"/>
        <w:jc w:val="both"/>
        <w:rPr>
          <w:rFonts w:ascii="Century Gothic" w:hAnsi="Century Gothic"/>
          <w:szCs w:val="22"/>
          <w:lang w:val="es-ES_tradnl"/>
        </w:rPr>
      </w:pPr>
      <w:r w:rsidRPr="000132B1">
        <w:rPr>
          <w:rFonts w:ascii="Century Gothic" w:hAnsi="Century Gothic"/>
          <w:szCs w:val="22"/>
          <w:lang w:val="es-ES_tradnl"/>
        </w:rPr>
        <w:t>En el encabezado, colocar el membrete/logo de su empresa</w:t>
      </w:r>
    </w:p>
    <w:p w:rsidR="00CA0321" w:rsidRDefault="00CA0321" w:rsidP="00CA0321">
      <w:pPr>
        <w:pStyle w:val="Prrafodelista"/>
        <w:numPr>
          <w:ilvl w:val="0"/>
          <w:numId w:val="10"/>
        </w:numPr>
        <w:spacing w:before="120"/>
        <w:ind w:left="777" w:hanging="357"/>
        <w:jc w:val="both"/>
        <w:rPr>
          <w:rFonts w:ascii="Century Gothic" w:hAnsi="Century Gothic"/>
          <w:szCs w:val="22"/>
          <w:lang w:val="es-ES_tradnl"/>
        </w:rPr>
      </w:pPr>
      <w:r w:rsidRPr="000132B1">
        <w:rPr>
          <w:rFonts w:ascii="Century Gothic" w:hAnsi="Century Gothic"/>
          <w:szCs w:val="22"/>
          <w:lang w:val="es-ES_tradnl"/>
        </w:rPr>
        <w:t>Completar los datos que se encuentran resaltados en color amarillo</w:t>
      </w:r>
    </w:p>
    <w:p w:rsidR="00CA0321" w:rsidRDefault="00CC6ECA" w:rsidP="00CA0321">
      <w:pPr>
        <w:pStyle w:val="Prrafodelista"/>
        <w:numPr>
          <w:ilvl w:val="0"/>
          <w:numId w:val="10"/>
        </w:numPr>
        <w:spacing w:before="120"/>
        <w:ind w:left="777" w:hanging="357"/>
        <w:jc w:val="both"/>
        <w:rPr>
          <w:rFonts w:ascii="Century Gothic" w:hAnsi="Century Gothic"/>
          <w:szCs w:val="22"/>
          <w:lang w:val="es-ES_tradnl"/>
        </w:rPr>
      </w:pPr>
      <w:r>
        <w:rPr>
          <w:rFonts w:ascii="Century Gothic" w:hAnsi="Century Gothic"/>
          <w:szCs w:val="22"/>
          <w:lang w:val="es-ES_tradnl"/>
        </w:rPr>
        <w:t>No se aceptan formatos diferentes para la presentación de su oferta económica. Solo es aceptable el formulario F.</w:t>
      </w:r>
    </w:p>
    <w:p w:rsidR="00CC6ECA" w:rsidRPr="000132B1" w:rsidRDefault="00CC6ECA" w:rsidP="00CA0321">
      <w:pPr>
        <w:pStyle w:val="Prrafodelista"/>
        <w:numPr>
          <w:ilvl w:val="0"/>
          <w:numId w:val="10"/>
        </w:numPr>
        <w:spacing w:before="120"/>
        <w:ind w:left="777" w:hanging="357"/>
        <w:jc w:val="both"/>
        <w:rPr>
          <w:rFonts w:ascii="Century Gothic" w:hAnsi="Century Gothic"/>
          <w:szCs w:val="22"/>
          <w:lang w:val="es-ES_tradnl"/>
        </w:rPr>
      </w:pPr>
      <w:r>
        <w:rPr>
          <w:rFonts w:ascii="Century Gothic" w:hAnsi="Century Gothic"/>
          <w:szCs w:val="22"/>
          <w:lang w:val="es-ES_tradnl"/>
        </w:rPr>
        <w:t>No se permite ofertas parciales: deberá ofertar por todos los ítems completos de cada lote, puede ofertar por un lote o por los dos, pero con los ítems completos.</w:t>
      </w:r>
    </w:p>
    <w:p w:rsidR="00CA0321" w:rsidRPr="000132B1" w:rsidRDefault="00CA0321" w:rsidP="00CA0321">
      <w:pPr>
        <w:pStyle w:val="Prrafodelista"/>
        <w:numPr>
          <w:ilvl w:val="0"/>
          <w:numId w:val="10"/>
        </w:numPr>
        <w:spacing w:before="120"/>
        <w:ind w:left="777" w:hanging="357"/>
        <w:jc w:val="both"/>
        <w:rPr>
          <w:rFonts w:ascii="Century Gothic" w:hAnsi="Century Gothic"/>
          <w:szCs w:val="22"/>
          <w:lang w:val="es-ES_tradnl"/>
        </w:rPr>
      </w:pPr>
      <w:r w:rsidRPr="000132B1">
        <w:rPr>
          <w:rFonts w:ascii="Century Gothic" w:hAnsi="Century Gothic"/>
          <w:szCs w:val="22"/>
          <w:lang w:val="es-ES_tradnl"/>
        </w:rPr>
        <w:t xml:space="preserve">Suprimir/eliminar esta página de instrucciones </w:t>
      </w:r>
    </w:p>
    <w:p w:rsidR="00DB6DCA" w:rsidRDefault="00DB6DCA" w:rsidP="00CA0321">
      <w:pPr>
        <w:pStyle w:val="Prrafodelista"/>
        <w:numPr>
          <w:ilvl w:val="0"/>
          <w:numId w:val="10"/>
        </w:numPr>
        <w:spacing w:before="120"/>
        <w:ind w:left="777" w:hanging="357"/>
        <w:jc w:val="both"/>
        <w:rPr>
          <w:rFonts w:ascii="Century Gothic" w:hAnsi="Century Gothic"/>
          <w:szCs w:val="22"/>
          <w:lang w:val="es-ES_tradnl"/>
        </w:rPr>
      </w:pPr>
      <w:r>
        <w:rPr>
          <w:rFonts w:ascii="Century Gothic" w:hAnsi="Century Gothic"/>
          <w:szCs w:val="22"/>
          <w:lang w:val="es-ES_tradnl"/>
        </w:rPr>
        <w:t xml:space="preserve">No añadir otros archivos </w:t>
      </w:r>
    </w:p>
    <w:p w:rsidR="00CA0321" w:rsidRPr="0014299D" w:rsidRDefault="00CA0321" w:rsidP="00CA0321">
      <w:pPr>
        <w:pStyle w:val="Prrafodelista"/>
        <w:numPr>
          <w:ilvl w:val="0"/>
          <w:numId w:val="10"/>
        </w:numPr>
        <w:spacing w:before="120"/>
        <w:ind w:left="777" w:hanging="357"/>
        <w:jc w:val="both"/>
        <w:rPr>
          <w:rFonts w:ascii="Century Gothic" w:hAnsi="Century Gothic"/>
          <w:szCs w:val="22"/>
          <w:lang w:val="es-ES_tradnl"/>
        </w:rPr>
      </w:pPr>
      <w:r w:rsidRPr="000132B1">
        <w:rPr>
          <w:rFonts w:ascii="Century Gothic" w:hAnsi="Century Gothic"/>
          <w:szCs w:val="22"/>
          <w:lang w:val="es-ES_tradnl"/>
        </w:rPr>
        <w:t xml:space="preserve">Una vez eliminada esta página de instrucciones, guardar el formulario en PDF con la siguiente nomenclatura: </w:t>
      </w:r>
      <w:r w:rsidRPr="000132B1">
        <w:rPr>
          <w:rFonts w:ascii="Century Gothic" w:hAnsi="Century Gothic"/>
          <w:b/>
          <w:bCs/>
          <w:szCs w:val="22"/>
          <w:lang w:val="es-ES_tradnl"/>
        </w:rPr>
        <w:t>FORMULARIO.</w:t>
      </w:r>
      <w:r>
        <w:rPr>
          <w:rFonts w:ascii="Century Gothic" w:hAnsi="Century Gothic"/>
          <w:b/>
          <w:bCs/>
          <w:szCs w:val="22"/>
          <w:lang w:val="es-ES_tradnl"/>
        </w:rPr>
        <w:t>F</w:t>
      </w:r>
      <w:r w:rsidRPr="000132B1">
        <w:rPr>
          <w:rFonts w:ascii="Century Gothic" w:hAnsi="Century Gothic"/>
          <w:b/>
          <w:bCs/>
          <w:szCs w:val="22"/>
          <w:lang w:val="es-ES_tradnl"/>
        </w:rPr>
        <w:t xml:space="preserve">.pdf </w:t>
      </w:r>
    </w:p>
    <w:p w:rsidR="0014299D" w:rsidRPr="0014299D" w:rsidRDefault="0014299D" w:rsidP="00CA0321">
      <w:pPr>
        <w:pStyle w:val="Prrafodelista"/>
        <w:numPr>
          <w:ilvl w:val="0"/>
          <w:numId w:val="10"/>
        </w:numPr>
        <w:spacing w:before="120"/>
        <w:ind w:left="777" w:hanging="357"/>
        <w:jc w:val="both"/>
        <w:rPr>
          <w:rFonts w:ascii="Century Gothic" w:hAnsi="Century Gothic"/>
          <w:szCs w:val="22"/>
          <w:lang w:val="es-ES_tradnl"/>
        </w:rPr>
      </w:pPr>
      <w:r w:rsidRPr="0014299D">
        <w:rPr>
          <w:rFonts w:ascii="Century Gothic" w:hAnsi="Century Gothic"/>
          <w:szCs w:val="22"/>
          <w:lang w:val="es-ES_tradnl"/>
        </w:rPr>
        <w:t>En la plataforma e-Tendering deberá adjuntar el Formulario F en PDF y en Excel</w:t>
      </w:r>
      <w:r w:rsidR="006F14DC">
        <w:rPr>
          <w:rFonts w:ascii="Century Gothic" w:hAnsi="Century Gothic"/>
          <w:szCs w:val="22"/>
          <w:lang w:val="es-ES_tradnl"/>
        </w:rPr>
        <w:t xml:space="preserve"> (en ambos formatos)</w:t>
      </w:r>
      <w:r w:rsidRPr="0014299D">
        <w:rPr>
          <w:rFonts w:ascii="Century Gothic" w:hAnsi="Century Gothic"/>
          <w:szCs w:val="22"/>
          <w:lang w:val="es-ES_tradnl"/>
        </w:rPr>
        <w:t>.</w:t>
      </w:r>
    </w:p>
    <w:p w:rsidR="00CA0321" w:rsidRPr="000132B1" w:rsidRDefault="00CA0321" w:rsidP="00CA0321">
      <w:pPr>
        <w:jc w:val="both"/>
        <w:rPr>
          <w:rFonts w:ascii="Century Gothic" w:hAnsi="Century Gothic"/>
          <w:b/>
          <w:bCs/>
          <w:sz w:val="22"/>
          <w:szCs w:val="22"/>
          <w:lang w:val="es-ES_tradnl"/>
        </w:rPr>
      </w:pPr>
    </w:p>
    <w:p w:rsidR="00CA0321" w:rsidRPr="000132B1" w:rsidRDefault="00CA0321" w:rsidP="00CA0321">
      <w:pPr>
        <w:jc w:val="both"/>
        <w:rPr>
          <w:rFonts w:ascii="Century Gothic" w:hAnsi="Century Gothic"/>
          <w:sz w:val="22"/>
          <w:szCs w:val="22"/>
          <w:lang w:val="es-ES_tradnl"/>
        </w:rPr>
      </w:pPr>
      <w:r w:rsidRPr="000132B1">
        <w:rPr>
          <w:rFonts w:ascii="Century Gothic" w:hAnsi="Century Gothic"/>
          <w:b/>
          <w:bCs/>
          <w:sz w:val="22"/>
          <w:szCs w:val="22"/>
          <w:lang w:val="es-ES_tradnl"/>
        </w:rPr>
        <w:t xml:space="preserve">NOTA: </w:t>
      </w:r>
      <w:r w:rsidRPr="000132B1">
        <w:rPr>
          <w:rFonts w:ascii="Century Gothic" w:hAnsi="Century Gothic"/>
          <w:sz w:val="22"/>
          <w:szCs w:val="22"/>
          <w:lang w:val="es-ES_tradnl"/>
        </w:rPr>
        <w:t>Es imprescindible que se llenen todos los datos resaltados en color amarillo, de lo contrario, su oferta no podrá ser considerada.</w:t>
      </w:r>
    </w:p>
    <w:p w:rsidR="00CA0321" w:rsidRDefault="00CA0321" w:rsidP="00D33939">
      <w:pPr>
        <w:pStyle w:val="Ttulo2"/>
        <w:numPr>
          <w:ilvl w:val="0"/>
          <w:numId w:val="0"/>
        </w:numPr>
        <w:ind w:left="720" w:hanging="360"/>
      </w:pPr>
    </w:p>
    <w:p w:rsidR="00CC6ECA" w:rsidRDefault="00CC6ECA" w:rsidP="00D33939">
      <w:pPr>
        <w:pStyle w:val="Ttulo2"/>
        <w:numPr>
          <w:ilvl w:val="0"/>
          <w:numId w:val="0"/>
        </w:numPr>
        <w:ind w:left="720" w:hanging="360"/>
      </w:pPr>
      <w:r>
        <w:br w:type="page"/>
      </w:r>
    </w:p>
    <w:p w:rsidR="00D33939" w:rsidRPr="00EF6242" w:rsidRDefault="00D33939" w:rsidP="00D33939">
      <w:pPr>
        <w:pStyle w:val="Ttulo2"/>
        <w:numPr>
          <w:ilvl w:val="0"/>
          <w:numId w:val="0"/>
        </w:numPr>
        <w:ind w:left="720" w:hanging="360"/>
      </w:pPr>
      <w:r w:rsidRPr="00EF6242">
        <w:lastRenderedPageBreak/>
        <w:t>FORMULARIO F: Formulario de Lista de Precios</w:t>
      </w:r>
      <w:bookmarkEnd w:id="0"/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D33939" w:rsidRPr="00EF6242" w:rsidTr="006072FD">
        <w:tc>
          <w:tcPr>
            <w:tcW w:w="1979" w:type="dxa"/>
            <w:shd w:val="clear" w:color="auto" w:fill="9BDEFF"/>
          </w:tcPr>
          <w:p w:rsidR="00D33939" w:rsidRPr="00EF6242" w:rsidRDefault="00D33939" w:rsidP="006072FD">
            <w:pPr>
              <w:spacing w:before="120" w:after="120"/>
              <w:rPr>
                <w:rFonts w:ascii="Century Gothic" w:hAnsi="Century Gothic" w:cs="Segoe UI"/>
                <w:sz w:val="20"/>
                <w:lang w:val="es-ES_tradnl"/>
              </w:rPr>
            </w:pPr>
            <w:r w:rsidRPr="00EF6242">
              <w:rPr>
                <w:rFonts w:ascii="Century Gothic" w:hAnsi="Century Gothic"/>
                <w:sz w:val="20"/>
                <w:lang w:val="es-ES_tradnl"/>
              </w:rPr>
              <w:t>Nombre del Licitante:</w:t>
            </w:r>
          </w:p>
        </w:tc>
        <w:tc>
          <w:tcPr>
            <w:tcW w:w="4501" w:type="dxa"/>
          </w:tcPr>
          <w:p w:rsidR="00D33939" w:rsidRPr="00EF6242" w:rsidRDefault="00D33939" w:rsidP="006072FD">
            <w:pPr>
              <w:spacing w:before="120" w:after="120"/>
              <w:rPr>
                <w:rFonts w:ascii="Century Gothic" w:hAnsi="Century Gothic" w:cs="Segoe UI"/>
                <w:sz w:val="20"/>
                <w:lang w:val="es-ES_tradnl"/>
              </w:rPr>
            </w:pPr>
            <w:r w:rsidRPr="00CC6ECA">
              <w:rPr>
                <w:rFonts w:ascii="Century Gothic" w:hAnsi="Century Gothic" w:cs="Segoe UI"/>
                <w:bCs/>
                <w:sz w:val="20"/>
                <w:highlight w:val="yellow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CC6ECA">
              <w:rPr>
                <w:rFonts w:ascii="Century Gothic" w:hAnsi="Century Gothic" w:cs="Segoe UI"/>
                <w:bCs/>
                <w:sz w:val="20"/>
                <w:highlight w:val="yellow"/>
                <w:lang w:val="es-ES_tradnl"/>
              </w:rPr>
              <w:instrText xml:space="preserve"> FORMTEXT </w:instrText>
            </w:r>
            <w:r w:rsidRPr="00CC6ECA">
              <w:rPr>
                <w:rFonts w:ascii="Century Gothic" w:hAnsi="Century Gothic" w:cs="Segoe UI"/>
                <w:bCs/>
                <w:sz w:val="20"/>
                <w:highlight w:val="yellow"/>
                <w:lang w:val="es-ES_tradnl"/>
              </w:rPr>
            </w:r>
            <w:r w:rsidRPr="00CC6ECA">
              <w:rPr>
                <w:rFonts w:ascii="Century Gothic" w:hAnsi="Century Gothic" w:cs="Segoe UI"/>
                <w:bCs/>
                <w:sz w:val="20"/>
                <w:highlight w:val="yellow"/>
                <w:lang w:val="es-ES_tradnl"/>
              </w:rPr>
              <w:fldChar w:fldCharType="separate"/>
            </w:r>
            <w:r w:rsidRPr="00CC6ECA">
              <w:rPr>
                <w:rFonts w:ascii="Century Gothic" w:hAnsi="Century Gothic"/>
                <w:noProof/>
                <w:sz w:val="20"/>
                <w:highlight w:val="yellow"/>
                <w:lang w:val="es-ES_tradnl"/>
              </w:rPr>
              <w:t>[Insertar nombre del Licitante]</w:t>
            </w:r>
            <w:r w:rsidRPr="00CC6ECA">
              <w:rPr>
                <w:rFonts w:ascii="Century Gothic" w:hAnsi="Century Gothic"/>
                <w:highlight w:val="yellow"/>
                <w:lang w:val="es-ES_tradnl"/>
              </w:rPr>
              <w:fldChar w:fldCharType="end"/>
            </w:r>
          </w:p>
        </w:tc>
        <w:tc>
          <w:tcPr>
            <w:tcW w:w="893" w:type="dxa"/>
            <w:shd w:val="clear" w:color="auto" w:fill="9BDEFF"/>
          </w:tcPr>
          <w:p w:rsidR="00D33939" w:rsidRPr="00EF6242" w:rsidRDefault="00D33939" w:rsidP="006072FD">
            <w:pPr>
              <w:spacing w:before="120" w:after="120"/>
              <w:rPr>
                <w:rFonts w:ascii="Century Gothic" w:hAnsi="Century Gothic" w:cs="Segoe UI"/>
                <w:sz w:val="20"/>
                <w:lang w:val="es-ES_tradnl"/>
              </w:rPr>
            </w:pPr>
            <w:r w:rsidRPr="00EF6242">
              <w:rPr>
                <w:rFonts w:ascii="Century Gothic" w:hAnsi="Century Gothic"/>
                <w:sz w:val="20"/>
                <w:lang w:val="es-ES_tradnl"/>
              </w:rPr>
              <w:t>Fecha:</w:t>
            </w:r>
          </w:p>
        </w:tc>
        <w:tc>
          <w:tcPr>
            <w:tcW w:w="2167" w:type="dxa"/>
          </w:tcPr>
          <w:p w:rsidR="00D33939" w:rsidRPr="00EF6242" w:rsidRDefault="00BD00FE" w:rsidP="006072FD">
            <w:pPr>
              <w:spacing w:before="120" w:after="120"/>
              <w:rPr>
                <w:rFonts w:ascii="Century Gothic" w:hAnsi="Century Gothic" w:cs="Segoe UI"/>
                <w:sz w:val="20"/>
                <w:lang w:val="es-ES_tradnl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  <w:sz w:val="20"/>
                  <w:lang w:val="es-ES_tradnl"/>
                </w:rPr>
                <w:id w:val="-1139424033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D33939" w:rsidRPr="00EF6242">
                  <w:rPr>
                    <w:rFonts w:ascii="Century Gothic" w:hAnsi="Century Gothic" w:cs="Segoe UI"/>
                    <w:color w:val="000000" w:themeColor="text1"/>
                    <w:sz w:val="20"/>
                    <w:lang w:val="es-ES_tradnl"/>
                  </w:rPr>
                  <w:t>Seleccionar fecha</w:t>
                </w:r>
              </w:sdtContent>
            </w:sdt>
          </w:p>
        </w:tc>
      </w:tr>
      <w:tr w:rsidR="00D33939" w:rsidRPr="00EF6242" w:rsidTr="006072F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D33939" w:rsidRPr="00EF6242" w:rsidRDefault="00D33939" w:rsidP="006072FD">
            <w:pPr>
              <w:spacing w:before="120" w:after="120"/>
              <w:rPr>
                <w:rFonts w:ascii="Century Gothic" w:hAnsi="Century Gothic" w:cs="Segoe UI"/>
                <w:sz w:val="20"/>
                <w:lang w:val="es-ES_tradnl"/>
              </w:rPr>
            </w:pPr>
            <w:r w:rsidRPr="00EF6242">
              <w:rPr>
                <w:rFonts w:ascii="Century Gothic" w:hAnsi="Century Gothic"/>
                <w:sz w:val="20"/>
                <w:lang w:val="es-ES_tradnl"/>
              </w:rPr>
              <w:t>Referencia de la IAL:</w:t>
            </w:r>
          </w:p>
        </w:tc>
        <w:tc>
          <w:tcPr>
            <w:tcW w:w="7561" w:type="dxa"/>
            <w:gridSpan w:val="3"/>
          </w:tcPr>
          <w:p w:rsidR="00D33939" w:rsidRPr="00EF6242" w:rsidRDefault="00D33939" w:rsidP="006072FD">
            <w:pPr>
              <w:spacing w:before="120" w:after="120"/>
              <w:rPr>
                <w:rFonts w:ascii="Century Gothic" w:hAnsi="Century Gothic" w:cs="Segoe UI"/>
                <w:sz w:val="20"/>
                <w:lang w:val="es-ES_tradnl"/>
              </w:rPr>
            </w:pPr>
            <w:r w:rsidRPr="00EF6242">
              <w:rPr>
                <w:rFonts w:ascii="Century Gothic" w:hAnsi="Century Gothic" w:cs="Segoe UI"/>
                <w:bCs/>
                <w:sz w:val="20"/>
                <w:lang w:val="es-ES_tradnl"/>
              </w:rPr>
              <w:t>IAL/0</w:t>
            </w:r>
            <w:r w:rsidR="00CA0321">
              <w:rPr>
                <w:rFonts w:ascii="Century Gothic" w:hAnsi="Century Gothic" w:cs="Segoe UI"/>
                <w:bCs/>
                <w:sz w:val="20"/>
                <w:lang w:val="es-ES_tradnl"/>
              </w:rPr>
              <w:t>8</w:t>
            </w:r>
            <w:r w:rsidR="008C46E0">
              <w:rPr>
                <w:rFonts w:ascii="Century Gothic" w:hAnsi="Century Gothic" w:cs="Segoe UI"/>
                <w:bCs/>
                <w:sz w:val="20"/>
                <w:lang w:val="es-ES_tradnl"/>
              </w:rPr>
              <w:t>2</w:t>
            </w:r>
            <w:r w:rsidRPr="00EF6242">
              <w:rPr>
                <w:rFonts w:ascii="Century Gothic" w:hAnsi="Century Gothic" w:cs="Segoe UI"/>
                <w:bCs/>
                <w:sz w:val="20"/>
                <w:lang w:val="es-ES_tradnl"/>
              </w:rPr>
              <w:t>/MINEC/2020</w:t>
            </w:r>
          </w:p>
        </w:tc>
      </w:tr>
    </w:tbl>
    <w:p w:rsidR="00D33939" w:rsidRPr="00EF6242" w:rsidRDefault="00D33939" w:rsidP="00D33939">
      <w:pPr>
        <w:rPr>
          <w:rFonts w:ascii="Century Gothic" w:hAnsi="Century Gothic" w:cs="Segoe UI"/>
          <w:snapToGrid w:val="0"/>
          <w:sz w:val="20"/>
          <w:lang w:val="es-ES_tradnl"/>
        </w:rPr>
      </w:pPr>
    </w:p>
    <w:p w:rsidR="00D33939" w:rsidRDefault="00D33939" w:rsidP="00A30718">
      <w:pPr>
        <w:ind w:right="-994"/>
        <w:jc w:val="both"/>
        <w:rPr>
          <w:rFonts w:ascii="Century Gothic" w:hAnsi="Century Gothic"/>
          <w:snapToGrid w:val="0"/>
          <w:sz w:val="20"/>
          <w:lang w:val="es-ES_tradnl"/>
        </w:rPr>
      </w:pPr>
      <w:r w:rsidRPr="00EF6242">
        <w:rPr>
          <w:rFonts w:ascii="Century Gothic" w:hAnsi="Century Gothic"/>
          <w:snapToGrid w:val="0"/>
          <w:sz w:val="20"/>
          <w:lang w:val="es-ES_tradnl"/>
        </w:rPr>
        <w:t>El Licitante está obligado a presentar la Lista de Precios según el formato a continuación. La Lista de Precios deberá incluir un desglose detallado de los costos de todos los bienes y servicios relacionados que se proporcionarán. Se deberán proporcionar cifras separadas para cada grupo o categoría funcional, si corresponde.</w:t>
      </w:r>
    </w:p>
    <w:p w:rsidR="00D33939" w:rsidRPr="00EF6242" w:rsidRDefault="00D33939" w:rsidP="00A30718">
      <w:pPr>
        <w:ind w:right="-994"/>
        <w:jc w:val="both"/>
        <w:rPr>
          <w:rFonts w:ascii="Century Gothic" w:hAnsi="Century Gothic" w:cs="Segoe UI"/>
          <w:snapToGrid w:val="0"/>
          <w:sz w:val="20"/>
          <w:lang w:val="es-ES_tradnl"/>
        </w:rPr>
      </w:pPr>
    </w:p>
    <w:p w:rsidR="00D33939" w:rsidRPr="00830413" w:rsidRDefault="00D33939" w:rsidP="00A30718">
      <w:pPr>
        <w:ind w:right="-994"/>
        <w:rPr>
          <w:rFonts w:ascii="Century Gothic" w:hAnsi="Century Gothic" w:cs="Segoe UI"/>
          <w:snapToGrid w:val="0"/>
          <w:sz w:val="20"/>
          <w:lang w:val="es-ES_tradnl"/>
        </w:rPr>
      </w:pPr>
      <w:r w:rsidRPr="00EF6242">
        <w:rPr>
          <w:rFonts w:ascii="Century Gothic" w:hAnsi="Century Gothic"/>
          <w:snapToGrid w:val="0"/>
          <w:sz w:val="20"/>
          <w:lang w:val="es-ES_tradnl"/>
        </w:rPr>
        <w:t>Las estimaciones de artículos de costos reembolsables, como los viajes de expertos y los gastos de bolsillo, deben enumerarse por separado.</w:t>
      </w:r>
    </w:p>
    <w:p w:rsidR="00D33939" w:rsidRPr="00EF6242" w:rsidRDefault="00D33939" w:rsidP="00D33939">
      <w:pPr>
        <w:jc w:val="right"/>
        <w:rPr>
          <w:rFonts w:ascii="Century Gothic" w:hAnsi="Century Gothic" w:cs="Segoe UI"/>
          <w:b/>
          <w:sz w:val="20"/>
          <w:lang w:val="es-ES_tradnl"/>
        </w:rPr>
      </w:pPr>
      <w:r w:rsidRPr="00EF6242">
        <w:rPr>
          <w:rFonts w:ascii="Century Gothic" w:hAnsi="Century Gothic"/>
          <w:b/>
          <w:sz w:val="20"/>
          <w:lang w:val="es-ES_tradnl"/>
        </w:rPr>
        <w:t xml:space="preserve">Moneda de la Oferta: </w:t>
      </w:r>
      <w:r w:rsidRPr="00EF6242">
        <w:rPr>
          <w:rFonts w:ascii="Century Gothic" w:hAnsi="Century Gothic" w:cs="Segoe UI"/>
          <w:b/>
          <w:sz w:val="20"/>
          <w:lang w:val="es-ES_tradnl"/>
        </w:rPr>
        <w:t>USD</w:t>
      </w:r>
    </w:p>
    <w:p w:rsidR="00D33939" w:rsidRDefault="00D33939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/>
          <w:b/>
          <w:sz w:val="22"/>
          <w:szCs w:val="22"/>
          <w:lang w:val="es-ES_tradnl"/>
        </w:rPr>
      </w:pPr>
      <w:r w:rsidRPr="00EF6242">
        <w:rPr>
          <w:rFonts w:ascii="Century Gothic" w:hAnsi="Century Gothic"/>
          <w:b/>
          <w:sz w:val="28"/>
          <w:lang w:val="es-ES_tradnl"/>
        </w:rPr>
        <w:t>Lista de Precios</w:t>
      </w:r>
    </w:p>
    <w:p w:rsidR="00D33939" w:rsidRDefault="00D33939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LOTE Nº 1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79"/>
        <w:gridCol w:w="3827"/>
        <w:gridCol w:w="1134"/>
        <w:gridCol w:w="851"/>
        <w:gridCol w:w="1559"/>
        <w:gridCol w:w="1670"/>
      </w:tblGrid>
      <w:tr w:rsidR="00CC6ECA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b/>
                <w:kern w:val="0"/>
                <w:sz w:val="17"/>
                <w:szCs w:val="17"/>
                <w:lang w:val="es-ES_tradnl"/>
              </w:rPr>
              <w:t>ÍTEM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kern w:val="0"/>
                <w:sz w:val="17"/>
                <w:szCs w:val="17"/>
                <w:lang w:val="es-ES_tradnl"/>
              </w:rPr>
              <w:t>Descripción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1E5F54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>Unidad de medida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1E5F54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>Cant</w:t>
            </w:r>
            <w:r w:rsid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1E5F54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 xml:space="preserve">Precio unitario </w:t>
            </w:r>
          </w:p>
        </w:tc>
        <w:tc>
          <w:tcPr>
            <w:tcW w:w="1670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1E5F54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 xml:space="preserve">Precio total </w:t>
            </w: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  <w:t>CENTRIFUGA REFRIGERADA 14000RPM CON ROTOR PARA TUBOS DE 30-50ML, ROTOR PARA TUBOS 1,5-2 ML. Fuente de alimentación: 120v/60Hz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  <w:br/>
              <w:t>Consumo de energía: 1050 W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  <w:br/>
              <w:t>Rango de temperatura: -11°C a 40°C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/>
                <w:kern w:val="0"/>
                <w:sz w:val="17"/>
                <w:szCs w:val="17"/>
                <w:lang w:val="es-ES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/>
                <w:kern w:val="0"/>
                <w:sz w:val="17"/>
                <w:szCs w:val="17"/>
                <w:lang w:val="es-ES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 xml:space="preserve">Termos de acero inoxidable 1 LT,  para almacenar nitrógeno líquido y dispensar pequeñas cantidades a otros contenedores. 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  <w:t>Construcción durable y resistente en aluminio y aislación por vacío, asegurando una baja evaporación estática. Con manija diseñada para verter el nitrógeno líquido de forma fácil y segura. Boca angosta. Preferiblemente con dispensador auto-presurizado para extracción automática del nitrógeno líquido.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  <w:t xml:space="preserve">LICUADORAS CON VASO METÁLICO SEMIINDUSTRIAL, Giran a 17,000 r.p.m. capacidad de 1L o de 2 L. envase de vidrio. 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Potencia 1500 W y 110 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  <w:t xml:space="preserve">Lámpara de luz ultravioleta de 38 W con una potencia de hasta 256 microwatts/cm2. tamaño ajustable de 33 pulgadas. 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Sistema portátil y movible VPAD 360° con diseño patentado. Con control remoto, para 40 metros cuadrados de área. Tasa de esterilización del 99%, para laboratorios, hospitales, oficinas, hogares, etc.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  <w:lang w:val="es-ES"/>
              </w:rPr>
              <w:t>Mini centrifuga spin para 6 tubos 1,5, 6000 rpm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 xml:space="preserve">Refrigerador con puertas de vidrio (1°C a 8°C) Capacidad: entre 300 L a 368 L. Estantes/cajones. Material: Exterior: Cold-rolled steel, powder coated. An×F×Al int. 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lastRenderedPageBreak/>
              <w:t>(mm): 572×492×1308. An×F×Al ext. (mm):  912×802×1978. Peso (kg): 265. Detalles eléctricos: 120 V, 60 Hz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Interior: Galvaneal.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lastRenderedPageBreak/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Termociclador en tiempo real Reacciones por carrera: 96 o 384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Formato de bloque: 96 pocillos 0.2 ml, 96 pocillos rápido 0.1 ml o 384 pocillos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Combinaciones de colores (multiplexación): 96 pocillos hasta 21, 384 pocillos hasta 5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Tiempo de ejecución: tan rápido como 30 minutos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Volúmenes programables: 1-200 μL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Volúmenes validados: 10-100 µl (96 pocillos 0.2 ml), 10-30 µl (96 pocillos 0.1 ml), 5-20 µl (384 pocillos)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Automatización compatible: No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Monitoreo remoto: sí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Memoria integrada: Sí,&gt; 2,000 ejecuciones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Notificación por correo electrónico: sí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Asistir con el cumplimiento de 21 CFR parte 11: seguridad, auditoría, paquete de firma electrónica incluido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Sensibilidad: hasta 1 copia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Rango dinámico: hasta 10 registros **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Química: todas las químicas basadas en PCR en tiempo real. Flexibilidad para productos químicos con o sin colorante de referencia pasivo.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Aplicaciones disponibles: expresión génica, genotipado, variación del número de copias, detección de proteínas, microARN, detección de patógenos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Plataforma IVD: no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Uniformidad de temperatura: ± 0.4 ° C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Fuente de excitación: sistema OptiFlex  con luz LED blanca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Filtros / colores: 96 pocillos: 6 filtros de excitación (450–670 nm), 6 filtros de emisión (500–720 nm), 384 pocillos: 5 filtros de excitación (450–650 nm), 5 filtros de emisión (500–700 nm )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conexión directa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Conectividad wifi: sí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Tamaño: W 27 cm x D 50 cm x H 40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 xml:space="preserve">kit </w:t>
            </w:r>
            <w:r w:rsidRPr="00A30718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comercial</w:t>
            </w:r>
            <w:r w:rsidRPr="00A30718">
              <w:rPr>
                <w:rFonts w:ascii="Century Gothic" w:hAnsi="Century Gothic"/>
                <w:color w:val="FF0000"/>
                <w:sz w:val="17"/>
                <w:szCs w:val="17"/>
              </w:rPr>
              <w:t xml:space="preserve"> </w:t>
            </w:r>
            <w:r w:rsidRPr="00A30718">
              <w:rPr>
                <w:rFonts w:ascii="Century Gothic" w:hAnsi="Century Gothic"/>
                <w:sz w:val="17"/>
                <w:szCs w:val="17"/>
              </w:rPr>
              <w:t>Fast Advanced Master Mix que contiene enzima AmpliTaq fast DNA Polimerase.  Uso: PCR, Lapso de Vencimiento: 2 años. Para el envío se debe transportar en cadena de frío.</w:t>
            </w:r>
          </w:p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b/>
                <w:bCs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/>
                <w:b/>
                <w:bCs/>
                <w:sz w:val="17"/>
                <w:szCs w:val="17"/>
              </w:rPr>
              <w:t>Debe ser compatible con el ítem 7 Termociclador en tiempo real.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KIT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 xml:space="preserve">Kit de cuantificación </w:t>
            </w:r>
            <w:r w:rsidRPr="00A30718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Roundup Ready</w:t>
            </w:r>
            <w:r w:rsidRPr="00A30718">
              <w:rPr>
                <w:rFonts w:ascii="Century Gothic" w:hAnsi="Century Gothic"/>
                <w:sz w:val="17"/>
                <w:szCs w:val="17"/>
              </w:rPr>
              <w:t xml:space="preserve">, permite determinar el porcentaje de soya OMG presente en la muestra, empleado para qPCR.  Uso: PCR, Lapso de Vencimiento: 2 años. Para el envío se debe transportar en cadena de frío. </w:t>
            </w:r>
            <w:r w:rsidRPr="00A30718">
              <w:rPr>
                <w:rFonts w:ascii="Century Gothic" w:hAnsi="Century Gothic"/>
                <w:b/>
                <w:bCs/>
                <w:sz w:val="17"/>
                <w:szCs w:val="17"/>
              </w:rPr>
              <w:t>Debe ser compatible con el ítem 7 Termociclador en tiempo real.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KIT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Placas de 96 pocillos de 0,2mL, con pared delgada para PCR, natural. Caja x 25. CLS6509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CAJA / BOX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Paquetes Cubiertas para microplacas PCR. CLS6520-25EA, cada paquete debe tener 100 unidades.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PAQUETE / PACKAGE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12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Cajas esterilizadas de puntas con filtro  0,1-10/20 uL XL. Para pipetas existentes en el laboratorio, que funcione y sea compatible con AHN. 2-061-C5-0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CAJA / BOX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13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Cajas esterilizadas de puntas con filtro  1-20/30 µL. Para pipetas existentes en el laboratorio, que funcione y sea compatible con AHN 2-111-C5-0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CAJA / BOX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Cajas esterilizadas de puntas con filtro  1-200 µL. Para pipetas existentes en el laboratorio, que funcione y sea compatible con AHN 2-113-C5-0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CAJA / BOX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15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Cajas esterilizadas de puntas con filtro  100-1000 µL. Para pipetas existentes en el laboratorio, que funcione y sea compatible con AHN 2-201-C5-0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CAJA / BOX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Paquetes de Bolsas rojas para residuos peligrosos: Medianas (tamaño 70 cm x 80 cm o dentro del rango de bolsas medianas con medidas apróximadas a las indicadas) calibre 12, paquetes de 100 unidades, para un total de 500 unidades de bolsas.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PAQUETE / PACKAGE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80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b/>
                <w:bCs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b/>
                <w:bCs/>
                <w:kern w:val="0"/>
                <w:sz w:val="17"/>
                <w:szCs w:val="17"/>
                <w:lang w:val="es-ES_tradnl"/>
              </w:rPr>
              <w:t>A) Sub-total Lote 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80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b/>
                <w:bCs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bCs/>
                <w:kern w:val="0"/>
                <w:sz w:val="17"/>
                <w:szCs w:val="17"/>
                <w:lang w:val="es-ES_tradnl"/>
              </w:rPr>
              <w:t>B) Total Cargos DAP (transporte/entrega/envío/etc.)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A30718" w:rsidTr="00A30718">
        <w:trPr>
          <w:trHeight w:val="20"/>
        </w:trPr>
        <w:tc>
          <w:tcPr>
            <w:tcW w:w="80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b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kern w:val="0"/>
                <w:sz w:val="17"/>
                <w:szCs w:val="17"/>
                <w:lang w:val="es-ES_tradnl"/>
              </w:rPr>
              <w:t>TOTAL (A+B)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</w:tbl>
    <w:p w:rsidR="00CC6ECA" w:rsidRPr="00EF6242" w:rsidRDefault="00CC6ECA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 w:cs="Segoe UI"/>
          <w:b/>
          <w:sz w:val="28"/>
          <w:szCs w:val="28"/>
          <w:lang w:val="es-ES_tradnl"/>
        </w:rPr>
      </w:pPr>
    </w:p>
    <w:p w:rsidR="00CC6ECA" w:rsidRDefault="00CC6ECA" w:rsidP="00D33939">
      <w:pPr>
        <w:widowControl/>
        <w:tabs>
          <w:tab w:val="left" w:pos="2880"/>
          <w:tab w:val="right" w:pos="8640"/>
        </w:tabs>
        <w:overflowPunct/>
        <w:adjustRightInd/>
        <w:jc w:val="both"/>
        <w:rPr>
          <w:rFonts w:ascii="Century Gothic" w:eastAsia="Times New Roman" w:hAnsi="Century Gothic" w:cs="Segoe UI"/>
          <w:kern w:val="0"/>
          <w:sz w:val="20"/>
          <w:szCs w:val="20"/>
          <w:shd w:val="pct5" w:color="C0C0C0" w:fill="auto"/>
          <w:lang w:val="es-ES_tradnl"/>
        </w:rPr>
      </w:pPr>
    </w:p>
    <w:p w:rsidR="00A30718" w:rsidRDefault="00A30718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br w:type="page"/>
      </w:r>
    </w:p>
    <w:p w:rsidR="00D33939" w:rsidRDefault="00D33939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lastRenderedPageBreak/>
        <w:t>LOTE Nº 2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79"/>
        <w:gridCol w:w="3827"/>
        <w:gridCol w:w="1134"/>
        <w:gridCol w:w="851"/>
        <w:gridCol w:w="1559"/>
        <w:gridCol w:w="1670"/>
      </w:tblGrid>
      <w:tr w:rsidR="00CC6ECA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b/>
                <w:kern w:val="0"/>
                <w:sz w:val="17"/>
                <w:szCs w:val="17"/>
                <w:lang w:val="es-ES_tradnl"/>
              </w:rPr>
              <w:t>ÍTEM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kern w:val="0"/>
                <w:sz w:val="17"/>
                <w:szCs w:val="17"/>
                <w:lang w:val="es-ES_tradnl"/>
              </w:rPr>
              <w:t>Descripción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>Unidad de medida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>Cant</w:t>
            </w:r>
            <w:r w:rsid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>Precio unitario</w:t>
            </w:r>
          </w:p>
        </w:tc>
        <w:tc>
          <w:tcPr>
            <w:tcW w:w="1670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C6ECA" w:rsidRPr="00A30718" w:rsidRDefault="00CC6ECA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color w:val="000000"/>
                <w:kern w:val="0"/>
                <w:sz w:val="17"/>
                <w:szCs w:val="17"/>
                <w:lang w:val="es-ES_tradnl"/>
              </w:rPr>
              <w:t>Precio total</w:t>
            </w: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Homogeneizador de Pantalon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Rotación: Fija en 30 ±2 RPM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Amplitud de agitación: 360°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Capacidad: 5 litros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Motor Reductor: De inducción con rotación fija de 28 ±2 RPM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Homogeneizador: Construido en acero inoxidable 304 con acabamiento pulido, interno y externo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Tapas: En acero inoxidable 304 pulido, removibles, con junta de silicon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Gabinete: En acero carbono con tratamiento anticorrosivo y pintura electrostática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Dimensiones totales: Ancho=830 x Profundidad=420 x Alto=750 mm. Peso: 30 kg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Potencia: 245 Watts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Voltaje: 110 V 60 Hz.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/>
                <w:kern w:val="0"/>
                <w:sz w:val="17"/>
                <w:szCs w:val="17"/>
                <w:lang w:val="es-ES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/>
                <w:kern w:val="0"/>
                <w:sz w:val="17"/>
                <w:szCs w:val="17"/>
                <w:lang w:val="es-ES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 xml:space="preserve">Peine para camara de electrophoresis hotizontal, </w:t>
            </w:r>
            <w:r w:rsidRPr="00A30718">
              <w:rPr>
                <w:rFonts w:ascii="Century Gothic" w:hAnsi="Century Gothic" w:cstheme="minorHAnsi"/>
                <w:b/>
                <w:bCs/>
                <w:color w:val="000000" w:themeColor="text1"/>
                <w:sz w:val="17"/>
                <w:szCs w:val="17"/>
              </w:rPr>
              <w:t>que funcione y sea compatible con la cámara SGU-014T-02 con bandeja de 14 cm de ancho (existente en el laboratorio),</w:t>
            </w:r>
          </w:p>
          <w:p w:rsid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</w:p>
          <w:tbl>
            <w:tblPr>
              <w:tblStyle w:val="Tablaconcuadrcula"/>
              <w:tblW w:w="3060" w:type="dxa"/>
              <w:jc w:val="center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</w:tblGrid>
            <w:tr w:rsidR="00A30718" w:rsidRPr="00A30718" w:rsidTr="001E5F54">
              <w:trPr>
                <w:trHeight w:val="187"/>
                <w:jc w:val="center"/>
              </w:trPr>
              <w:tc>
                <w:tcPr>
                  <w:tcW w:w="1020" w:type="dxa"/>
                  <w:shd w:val="clear" w:color="auto" w:fill="D9E2F3" w:themeFill="accent1" w:themeFillTint="33"/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Modelo de peines C.B.S</w:t>
                  </w:r>
                </w:p>
              </w:tc>
              <w:tc>
                <w:tcPr>
                  <w:tcW w:w="1020" w:type="dxa"/>
                  <w:shd w:val="clear" w:color="auto" w:fill="D9E2F3" w:themeFill="accent1" w:themeFillTint="33"/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#de pozos por peine</w:t>
                  </w:r>
                </w:p>
              </w:tc>
              <w:tc>
                <w:tcPr>
                  <w:tcW w:w="1020" w:type="dxa"/>
                  <w:shd w:val="clear" w:color="auto" w:fill="D9E2F3" w:themeFill="accent1" w:themeFillTint="33"/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Espesor del peine (mm)</w:t>
                  </w:r>
                </w:p>
              </w:tc>
            </w:tr>
            <w:tr w:rsidR="00A30718" w:rsidRPr="00A30718" w:rsidTr="001E5F54">
              <w:trPr>
                <w:trHeight w:val="187"/>
                <w:jc w:val="center"/>
              </w:trPr>
              <w:tc>
                <w:tcPr>
                  <w:tcW w:w="1020" w:type="dxa"/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SGC14-1526</w:t>
                  </w:r>
                </w:p>
              </w:tc>
              <w:tc>
                <w:tcPr>
                  <w:tcW w:w="1020" w:type="dxa"/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1020" w:type="dxa"/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1.5</w:t>
                  </w:r>
                </w:p>
              </w:tc>
            </w:tr>
            <w:tr w:rsidR="00A30718" w:rsidRPr="00A30718" w:rsidTr="001E5F54">
              <w:trPr>
                <w:trHeight w:val="187"/>
                <w:jc w:val="center"/>
              </w:trPr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SGC14-2020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2.0</w:t>
                  </w:r>
                </w:p>
              </w:tc>
            </w:tr>
            <w:tr w:rsidR="00A30718" w:rsidRPr="00A30718" w:rsidTr="001E5F54">
              <w:trPr>
                <w:trHeight w:val="187"/>
                <w:jc w:val="center"/>
              </w:trPr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SGC14-3010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A30718" w:rsidRPr="00A30718" w:rsidRDefault="00A30718" w:rsidP="00A3071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</w:pPr>
                  <w:r w:rsidRPr="00A30718">
                    <w:rPr>
                      <w:rFonts w:ascii="Century Gothic" w:hAnsi="Century Gothic"/>
                      <w:color w:val="000000" w:themeColor="text1"/>
                      <w:sz w:val="13"/>
                      <w:szCs w:val="13"/>
                    </w:rPr>
                    <w:t>3.0</w:t>
                  </w:r>
                </w:p>
              </w:tc>
            </w:tr>
          </w:tbl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Aspiradora para limpieza con vapor, capacidad del tanque 1.6 l. potencia 1500 w y 110 v. accesorios para superficies pequeñas, piso y pared.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Tijeras de acero inoxidable para laboratorio. Punta aguda, 130 mm.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Resistentes a la corrosión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Autoclavables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Con elevador de tapones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Tijeras de acero inoxidable para laboratorio. Punta roma, 160 mm.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Resistentes a la corrosión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Autoclavables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Con elevador de tapones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Freezer de Ultra Baja Temperatura  (-10 a -40 °C). Capacidad: entre 300 L a 368 L. 4 Estantes/cajones. Material: Exterior: Cold-rolled steel, powder coated. An×F×Al int. (mm): 572×492×1308. An×F×Al ext. (mm):  912×802×1978. Peso (kg): 265. Detalles eléctricos: 120 V, 60 Hz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Interior: Galvaneal.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Mezclador Vortex  multifuncional Movimiento de agitación Circular, vibrante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Carrera de agitación 3,7 mm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Rango de velocidad 1000, 2000 o 3000 rpm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Adecuado para funcionamiento continuo o intermitente, con función táctil, que se activa aplicando presión al accesorio agitador.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lastRenderedPageBreak/>
              <w:t>Con accesorio multifuncional para seis tipos de viales diferentes y una placa de microtitulación: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2 viales de centrífuga de 50 ml (carga horizontal)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2 viales de centrífuga de 15 ml (carga horizontal)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4 viales de reacción de 1,5 / 2,0 ml (carga vertical)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6 viales de reacción de 0,5 ml (carga vertical)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24 viales de reacción de 0,2 ml (carga vertical)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2 viales de reacción de 5 ml (carga horizontal)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1 x placa de microtitulación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lastRenderedPageBreak/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Medidor de pH/Temperatura/mV: Especificaciones técnicas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Rangos de medición 0...14 pH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 xml:space="preserve"> ± 1999 mV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Resolución 0,01 pH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1 mV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Precisión (@20°C) ±0,01 pH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± 1 mV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Desviación típica EMC ±0,03 pH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± 2 mV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Calibración calibración manual de 2 puntos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por medio de compensadores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Compensación de temperatura manual de 0...+100 °C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Electrodo electrodo de pH de plástico, rellenable,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con cable de 1 metro y conexión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Alimentación 12 V DC con adaptador 110 V/60 Hz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Condiciones ambientales 0...50 °C 100 % Hr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Dimensiones 240 x 182 x 74 mm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Peso 1,0 kg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Debe contener: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-1 x medidor de pH de laboratorio pH, -1 x electrodo (rellenable),- 1 x adaptador de 12 VDC, -1 x funda protectora contra polvo, instrucciones de uso. - Kit de calibración.  Electrodo de repuesto. Portador de electrodos.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 xml:space="preserve">Base de soporte. Rueda universal con freno y patas niveladoras, accesorio opcional de la cabina biológica clase II A2 para PCR con luz UV compatible con BIOBASE existente en el laboratrorio similar al modelo </w:t>
            </w:r>
            <w:r w:rsidRPr="00A30718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11231-BBC-86. Las cabinas tienen las siguientes dimensiones externas: (Ancho: 700 mm, Largo: 650 mm, Alto: 1230 mm).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Balanza de laboratorio calibrable hasta 6 kg / resolución: 0,1 g (autocalibrable / calibración interna)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Tubos resistentes a cloroformo 30mL, Tubos para centrífuga de alta velocidad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12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Estantes para almacenar Ácidos y liquidos corrosivos no inflamables: Armario de seguridad para ácidos/bases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 xml:space="preserve">Armario de seguridad con aspiración y filtración para almacenamiento de productos químicos, ácidos y bases. Con 2 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lastRenderedPageBreak/>
              <w:t>compartimentos separados, uno para ácidos y otro para bases. Estantes extraíbles de acero inoxidable AISI 304. Ventilación forzada de aire, con entrada por la parte frontal y salida por la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parte superior. Orificio de salida de aire de 125mm Ø situado en el techo. Construido con láminas de acero galvanizado de 10/10mm de espesor, con recubrimiento epoxi. Niveladores integrados en la base del armario. Zócalo paletizado para transporte, con embellecedor frontal. Carteles señalizadores de peligro</w:t>
            </w: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br/>
              <w:t>conforme normativa actual. Equipado con cerradura y llave. Equipados con los estantes señalados a cada armario y con cubeta inferior de retención. Dos puertas.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Dimensiones apróximadas o similares: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Dimensiones exteriores mm Ancho x Fondo x Alto 1100x500x1117mm Certificación TάV de producto, Certificado CE. Conforme a las normas: EN14727, EN-61010-1, Test PPP 52125 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lastRenderedPageBreak/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nil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13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Locker metalico de 02 puertas con cerradora para almacenaje de ropa, fabricado en bloques de acero, Puerta con porta candado, Puerta en 0,7 mm con soporte, ventilación, tirador plástico y dos percheros. Dimensiones apróximadas o similares: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Alto: 190 cm.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Largo: 33 cm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Fondo: 33 cm.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Puertas: 2.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Color: Gris en pintura electrostática texturizado brillante.</w:t>
            </w:r>
          </w:p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Dureza: Difícil de rayar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3827" w:type="dxa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both"/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</w:pPr>
            <w:r w:rsidRPr="00A30718">
              <w:rPr>
                <w:rFonts w:ascii="Century Gothic" w:hAnsi="Century Gothic" w:cstheme="minorHAnsi"/>
                <w:color w:val="000000" w:themeColor="text1"/>
                <w:sz w:val="17"/>
                <w:szCs w:val="17"/>
              </w:rPr>
              <w:t>Escáner  biológico de mano para lectura de códigos de barra 1D o 2D, inalámbrico USB de 2,4 GHz con 100 metros (330 pies) de distancia de transferencia inalámbrica. No necesita controlador, plug and play, fácil de operar. Tipo de decodificación de escáner 2D: código QR, Data Matrix y PDF-417. Conexión USB2.0: puede usarlo mientras carga. Distancia inalámbrica de 2,4 GHz: 30-50 metros (interior); 100 metros (exterior). Compatible con Windows, Mac, Android y Linux (se requiere un puerto USB de su dispositivo). 16M de espacio de almacenamiento. Puede guardar más de 50000 códigos de barras cuando funciona en modo de almacenamiento.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A30718">
              <w:rPr>
                <w:rFonts w:ascii="Century Gothic" w:hAnsi="Century Gothic"/>
                <w:sz w:val="17"/>
                <w:szCs w:val="17"/>
              </w:rPr>
              <w:t>UNIDAD / UNIT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A30718">
              <w:rPr>
                <w:rFonts w:ascii="Century Gothic" w:hAnsi="Century Gothic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80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right"/>
              <w:rPr>
                <w:rFonts w:ascii="Century Gothic" w:eastAsia="Times New Roman" w:hAnsi="Century Gothic" w:cs="Segoe UI"/>
                <w:b/>
                <w:bCs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eastAsia="Times New Roman" w:hAnsi="Century Gothic" w:cs="Segoe UI"/>
                <w:b/>
                <w:bCs/>
                <w:kern w:val="0"/>
                <w:sz w:val="17"/>
                <w:szCs w:val="17"/>
                <w:lang w:val="es-ES_tradnl"/>
              </w:rPr>
              <w:t>A) Sub-total Lote 2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80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b/>
                <w:bCs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bCs/>
                <w:kern w:val="0"/>
                <w:sz w:val="17"/>
                <w:szCs w:val="17"/>
                <w:lang w:val="es-ES_tradnl"/>
              </w:rPr>
              <w:t>B) Total Cargos DAP (transporte/entrega/envío/etc.)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  <w:tr w:rsidR="00A30718" w:rsidRPr="00EF6242" w:rsidTr="00A30718">
        <w:trPr>
          <w:trHeight w:val="20"/>
        </w:trPr>
        <w:tc>
          <w:tcPr>
            <w:tcW w:w="80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right"/>
              <w:rPr>
                <w:rFonts w:ascii="Century Gothic" w:eastAsia="Times New Roman" w:hAnsi="Century Gothic" w:cs="Segoe UI"/>
                <w:b/>
                <w:kern w:val="0"/>
                <w:sz w:val="17"/>
                <w:szCs w:val="17"/>
                <w:lang w:val="es-ES_tradnl"/>
              </w:rPr>
            </w:pPr>
            <w:r w:rsidRPr="00A30718">
              <w:rPr>
                <w:rFonts w:ascii="Century Gothic" w:hAnsi="Century Gothic"/>
                <w:b/>
                <w:kern w:val="0"/>
                <w:sz w:val="17"/>
                <w:szCs w:val="17"/>
                <w:lang w:val="es-ES_tradnl"/>
              </w:rPr>
              <w:t>TOTAL (A+B)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0718" w:rsidRPr="00A30718" w:rsidRDefault="00A30718" w:rsidP="00A30718">
            <w:pPr>
              <w:widowControl/>
              <w:tabs>
                <w:tab w:val="num" w:pos="846"/>
              </w:tabs>
              <w:overflowPunct/>
              <w:adjustRightInd/>
              <w:jc w:val="center"/>
              <w:rPr>
                <w:rFonts w:ascii="Century Gothic" w:eastAsia="Times New Roman" w:hAnsi="Century Gothic" w:cs="Segoe UI"/>
                <w:kern w:val="0"/>
                <w:sz w:val="17"/>
                <w:szCs w:val="17"/>
                <w:lang w:val="es-ES_tradnl"/>
              </w:rPr>
            </w:pPr>
          </w:p>
        </w:tc>
      </w:tr>
    </w:tbl>
    <w:p w:rsidR="00CC6ECA" w:rsidRDefault="00CC6ECA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 w:cs="Segoe UI"/>
          <w:b/>
          <w:sz w:val="28"/>
          <w:szCs w:val="28"/>
          <w:lang w:val="es-ES_tradnl"/>
        </w:rPr>
      </w:pPr>
    </w:p>
    <w:p w:rsidR="00A30718" w:rsidRDefault="00A30718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 w:cs="Segoe UI"/>
          <w:b/>
          <w:sz w:val="28"/>
          <w:szCs w:val="28"/>
          <w:lang w:val="es-ES_tradnl"/>
        </w:rPr>
      </w:pPr>
    </w:p>
    <w:p w:rsidR="00A30718" w:rsidRDefault="00A30718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 w:cs="Segoe UI"/>
          <w:b/>
          <w:sz w:val="28"/>
          <w:szCs w:val="28"/>
          <w:lang w:val="es-ES_tradn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16"/>
        <w:gridCol w:w="1231"/>
        <w:gridCol w:w="1829"/>
        <w:gridCol w:w="2600"/>
      </w:tblGrid>
      <w:tr w:rsidR="00CC6ECA" w:rsidRPr="00920FEF" w:rsidTr="00CC6ECA">
        <w:trPr>
          <w:trHeight w:val="497"/>
        </w:trPr>
        <w:tc>
          <w:tcPr>
            <w:tcW w:w="4116" w:type="dxa"/>
            <w:vMerge w:val="restart"/>
            <w:shd w:val="clear" w:color="auto" w:fill="D9E2F3" w:themeFill="accent1" w:themeFillTint="33"/>
            <w:vAlign w:val="center"/>
          </w:tcPr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b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/>
                <w:b/>
                <w:color w:val="000000" w:themeColor="text1"/>
                <w:sz w:val="19"/>
                <w:szCs w:val="19"/>
                <w:lang w:val="es-ES_tradnl"/>
              </w:rPr>
              <w:lastRenderedPageBreak/>
              <w:t>Otros servicios y requisitos relacionados</w:t>
            </w:r>
          </w:p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i/>
                <w:snapToGrid w:val="0"/>
                <w:color w:val="FF0000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/>
                <w:i/>
                <w:color w:val="000000" w:themeColor="text1"/>
                <w:sz w:val="19"/>
                <w:szCs w:val="19"/>
                <w:lang w:val="es-ES_tradnl"/>
              </w:rPr>
              <w:t>(basados en la información proporcionada en la Sección 5b)</w:t>
            </w:r>
          </w:p>
        </w:tc>
        <w:tc>
          <w:tcPr>
            <w:tcW w:w="3060" w:type="dxa"/>
            <w:gridSpan w:val="2"/>
            <w:shd w:val="clear" w:color="auto" w:fill="D9E2F3" w:themeFill="accent1" w:themeFillTint="33"/>
            <w:vAlign w:val="center"/>
          </w:tcPr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/>
                <w:b/>
                <w:color w:val="000000" w:themeColor="text1"/>
                <w:sz w:val="19"/>
                <w:szCs w:val="19"/>
                <w:lang w:val="es-ES_tradnl"/>
              </w:rPr>
              <w:t>Cumplimiento de requisitos</w:t>
            </w:r>
          </w:p>
        </w:tc>
        <w:tc>
          <w:tcPr>
            <w:tcW w:w="2600" w:type="dxa"/>
            <w:vMerge w:val="restart"/>
            <w:shd w:val="clear" w:color="auto" w:fill="D9E2F3" w:themeFill="accent1" w:themeFillTint="33"/>
            <w:vAlign w:val="center"/>
          </w:tcPr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b/>
                <w:snapToGrid w:val="0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/>
                <w:b/>
                <w:snapToGrid w:val="0"/>
                <w:sz w:val="19"/>
                <w:szCs w:val="19"/>
                <w:lang w:val="es-ES_tradnl"/>
              </w:rPr>
              <w:t>Detalles o comentarios</w:t>
            </w:r>
          </w:p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b/>
                <w:snapToGrid w:val="0"/>
                <w:color w:val="FF0000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/>
                <w:b/>
                <w:snapToGrid w:val="0"/>
                <w:sz w:val="19"/>
                <w:szCs w:val="19"/>
                <w:lang w:val="es-ES_tradnl"/>
              </w:rPr>
              <w:t>sobre los requisitos relacionados</w:t>
            </w:r>
          </w:p>
        </w:tc>
      </w:tr>
      <w:tr w:rsidR="00CC6ECA" w:rsidRPr="00920FEF" w:rsidTr="00A30718">
        <w:trPr>
          <w:trHeight w:val="466"/>
        </w:trPr>
        <w:tc>
          <w:tcPr>
            <w:tcW w:w="4116" w:type="dxa"/>
            <w:vMerge/>
            <w:shd w:val="clear" w:color="auto" w:fill="D5DCE4" w:themeFill="text2" w:themeFillTint="33"/>
            <w:vAlign w:val="center"/>
          </w:tcPr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b/>
                <w:color w:val="000000" w:themeColor="text1"/>
                <w:sz w:val="19"/>
                <w:szCs w:val="19"/>
                <w:lang w:val="es-ES_tradnl"/>
              </w:rPr>
            </w:pPr>
          </w:p>
        </w:tc>
        <w:tc>
          <w:tcPr>
            <w:tcW w:w="1231" w:type="dxa"/>
            <w:shd w:val="clear" w:color="auto" w:fill="D9E2F3" w:themeFill="accent1" w:themeFillTint="33"/>
            <w:vAlign w:val="center"/>
          </w:tcPr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b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/>
                <w:b/>
                <w:color w:val="000000" w:themeColor="text1"/>
                <w:sz w:val="19"/>
                <w:szCs w:val="19"/>
                <w:lang w:val="es-ES_tradnl"/>
              </w:rPr>
              <w:t>Sí, cumplimos</w:t>
            </w:r>
          </w:p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1829" w:type="dxa"/>
            <w:shd w:val="clear" w:color="auto" w:fill="D9E2F3" w:themeFill="accent1" w:themeFillTint="33"/>
            <w:vAlign w:val="center"/>
          </w:tcPr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b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/>
                <w:b/>
                <w:color w:val="000000" w:themeColor="text1"/>
                <w:sz w:val="19"/>
                <w:szCs w:val="19"/>
                <w:lang w:val="es-ES_tradnl"/>
              </w:rPr>
              <w:t>No, no podemos cumplir</w:t>
            </w:r>
          </w:p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/>
                <w:i/>
                <w:color w:val="000000" w:themeColor="text1"/>
                <w:sz w:val="19"/>
                <w:szCs w:val="19"/>
                <w:lang w:val="es-ES_tradnl"/>
              </w:rPr>
              <w:t>(indicar discrepancias)</w:t>
            </w:r>
          </w:p>
        </w:tc>
        <w:tc>
          <w:tcPr>
            <w:tcW w:w="2600" w:type="dxa"/>
            <w:vMerge/>
            <w:shd w:val="clear" w:color="auto" w:fill="D5DCE4" w:themeFill="text2" w:themeFillTint="33"/>
          </w:tcPr>
          <w:p w:rsidR="00CC6ECA" w:rsidRPr="00920FEF" w:rsidRDefault="00CC6ECA" w:rsidP="001E5F54">
            <w:pPr>
              <w:jc w:val="center"/>
              <w:rPr>
                <w:rFonts w:ascii="Century Gothic" w:hAnsi="Century Gothic" w:cs="Segoe UI"/>
                <w:b/>
                <w:snapToGrid w:val="0"/>
                <w:sz w:val="19"/>
                <w:szCs w:val="19"/>
                <w:lang w:val="es-ES_tradnl"/>
              </w:rPr>
            </w:pPr>
          </w:p>
        </w:tc>
      </w:tr>
      <w:tr w:rsidR="00CC6ECA" w:rsidRPr="00920FEF" w:rsidTr="00CC6ECA">
        <w:tc>
          <w:tcPr>
            <w:tcW w:w="4116" w:type="dxa"/>
            <w:vAlign w:val="center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 xml:space="preserve">Tiempo de entrega: </w:t>
            </w:r>
            <w:r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>9</w:t>
            </w:r>
            <w:r w:rsidRPr="00920FEF"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>0 días</w:t>
            </w:r>
          </w:p>
        </w:tc>
        <w:tc>
          <w:tcPr>
            <w:tcW w:w="1231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1829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2600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</w:tr>
      <w:tr w:rsidR="00CC6ECA" w:rsidRPr="00920FEF" w:rsidTr="00CC6ECA">
        <w:tc>
          <w:tcPr>
            <w:tcW w:w="4116" w:type="dxa"/>
            <w:vAlign w:val="center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>Incoterm: DAP</w:t>
            </w:r>
          </w:p>
        </w:tc>
        <w:tc>
          <w:tcPr>
            <w:tcW w:w="1231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1829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2600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</w:tr>
      <w:tr w:rsidR="00CC6ECA" w:rsidRPr="00920FEF" w:rsidTr="00CC6ECA">
        <w:tc>
          <w:tcPr>
            <w:tcW w:w="4116" w:type="dxa"/>
            <w:shd w:val="clear" w:color="auto" w:fill="auto"/>
            <w:vAlign w:val="center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>Dirección de entrega: Laboratorio para Detección de OGM del MINEC, ubicado en el km. 0 vía Ocumare de la Costa de Oro, El Limón, estado Aragua.</w:t>
            </w:r>
          </w:p>
        </w:tc>
        <w:tc>
          <w:tcPr>
            <w:tcW w:w="1231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1829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2600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</w:tr>
      <w:tr w:rsidR="00CC6ECA" w:rsidRPr="00920FEF" w:rsidTr="00CC6ECA">
        <w:trPr>
          <w:trHeight w:val="168"/>
        </w:trPr>
        <w:tc>
          <w:tcPr>
            <w:tcW w:w="4116" w:type="dxa"/>
            <w:vAlign w:val="center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>País de Orígen: (INDICAR)</w:t>
            </w:r>
          </w:p>
        </w:tc>
        <w:tc>
          <w:tcPr>
            <w:tcW w:w="1231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1829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2600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</w:tr>
      <w:tr w:rsidR="00CC6ECA" w:rsidRPr="00920FEF" w:rsidTr="00CC6ECA">
        <w:tc>
          <w:tcPr>
            <w:tcW w:w="4116" w:type="dxa"/>
            <w:shd w:val="clear" w:color="auto" w:fill="auto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>Garantía: 1 año</w:t>
            </w:r>
            <w:r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 xml:space="preserve"> para equipos</w:t>
            </w:r>
          </w:p>
        </w:tc>
        <w:tc>
          <w:tcPr>
            <w:tcW w:w="1231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1829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2600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</w:tr>
      <w:tr w:rsidR="00CC6ECA" w:rsidRPr="00920FEF" w:rsidTr="00CC6ECA">
        <w:tc>
          <w:tcPr>
            <w:tcW w:w="4116" w:type="dxa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>Validez de la oferta 60 días</w:t>
            </w:r>
          </w:p>
        </w:tc>
        <w:tc>
          <w:tcPr>
            <w:tcW w:w="1231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1829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2600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</w:tr>
      <w:tr w:rsidR="00CC6ECA" w:rsidRPr="00920FEF" w:rsidTr="00CC6ECA">
        <w:tc>
          <w:tcPr>
            <w:tcW w:w="4116" w:type="dxa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</w:pPr>
            <w:r w:rsidRPr="00920FEF">
              <w:rPr>
                <w:rFonts w:ascii="Century Gothic" w:hAnsi="Century Gothic" w:cs="Segoe UI"/>
                <w:snapToGrid w:val="0"/>
                <w:color w:val="000000" w:themeColor="text1"/>
                <w:sz w:val="19"/>
                <w:szCs w:val="19"/>
                <w:lang w:val="es-ES_tradnl"/>
              </w:rPr>
              <w:t>Todas las provisiones de los Términos y Condiciones Generales del PNUD</w:t>
            </w:r>
          </w:p>
        </w:tc>
        <w:tc>
          <w:tcPr>
            <w:tcW w:w="1231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1829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  <w:tc>
          <w:tcPr>
            <w:tcW w:w="2600" w:type="dxa"/>
            <w:shd w:val="clear" w:color="auto" w:fill="FFFF00"/>
          </w:tcPr>
          <w:p w:rsidR="00CC6ECA" w:rsidRPr="00920FEF" w:rsidRDefault="00CC6ECA" w:rsidP="001E5F54">
            <w:pPr>
              <w:jc w:val="both"/>
              <w:rPr>
                <w:rFonts w:ascii="Century Gothic" w:hAnsi="Century Gothic" w:cs="Segoe UI"/>
                <w:snapToGrid w:val="0"/>
                <w:color w:val="FF0000"/>
                <w:sz w:val="19"/>
                <w:szCs w:val="19"/>
                <w:lang w:val="es-ES_tradnl"/>
              </w:rPr>
            </w:pPr>
          </w:p>
        </w:tc>
      </w:tr>
    </w:tbl>
    <w:p w:rsidR="00CC6ECA" w:rsidRPr="00EF6242" w:rsidRDefault="00CC6ECA" w:rsidP="00D33939">
      <w:pPr>
        <w:shd w:val="clear" w:color="auto" w:fill="FFFFFF"/>
        <w:tabs>
          <w:tab w:val="left" w:pos="6255"/>
        </w:tabs>
        <w:spacing w:after="120"/>
        <w:rPr>
          <w:rFonts w:ascii="Century Gothic" w:hAnsi="Century Gothic" w:cs="Segoe UI"/>
          <w:b/>
          <w:sz w:val="28"/>
          <w:szCs w:val="28"/>
          <w:lang w:val="es-ES_tradnl"/>
        </w:rPr>
      </w:pPr>
    </w:p>
    <w:p w:rsidR="00D33939" w:rsidRDefault="00D33939" w:rsidP="00D33939">
      <w:pPr>
        <w:widowControl/>
        <w:overflowPunct/>
        <w:adjustRightInd/>
        <w:spacing w:before="60" w:after="60"/>
        <w:rPr>
          <w:rFonts w:ascii="Century Gothic" w:hAnsi="Century Gothic"/>
          <w:kern w:val="0"/>
          <w:sz w:val="20"/>
          <w:lang w:val="es-ES_tradnl"/>
        </w:rPr>
      </w:pPr>
    </w:p>
    <w:p w:rsidR="00D33939" w:rsidRPr="00CC6ECA" w:rsidRDefault="00D33939" w:rsidP="00D33939">
      <w:pPr>
        <w:widowControl/>
        <w:overflowPunct/>
        <w:adjustRightInd/>
        <w:spacing w:before="60" w:after="60"/>
        <w:rPr>
          <w:rFonts w:ascii="Century Gothic" w:eastAsia="Times New Roman" w:hAnsi="Century Gothic" w:cs="Segoe UI"/>
          <w:kern w:val="0"/>
          <w:sz w:val="20"/>
          <w:szCs w:val="20"/>
          <w:highlight w:val="yellow"/>
          <w:lang w:val="es-ES_tradnl"/>
        </w:rPr>
      </w:pPr>
      <w:r w:rsidRPr="00CC6ECA">
        <w:rPr>
          <w:rFonts w:ascii="Century Gothic" w:hAnsi="Century Gothic"/>
          <w:kern w:val="0"/>
          <w:sz w:val="20"/>
          <w:highlight w:val="yellow"/>
          <w:lang w:val="es-ES_tradnl"/>
        </w:rPr>
        <w:t>Nombre del Licitante:</w:t>
      </w:r>
      <w:r w:rsidRPr="00CC6ECA">
        <w:rPr>
          <w:rFonts w:ascii="Century Gothic" w:hAnsi="Century Gothic"/>
          <w:highlight w:val="yellow"/>
          <w:lang w:val="es-ES_tradnl"/>
        </w:rPr>
        <w:t xml:space="preserve"> </w:t>
      </w:r>
      <w:r w:rsidRPr="00CC6ECA">
        <w:rPr>
          <w:rFonts w:ascii="Century Gothic" w:hAnsi="Century Gothic"/>
          <w:highlight w:val="yellow"/>
          <w:lang w:val="es-ES_tradnl"/>
        </w:rPr>
        <w:tab/>
      </w:r>
      <w:r w:rsidRPr="00CC6ECA">
        <w:rPr>
          <w:rFonts w:ascii="Century Gothic" w:hAnsi="Century Gothic"/>
          <w:highlight w:val="yellow"/>
          <w:lang w:val="es-ES_tradnl"/>
        </w:rPr>
        <w:tab/>
      </w:r>
      <w:r w:rsidRPr="00CC6ECA">
        <w:rPr>
          <w:rFonts w:ascii="Century Gothic" w:hAnsi="Century Gothic"/>
          <w:kern w:val="0"/>
          <w:sz w:val="20"/>
          <w:highlight w:val="yellow"/>
          <w:lang w:val="es-ES_tradnl"/>
        </w:rPr>
        <w:t>________________________________________________</w:t>
      </w:r>
    </w:p>
    <w:p w:rsidR="00D33939" w:rsidRPr="00CC6ECA" w:rsidRDefault="00D33939" w:rsidP="00D33939">
      <w:pPr>
        <w:widowControl/>
        <w:overflowPunct/>
        <w:adjustRightInd/>
        <w:spacing w:before="60" w:after="60"/>
        <w:rPr>
          <w:rFonts w:ascii="Century Gothic" w:eastAsia="Times New Roman" w:hAnsi="Century Gothic" w:cs="Segoe UI"/>
          <w:kern w:val="0"/>
          <w:sz w:val="20"/>
          <w:szCs w:val="20"/>
          <w:highlight w:val="yellow"/>
          <w:lang w:val="es-ES_tradnl"/>
        </w:rPr>
      </w:pPr>
      <w:r w:rsidRPr="00CC6ECA">
        <w:rPr>
          <w:rFonts w:ascii="Century Gothic" w:hAnsi="Century Gothic"/>
          <w:kern w:val="0"/>
          <w:sz w:val="20"/>
          <w:highlight w:val="yellow"/>
          <w:lang w:val="es-ES_tradnl"/>
        </w:rPr>
        <w:t>Firma autorizada:</w:t>
      </w:r>
      <w:r w:rsidRPr="00CC6ECA">
        <w:rPr>
          <w:rFonts w:ascii="Century Gothic" w:hAnsi="Century Gothic"/>
          <w:highlight w:val="yellow"/>
          <w:lang w:val="es-ES_tradnl"/>
        </w:rPr>
        <w:t xml:space="preserve"> </w:t>
      </w:r>
      <w:r w:rsidRPr="00CC6ECA">
        <w:rPr>
          <w:rFonts w:ascii="Century Gothic" w:hAnsi="Century Gothic"/>
          <w:highlight w:val="yellow"/>
          <w:lang w:val="es-ES_tradnl"/>
        </w:rPr>
        <w:tab/>
      </w:r>
      <w:r w:rsidRPr="00CC6ECA">
        <w:rPr>
          <w:rFonts w:ascii="Century Gothic" w:hAnsi="Century Gothic"/>
          <w:highlight w:val="yellow"/>
          <w:lang w:val="es-ES_tradnl"/>
        </w:rPr>
        <w:tab/>
      </w:r>
      <w:r w:rsidRPr="00CC6ECA">
        <w:rPr>
          <w:rFonts w:ascii="Century Gothic" w:hAnsi="Century Gothic"/>
          <w:kern w:val="0"/>
          <w:sz w:val="20"/>
          <w:highlight w:val="yellow"/>
          <w:lang w:val="es-ES_tradnl"/>
        </w:rPr>
        <w:t>________________________________________________</w:t>
      </w:r>
    </w:p>
    <w:p w:rsidR="00D33939" w:rsidRPr="00CC6ECA" w:rsidRDefault="00D33939" w:rsidP="00D33939">
      <w:pPr>
        <w:widowControl/>
        <w:overflowPunct/>
        <w:adjustRightInd/>
        <w:spacing w:before="60" w:after="60"/>
        <w:rPr>
          <w:rFonts w:ascii="Century Gothic" w:eastAsia="Times New Roman" w:hAnsi="Century Gothic" w:cs="Segoe UI"/>
          <w:kern w:val="0"/>
          <w:sz w:val="20"/>
          <w:szCs w:val="20"/>
          <w:highlight w:val="yellow"/>
          <w:lang w:val="es-ES_tradnl"/>
        </w:rPr>
      </w:pPr>
      <w:r w:rsidRPr="00CC6ECA">
        <w:rPr>
          <w:rFonts w:ascii="Century Gothic" w:hAnsi="Century Gothic"/>
          <w:kern w:val="0"/>
          <w:sz w:val="20"/>
          <w:highlight w:val="yellow"/>
          <w:lang w:val="es-ES_tradnl"/>
        </w:rPr>
        <w:t>Nombre del signatario autorizado:</w:t>
      </w:r>
      <w:r w:rsidRPr="00CC6ECA">
        <w:rPr>
          <w:rFonts w:ascii="Century Gothic" w:hAnsi="Century Gothic"/>
          <w:highlight w:val="yellow"/>
          <w:lang w:val="es-ES_tradnl"/>
        </w:rPr>
        <w:t xml:space="preserve"> </w:t>
      </w:r>
      <w:r w:rsidRPr="00CC6ECA">
        <w:rPr>
          <w:rFonts w:ascii="Century Gothic" w:hAnsi="Century Gothic"/>
          <w:highlight w:val="yellow"/>
          <w:lang w:val="es-ES_tradnl"/>
        </w:rPr>
        <w:tab/>
      </w:r>
      <w:r w:rsidRPr="00CC6ECA">
        <w:rPr>
          <w:rFonts w:ascii="Century Gothic" w:hAnsi="Century Gothic"/>
          <w:kern w:val="0"/>
          <w:sz w:val="20"/>
          <w:highlight w:val="yellow"/>
          <w:lang w:val="es-ES_tradnl"/>
        </w:rPr>
        <w:t>_______________________________________________</w:t>
      </w:r>
    </w:p>
    <w:p w:rsidR="00D33939" w:rsidRDefault="00D33939" w:rsidP="00D33939">
      <w:pPr>
        <w:widowControl/>
        <w:overflowPunct/>
        <w:adjustRightInd/>
        <w:spacing w:before="60" w:after="60"/>
        <w:rPr>
          <w:rFonts w:ascii="Century Gothic" w:hAnsi="Century Gothic"/>
          <w:i/>
          <w:sz w:val="22"/>
          <w:szCs w:val="22"/>
          <w:lang w:val="es-CO"/>
        </w:rPr>
      </w:pPr>
      <w:r w:rsidRPr="00CC6ECA">
        <w:rPr>
          <w:rFonts w:ascii="Century Gothic" w:hAnsi="Century Gothic"/>
          <w:kern w:val="0"/>
          <w:sz w:val="20"/>
          <w:highlight w:val="yellow"/>
          <w:lang w:val="es-ES_tradnl"/>
        </w:rPr>
        <w:t>Cargo funcional:</w:t>
      </w:r>
      <w:r w:rsidRPr="00CC6ECA">
        <w:rPr>
          <w:rFonts w:ascii="Century Gothic" w:hAnsi="Century Gothic"/>
          <w:highlight w:val="yellow"/>
          <w:lang w:val="es-ES_tradnl"/>
        </w:rPr>
        <w:t xml:space="preserve"> </w:t>
      </w:r>
      <w:r w:rsidRPr="00CC6ECA">
        <w:rPr>
          <w:rFonts w:ascii="Century Gothic" w:hAnsi="Century Gothic"/>
          <w:highlight w:val="yellow"/>
          <w:lang w:val="es-ES_tradnl"/>
        </w:rPr>
        <w:tab/>
      </w:r>
      <w:r w:rsidRPr="00CC6ECA">
        <w:rPr>
          <w:rFonts w:ascii="Century Gothic" w:hAnsi="Century Gothic"/>
          <w:highlight w:val="yellow"/>
          <w:lang w:val="es-ES_tradnl"/>
        </w:rPr>
        <w:tab/>
      </w:r>
      <w:r w:rsidRPr="00CC6ECA">
        <w:rPr>
          <w:rFonts w:ascii="Century Gothic" w:hAnsi="Century Gothic"/>
          <w:highlight w:val="yellow"/>
          <w:lang w:val="es-ES_tradnl"/>
        </w:rPr>
        <w:tab/>
      </w:r>
      <w:r w:rsidRPr="00CC6ECA">
        <w:rPr>
          <w:rFonts w:ascii="Century Gothic" w:hAnsi="Century Gothic"/>
          <w:kern w:val="0"/>
          <w:sz w:val="20"/>
          <w:highlight w:val="yellow"/>
          <w:lang w:val="es-ES_tradnl"/>
        </w:rPr>
        <w:t>__________________________________</w:t>
      </w:r>
      <w:r w:rsidRPr="004B2A97">
        <w:rPr>
          <w:rFonts w:ascii="Century Gothic" w:hAnsi="Century Gothic"/>
          <w:i/>
          <w:sz w:val="22"/>
          <w:szCs w:val="22"/>
          <w:lang w:val="es-CO"/>
        </w:rPr>
        <w:t xml:space="preserve"> </w:t>
      </w:r>
    </w:p>
    <w:sectPr w:rsidR="00D33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0FE" w:rsidRDefault="00BD00FE" w:rsidP="000F57B7">
      <w:r>
        <w:separator/>
      </w:r>
    </w:p>
  </w:endnote>
  <w:endnote w:type="continuationSeparator" w:id="0">
    <w:p w:rsidR="00BD00FE" w:rsidRDefault="00BD00FE" w:rsidP="000F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0FE" w:rsidRDefault="00BD00FE" w:rsidP="000F57B7">
      <w:r>
        <w:separator/>
      </w:r>
    </w:p>
  </w:footnote>
  <w:footnote w:type="continuationSeparator" w:id="0">
    <w:p w:rsidR="00BD00FE" w:rsidRDefault="00BD00FE" w:rsidP="000F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5B26FC8"/>
    <w:multiLevelType w:val="hybridMultilevel"/>
    <w:tmpl w:val="173EEEEA"/>
    <w:lvl w:ilvl="0" w:tplc="040A000F">
      <w:start w:val="1"/>
      <w:numFmt w:val="decimal"/>
      <w:lvlText w:val="%1."/>
      <w:lvlJc w:val="left"/>
      <w:pPr>
        <w:ind w:left="780" w:hanging="360"/>
      </w:p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9403F2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75C6"/>
    <w:multiLevelType w:val="hybridMultilevel"/>
    <w:tmpl w:val="17904334"/>
    <w:lvl w:ilvl="0" w:tplc="6C9C36CC">
      <w:start w:val="1"/>
      <w:numFmt w:val="upperLetter"/>
      <w:pStyle w:val="Ttulo2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68"/>
    <w:rsid w:val="00030C47"/>
    <w:rsid w:val="000F57B7"/>
    <w:rsid w:val="00114CBC"/>
    <w:rsid w:val="0014299D"/>
    <w:rsid w:val="00217468"/>
    <w:rsid w:val="002E4564"/>
    <w:rsid w:val="006600F5"/>
    <w:rsid w:val="006E0FEB"/>
    <w:rsid w:val="006F14DC"/>
    <w:rsid w:val="008C46E0"/>
    <w:rsid w:val="00A30718"/>
    <w:rsid w:val="00BD00FE"/>
    <w:rsid w:val="00CA0321"/>
    <w:rsid w:val="00CA3962"/>
    <w:rsid w:val="00CC6ECA"/>
    <w:rsid w:val="00CE6A31"/>
    <w:rsid w:val="00D17919"/>
    <w:rsid w:val="00D33939"/>
    <w:rsid w:val="00D45518"/>
    <w:rsid w:val="00DB6DCA"/>
    <w:rsid w:val="00E25425"/>
    <w:rsid w:val="00E73B89"/>
    <w:rsid w:val="00EF3942"/>
    <w:rsid w:val="00F33C51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3D999"/>
  <w15:chartTrackingRefBased/>
  <w15:docId w15:val="{75A6530B-9862-2442-8E61-46689D76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68"/>
    <w:pPr>
      <w:widowControl w:val="0"/>
      <w:overflowPunct w:val="0"/>
      <w:adjustRightInd w:val="0"/>
    </w:pPr>
    <w:rPr>
      <w:rFonts w:ascii="Times New Roman" w:eastAsiaTheme="minorEastAsia" w:hAnsi="Times New Roman" w:cs="Times New Roman"/>
      <w:kern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217468"/>
    <w:pPr>
      <w:keepNext/>
      <w:keepLines/>
      <w:numPr>
        <w:numId w:val="1"/>
      </w:numPr>
      <w:spacing w:before="120" w:after="120"/>
      <w:ind w:right="-486"/>
      <w:outlineLvl w:val="1"/>
    </w:pPr>
    <w:rPr>
      <w:rFonts w:ascii="Century Gothic" w:eastAsiaTheme="majorEastAsia" w:hAnsi="Century Gothic" w:cs="Arial"/>
      <w:bCs/>
      <w:iCs/>
      <w:caps/>
      <w:noProof/>
      <w:color w:val="0070C0"/>
      <w:sz w:val="28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7468"/>
    <w:rPr>
      <w:rFonts w:ascii="Century Gothic" w:eastAsiaTheme="majorEastAsia" w:hAnsi="Century Gothic" w:cs="Arial"/>
      <w:bCs/>
      <w:iCs/>
      <w:caps/>
      <w:noProof/>
      <w:color w:val="0070C0"/>
      <w:kern w:val="28"/>
      <w:sz w:val="28"/>
      <w:szCs w:val="28"/>
      <w:lang w:val="es-CO"/>
    </w:rPr>
  </w:style>
  <w:style w:type="character" w:styleId="nfasis">
    <w:name w:val="Emphasis"/>
    <w:basedOn w:val="Fuentedeprrafopredeter"/>
    <w:qFormat/>
    <w:rsid w:val="00217468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217468"/>
    <w:pPr>
      <w:spacing w:line="360" w:lineRule="auto"/>
      <w:ind w:left="720"/>
      <w:contextualSpacing/>
    </w:pPr>
    <w:rPr>
      <w:sz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17468"/>
    <w:rPr>
      <w:rFonts w:ascii="Times New Roman" w:eastAsiaTheme="minorEastAsia" w:hAnsi="Times New Roman" w:cs="Times New Roman"/>
      <w:kern w:val="28"/>
      <w:sz w:val="22"/>
      <w:lang w:val="en-US"/>
    </w:rPr>
  </w:style>
  <w:style w:type="paragraph" w:styleId="Listaconvietas2">
    <w:name w:val="List Bullet 2"/>
    <w:basedOn w:val="Normal"/>
    <w:unhideWhenUsed/>
    <w:qFormat/>
    <w:rsid w:val="000F57B7"/>
    <w:pPr>
      <w:numPr>
        <w:numId w:val="4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character" w:styleId="Refdenotaalpie">
    <w:name w:val="footnote reference"/>
    <w:basedOn w:val="Fuentedeprrafopredeter"/>
    <w:semiHidden/>
    <w:rsid w:val="000F57B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F57B7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57B7"/>
    <w:rPr>
      <w:rFonts w:ascii="CG Times" w:eastAsia="Times New Roman" w:hAnsi="CG Times" w:cs="Times New Roman"/>
      <w:szCs w:val="20"/>
      <w:lang w:val="en-US"/>
    </w:rPr>
  </w:style>
  <w:style w:type="paragraph" w:customStyle="1" w:styleId="Outline">
    <w:name w:val="Outline"/>
    <w:basedOn w:val="Normal"/>
    <w:rsid w:val="000F57B7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0F57B7"/>
    <w:pPr>
      <w:keepNext/>
      <w:tabs>
        <w:tab w:val="num" w:pos="360"/>
      </w:tabs>
      <w:ind w:left="360" w:hanging="360"/>
    </w:pPr>
  </w:style>
  <w:style w:type="table" w:styleId="Tablaconcuadrcula">
    <w:name w:val="Table Grid"/>
    <w:basedOn w:val="Tablanormal"/>
    <w:uiPriority w:val="59"/>
    <w:rsid w:val="000F57B7"/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Text">
    <w:name w:val="Margin Text"/>
    <w:basedOn w:val="Textoindependiente"/>
    <w:rsid w:val="00F33C51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33C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33C51"/>
    <w:rPr>
      <w:rFonts w:ascii="Times New Roman" w:eastAsiaTheme="minorEastAsia" w:hAnsi="Times New Roman" w:cs="Times New Roman"/>
      <w:kern w:val="28"/>
      <w:lang w:val="en-US"/>
    </w:rPr>
  </w:style>
  <w:style w:type="character" w:styleId="Hipervnculo">
    <w:name w:val="Hyperlink"/>
    <w:basedOn w:val="Fuentedeprrafopredeter"/>
    <w:uiPriority w:val="99"/>
    <w:unhideWhenUsed/>
    <w:rsid w:val="00D33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D39F8424C1B4685883865DA9F6626" ma:contentTypeVersion="12" ma:contentTypeDescription="Crear nuevo documento." ma:contentTypeScope="" ma:versionID="b5f08f9b54629fa0bebc3ddae49dcf1f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b79d94c19a9617e629554a2b7c5f5988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C7DB4-EB42-41B2-BB73-B4C69DEAD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4ADE5-1398-48AB-8C65-4F53AD97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E71E7-FD72-4326-B6BC-BFAF3A03C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2372</Words>
  <Characters>11152</Characters>
  <Application>Microsoft Office Word</Application>
  <DocSecurity>0</DocSecurity>
  <Lines>557</Lines>
  <Paragraphs>365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Yeraldine Pena</dc:creator>
  <cp:keywords/>
  <dc:description/>
  <cp:lastModifiedBy>Yeraldine Pena</cp:lastModifiedBy>
  <cp:revision>8</cp:revision>
  <dcterms:created xsi:type="dcterms:W3CDTF">2020-08-25T13:34:00Z</dcterms:created>
  <dcterms:modified xsi:type="dcterms:W3CDTF">2020-10-02T11:03:00Z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