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A772" w14:textId="77777777" w:rsidR="0018100A" w:rsidRPr="00FC2D05" w:rsidRDefault="0018100A" w:rsidP="0018100A">
      <w:pPr>
        <w:jc w:val="right"/>
        <w:rPr>
          <w:rFonts w:ascii="Myriad Pro" w:hAnsi="Myriad Pro" w:cs="Calibri"/>
          <w:b/>
          <w:sz w:val="22"/>
          <w:szCs w:val="22"/>
        </w:rPr>
      </w:pPr>
      <w:r w:rsidRPr="00FC2D05">
        <w:rPr>
          <w:rFonts w:ascii="Myriad Pro" w:hAnsi="Myriad Pro" w:cs="Calibri"/>
          <w:b/>
          <w:sz w:val="22"/>
          <w:szCs w:val="22"/>
        </w:rPr>
        <w:t>Annex 2</w:t>
      </w:r>
      <w:r>
        <w:rPr>
          <w:rFonts w:ascii="Myriad Pro" w:hAnsi="Myriad Pro" w:cs="Calibri"/>
          <w:b/>
          <w:sz w:val="22"/>
          <w:szCs w:val="22"/>
        </w:rPr>
        <w:t>b</w:t>
      </w:r>
    </w:p>
    <w:p w14:paraId="0DAF91A4" w14:textId="77777777" w:rsidR="0018100A" w:rsidRPr="00FC2D05" w:rsidRDefault="0018100A" w:rsidP="0018100A">
      <w:pPr>
        <w:jc w:val="right"/>
        <w:rPr>
          <w:rFonts w:ascii="Myriad Pro" w:hAnsi="Myriad Pro" w:cs="Calibri"/>
          <w:sz w:val="22"/>
          <w:szCs w:val="22"/>
        </w:rPr>
      </w:pPr>
    </w:p>
    <w:p w14:paraId="2372F029" w14:textId="77777777" w:rsidR="0018100A" w:rsidRPr="00FC2D05" w:rsidRDefault="0018100A" w:rsidP="0018100A">
      <w:pPr>
        <w:jc w:val="center"/>
        <w:rPr>
          <w:rFonts w:ascii="Myriad Pro" w:hAnsi="Myriad Pro" w:cs="Calibri"/>
          <w:b/>
          <w:sz w:val="22"/>
          <w:szCs w:val="22"/>
        </w:rPr>
      </w:pPr>
      <w:r w:rsidRPr="00FC2D05">
        <w:rPr>
          <w:rFonts w:ascii="Myriad Pro" w:hAnsi="Myriad Pro" w:cs="Calibri"/>
          <w:b/>
          <w:sz w:val="22"/>
          <w:szCs w:val="22"/>
        </w:rPr>
        <w:t xml:space="preserve">FORM FOR SUBMITTING SERVICE PROVIDER’S </w:t>
      </w:r>
      <w:r>
        <w:rPr>
          <w:rFonts w:ascii="Myriad Pro" w:hAnsi="Myriad Pro" w:cs="Calibri"/>
          <w:b/>
          <w:sz w:val="22"/>
          <w:szCs w:val="22"/>
        </w:rPr>
        <w:t xml:space="preserve">FINANCIAL </w:t>
      </w:r>
      <w:r w:rsidRPr="00FC2D05">
        <w:rPr>
          <w:rFonts w:ascii="Myriad Pro" w:hAnsi="Myriad Pro" w:cs="Calibri"/>
          <w:b/>
          <w:sz w:val="22"/>
          <w:szCs w:val="22"/>
        </w:rPr>
        <w:t>PROPOSAL</w:t>
      </w:r>
      <w:r w:rsidRPr="00FC2D05">
        <w:rPr>
          <w:rStyle w:val="FootnoteReference"/>
          <w:rFonts w:ascii="Myriad Pro" w:hAnsi="Myriad Pro" w:cs="Calibri"/>
          <w:b/>
          <w:sz w:val="22"/>
          <w:szCs w:val="22"/>
        </w:rPr>
        <w:footnoteReference w:id="1"/>
      </w:r>
    </w:p>
    <w:p w14:paraId="0B74157C" w14:textId="77777777" w:rsidR="0018100A" w:rsidRPr="00FC2D05" w:rsidRDefault="0018100A" w:rsidP="0018100A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</w:rPr>
      </w:pPr>
    </w:p>
    <w:p w14:paraId="7F68FF8C" w14:textId="77777777" w:rsidR="0018100A" w:rsidRPr="00B9206B" w:rsidRDefault="0018100A" w:rsidP="0018100A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</w:rPr>
      </w:pPr>
      <w:r w:rsidRPr="00FC2D05">
        <w:rPr>
          <w:rFonts w:ascii="Myriad Pro" w:hAnsi="Myriad Pro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FC2D05">
        <w:rPr>
          <w:rStyle w:val="FootnoteReference"/>
          <w:rFonts w:ascii="Myriad Pro" w:hAnsi="Myriad Pro" w:cs="Calibri"/>
          <w:b/>
          <w:i/>
          <w:color w:val="FF0000"/>
          <w:sz w:val="22"/>
          <w:szCs w:val="22"/>
        </w:rPr>
        <w:footnoteReference w:id="2"/>
      </w:r>
      <w:r>
        <w:rPr>
          <w:rFonts w:ascii="Myriad Pro" w:hAnsi="Myriad Pro" w:cs="Calibri"/>
          <w:b/>
          <w:i/>
          <w:color w:val="FF0000"/>
          <w:sz w:val="22"/>
          <w:szCs w:val="22"/>
        </w:rPr>
        <w:t xml:space="preserve"> and to be submitted in a separate password protected file with a corresponding note</w:t>
      </w:r>
      <w:r w:rsidRPr="00FC2D05">
        <w:rPr>
          <w:rFonts w:ascii="Myriad Pro" w:hAnsi="Myriad Pro" w:cs="Calibri"/>
          <w:b/>
          <w:i/>
          <w:color w:val="FF0000"/>
          <w:sz w:val="22"/>
          <w:szCs w:val="22"/>
        </w:rPr>
        <w:t>)</w:t>
      </w:r>
    </w:p>
    <w:p w14:paraId="7A20A554" w14:textId="77777777" w:rsidR="0018100A" w:rsidRPr="00B9206B" w:rsidRDefault="0018100A" w:rsidP="0018100A">
      <w:pPr>
        <w:rPr>
          <w:rFonts w:ascii="Myriad Pro" w:hAnsi="Myriad Pro" w:cs="Calibri"/>
          <w:b/>
          <w:sz w:val="22"/>
          <w:szCs w:val="22"/>
        </w:rPr>
      </w:pPr>
    </w:p>
    <w:p w14:paraId="517370F0" w14:textId="77777777" w:rsidR="0018100A" w:rsidRPr="00FC2D05" w:rsidRDefault="0018100A" w:rsidP="0018100A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</w:rPr>
      </w:pPr>
      <w:r w:rsidRPr="00FC2D05">
        <w:rPr>
          <w:rFonts w:ascii="Myriad Pro" w:hAnsi="Myriad Pro" w:cs="Calibri"/>
          <w:b/>
          <w:snapToGrid w:val="0"/>
          <w:szCs w:val="22"/>
        </w:rPr>
        <w:t>Cost Breakdown per Deliverable</w:t>
      </w:r>
      <w:r>
        <w:rPr>
          <w:rFonts w:ascii="Myriad Pro" w:hAnsi="Myriad Pro" w:cs="Calibri"/>
          <w:b/>
          <w:snapToGrid w:val="0"/>
          <w:szCs w:val="22"/>
        </w:rPr>
        <w:t xml:space="preserve"> (percentage)</w:t>
      </w:r>
      <w:r w:rsidRPr="00236E88">
        <w:rPr>
          <w:rFonts w:ascii="Myriad Pro" w:hAnsi="Myriad Pro" w:cs="Calibri"/>
          <w:b/>
          <w:snapToGrid w:val="0"/>
          <w:szCs w:val="22"/>
          <w:lang w:val="en-GB"/>
        </w:rPr>
        <w:t>*</w:t>
      </w:r>
    </w:p>
    <w:p w14:paraId="54C096E8" w14:textId="77777777" w:rsidR="0018100A" w:rsidRPr="00FC2D05" w:rsidRDefault="0018100A" w:rsidP="0018100A">
      <w:pPr>
        <w:rPr>
          <w:rFonts w:ascii="Myriad Pro" w:hAnsi="Myriad Pro" w:cs="Calibri"/>
          <w:snapToGrid w:val="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5337"/>
        <w:gridCol w:w="1398"/>
        <w:gridCol w:w="1409"/>
      </w:tblGrid>
      <w:tr w:rsidR="0018100A" w:rsidRPr="00FC2D05" w14:paraId="7C8E00E4" w14:textId="77777777" w:rsidTr="008919E8">
        <w:tc>
          <w:tcPr>
            <w:tcW w:w="461" w:type="dxa"/>
          </w:tcPr>
          <w:p w14:paraId="7B6A1573" w14:textId="77777777" w:rsidR="0018100A" w:rsidRPr="00FC2D05" w:rsidRDefault="0018100A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634" w:type="dxa"/>
          </w:tcPr>
          <w:p w14:paraId="2FC5CE72" w14:textId="77777777" w:rsidR="0018100A" w:rsidRPr="00FC2D05" w:rsidRDefault="0018100A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Deliverables</w:t>
            </w:r>
          </w:p>
          <w:p w14:paraId="528DB405" w14:textId="77777777" w:rsidR="0018100A" w:rsidRPr="00FC2D05" w:rsidRDefault="0018100A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i/>
                <w:iCs/>
                <w:snapToGrid w:val="0"/>
                <w:sz w:val="22"/>
                <w:szCs w:val="22"/>
              </w:rPr>
              <w:t>[list them as referred to in the RFP]</w:t>
            </w:r>
          </w:p>
        </w:tc>
        <w:tc>
          <w:tcPr>
            <w:tcW w:w="1403" w:type="dxa"/>
          </w:tcPr>
          <w:p w14:paraId="213FFE08" w14:textId="77777777" w:rsidR="0018100A" w:rsidRPr="00FC2D05" w:rsidRDefault="0018100A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Percentage of Total Price </w:t>
            </w:r>
            <w:r w:rsidRPr="00FC2D05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  <w:t>(Weight for payment)</w:t>
            </w:r>
          </w:p>
        </w:tc>
        <w:tc>
          <w:tcPr>
            <w:tcW w:w="1431" w:type="dxa"/>
          </w:tcPr>
          <w:p w14:paraId="2F01470F" w14:textId="77777777" w:rsidR="0018100A" w:rsidRPr="00FC2D05" w:rsidRDefault="0018100A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Price</w:t>
            </w:r>
          </w:p>
          <w:p w14:paraId="5F0FCF3B" w14:textId="77777777" w:rsidR="0018100A" w:rsidRPr="00FC2D05" w:rsidRDefault="0018100A" w:rsidP="008919E8">
            <w:pPr>
              <w:jc w:val="center"/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  <w:t>(Lump Sum, All Inclusive)</w:t>
            </w:r>
          </w:p>
        </w:tc>
      </w:tr>
      <w:tr w:rsidR="0018100A" w:rsidRPr="00FC2D05" w14:paraId="62C3E75A" w14:textId="77777777" w:rsidTr="008919E8">
        <w:tc>
          <w:tcPr>
            <w:tcW w:w="461" w:type="dxa"/>
          </w:tcPr>
          <w:p w14:paraId="6EC531B2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1E107812" w14:textId="77777777" w:rsidR="0018100A" w:rsidRPr="000450FD" w:rsidRDefault="0018100A" w:rsidP="008919E8">
            <w:pPr>
              <w:jc w:val="both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</w:pPr>
            <w:r w:rsidRPr="000450FD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  <w:t>Deliverable 1</w:t>
            </w:r>
          </w:p>
          <w:p w14:paraId="78DB0E7F" w14:textId="77777777" w:rsidR="0018100A" w:rsidRPr="00AD2468" w:rsidRDefault="0018100A" w:rsidP="008919E8">
            <w:pPr>
              <w:jc w:val="both"/>
              <w:rPr>
                <w:rFonts w:ascii="Myriad Pro" w:hAnsi="Myriad Pro"/>
                <w:sz w:val="22"/>
                <w:szCs w:val="22"/>
                <w:lang w:val="en-GB" w:eastAsia="ru-RU"/>
              </w:rPr>
            </w:pPr>
            <w:r w:rsidRPr="00AD2468">
              <w:rPr>
                <w:rFonts w:ascii="Myriad Pro" w:hAnsi="Myriad Pro"/>
                <w:sz w:val="22"/>
                <w:szCs w:val="22"/>
                <w:lang w:val="en-GB" w:eastAsia="ru-RU"/>
              </w:rPr>
              <w:t>Analytical report on the current situation with benchmarks in Kazakhstan is provided.</w:t>
            </w:r>
          </w:p>
          <w:p w14:paraId="06C814AD" w14:textId="77777777" w:rsidR="0018100A" w:rsidRPr="00FC2D05" w:rsidRDefault="0018100A" w:rsidP="008919E8">
            <w:pPr>
              <w:jc w:val="both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D2468">
              <w:rPr>
                <w:rFonts w:ascii="Myriad Pro" w:hAnsi="Myriad Pro"/>
                <w:sz w:val="22"/>
                <w:szCs w:val="22"/>
                <w:lang w:val="en-GB" w:eastAsia="ru-RU"/>
              </w:rPr>
              <w:t>Stakeholder consultations 1 are conducted.</w:t>
            </w:r>
          </w:p>
        </w:tc>
        <w:tc>
          <w:tcPr>
            <w:tcW w:w="1403" w:type="dxa"/>
          </w:tcPr>
          <w:p w14:paraId="44CDF21C" w14:textId="77777777" w:rsidR="0018100A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2BCDFE08" w14:textId="77777777" w:rsidR="0018100A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189734ED" w14:textId="77777777" w:rsidR="0018100A" w:rsidRPr="00B9206B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  <w:lang w:val="en-GB"/>
              </w:rPr>
              <w:t>25</w:t>
            </w:r>
            <w: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  <w:t>%</w:t>
            </w:r>
          </w:p>
        </w:tc>
        <w:tc>
          <w:tcPr>
            <w:tcW w:w="1431" w:type="dxa"/>
            <w:vMerge w:val="restart"/>
          </w:tcPr>
          <w:p w14:paraId="7BD62E87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8100A" w:rsidRPr="00FC2D05" w14:paraId="2E62D996" w14:textId="77777777" w:rsidTr="008919E8">
        <w:tc>
          <w:tcPr>
            <w:tcW w:w="461" w:type="dxa"/>
          </w:tcPr>
          <w:p w14:paraId="108F60B5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677DC0A4" w14:textId="77777777" w:rsidR="0018100A" w:rsidRPr="000450FD" w:rsidRDefault="0018100A" w:rsidP="008919E8">
            <w:pPr>
              <w:jc w:val="both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</w:pPr>
            <w:r w:rsidRPr="000450FD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  <w:t xml:space="preserve">Deliverable </w:t>
            </w: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  <w:t>2</w:t>
            </w:r>
          </w:p>
          <w:p w14:paraId="5E5438F4" w14:textId="77777777" w:rsidR="0018100A" w:rsidRPr="00AD2468" w:rsidRDefault="0018100A" w:rsidP="008919E8">
            <w:pPr>
              <w:jc w:val="both"/>
              <w:rPr>
                <w:rFonts w:ascii="Myriad Pro" w:hAnsi="Myriad Pro"/>
                <w:sz w:val="22"/>
                <w:szCs w:val="22"/>
                <w:lang w:val="en-GB" w:eastAsia="x-none"/>
              </w:rPr>
            </w:pPr>
            <w:r w:rsidRPr="00AD2468">
              <w:rPr>
                <w:rFonts w:ascii="Myriad Pro" w:hAnsi="Myriad Pro"/>
                <w:sz w:val="22"/>
                <w:szCs w:val="22"/>
                <w:lang w:val="en-GB" w:eastAsia="x-none"/>
              </w:rPr>
              <w:t xml:space="preserve">The list of benchmarks is provided. </w:t>
            </w:r>
          </w:p>
          <w:p w14:paraId="6019DFA0" w14:textId="77777777" w:rsidR="0018100A" w:rsidRPr="00AD2468" w:rsidRDefault="0018100A" w:rsidP="008919E8">
            <w:pPr>
              <w:jc w:val="both"/>
              <w:rPr>
                <w:rFonts w:ascii="Myriad Pro" w:hAnsi="Myriad Pro"/>
                <w:sz w:val="22"/>
                <w:szCs w:val="22"/>
                <w:lang w:val="en-GB" w:eastAsia="x-none"/>
              </w:rPr>
            </w:pPr>
            <w:r w:rsidRPr="00AD2468">
              <w:rPr>
                <w:rFonts w:ascii="Myriad Pro" w:hAnsi="Myriad Pro"/>
                <w:sz w:val="22"/>
                <w:szCs w:val="22"/>
                <w:lang w:val="en-GB" w:eastAsia="x-none"/>
              </w:rPr>
              <w:t>The methodology for benchmarks estimation is approved.</w:t>
            </w:r>
          </w:p>
          <w:p w14:paraId="5BA4E80C" w14:textId="77777777" w:rsidR="0018100A" w:rsidRPr="00FC2D05" w:rsidRDefault="0018100A" w:rsidP="008919E8">
            <w:pPr>
              <w:jc w:val="both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D2468">
              <w:rPr>
                <w:rFonts w:ascii="Myriad Pro" w:hAnsi="Myriad Pro"/>
                <w:sz w:val="22"/>
                <w:szCs w:val="22"/>
                <w:lang w:val="en-GB" w:eastAsia="x-none"/>
              </w:rPr>
              <w:t>Stakeholder consultations 2 are conducted</w:t>
            </w:r>
            <w:r>
              <w:rPr>
                <w:rFonts w:ascii="Myriad Pro" w:hAnsi="Myriad Pro"/>
                <w:sz w:val="22"/>
                <w:szCs w:val="22"/>
                <w:lang w:val="en-GB" w:eastAsia="x-none"/>
              </w:rPr>
              <w:t>.</w:t>
            </w:r>
          </w:p>
        </w:tc>
        <w:tc>
          <w:tcPr>
            <w:tcW w:w="1403" w:type="dxa"/>
            <w:vMerge w:val="restart"/>
          </w:tcPr>
          <w:p w14:paraId="6066F5EA" w14:textId="77777777" w:rsidR="0018100A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68F4FEE0" w14:textId="77777777" w:rsidR="0018100A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19E2D4A8" w14:textId="77777777" w:rsidR="0018100A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2E04FF7C" w14:textId="77777777" w:rsidR="0018100A" w:rsidRPr="00FC2D05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35%</w:t>
            </w:r>
          </w:p>
        </w:tc>
        <w:tc>
          <w:tcPr>
            <w:tcW w:w="1431" w:type="dxa"/>
            <w:vMerge/>
          </w:tcPr>
          <w:p w14:paraId="10C9F258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8100A" w:rsidRPr="00FC2D05" w14:paraId="26F543B5" w14:textId="77777777" w:rsidTr="008919E8">
        <w:tc>
          <w:tcPr>
            <w:tcW w:w="461" w:type="dxa"/>
          </w:tcPr>
          <w:p w14:paraId="21420B23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634" w:type="dxa"/>
          </w:tcPr>
          <w:p w14:paraId="7DB207AA" w14:textId="77777777" w:rsidR="0018100A" w:rsidRPr="000450FD" w:rsidRDefault="0018100A" w:rsidP="008919E8">
            <w:pPr>
              <w:jc w:val="both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</w:pPr>
            <w:r w:rsidRPr="000450FD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  <w:t xml:space="preserve">Deliverable </w:t>
            </w: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  <w:t>3</w:t>
            </w:r>
          </w:p>
          <w:p w14:paraId="31DD0FAD" w14:textId="77777777" w:rsidR="0018100A" w:rsidRDefault="0018100A" w:rsidP="008919E8">
            <w:pPr>
              <w:jc w:val="both"/>
              <w:rPr>
                <w:rFonts w:ascii="Myriad Pro" w:hAnsi="Myriad Pro"/>
                <w:bCs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/>
                <w:bCs/>
                <w:sz w:val="22"/>
                <w:szCs w:val="22"/>
                <w:lang w:val="en-GB" w:eastAsia="ru-RU"/>
              </w:rPr>
              <w:t>The first draft of benchmarks is provided.</w:t>
            </w:r>
          </w:p>
          <w:p w14:paraId="08AF30B3" w14:textId="77777777" w:rsidR="0018100A" w:rsidRPr="000450FD" w:rsidRDefault="0018100A" w:rsidP="008919E8">
            <w:pPr>
              <w:jc w:val="both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Myriad Pro" w:hAnsi="Myriad Pro"/>
                <w:bCs/>
                <w:sz w:val="22"/>
                <w:szCs w:val="22"/>
                <w:lang w:val="en-GB" w:eastAsia="ru-RU"/>
              </w:rPr>
              <w:t>Stakeholder consultations 3 are conducted.</w:t>
            </w:r>
          </w:p>
        </w:tc>
        <w:tc>
          <w:tcPr>
            <w:tcW w:w="1403" w:type="dxa"/>
            <w:vMerge/>
          </w:tcPr>
          <w:p w14:paraId="43EBF621" w14:textId="77777777" w:rsidR="0018100A" w:rsidRPr="00FC2D05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14:paraId="4E4E252E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8100A" w:rsidRPr="00FC2D05" w14:paraId="45BA0BC0" w14:textId="77777777" w:rsidTr="008919E8">
        <w:tc>
          <w:tcPr>
            <w:tcW w:w="461" w:type="dxa"/>
          </w:tcPr>
          <w:p w14:paraId="2A33431C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5634" w:type="dxa"/>
          </w:tcPr>
          <w:p w14:paraId="0BA2402C" w14:textId="77777777" w:rsidR="0018100A" w:rsidRPr="000450FD" w:rsidRDefault="0018100A" w:rsidP="008919E8">
            <w:pPr>
              <w:jc w:val="both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</w:pPr>
            <w:r w:rsidRPr="000450FD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  <w:t xml:space="preserve">Deliverable </w:t>
            </w: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  <w:t>4</w:t>
            </w:r>
          </w:p>
          <w:p w14:paraId="6A8497E5" w14:textId="77777777" w:rsidR="0018100A" w:rsidRDefault="0018100A" w:rsidP="008919E8">
            <w:pPr>
              <w:jc w:val="both"/>
              <w:rPr>
                <w:rFonts w:ascii="Myriad Pro" w:hAnsi="Myriad Pro"/>
                <w:bCs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/>
                <w:bCs/>
                <w:sz w:val="22"/>
                <w:szCs w:val="22"/>
                <w:lang w:val="en-GB" w:eastAsia="ru-RU"/>
              </w:rPr>
              <w:t>The revised benchmarks are provided.</w:t>
            </w:r>
          </w:p>
          <w:p w14:paraId="7BC42A11" w14:textId="77777777" w:rsidR="0018100A" w:rsidRPr="000450FD" w:rsidRDefault="0018100A" w:rsidP="008919E8">
            <w:pPr>
              <w:jc w:val="both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Myriad Pro" w:hAnsi="Myriad Pro"/>
                <w:bCs/>
                <w:sz w:val="22"/>
                <w:szCs w:val="22"/>
                <w:lang w:val="en-GB" w:eastAsia="ru-RU"/>
              </w:rPr>
              <w:t>Stakeholder consultations 4 are conducted.</w:t>
            </w:r>
          </w:p>
        </w:tc>
        <w:tc>
          <w:tcPr>
            <w:tcW w:w="1403" w:type="dxa"/>
            <w:vMerge w:val="restart"/>
          </w:tcPr>
          <w:p w14:paraId="2F8ED460" w14:textId="77777777" w:rsidR="0018100A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157626A4" w14:textId="77777777" w:rsidR="0018100A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70B52B28" w14:textId="77777777" w:rsidR="0018100A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7145859B" w14:textId="77777777" w:rsidR="0018100A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132370B1" w14:textId="77777777" w:rsidR="0018100A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51A6E0A2" w14:textId="77777777" w:rsidR="0018100A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0A0498BF" w14:textId="77777777" w:rsidR="0018100A" w:rsidRPr="00FC2D05" w:rsidRDefault="0018100A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40%</w:t>
            </w:r>
          </w:p>
        </w:tc>
        <w:tc>
          <w:tcPr>
            <w:tcW w:w="1431" w:type="dxa"/>
            <w:vMerge/>
          </w:tcPr>
          <w:p w14:paraId="6D648E75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8100A" w:rsidRPr="00FC2D05" w14:paraId="264DA771" w14:textId="77777777" w:rsidTr="008919E8">
        <w:tc>
          <w:tcPr>
            <w:tcW w:w="461" w:type="dxa"/>
          </w:tcPr>
          <w:p w14:paraId="0D61984C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5634" w:type="dxa"/>
          </w:tcPr>
          <w:p w14:paraId="741C6363" w14:textId="77777777" w:rsidR="0018100A" w:rsidRPr="000450FD" w:rsidRDefault="0018100A" w:rsidP="008919E8">
            <w:pPr>
              <w:jc w:val="both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</w:pPr>
            <w:r w:rsidRPr="000450FD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  <w:t xml:space="preserve">Deliverable </w:t>
            </w: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  <w:t>5</w:t>
            </w:r>
          </w:p>
          <w:p w14:paraId="001DCD9F" w14:textId="77777777" w:rsidR="0018100A" w:rsidRDefault="0018100A" w:rsidP="008919E8">
            <w:pPr>
              <w:jc w:val="both"/>
              <w:rPr>
                <w:rFonts w:ascii="Myriad Pro" w:hAnsi="Myriad Pro"/>
                <w:bCs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/>
                <w:bCs/>
                <w:sz w:val="22"/>
                <w:szCs w:val="22"/>
                <w:lang w:val="en-GB" w:eastAsia="ru-RU"/>
              </w:rPr>
              <w:t>The draft legal acts are provided.</w:t>
            </w:r>
          </w:p>
          <w:p w14:paraId="1265FB98" w14:textId="77777777" w:rsidR="0018100A" w:rsidRPr="000450FD" w:rsidRDefault="0018100A" w:rsidP="008919E8">
            <w:pPr>
              <w:jc w:val="both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Myriad Pro" w:hAnsi="Myriad Pro"/>
                <w:bCs/>
                <w:sz w:val="22"/>
                <w:szCs w:val="22"/>
                <w:lang w:val="en-GB" w:eastAsia="ru-RU"/>
              </w:rPr>
              <w:t>Stakeholder consultations 5 are conducted.</w:t>
            </w:r>
          </w:p>
        </w:tc>
        <w:tc>
          <w:tcPr>
            <w:tcW w:w="1403" w:type="dxa"/>
            <w:vMerge/>
          </w:tcPr>
          <w:p w14:paraId="6D71BDD9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14:paraId="3F8D2EEA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8100A" w:rsidRPr="00FC2D05" w14:paraId="6DD4C770" w14:textId="77777777" w:rsidTr="008919E8">
        <w:tc>
          <w:tcPr>
            <w:tcW w:w="461" w:type="dxa"/>
          </w:tcPr>
          <w:p w14:paraId="0C1D6B20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6</w:t>
            </w:r>
          </w:p>
        </w:tc>
        <w:tc>
          <w:tcPr>
            <w:tcW w:w="5634" w:type="dxa"/>
          </w:tcPr>
          <w:p w14:paraId="5FA372A1" w14:textId="77777777" w:rsidR="0018100A" w:rsidRPr="000450FD" w:rsidRDefault="0018100A" w:rsidP="008919E8">
            <w:pPr>
              <w:jc w:val="both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</w:pPr>
            <w:r w:rsidRPr="000450FD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  <w:t xml:space="preserve">Deliverable </w:t>
            </w: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  <w:t>6</w:t>
            </w:r>
          </w:p>
          <w:p w14:paraId="1C7179AF" w14:textId="77777777" w:rsidR="0018100A" w:rsidRDefault="0018100A" w:rsidP="008919E8">
            <w:pPr>
              <w:jc w:val="both"/>
              <w:rPr>
                <w:rFonts w:ascii="Myriad Pro" w:hAnsi="Myriad Pro"/>
                <w:bCs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/>
                <w:bCs/>
                <w:sz w:val="22"/>
                <w:szCs w:val="22"/>
                <w:lang w:val="en-GB" w:eastAsia="ru-RU"/>
              </w:rPr>
              <w:t>The guide and methodology for updating benchmarks is provided.</w:t>
            </w:r>
          </w:p>
          <w:p w14:paraId="4855F754" w14:textId="77777777" w:rsidR="0018100A" w:rsidRPr="007120D0" w:rsidRDefault="0018100A" w:rsidP="008919E8">
            <w:pPr>
              <w:jc w:val="both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en-GB" w:eastAsia="ru-RU"/>
              </w:rPr>
              <w:t>F</w:t>
            </w:r>
            <w:r w:rsidRPr="00571C6C">
              <w:rPr>
                <w:rFonts w:ascii="Myriad Pro" w:hAnsi="Myriad Pro"/>
                <w:sz w:val="22"/>
                <w:szCs w:val="22"/>
                <w:lang w:val="en-GB" w:eastAsia="ru-RU"/>
              </w:rPr>
              <w:t xml:space="preserve">inal report, summary for policy makers, </w:t>
            </w:r>
            <w:proofErr w:type="gramStart"/>
            <w:r w:rsidRPr="00571C6C">
              <w:rPr>
                <w:rFonts w:ascii="Myriad Pro" w:hAnsi="Myriad Pro"/>
                <w:sz w:val="22"/>
                <w:szCs w:val="22"/>
                <w:lang w:val="en-GB" w:eastAsia="ru-RU"/>
              </w:rPr>
              <w:t>a number of</w:t>
            </w:r>
            <w:proofErr w:type="gramEnd"/>
            <w:r>
              <w:rPr>
                <w:rFonts w:ascii="Myriad Pro" w:hAnsi="Myriad Pro"/>
                <w:sz w:val="22"/>
                <w:szCs w:val="22"/>
                <w:lang w:val="en-GB" w:eastAsia="ru-RU"/>
              </w:rPr>
              <w:t xml:space="preserve"> draft</w:t>
            </w:r>
            <w:r w:rsidRPr="00571C6C">
              <w:rPr>
                <w:rFonts w:ascii="Myriad Pro" w:hAnsi="Myriad Pro"/>
                <w:sz w:val="22"/>
                <w:szCs w:val="22"/>
                <w:lang w:val="en-GB" w:eastAsia="ru-RU"/>
              </w:rPr>
              <w:t xml:space="preserve"> publications for publishing in mass and social media</w:t>
            </w:r>
            <w:r>
              <w:rPr>
                <w:rFonts w:ascii="Myriad Pro" w:hAnsi="Myriad Pro"/>
                <w:sz w:val="22"/>
                <w:szCs w:val="22"/>
                <w:lang w:val="en-GB" w:eastAsia="ru-RU"/>
              </w:rPr>
              <w:t xml:space="preserve"> are provided</w:t>
            </w:r>
          </w:p>
        </w:tc>
        <w:tc>
          <w:tcPr>
            <w:tcW w:w="1403" w:type="dxa"/>
            <w:vMerge/>
          </w:tcPr>
          <w:p w14:paraId="24FE39AB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14:paraId="47F71B07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8100A" w:rsidRPr="00FC2D05" w14:paraId="16A92564" w14:textId="77777777" w:rsidTr="008919E8">
        <w:tc>
          <w:tcPr>
            <w:tcW w:w="461" w:type="dxa"/>
          </w:tcPr>
          <w:p w14:paraId="16F4031C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5634" w:type="dxa"/>
          </w:tcPr>
          <w:p w14:paraId="2A28008C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1403" w:type="dxa"/>
          </w:tcPr>
          <w:p w14:paraId="5BA9B740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1431" w:type="dxa"/>
          </w:tcPr>
          <w:p w14:paraId="18E7FB87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</w:tbl>
    <w:p w14:paraId="720C1B68" w14:textId="77777777" w:rsidR="0018100A" w:rsidRPr="00F83245" w:rsidRDefault="0018100A" w:rsidP="0018100A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558459D1" w14:textId="77777777" w:rsidR="0018100A" w:rsidRDefault="0018100A" w:rsidP="0018100A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Cs w:val="22"/>
        </w:rPr>
      </w:pPr>
    </w:p>
    <w:p w14:paraId="51769CA3" w14:textId="77777777" w:rsidR="0018100A" w:rsidRPr="00990EA2" w:rsidRDefault="0018100A" w:rsidP="0018100A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>
        <w:rPr>
          <w:rFonts w:ascii="Myriad Pro" w:hAnsi="Myriad Pro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>Cost Breakdown by Cost Component: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1622"/>
        <w:gridCol w:w="1568"/>
        <w:gridCol w:w="1201"/>
        <w:gridCol w:w="1331"/>
      </w:tblGrid>
      <w:tr w:rsidR="0018100A" w:rsidRPr="00FC2D05" w14:paraId="590014D8" w14:textId="77777777" w:rsidTr="008919E8">
        <w:tc>
          <w:tcPr>
            <w:tcW w:w="3458" w:type="dxa"/>
          </w:tcPr>
          <w:p w14:paraId="4E6400C4" w14:textId="77777777" w:rsidR="0018100A" w:rsidRPr="00FC2D05" w:rsidRDefault="0018100A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Description of Activity</w:t>
            </w:r>
          </w:p>
        </w:tc>
        <w:tc>
          <w:tcPr>
            <w:tcW w:w="1622" w:type="dxa"/>
          </w:tcPr>
          <w:p w14:paraId="6D7E3A17" w14:textId="77777777" w:rsidR="0018100A" w:rsidRPr="00FC2D05" w:rsidRDefault="0018100A" w:rsidP="008919E8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Remuneration per Unit of Time</w:t>
            </w:r>
          </w:p>
        </w:tc>
        <w:tc>
          <w:tcPr>
            <w:tcW w:w="1568" w:type="dxa"/>
          </w:tcPr>
          <w:p w14:paraId="1E876ADC" w14:textId="77777777" w:rsidR="0018100A" w:rsidRPr="00FC2D05" w:rsidRDefault="0018100A" w:rsidP="008919E8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Total Period of Engagement</w:t>
            </w:r>
          </w:p>
        </w:tc>
        <w:tc>
          <w:tcPr>
            <w:tcW w:w="1201" w:type="dxa"/>
          </w:tcPr>
          <w:p w14:paraId="4C1B3FFB" w14:textId="77777777" w:rsidR="0018100A" w:rsidRPr="00FC2D05" w:rsidRDefault="0018100A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No. of Personnel</w:t>
            </w:r>
          </w:p>
        </w:tc>
        <w:tc>
          <w:tcPr>
            <w:tcW w:w="1331" w:type="dxa"/>
          </w:tcPr>
          <w:p w14:paraId="4C7253A7" w14:textId="77777777" w:rsidR="0018100A" w:rsidRPr="00FC2D05" w:rsidRDefault="0018100A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Total Rate </w:t>
            </w:r>
          </w:p>
        </w:tc>
      </w:tr>
      <w:tr w:rsidR="0018100A" w:rsidRPr="00FC2D05" w14:paraId="79314FA2" w14:textId="77777777" w:rsidTr="008919E8">
        <w:tc>
          <w:tcPr>
            <w:tcW w:w="3458" w:type="dxa"/>
          </w:tcPr>
          <w:p w14:paraId="732C80E0" w14:textId="77777777" w:rsidR="0018100A" w:rsidRPr="00FC2D05" w:rsidRDefault="0018100A" w:rsidP="008919E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I. Personnel Services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(</w:t>
            </w:r>
            <w:r w:rsidRPr="005A06A2">
              <w:rPr>
                <w:rFonts w:ascii="Myriad Pro" w:eastAsia="Calibri" w:hAnsi="Myriad Pro" w:cs="Calibri"/>
                <w:bCs/>
                <w:i/>
                <w:iCs/>
                <w:snapToGrid w:val="0"/>
                <w:sz w:val="22"/>
                <w:szCs w:val="22"/>
              </w:rPr>
              <w:t>including salary and implementation of works</w:t>
            </w:r>
            <w:r>
              <w:rPr>
                <w:rFonts w:ascii="Myriad Pro" w:eastAsia="Calibri" w:hAnsi="Myriad Pro" w:cs="Calibri"/>
                <w:bCs/>
                <w:i/>
                <w:iCs/>
                <w:snapToGrid w:val="0"/>
                <w:sz w:val="22"/>
                <w:szCs w:val="22"/>
              </w:rPr>
              <w:t xml:space="preserve"> based on the</w:t>
            </w:r>
            <w:r w:rsidRPr="00236E88">
              <w:rPr>
                <w:rFonts w:ascii="Myriad Pro" w:eastAsia="Calibri" w:hAnsi="Myriad Pro" w:cs="Calibri"/>
                <w:bCs/>
                <w:i/>
                <w:iCs/>
                <w:snapToGrid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Myriad Pro" w:eastAsia="Calibri" w:hAnsi="Myriad Pro" w:cs="Calibri"/>
                <w:bCs/>
                <w:i/>
                <w:iCs/>
                <w:snapToGrid w:val="0"/>
                <w:sz w:val="22"/>
                <w:szCs w:val="22"/>
              </w:rPr>
              <w:t>TOR</w:t>
            </w:r>
            <w:r w:rsidRPr="005A06A2">
              <w:rPr>
                <w:rFonts w:ascii="Myriad Pro" w:eastAsia="Calibri" w:hAnsi="Myriad Pro" w:cs="Calibri"/>
                <w:bCs/>
                <w:i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1622" w:type="dxa"/>
          </w:tcPr>
          <w:p w14:paraId="0D590C7C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2C40B54F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49785D62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9A34F98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8100A" w:rsidRPr="00FC2D05" w14:paraId="70EE818A" w14:textId="77777777" w:rsidTr="008919E8">
        <w:tc>
          <w:tcPr>
            <w:tcW w:w="3458" w:type="dxa"/>
          </w:tcPr>
          <w:p w14:paraId="73C8FCC0" w14:textId="77777777" w:rsidR="0018100A" w:rsidRPr="005A06A2" w:rsidRDefault="0018100A" w:rsidP="001810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1" w:hanging="142"/>
              <w:jc w:val="both"/>
              <w:rPr>
                <w:rFonts w:ascii="Myriad Pro" w:eastAsia="Calibri" w:hAnsi="Myriad Pro" w:cs="Calibri"/>
                <w:snapToGrid w:val="0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Cs w:val="22"/>
              </w:rPr>
              <w:t>Climate policy</w:t>
            </w:r>
            <w:r w:rsidRPr="005A06A2">
              <w:rPr>
                <w:rFonts w:ascii="Myriad Pro" w:eastAsia="Calibri" w:hAnsi="Myriad Pro" w:cs="Calibri"/>
                <w:snapToGrid w:val="0"/>
                <w:szCs w:val="22"/>
              </w:rPr>
              <w:t xml:space="preserve"> specialist</w:t>
            </w:r>
            <w:r>
              <w:rPr>
                <w:rFonts w:ascii="Myriad Pro" w:eastAsia="Calibri" w:hAnsi="Myriad Pro" w:cs="Calibri"/>
                <w:snapToGrid w:val="0"/>
                <w:szCs w:val="22"/>
              </w:rPr>
              <w:t>s (Int.)</w:t>
            </w:r>
          </w:p>
          <w:p w14:paraId="0095382E" w14:textId="77777777" w:rsidR="0018100A" w:rsidRDefault="0018100A" w:rsidP="001810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1" w:hanging="142"/>
              <w:jc w:val="both"/>
              <w:rPr>
                <w:rFonts w:ascii="Myriad Pro" w:eastAsia="Calibri" w:hAnsi="Myriad Pro" w:cs="Calibri"/>
                <w:snapToGrid w:val="0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Cs w:val="22"/>
              </w:rPr>
              <w:t xml:space="preserve">Specialists on data collection </w:t>
            </w:r>
            <w:r>
              <w:rPr>
                <w:rFonts w:ascii="Myriad Pro" w:eastAsia="Calibri" w:hAnsi="Myriad Pro" w:cs="Calibri"/>
                <w:snapToGrid w:val="0"/>
                <w:szCs w:val="22"/>
              </w:rPr>
              <w:lastRenderedPageBreak/>
              <w:t>(Local)</w:t>
            </w:r>
          </w:p>
          <w:p w14:paraId="7798FBDF" w14:textId="77777777" w:rsidR="0018100A" w:rsidRPr="005A06A2" w:rsidRDefault="0018100A" w:rsidP="001810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1" w:hanging="142"/>
              <w:jc w:val="both"/>
              <w:rPr>
                <w:rFonts w:ascii="Myriad Pro" w:eastAsia="Calibri" w:hAnsi="Myriad Pro" w:cs="Calibri"/>
                <w:snapToGrid w:val="0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Cs w:val="22"/>
              </w:rPr>
              <w:t>Specialist on legal support (Local)</w:t>
            </w:r>
          </w:p>
        </w:tc>
        <w:tc>
          <w:tcPr>
            <w:tcW w:w="1622" w:type="dxa"/>
          </w:tcPr>
          <w:p w14:paraId="43039EF0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7CF5250A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639AF840" w14:textId="77777777" w:rsidR="0018100A" w:rsidRDefault="0018100A" w:rsidP="008919E8">
            <w:pPr>
              <w:spacing w:line="276" w:lineRule="auto"/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2</w:t>
            </w:r>
          </w:p>
          <w:p w14:paraId="4B32A6C3" w14:textId="77777777" w:rsidR="0018100A" w:rsidRDefault="0018100A" w:rsidP="008919E8">
            <w:pPr>
              <w:spacing w:line="276" w:lineRule="auto"/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3</w:t>
            </w:r>
          </w:p>
          <w:p w14:paraId="713455D0" w14:textId="77777777" w:rsidR="0018100A" w:rsidRDefault="0018100A" w:rsidP="008919E8">
            <w:pPr>
              <w:spacing w:line="276" w:lineRule="auto"/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7FCCF7A2" w14:textId="77777777" w:rsidR="0018100A" w:rsidRPr="00FC2D05" w:rsidRDefault="0018100A" w:rsidP="008919E8">
            <w:pPr>
              <w:spacing w:line="276" w:lineRule="auto"/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331" w:type="dxa"/>
          </w:tcPr>
          <w:p w14:paraId="7544F16B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8100A" w:rsidRPr="00FC2D05" w14:paraId="72550283" w14:textId="77777777" w:rsidTr="008919E8">
        <w:trPr>
          <w:trHeight w:val="251"/>
        </w:trPr>
        <w:tc>
          <w:tcPr>
            <w:tcW w:w="3458" w:type="dxa"/>
          </w:tcPr>
          <w:p w14:paraId="08EC8C17" w14:textId="77777777" w:rsidR="0018100A" w:rsidRDefault="0018100A" w:rsidP="008919E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II.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Logistics</w:t>
            </w: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 Expenses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* (if applicable)</w:t>
            </w:r>
          </w:p>
          <w:p w14:paraId="75C6F2B1" w14:textId="77777777" w:rsidR="0018100A" w:rsidRPr="007F20DE" w:rsidRDefault="0018100A" w:rsidP="0018100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44" w:hanging="180"/>
              <w:rPr>
                <w:rFonts w:ascii="Myriad Pro" w:eastAsia="Calibri" w:hAnsi="Myriad Pro" w:cs="Calibri"/>
                <w:snapToGrid w:val="0"/>
                <w:szCs w:val="22"/>
              </w:rPr>
            </w:pPr>
            <w:r w:rsidRPr="007F20DE">
              <w:rPr>
                <w:rFonts w:ascii="Myriad Pro" w:eastAsia="Calibri" w:hAnsi="Myriad Pro" w:cs="Calibri"/>
                <w:snapToGrid w:val="0"/>
                <w:szCs w:val="22"/>
              </w:rPr>
              <w:t>4 round trips for 2 international experts</w:t>
            </w:r>
          </w:p>
          <w:p w14:paraId="6C59742C" w14:textId="77777777" w:rsidR="0018100A" w:rsidRPr="007F20DE" w:rsidRDefault="0018100A" w:rsidP="0018100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44" w:hanging="180"/>
              <w:rPr>
                <w:rFonts w:ascii="Myriad Pro" w:eastAsia="Calibri" w:hAnsi="Myriad Pro" w:cs="Calibri"/>
                <w:b/>
                <w:snapToGrid w:val="0"/>
                <w:szCs w:val="22"/>
              </w:rPr>
            </w:pPr>
            <w:r w:rsidRPr="007F20DE">
              <w:rPr>
                <w:rFonts w:ascii="Myriad Pro" w:eastAsia="Calibri" w:hAnsi="Myriad Pro" w:cs="Calibri"/>
                <w:snapToGrid w:val="0"/>
                <w:szCs w:val="22"/>
              </w:rPr>
              <w:t xml:space="preserve">1 round trip of </w:t>
            </w:r>
            <w:r>
              <w:rPr>
                <w:rFonts w:ascii="Myriad Pro" w:eastAsia="Calibri" w:hAnsi="Myriad Pro" w:cs="Calibri"/>
                <w:snapToGrid w:val="0"/>
                <w:szCs w:val="22"/>
              </w:rPr>
              <w:t xml:space="preserve">4 </w:t>
            </w:r>
            <w:r w:rsidRPr="007F20DE">
              <w:rPr>
                <w:rFonts w:ascii="Myriad Pro" w:eastAsia="Calibri" w:hAnsi="Myriad Pro" w:cs="Calibri"/>
                <w:snapToGrid w:val="0"/>
                <w:szCs w:val="22"/>
              </w:rPr>
              <w:t>local experts</w:t>
            </w:r>
          </w:p>
        </w:tc>
        <w:tc>
          <w:tcPr>
            <w:tcW w:w="1622" w:type="dxa"/>
          </w:tcPr>
          <w:p w14:paraId="3ECAB033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00D663E1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3BC26FED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D4CB1FD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8100A" w:rsidRPr="00FC2D05" w14:paraId="4E170DA6" w14:textId="77777777" w:rsidTr="008919E8">
        <w:trPr>
          <w:trHeight w:val="251"/>
        </w:trPr>
        <w:tc>
          <w:tcPr>
            <w:tcW w:w="3458" w:type="dxa"/>
          </w:tcPr>
          <w:p w14:paraId="424E3FFE" w14:textId="77777777" w:rsidR="0018100A" w:rsidRPr="00FC2D05" w:rsidRDefault="0018100A" w:rsidP="008919E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III. Miscellaneous expenses (please describe, if applicable)</w:t>
            </w:r>
          </w:p>
        </w:tc>
        <w:tc>
          <w:tcPr>
            <w:tcW w:w="1622" w:type="dxa"/>
          </w:tcPr>
          <w:p w14:paraId="4EF9DC66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628908D3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3E246357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503CE89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8100A" w:rsidRPr="00FC2D05" w14:paraId="1FF0BFDB" w14:textId="77777777" w:rsidTr="008919E8">
        <w:trPr>
          <w:trHeight w:val="251"/>
        </w:trPr>
        <w:tc>
          <w:tcPr>
            <w:tcW w:w="3458" w:type="dxa"/>
          </w:tcPr>
          <w:p w14:paraId="657375C4" w14:textId="77777777" w:rsidR="0018100A" w:rsidRPr="00FC2D05" w:rsidRDefault="0018100A" w:rsidP="008919E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V</w:t>
            </w: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.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Unplanned expenses</w:t>
            </w:r>
          </w:p>
        </w:tc>
        <w:tc>
          <w:tcPr>
            <w:tcW w:w="1622" w:type="dxa"/>
          </w:tcPr>
          <w:p w14:paraId="1979BF97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6EB7C018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A515A6C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E06A4E5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8100A" w:rsidRPr="00FC2D05" w14:paraId="4E9888BA" w14:textId="77777777" w:rsidTr="008919E8">
        <w:trPr>
          <w:trHeight w:val="251"/>
        </w:trPr>
        <w:tc>
          <w:tcPr>
            <w:tcW w:w="3458" w:type="dxa"/>
          </w:tcPr>
          <w:p w14:paraId="71FD0627" w14:textId="77777777" w:rsidR="0018100A" w:rsidRPr="00FC2D05" w:rsidRDefault="0018100A" w:rsidP="008919E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IV. VAT (if applicable, indicate amount of VAT only)</w:t>
            </w:r>
          </w:p>
        </w:tc>
        <w:tc>
          <w:tcPr>
            <w:tcW w:w="1622" w:type="dxa"/>
          </w:tcPr>
          <w:p w14:paraId="12E1FEF5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02FEA8FE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7EA5BD49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75B8F63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8100A" w:rsidRPr="00FC2D05" w14:paraId="49D5F87B" w14:textId="77777777" w:rsidTr="008919E8">
        <w:trPr>
          <w:trHeight w:val="251"/>
        </w:trPr>
        <w:tc>
          <w:tcPr>
            <w:tcW w:w="3458" w:type="dxa"/>
          </w:tcPr>
          <w:p w14:paraId="4CC23783" w14:textId="77777777" w:rsidR="0018100A" w:rsidRDefault="0018100A" w:rsidP="008919E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D4C46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Total amount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 (indicate the total amount of the services including VAT, if it is applicable)</w:t>
            </w:r>
          </w:p>
        </w:tc>
        <w:tc>
          <w:tcPr>
            <w:tcW w:w="1622" w:type="dxa"/>
          </w:tcPr>
          <w:p w14:paraId="51D884AA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7A66530F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428D5678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33B0259" w14:textId="77777777" w:rsidR="0018100A" w:rsidRPr="00FC2D05" w:rsidRDefault="0018100A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</w:tbl>
    <w:p w14:paraId="30AA72F5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</w:rPr>
      </w:pPr>
    </w:p>
    <w:p w14:paraId="1608E68A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  <w:lang w:val="en-GB"/>
        </w:rPr>
      </w:pPr>
    </w:p>
    <w:p w14:paraId="6E81052F" w14:textId="77777777" w:rsidR="0018100A" w:rsidRPr="00EB486B" w:rsidRDefault="0018100A" w:rsidP="0018100A">
      <w:pPr>
        <w:ind w:left="4320"/>
        <w:jc w:val="right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66B0E019" w14:textId="77777777" w:rsidR="0018100A" w:rsidRPr="00EB486B" w:rsidRDefault="0018100A" w:rsidP="0018100A">
      <w:pPr>
        <w:ind w:left="4320"/>
        <w:jc w:val="right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2A91FB05" w14:textId="77777777" w:rsidR="0018100A" w:rsidRPr="00EB486B" w:rsidRDefault="0018100A" w:rsidP="0018100A">
      <w:pPr>
        <w:ind w:left="4320"/>
        <w:jc w:val="right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3D57C3C9" w14:textId="77777777" w:rsidR="0018100A" w:rsidRDefault="0018100A" w:rsidP="0018100A">
      <w:pPr>
        <w:jc w:val="both"/>
        <w:rPr>
          <w:rFonts w:ascii="Myriad Pro" w:hAnsi="Myriad Pro" w:cs="Calibri"/>
          <w:b/>
          <w:sz w:val="22"/>
          <w:szCs w:val="22"/>
          <w:lang w:val="en-GB"/>
        </w:rPr>
      </w:pPr>
    </w:p>
    <w:p w14:paraId="6AFECF1B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  <w:lang w:val="en-GB"/>
        </w:rPr>
      </w:pPr>
    </w:p>
    <w:p w14:paraId="4C5C3DE3" w14:textId="77777777" w:rsidR="0018100A" w:rsidRDefault="0018100A" w:rsidP="0018100A">
      <w:pPr>
        <w:ind w:left="720"/>
        <w:jc w:val="both"/>
        <w:rPr>
          <w:rFonts w:ascii="Myriad Pro" w:hAnsi="Myriad Pro" w:cs="Calibri"/>
          <w:b/>
          <w:sz w:val="22"/>
          <w:szCs w:val="22"/>
          <w:lang w:val="en-GB"/>
        </w:rPr>
      </w:pPr>
      <w:r>
        <w:br/>
      </w:r>
      <w:r w:rsidRPr="00AE79F0">
        <w:rPr>
          <w:rFonts w:ascii="Myriad Pro" w:hAnsi="Myriad Pro"/>
          <w:bCs/>
          <w:color w:val="FF0000"/>
          <w:sz w:val="22"/>
          <w:szCs w:val="22"/>
          <w:lang w:val="en-GB" w:eastAsia="ru-RU"/>
        </w:rPr>
        <w:t>*IMPORTANT: We ask you to separate all expenses related to the organization of travel</w:t>
      </w:r>
      <w:r>
        <w:rPr>
          <w:rFonts w:ascii="Myriad Pro" w:hAnsi="Myriad Pro"/>
          <w:bCs/>
          <w:color w:val="FF0000"/>
          <w:sz w:val="22"/>
          <w:szCs w:val="22"/>
          <w:lang w:val="en-GB" w:eastAsia="ru-RU"/>
        </w:rPr>
        <w:t xml:space="preserve"> </w:t>
      </w:r>
      <w:r w:rsidRPr="00AE79F0">
        <w:rPr>
          <w:rFonts w:ascii="Myriad Pro" w:hAnsi="Myriad Pro"/>
          <w:bCs/>
          <w:color w:val="FF0000"/>
          <w:sz w:val="22"/>
          <w:szCs w:val="22"/>
          <w:lang w:val="en-GB" w:eastAsia="ru-RU"/>
        </w:rPr>
        <w:t>(Article II) in a separate section. Due to the current situation related to the spread of coronavirus infection COVID-19 and the possible restriction of</w:t>
      </w:r>
      <w:r>
        <w:rPr>
          <w:rFonts w:ascii="Myriad Pro" w:hAnsi="Myriad Pro"/>
          <w:bCs/>
          <w:color w:val="FF0000"/>
          <w:sz w:val="22"/>
          <w:szCs w:val="22"/>
          <w:lang w:val="en-GB" w:eastAsia="ru-RU"/>
        </w:rPr>
        <w:t xml:space="preserve"> international travel to Kazakhstan and</w:t>
      </w:r>
      <w:r w:rsidRPr="00AE79F0">
        <w:rPr>
          <w:rFonts w:ascii="Myriad Pro" w:hAnsi="Myriad Pro"/>
          <w:bCs/>
          <w:color w:val="FF0000"/>
          <w:sz w:val="22"/>
          <w:szCs w:val="22"/>
          <w:lang w:val="en-GB" w:eastAsia="ru-RU"/>
        </w:rPr>
        <w:t xml:space="preserve"> free movement in Kazakhstan, travel arrangements may be limited. In this case, the company must have all the necessary resources to conduct discussions/works/presentations online/remotely using digital technologies without any visits. If the situation described above occurs, the amount of the offer for travel arrangements will be deducted from the contract.</w:t>
      </w:r>
    </w:p>
    <w:p w14:paraId="09BF09B5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  <w:lang w:val="en-GB"/>
        </w:rPr>
      </w:pPr>
      <w:r>
        <w:rPr>
          <w:rFonts w:ascii="Myriad Pro" w:hAnsi="Myriad Pro" w:cs="Calibri"/>
          <w:b/>
          <w:sz w:val="22"/>
          <w:szCs w:val="22"/>
          <w:lang w:val="en-GB"/>
        </w:rPr>
        <w:br/>
      </w:r>
    </w:p>
    <w:p w14:paraId="00E408E0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  <w:lang w:val="en-GB"/>
        </w:rPr>
      </w:pPr>
    </w:p>
    <w:p w14:paraId="47351B9E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  <w:lang w:val="en-GB"/>
        </w:rPr>
      </w:pPr>
    </w:p>
    <w:p w14:paraId="5B71569D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  <w:lang w:val="en-GB"/>
        </w:rPr>
      </w:pPr>
    </w:p>
    <w:p w14:paraId="26149EA7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  <w:lang w:val="en-GB"/>
        </w:rPr>
      </w:pPr>
    </w:p>
    <w:p w14:paraId="00172970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  <w:lang w:val="en-GB"/>
        </w:rPr>
      </w:pPr>
    </w:p>
    <w:p w14:paraId="139D6D14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  <w:lang w:val="en-GB"/>
        </w:rPr>
      </w:pPr>
    </w:p>
    <w:p w14:paraId="196E655F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  <w:lang w:val="en-GB"/>
        </w:rPr>
      </w:pPr>
    </w:p>
    <w:p w14:paraId="3B33AB1F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  <w:lang w:val="en-GB"/>
        </w:rPr>
      </w:pPr>
    </w:p>
    <w:p w14:paraId="4838A217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  <w:lang w:val="en-GB"/>
        </w:rPr>
      </w:pPr>
    </w:p>
    <w:p w14:paraId="3FAF2E36" w14:textId="77777777" w:rsidR="0018100A" w:rsidRDefault="0018100A" w:rsidP="0018100A">
      <w:pPr>
        <w:jc w:val="right"/>
        <w:rPr>
          <w:rFonts w:ascii="Myriad Pro" w:hAnsi="Myriad Pro" w:cs="Calibri"/>
          <w:b/>
          <w:sz w:val="22"/>
          <w:szCs w:val="22"/>
          <w:lang w:val="en-GB"/>
        </w:rPr>
      </w:pPr>
    </w:p>
    <w:p w14:paraId="09DA4B7F" w14:textId="77777777" w:rsidR="003538E7" w:rsidRPr="0018100A" w:rsidRDefault="003538E7">
      <w:pPr>
        <w:rPr>
          <w:lang w:val="en-GB"/>
        </w:rPr>
      </w:pPr>
      <w:bookmarkStart w:id="0" w:name="_GoBack"/>
      <w:bookmarkEnd w:id="0"/>
    </w:p>
    <w:sectPr w:rsidR="003538E7" w:rsidRPr="00181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EEC37" w14:textId="77777777" w:rsidR="0018100A" w:rsidRDefault="0018100A" w:rsidP="0018100A">
      <w:r>
        <w:separator/>
      </w:r>
    </w:p>
  </w:endnote>
  <w:endnote w:type="continuationSeparator" w:id="0">
    <w:p w14:paraId="2FC4EEBD" w14:textId="77777777" w:rsidR="0018100A" w:rsidRDefault="0018100A" w:rsidP="0018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7426E" w14:textId="77777777" w:rsidR="0018100A" w:rsidRDefault="0018100A" w:rsidP="0018100A">
      <w:r>
        <w:separator/>
      </w:r>
    </w:p>
  </w:footnote>
  <w:footnote w:type="continuationSeparator" w:id="0">
    <w:p w14:paraId="5A88A328" w14:textId="77777777" w:rsidR="0018100A" w:rsidRDefault="0018100A" w:rsidP="0018100A">
      <w:r>
        <w:continuationSeparator/>
      </w:r>
    </w:p>
  </w:footnote>
  <w:footnote w:id="1">
    <w:p w14:paraId="3E8CB000" w14:textId="77777777" w:rsidR="0018100A" w:rsidRPr="00CF14DB" w:rsidRDefault="0018100A" w:rsidP="0018100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3648B66F" w14:textId="77777777" w:rsidR="0018100A" w:rsidRPr="007E6019" w:rsidRDefault="0018100A" w:rsidP="0018100A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5CB8"/>
    <w:multiLevelType w:val="hybridMultilevel"/>
    <w:tmpl w:val="B4F8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3530"/>
    <w:multiLevelType w:val="hybridMultilevel"/>
    <w:tmpl w:val="3CCE3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0A"/>
    <w:rsid w:val="0018100A"/>
    <w:rsid w:val="003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DBF8"/>
  <w15:chartTrackingRefBased/>
  <w15:docId w15:val="{DB7CEDB2-5C70-4F9D-8729-B1034DAA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10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100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0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"/>
    <w:basedOn w:val="Normal"/>
    <w:link w:val="ListParagraphChar"/>
    <w:uiPriority w:val="34"/>
    <w:qFormat/>
    <w:rsid w:val="0018100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"/>
    <w:link w:val="ListParagraph"/>
    <w:uiPriority w:val="34"/>
    <w:rsid w:val="0018100A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F324B-BC33-4E66-9D91-79E0F1FE7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74B79-C996-49B4-B3AB-6D5CC3060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D85A4-6FFF-418B-947A-7A8CF06FAAAC}">
  <ds:schemaRefs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Perevertova</dc:creator>
  <cp:keywords/>
  <dc:description/>
  <cp:lastModifiedBy>Nelly Perevertova</cp:lastModifiedBy>
  <cp:revision>1</cp:revision>
  <dcterms:created xsi:type="dcterms:W3CDTF">2020-10-12T10:13:00Z</dcterms:created>
  <dcterms:modified xsi:type="dcterms:W3CDTF">2020-10-12T10:14:00Z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