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522C" w14:textId="77777777" w:rsidR="003E6F3C" w:rsidRPr="002F5E5D" w:rsidRDefault="003E6F3C" w:rsidP="003E6F3C">
      <w:pPr>
        <w:pStyle w:val="Titre"/>
        <w:rPr>
          <w:rFonts w:ascii="Calibri" w:hAnsi="Calibri" w:cs="Calibri"/>
          <w:sz w:val="24"/>
          <w:lang w:val="fr-FR"/>
        </w:rPr>
      </w:pPr>
    </w:p>
    <w:tbl>
      <w:tblPr>
        <w:tblW w:w="11424" w:type="dxa"/>
        <w:tblInd w:w="-8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10"/>
        <w:gridCol w:w="103"/>
        <w:gridCol w:w="1260"/>
        <w:gridCol w:w="8551"/>
      </w:tblGrid>
      <w:tr w:rsidR="003E6F3C" w:rsidRPr="002F5E5D" w14:paraId="1AC2DD41" w14:textId="77777777" w:rsidTr="00452BBE">
        <w:trPr>
          <w:cantSplit/>
        </w:trPr>
        <w:tc>
          <w:tcPr>
            <w:tcW w:w="1613" w:type="dxa"/>
            <w:gridSpan w:val="2"/>
            <w:shd w:val="clear" w:color="auto" w:fill="FFFFFF"/>
            <w:vAlign w:val="center"/>
          </w:tcPr>
          <w:p w14:paraId="32DB2F16" w14:textId="77777777" w:rsidR="003E6F3C" w:rsidRPr="002F5E5D" w:rsidRDefault="00E92AA9" w:rsidP="008979D4">
            <w:pPr>
              <w:jc w:val="center"/>
              <w:rPr>
                <w:rFonts w:ascii="Calibri" w:hAnsi="Calibri" w:cs="Calibri"/>
                <w:lang w:val="fr-FR"/>
              </w:rPr>
            </w:pPr>
            <w:r w:rsidRPr="002F5E5D">
              <w:rPr>
                <w:rFonts w:ascii="Calibri" w:hAnsi="Calibri" w:cs="Calibri"/>
                <w:noProof/>
              </w:rPr>
              <w:drawing>
                <wp:inline distT="0" distB="0" distL="0" distR="0" wp14:anchorId="03D8A3D3" wp14:editId="29118FCC">
                  <wp:extent cx="285750" cy="561975"/>
                  <wp:effectExtent l="0" t="0" r="0" b="0"/>
                  <wp:docPr id="1" name="Picture 1" descr="pn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9811" w:type="dxa"/>
            <w:gridSpan w:val="2"/>
            <w:shd w:val="clear" w:color="auto" w:fill="FFFFFF"/>
          </w:tcPr>
          <w:p w14:paraId="1DAA3550" w14:textId="77777777" w:rsidR="003E6F3C" w:rsidRPr="009C6D47" w:rsidRDefault="003E6F3C" w:rsidP="009C6D47">
            <w:pPr>
              <w:jc w:val="center"/>
              <w:rPr>
                <w:rFonts w:ascii="Calibri" w:hAnsi="Calibri" w:cs="Calibri"/>
                <w:b/>
                <w:sz w:val="28"/>
                <w:szCs w:val="28"/>
                <w:lang w:val="fr-FR"/>
              </w:rPr>
            </w:pPr>
          </w:p>
          <w:p w14:paraId="25CBFB22" w14:textId="77777777" w:rsidR="003E6F3C" w:rsidRPr="009C6D47" w:rsidRDefault="003E6F3C" w:rsidP="009C6D47">
            <w:pPr>
              <w:jc w:val="center"/>
              <w:rPr>
                <w:rFonts w:ascii="Calibri" w:hAnsi="Calibri" w:cs="Calibri"/>
                <w:b/>
                <w:sz w:val="28"/>
                <w:szCs w:val="28"/>
                <w:lang w:val="fr-FR"/>
              </w:rPr>
            </w:pPr>
            <w:r w:rsidRPr="009C6D47">
              <w:rPr>
                <w:rFonts w:ascii="Calibri" w:hAnsi="Calibri" w:cs="Calibri"/>
                <w:b/>
                <w:sz w:val="28"/>
                <w:szCs w:val="28"/>
                <w:lang w:val="fr-FR"/>
              </w:rPr>
              <w:t>PROGRAMME DES NATIONS UNIES POUR LE DEVELOPPEMENT</w:t>
            </w:r>
          </w:p>
          <w:p w14:paraId="1D6DFC41" w14:textId="77777777" w:rsidR="003E6F3C" w:rsidRPr="009C6D47" w:rsidRDefault="003E6F3C" w:rsidP="009C6D47">
            <w:pPr>
              <w:jc w:val="center"/>
              <w:rPr>
                <w:rFonts w:ascii="Calibri" w:hAnsi="Calibri" w:cs="Calibri"/>
                <w:b/>
                <w:sz w:val="28"/>
                <w:szCs w:val="28"/>
                <w:lang w:val="fr-FR"/>
              </w:rPr>
            </w:pPr>
            <w:r w:rsidRPr="009C6D47">
              <w:rPr>
                <w:rFonts w:ascii="Calibri" w:hAnsi="Calibri" w:cs="Calibri"/>
                <w:b/>
                <w:sz w:val="28"/>
                <w:szCs w:val="28"/>
                <w:lang w:val="fr-FR"/>
              </w:rPr>
              <w:t>TERMES DE REFERENCES</w:t>
            </w:r>
          </w:p>
          <w:p w14:paraId="1F73063C" w14:textId="77777777" w:rsidR="003E6F3C" w:rsidRPr="009C6D47" w:rsidRDefault="003E6F3C" w:rsidP="009C6D47">
            <w:pPr>
              <w:jc w:val="center"/>
              <w:rPr>
                <w:rFonts w:ascii="Calibri" w:hAnsi="Calibri" w:cs="Calibri"/>
                <w:sz w:val="28"/>
                <w:szCs w:val="28"/>
                <w:lang w:val="fr-FR"/>
              </w:rPr>
            </w:pPr>
          </w:p>
        </w:tc>
      </w:tr>
      <w:tr w:rsidR="00107FD3" w:rsidRPr="002F5E5D" w14:paraId="4A0B09E2" w14:textId="77777777" w:rsidTr="00452BBE">
        <w:trPr>
          <w:cantSplit/>
        </w:trPr>
        <w:tc>
          <w:tcPr>
            <w:tcW w:w="1613" w:type="dxa"/>
            <w:gridSpan w:val="2"/>
            <w:shd w:val="clear" w:color="auto" w:fill="FFFFFF"/>
            <w:vAlign w:val="center"/>
          </w:tcPr>
          <w:p w14:paraId="40AEB598" w14:textId="77777777" w:rsidR="00107FD3" w:rsidRPr="002F5E5D" w:rsidRDefault="00107FD3" w:rsidP="008979D4">
            <w:pPr>
              <w:jc w:val="center"/>
              <w:rPr>
                <w:rFonts w:ascii="Calibri" w:hAnsi="Calibri" w:cs="Calibri"/>
                <w:noProof/>
                <w:lang w:val="fr-FR" w:eastAsia="fr-FR"/>
              </w:rPr>
            </w:pPr>
          </w:p>
          <w:p w14:paraId="09795DCA" w14:textId="77777777" w:rsidR="00107FD3" w:rsidRPr="002F5E5D" w:rsidRDefault="00107FD3" w:rsidP="008979D4">
            <w:pPr>
              <w:jc w:val="center"/>
              <w:rPr>
                <w:rFonts w:ascii="Calibri" w:hAnsi="Calibri" w:cs="Calibri"/>
                <w:noProof/>
                <w:lang w:val="fr-FR" w:eastAsia="fr-FR"/>
              </w:rPr>
            </w:pPr>
          </w:p>
        </w:tc>
        <w:tc>
          <w:tcPr>
            <w:tcW w:w="9811" w:type="dxa"/>
            <w:gridSpan w:val="2"/>
            <w:shd w:val="clear" w:color="auto" w:fill="FFFFFF"/>
          </w:tcPr>
          <w:p w14:paraId="100FD27F" w14:textId="77777777" w:rsidR="00107FD3" w:rsidRPr="002F5E5D" w:rsidRDefault="00107FD3" w:rsidP="008979D4">
            <w:pPr>
              <w:rPr>
                <w:rFonts w:ascii="Calibri" w:hAnsi="Calibri" w:cs="Calibri"/>
                <w:b/>
                <w:lang w:val="fr-FR"/>
              </w:rPr>
            </w:pPr>
          </w:p>
        </w:tc>
      </w:tr>
      <w:tr w:rsidR="003E6F3C" w:rsidRPr="00CD2828" w14:paraId="1D2BDB3A"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24" w:type="dxa"/>
            <w:gridSpan w:val="4"/>
            <w:shd w:val="clear" w:color="auto" w:fill="E0E0E0"/>
          </w:tcPr>
          <w:p w14:paraId="24870256" w14:textId="77777777" w:rsidR="003E6F3C" w:rsidRPr="002F5E5D" w:rsidRDefault="003E6F3C" w:rsidP="008979D4">
            <w:pPr>
              <w:rPr>
                <w:rFonts w:ascii="Calibri" w:hAnsi="Calibri" w:cs="Calibri"/>
                <w:lang w:val="fr-FR"/>
              </w:rPr>
            </w:pPr>
          </w:p>
          <w:p w14:paraId="6A7171E9" w14:textId="77777777" w:rsidR="003E6F3C" w:rsidRPr="002F5E5D" w:rsidRDefault="003E6F3C" w:rsidP="008979D4">
            <w:pPr>
              <w:rPr>
                <w:rFonts w:ascii="Calibri" w:hAnsi="Calibri" w:cs="Calibri"/>
                <w:b/>
                <w:bCs/>
                <w:lang w:val="fr-FR"/>
              </w:rPr>
            </w:pPr>
            <w:r w:rsidRPr="002F5E5D">
              <w:rPr>
                <w:rFonts w:ascii="Calibri" w:hAnsi="Calibri" w:cs="Calibri"/>
                <w:b/>
                <w:bCs/>
                <w:lang w:val="fr-FR"/>
              </w:rPr>
              <w:t>I</w:t>
            </w:r>
            <w:r w:rsidRPr="009C6D47">
              <w:rPr>
                <w:rFonts w:cs="Arial"/>
                <w:b/>
                <w:bCs/>
                <w:sz w:val="28"/>
                <w:szCs w:val="28"/>
                <w:lang w:val="fr-FR"/>
              </w:rPr>
              <w:t>.  Informations sur le Poste</w:t>
            </w:r>
          </w:p>
        </w:tc>
      </w:tr>
      <w:tr w:rsidR="003E6F3C" w:rsidRPr="00CD2828" w14:paraId="1B62BD84"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3"/>
        </w:trPr>
        <w:tc>
          <w:tcPr>
            <w:tcW w:w="2873" w:type="dxa"/>
            <w:gridSpan w:val="3"/>
          </w:tcPr>
          <w:p w14:paraId="368602E8" w14:textId="77777777" w:rsidR="0061343F" w:rsidRPr="009C6D47" w:rsidRDefault="003E6F3C" w:rsidP="008979D4">
            <w:pPr>
              <w:rPr>
                <w:rFonts w:cs="Arial"/>
                <w:lang w:val="fr-FR"/>
              </w:rPr>
            </w:pPr>
            <w:r w:rsidRPr="009C6D47">
              <w:rPr>
                <w:rFonts w:cs="Arial"/>
                <w:lang w:val="fr-FR"/>
              </w:rPr>
              <w:t xml:space="preserve"> Titre du </w:t>
            </w:r>
            <w:r w:rsidR="00387229" w:rsidRPr="009C6D47">
              <w:rPr>
                <w:rFonts w:cs="Arial"/>
                <w:lang w:val="fr-FR"/>
              </w:rPr>
              <w:t>Poste :</w:t>
            </w:r>
          </w:p>
          <w:p w14:paraId="688A7910" w14:textId="77777777" w:rsidR="00EE6AE9" w:rsidRDefault="00EE6AE9" w:rsidP="008979D4">
            <w:pPr>
              <w:rPr>
                <w:rFonts w:cs="Arial"/>
                <w:lang w:val="fr-FR"/>
              </w:rPr>
            </w:pPr>
          </w:p>
          <w:p w14:paraId="4AC43494" w14:textId="77777777" w:rsidR="00EE6AE9" w:rsidRDefault="00EE6AE9" w:rsidP="008979D4">
            <w:pPr>
              <w:rPr>
                <w:rFonts w:cs="Arial"/>
                <w:lang w:val="fr-FR"/>
              </w:rPr>
            </w:pPr>
          </w:p>
          <w:p w14:paraId="4E2A5905" w14:textId="23533926" w:rsidR="003E6F3C" w:rsidRPr="009C6D47" w:rsidRDefault="003E6F3C" w:rsidP="008979D4">
            <w:pPr>
              <w:rPr>
                <w:rFonts w:cs="Arial"/>
                <w:lang w:val="fr-FR"/>
              </w:rPr>
            </w:pPr>
            <w:r w:rsidRPr="009C6D47">
              <w:rPr>
                <w:rFonts w:cs="Arial"/>
                <w:lang w:val="fr-FR"/>
              </w:rPr>
              <w:t>Type de contrat :</w:t>
            </w:r>
          </w:p>
          <w:p w14:paraId="49A5ED62" w14:textId="6422006F" w:rsidR="003E6F3C" w:rsidRDefault="000B4AFD" w:rsidP="008979D4">
            <w:pPr>
              <w:rPr>
                <w:rFonts w:cs="Arial"/>
                <w:lang w:val="fr-FR"/>
              </w:rPr>
            </w:pPr>
            <w:r>
              <w:rPr>
                <w:rFonts w:cs="Arial"/>
                <w:lang w:val="fr-FR"/>
              </w:rPr>
              <w:t>Niveau :</w:t>
            </w:r>
          </w:p>
          <w:p w14:paraId="07778708" w14:textId="77777777" w:rsidR="00EE6AE9" w:rsidRPr="009C6D47" w:rsidRDefault="00EE6AE9" w:rsidP="008979D4">
            <w:pPr>
              <w:rPr>
                <w:rFonts w:cs="Arial"/>
                <w:lang w:val="fr-FR"/>
              </w:rPr>
            </w:pPr>
          </w:p>
          <w:p w14:paraId="7D9096E6" w14:textId="77777777" w:rsidR="003E6F3C" w:rsidRPr="009C6D47" w:rsidRDefault="003E6F3C" w:rsidP="008979D4">
            <w:pPr>
              <w:rPr>
                <w:rFonts w:cs="Arial"/>
                <w:lang w:val="fr-FR"/>
              </w:rPr>
            </w:pPr>
            <w:r w:rsidRPr="009C6D47">
              <w:rPr>
                <w:rFonts w:cs="Arial"/>
                <w:lang w:val="fr-FR"/>
              </w:rPr>
              <w:t>Superviseur Direct :</w:t>
            </w:r>
          </w:p>
          <w:p w14:paraId="2EF9EEA4" w14:textId="77777777" w:rsidR="003E6F3C" w:rsidRPr="009C6D47" w:rsidRDefault="003E6F3C" w:rsidP="008979D4">
            <w:pPr>
              <w:rPr>
                <w:rFonts w:cs="Arial"/>
                <w:lang w:val="fr-FR"/>
              </w:rPr>
            </w:pPr>
            <w:r w:rsidRPr="009C6D47">
              <w:rPr>
                <w:rFonts w:cs="Arial"/>
                <w:lang w:val="fr-FR"/>
              </w:rPr>
              <w:t xml:space="preserve">Lieu </w:t>
            </w:r>
            <w:r w:rsidR="00387229" w:rsidRPr="009C6D47">
              <w:rPr>
                <w:rFonts w:cs="Arial"/>
                <w:lang w:val="fr-FR"/>
              </w:rPr>
              <w:t>d’affectation :</w:t>
            </w:r>
          </w:p>
          <w:p w14:paraId="4544D16F" w14:textId="77777777" w:rsidR="003E6F3C" w:rsidRPr="009C6D47" w:rsidRDefault="00387229" w:rsidP="008979D4">
            <w:pPr>
              <w:rPr>
                <w:rFonts w:cs="Arial"/>
                <w:color w:val="000000"/>
                <w:lang w:val="fr-FR"/>
              </w:rPr>
            </w:pPr>
            <w:r w:rsidRPr="009C6D47">
              <w:rPr>
                <w:rFonts w:cs="Arial"/>
                <w:color w:val="000000"/>
                <w:lang w:val="fr-FR"/>
              </w:rPr>
              <w:t>Durée :</w:t>
            </w:r>
          </w:p>
        </w:tc>
        <w:tc>
          <w:tcPr>
            <w:tcW w:w="8551" w:type="dxa"/>
          </w:tcPr>
          <w:p w14:paraId="76A2D520" w14:textId="5F218A63" w:rsidR="00810340" w:rsidRPr="001F03D9" w:rsidRDefault="00787644" w:rsidP="00622299">
            <w:pPr>
              <w:rPr>
                <w:rFonts w:cs="Arial"/>
                <w:b/>
                <w:lang w:val="fr-FR"/>
              </w:rPr>
            </w:pPr>
            <w:r w:rsidRPr="001F03D9">
              <w:rPr>
                <w:rFonts w:cs="Arial"/>
                <w:b/>
                <w:lang w:val="fr-FR"/>
              </w:rPr>
              <w:t>Consultant</w:t>
            </w:r>
            <w:r w:rsidR="00FF04DB">
              <w:rPr>
                <w:rFonts w:cs="Arial"/>
                <w:b/>
                <w:lang w:val="fr-FR"/>
              </w:rPr>
              <w:t>(e)</w:t>
            </w:r>
            <w:r w:rsidRPr="001F03D9">
              <w:rPr>
                <w:rFonts w:cs="Arial"/>
                <w:b/>
                <w:lang w:val="fr-FR"/>
              </w:rPr>
              <w:t xml:space="preserve"> </w:t>
            </w:r>
            <w:r w:rsidR="00622299">
              <w:rPr>
                <w:rFonts w:cs="Arial"/>
                <w:b/>
                <w:lang w:val="fr-FR"/>
              </w:rPr>
              <w:t>chargé</w:t>
            </w:r>
            <w:r w:rsidR="00FF04DB">
              <w:rPr>
                <w:rFonts w:cs="Arial"/>
                <w:b/>
                <w:lang w:val="fr-FR"/>
              </w:rPr>
              <w:t>(e)</w:t>
            </w:r>
            <w:r w:rsidR="00622299">
              <w:rPr>
                <w:rFonts w:cs="Arial"/>
                <w:b/>
                <w:lang w:val="fr-FR"/>
              </w:rPr>
              <w:t xml:space="preserve"> de l’élaboration d’un guide d’information et de formation sur la RSE des Sociétés Minières au profit des OSC et des Collectivités Territoriales des Zones Minières</w:t>
            </w:r>
          </w:p>
          <w:p w14:paraId="576A5327" w14:textId="77777777" w:rsidR="00EE6AE9" w:rsidRDefault="00EE6AE9" w:rsidP="00EE6AE9">
            <w:pPr>
              <w:rPr>
                <w:rFonts w:cs="Arial"/>
                <w:lang w:val="fr-FR"/>
              </w:rPr>
            </w:pPr>
            <w:r>
              <w:rPr>
                <w:rFonts w:cs="Arial"/>
                <w:lang w:val="fr-FR"/>
              </w:rPr>
              <w:t xml:space="preserve">Contrat de prestation </w:t>
            </w:r>
          </w:p>
          <w:p w14:paraId="2504ECDD" w14:textId="4A39B39A" w:rsidR="00EE6AE9" w:rsidRDefault="00EE6AE9" w:rsidP="00EE6AE9">
            <w:pPr>
              <w:rPr>
                <w:rFonts w:cs="Arial"/>
                <w:lang w:val="fr-FR"/>
              </w:rPr>
            </w:pPr>
            <w:r>
              <w:rPr>
                <w:rFonts w:ascii="Calibri" w:hAnsi="Calibri" w:cs="Calibri"/>
                <w:lang w:val="fr-FR"/>
              </w:rPr>
              <w:t>D</w:t>
            </w:r>
            <w:r w:rsidRPr="005A5327">
              <w:rPr>
                <w:rFonts w:ascii="Calibri" w:hAnsi="Calibri" w:cs="Calibri"/>
                <w:lang w:val="fr-FR"/>
              </w:rPr>
              <w:t xml:space="preserve">iplôme </w:t>
            </w:r>
            <w:r w:rsidR="00DD7F18" w:rsidRPr="005A5327">
              <w:rPr>
                <w:rFonts w:ascii="Calibri" w:hAnsi="Calibri" w:cs="Calibri"/>
                <w:lang w:val="fr-FR"/>
              </w:rPr>
              <w:t xml:space="preserve">universitaire </w:t>
            </w:r>
            <w:r w:rsidR="00DD7F18">
              <w:rPr>
                <w:rFonts w:ascii="Calibri" w:hAnsi="Calibri" w:cs="Calibri"/>
                <w:lang w:val="fr-FR"/>
              </w:rPr>
              <w:t>de</w:t>
            </w:r>
            <w:r w:rsidRPr="005A5327">
              <w:rPr>
                <w:rFonts w:ascii="Calibri" w:hAnsi="Calibri" w:cs="Calibri"/>
                <w:lang w:val="fr-FR"/>
              </w:rPr>
              <w:t xml:space="preserve"> niveau </w:t>
            </w:r>
            <w:r w:rsidR="006F3EC0">
              <w:rPr>
                <w:rFonts w:ascii="Calibri" w:hAnsi="Calibri" w:cs="Calibri"/>
                <w:b/>
                <w:bCs/>
                <w:lang w:val="fr-FR"/>
              </w:rPr>
              <w:t xml:space="preserve">Master </w:t>
            </w:r>
            <w:r w:rsidR="006F3EC0">
              <w:rPr>
                <w:rFonts w:ascii="Calibri" w:hAnsi="Calibri" w:cs="Calibri"/>
                <w:lang w:val="fr-FR"/>
              </w:rPr>
              <w:t xml:space="preserve">(ou plus) </w:t>
            </w:r>
            <w:r w:rsidRPr="005A5327">
              <w:rPr>
                <w:rFonts w:ascii="Calibri" w:hAnsi="Calibri" w:cs="Calibri"/>
                <w:lang w:val="fr-FR"/>
              </w:rPr>
              <w:t xml:space="preserve">en </w:t>
            </w:r>
            <w:r>
              <w:rPr>
                <w:rFonts w:ascii="Calibri" w:hAnsi="Calibri" w:cs="Calibri"/>
                <w:lang w:val="fr-FR"/>
              </w:rPr>
              <w:t>lien avec les normes en matière d’exploitation minière ou environnementales</w:t>
            </w:r>
          </w:p>
          <w:p w14:paraId="143B0679" w14:textId="51A58994" w:rsidR="00EE6AE9" w:rsidRPr="009C6D47" w:rsidRDefault="007A1E4B" w:rsidP="00EE6AE9">
            <w:pPr>
              <w:rPr>
                <w:rFonts w:cs="Arial"/>
                <w:lang w:val="fr-FR"/>
              </w:rPr>
            </w:pPr>
            <w:r>
              <w:rPr>
                <w:rFonts w:cstheme="minorHAnsi"/>
                <w:lang w:val="fr-FR"/>
              </w:rPr>
              <w:t>Responsable de la Composante</w:t>
            </w:r>
            <w:r w:rsidRPr="00E1540A">
              <w:rPr>
                <w:rFonts w:cstheme="minorHAnsi"/>
                <w:lang w:val="fr-FR"/>
              </w:rPr>
              <w:t xml:space="preserve"> Cohésion Sociale</w:t>
            </w:r>
            <w:r>
              <w:rPr>
                <w:rFonts w:cstheme="minorHAnsi"/>
                <w:lang w:val="fr-FR"/>
              </w:rPr>
              <w:t xml:space="preserve"> du Programme COSED</w:t>
            </w:r>
            <w:r w:rsidRPr="00E1540A">
              <w:rPr>
                <w:rFonts w:cstheme="minorHAnsi"/>
                <w:lang w:val="fr-FR"/>
              </w:rPr>
              <w:t xml:space="preserve"> </w:t>
            </w:r>
            <w:r w:rsidR="00EE6AE9" w:rsidRPr="009C6D47">
              <w:rPr>
                <w:rFonts w:cs="Arial"/>
                <w:lang w:val="fr-FR"/>
              </w:rPr>
              <w:t>Ouagadougou</w:t>
            </w:r>
          </w:p>
          <w:p w14:paraId="4E7FE436" w14:textId="5CEB8B6F" w:rsidR="00C721F4" w:rsidRPr="009C6D47" w:rsidRDefault="00EE6AE9" w:rsidP="00355943">
            <w:pPr>
              <w:rPr>
                <w:rFonts w:cs="Arial"/>
                <w:lang w:val="fr-FR"/>
              </w:rPr>
            </w:pPr>
            <w:r>
              <w:rPr>
                <w:rFonts w:cs="Arial"/>
                <w:i/>
                <w:lang w:val="fr-FR"/>
              </w:rPr>
              <w:t>Trente (30) jours à partir de la signature du contrat</w:t>
            </w:r>
          </w:p>
        </w:tc>
      </w:tr>
      <w:tr w:rsidR="003E6F3C" w:rsidRPr="00CD2828" w14:paraId="67344964"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gridSpan w:val="3"/>
            <w:tcBorders>
              <w:top w:val="single" w:sz="4" w:space="0" w:color="auto"/>
              <w:left w:val="nil"/>
              <w:bottom w:val="nil"/>
              <w:right w:val="nil"/>
            </w:tcBorders>
          </w:tcPr>
          <w:p w14:paraId="360D38E3" w14:textId="77777777" w:rsidR="003E6F3C" w:rsidRPr="002F5E5D" w:rsidRDefault="003E6F3C" w:rsidP="008979D4">
            <w:pPr>
              <w:rPr>
                <w:rFonts w:ascii="Calibri" w:hAnsi="Calibri" w:cs="Calibri"/>
                <w:lang w:val="fr-FR"/>
              </w:rPr>
            </w:pPr>
          </w:p>
        </w:tc>
        <w:tc>
          <w:tcPr>
            <w:tcW w:w="8551" w:type="dxa"/>
            <w:tcBorders>
              <w:top w:val="single" w:sz="4" w:space="0" w:color="auto"/>
              <w:left w:val="nil"/>
              <w:bottom w:val="nil"/>
              <w:right w:val="nil"/>
            </w:tcBorders>
          </w:tcPr>
          <w:p w14:paraId="344C1E54" w14:textId="77777777" w:rsidR="003E6F3C" w:rsidRPr="002F5E5D" w:rsidRDefault="003E6F3C" w:rsidP="008979D4">
            <w:pPr>
              <w:rPr>
                <w:rFonts w:ascii="Calibri" w:hAnsi="Calibri" w:cs="Calibri"/>
                <w:b/>
                <w:lang w:val="fr-FR"/>
              </w:rPr>
            </w:pPr>
          </w:p>
        </w:tc>
      </w:tr>
      <w:tr w:rsidR="003E6F3C" w:rsidRPr="002F5E5D" w14:paraId="30FCFA3D"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E0E0E0"/>
          </w:tcPr>
          <w:p w14:paraId="5BF0691A" w14:textId="77777777" w:rsidR="003E6F3C" w:rsidRPr="009C6D47" w:rsidRDefault="003E6F3C" w:rsidP="008979D4">
            <w:pPr>
              <w:pStyle w:val="Titre1"/>
              <w:rPr>
                <w:rFonts w:cs="Arial"/>
                <w:sz w:val="28"/>
                <w:szCs w:val="28"/>
                <w:lang w:val="fr-FR" w:eastAsia="en-US"/>
              </w:rPr>
            </w:pPr>
            <w:r w:rsidRPr="009C6D47">
              <w:rPr>
                <w:rFonts w:cs="Arial"/>
                <w:sz w:val="28"/>
                <w:szCs w:val="28"/>
                <w:lang w:val="fr-FR" w:eastAsia="en-US"/>
              </w:rPr>
              <w:t xml:space="preserve">II. Contexte Organisationnel </w:t>
            </w:r>
          </w:p>
        </w:tc>
      </w:tr>
      <w:tr w:rsidR="00387229" w:rsidRPr="00CD2828" w14:paraId="624EB18C"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vAlign w:val="center"/>
          </w:tcPr>
          <w:p w14:paraId="4BAC8477" w14:textId="569BE315" w:rsidR="005A5327" w:rsidRPr="005A5327" w:rsidRDefault="000638EA" w:rsidP="00452BBE">
            <w:pPr>
              <w:spacing w:line="276" w:lineRule="auto"/>
              <w:jc w:val="both"/>
              <w:rPr>
                <w:rFonts w:ascii="Calibri" w:hAnsi="Calibri" w:cs="Calibri"/>
                <w:lang w:val="fr-FR"/>
              </w:rPr>
            </w:pPr>
            <w:r w:rsidRPr="00452BBE">
              <w:rPr>
                <w:rFonts w:ascii="Calibri" w:hAnsi="Calibri" w:cs="Calibri"/>
                <w:lang w:val="fr-FR"/>
              </w:rPr>
              <w:t>Le Burkina Faso est en proie à des attaques terroristes de plus en plus fréquentes et meurtrières</w:t>
            </w:r>
            <w:r w:rsidR="00CD2828" w:rsidRPr="00452BBE">
              <w:rPr>
                <w:rFonts w:ascii="Calibri" w:hAnsi="Calibri" w:cs="Calibri"/>
                <w:lang w:val="fr-FR"/>
              </w:rPr>
              <w:t xml:space="preserve"> ces cinq (05) dernières </w:t>
            </w:r>
            <w:proofErr w:type="gramStart"/>
            <w:r w:rsidR="00CD2828" w:rsidRPr="00452BBE">
              <w:rPr>
                <w:rFonts w:ascii="Calibri" w:hAnsi="Calibri" w:cs="Calibri"/>
                <w:lang w:val="fr-FR"/>
              </w:rPr>
              <w:t>années,</w:t>
            </w:r>
            <w:r w:rsidR="005A5327" w:rsidRPr="005A5327">
              <w:rPr>
                <w:rFonts w:ascii="Calibri" w:hAnsi="Calibri" w:cs="Calibri"/>
                <w:lang w:val="fr-FR"/>
              </w:rPr>
              <w:t>.</w:t>
            </w:r>
            <w:proofErr w:type="gramEnd"/>
            <w:r w:rsidR="005A5327" w:rsidRPr="005A5327">
              <w:rPr>
                <w:rFonts w:ascii="Calibri" w:hAnsi="Calibri" w:cs="Calibri"/>
                <w:lang w:val="fr-FR"/>
              </w:rPr>
              <w:t xml:space="preserve"> </w:t>
            </w:r>
          </w:p>
          <w:p w14:paraId="745B2542" w14:textId="77777777" w:rsidR="000638EA" w:rsidRPr="00452BBE" w:rsidRDefault="000638EA" w:rsidP="00452BBE">
            <w:pPr>
              <w:spacing w:line="276" w:lineRule="auto"/>
              <w:jc w:val="both"/>
              <w:rPr>
                <w:rFonts w:ascii="Calibri" w:hAnsi="Calibri" w:cs="Calibri"/>
                <w:lang w:val="fr-FR"/>
              </w:rPr>
            </w:pPr>
            <w:r w:rsidRPr="00452BBE">
              <w:rPr>
                <w:rFonts w:ascii="Calibri" w:hAnsi="Calibri" w:cs="Calibri"/>
                <w:lang w:val="fr-FR"/>
              </w:rPr>
              <w:t>Cette situation a exacerbé l’insécurité multidimensionnelle (personnelle, économique, politique, sociale, environnementale, sanitaire, etc.) des populations et mis en exergue non seulement la fragilisation de la cohésion sociale mais aussi la nécessité de sa promotion.</w:t>
            </w:r>
          </w:p>
          <w:p w14:paraId="67B1407F" w14:textId="1E80E580" w:rsidR="000638EA" w:rsidRPr="00452BBE" w:rsidRDefault="000638EA" w:rsidP="00452BBE">
            <w:pPr>
              <w:spacing w:line="276" w:lineRule="auto"/>
              <w:jc w:val="both"/>
              <w:rPr>
                <w:rFonts w:ascii="Calibri" w:hAnsi="Calibri" w:cs="Calibri"/>
                <w:lang w:val="fr-FR"/>
              </w:rPr>
            </w:pPr>
            <w:r w:rsidRPr="00452BBE">
              <w:rPr>
                <w:rFonts w:ascii="Calibri" w:hAnsi="Calibri" w:cs="Calibri"/>
                <w:lang w:val="fr-FR"/>
              </w:rPr>
              <w:t>Aussi, ces menaces à la sécurité portent</w:t>
            </w:r>
            <w:r w:rsidR="00B7258D">
              <w:rPr>
                <w:rFonts w:ascii="Calibri" w:hAnsi="Calibri" w:cs="Calibri"/>
                <w:lang w:val="fr-FR"/>
              </w:rPr>
              <w:t>-elles</w:t>
            </w:r>
            <w:r w:rsidRPr="00452BBE">
              <w:rPr>
                <w:rFonts w:ascii="Calibri" w:hAnsi="Calibri" w:cs="Calibri"/>
                <w:lang w:val="fr-FR"/>
              </w:rPr>
              <w:t xml:space="preserve"> gravement atteinte aux efforts visant à relever efficacement divers défis de développement qui sont au cœur des actions des partenaires au développement du Burkina Faso.</w:t>
            </w:r>
          </w:p>
          <w:p w14:paraId="16043B28" w14:textId="72032084" w:rsidR="000638EA" w:rsidRPr="00452BBE" w:rsidRDefault="000638EA" w:rsidP="00452BBE">
            <w:pPr>
              <w:spacing w:line="276" w:lineRule="auto"/>
              <w:jc w:val="both"/>
              <w:rPr>
                <w:rFonts w:ascii="Calibri" w:hAnsi="Calibri" w:cs="Calibri"/>
                <w:lang w:val="fr-FR"/>
              </w:rPr>
            </w:pPr>
            <w:r w:rsidRPr="00452BBE">
              <w:rPr>
                <w:rFonts w:ascii="Calibri" w:hAnsi="Calibri" w:cs="Calibri"/>
                <w:lang w:val="fr-FR"/>
              </w:rPr>
              <w:t xml:space="preserve">Prenant la mesure de la situation et pour aider le Burkina Faso à agir de façon intégrée sur les causes sous-jacentes à la crise qu’il traverse, le Programme des </w:t>
            </w:r>
            <w:r w:rsidR="00452BBE">
              <w:rPr>
                <w:rFonts w:ascii="Calibri" w:hAnsi="Calibri" w:cs="Calibri"/>
                <w:lang w:val="fr-FR"/>
              </w:rPr>
              <w:t>N</w:t>
            </w:r>
            <w:r w:rsidRPr="00452BBE">
              <w:rPr>
                <w:rFonts w:ascii="Calibri" w:hAnsi="Calibri" w:cs="Calibri"/>
                <w:lang w:val="fr-FR"/>
              </w:rPr>
              <w:t xml:space="preserve">ations Unies pour le </w:t>
            </w:r>
            <w:r w:rsidR="00452BBE">
              <w:rPr>
                <w:rFonts w:ascii="Calibri" w:hAnsi="Calibri" w:cs="Calibri"/>
                <w:lang w:val="fr-FR"/>
              </w:rPr>
              <w:t>D</w:t>
            </w:r>
            <w:r w:rsidRPr="00452BBE">
              <w:rPr>
                <w:rFonts w:ascii="Calibri" w:hAnsi="Calibri" w:cs="Calibri"/>
                <w:lang w:val="fr-FR"/>
              </w:rPr>
              <w:t>éveloppement (PNUD) a initié le programme « État de droit, Sécurité et Cohésion sociale », qui a été approuvé par le Gouvernement du Burkina Faso en juillet 2019.</w:t>
            </w:r>
          </w:p>
          <w:p w14:paraId="3B5E1A0A" w14:textId="77777777" w:rsidR="000638EA" w:rsidRPr="00452BBE" w:rsidRDefault="000638EA" w:rsidP="00452BBE">
            <w:pPr>
              <w:spacing w:line="276" w:lineRule="auto"/>
              <w:jc w:val="both"/>
              <w:rPr>
                <w:rFonts w:ascii="Calibri" w:hAnsi="Calibri" w:cs="Calibri"/>
                <w:lang w:val="fr-FR"/>
              </w:rPr>
            </w:pPr>
            <w:r w:rsidRPr="00452BBE">
              <w:rPr>
                <w:rFonts w:ascii="Calibri" w:hAnsi="Calibri" w:cs="Calibri"/>
                <w:lang w:val="fr-FR"/>
              </w:rPr>
              <w:t>D’une durée de deux (2) ans, ce programme est mis en œuvre avec l’accompagnement de partenaires tels que le Ministère en charge de la Justice, le Ministère en charge des Droits Humains, le Ministères en charge de la Sécurité et de la Défense, le Ministère en charge de l’Administration Territoriale, le Ministère en charge des Mines, les Organisations de la Société Civile et les Centres de recherche.</w:t>
            </w:r>
          </w:p>
          <w:p w14:paraId="266D3A50" w14:textId="76C64E9D" w:rsidR="00555326" w:rsidRDefault="000638EA" w:rsidP="00452BBE">
            <w:pPr>
              <w:spacing w:line="276" w:lineRule="auto"/>
              <w:jc w:val="both"/>
              <w:rPr>
                <w:rFonts w:ascii="Calibri" w:hAnsi="Calibri" w:cs="Calibri"/>
                <w:lang w:val="fr-FR"/>
              </w:rPr>
            </w:pPr>
            <w:r w:rsidRPr="00452BBE">
              <w:rPr>
                <w:rFonts w:ascii="Calibri" w:hAnsi="Calibri" w:cs="Calibri"/>
                <w:lang w:val="fr-FR"/>
              </w:rPr>
              <w:t xml:space="preserve">L’objectif global visé par le programme est de répondre au contexte national caractérisé par « </w:t>
            </w:r>
            <w:r w:rsidRPr="00452BBE">
              <w:rPr>
                <w:rFonts w:ascii="Calibri" w:hAnsi="Calibri" w:cs="Calibri"/>
                <w:b/>
                <w:bCs/>
                <w:lang w:val="fr-FR"/>
              </w:rPr>
              <w:t>une paix fragile et menacé</w:t>
            </w:r>
            <w:r w:rsidRPr="00452BBE">
              <w:rPr>
                <w:rFonts w:ascii="Calibri" w:hAnsi="Calibri" w:cs="Calibri"/>
                <w:lang w:val="fr-FR"/>
              </w:rPr>
              <w:t>e ». Il s’attache ainsi à œuvrer à l’amélioration de l’efficacité des institutions d’ici 2021, afin que les populations du Burkina Faso, en particulier les plus exposées aux risques de conflits et à l’insécurité, vivent en paix et en sécurité dans un État de droit</w:t>
            </w:r>
            <w:r w:rsidR="009D5650">
              <w:rPr>
                <w:rFonts w:ascii="Calibri" w:hAnsi="Calibri" w:cs="Calibri"/>
                <w:lang w:val="fr-FR"/>
              </w:rPr>
              <w:t>.</w:t>
            </w:r>
          </w:p>
          <w:p w14:paraId="01CAB695"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lastRenderedPageBreak/>
              <w:t xml:space="preserve">La mise en œuvre du programme s’articule autour de trois composantes : (i) </w:t>
            </w:r>
            <w:r w:rsidRPr="00452BBE">
              <w:rPr>
                <w:rFonts w:ascii="Calibri" w:hAnsi="Calibri" w:cs="Calibri"/>
                <w:b/>
                <w:bCs/>
                <w:lang w:val="fr-FR"/>
              </w:rPr>
              <w:t>justice et Droits Humains;</w:t>
            </w:r>
            <w:r w:rsidRPr="00452BBE">
              <w:rPr>
                <w:rFonts w:ascii="Calibri" w:hAnsi="Calibri" w:cs="Calibri"/>
                <w:lang w:val="fr-FR"/>
              </w:rPr>
              <w:t xml:space="preserve"> (ii) </w:t>
            </w:r>
            <w:r w:rsidRPr="00452BBE">
              <w:rPr>
                <w:rFonts w:ascii="Calibri" w:hAnsi="Calibri" w:cs="Calibri"/>
                <w:b/>
                <w:bCs/>
                <w:lang w:val="fr-FR"/>
              </w:rPr>
              <w:t>sécurité</w:t>
            </w:r>
            <w:r w:rsidRPr="00452BBE">
              <w:rPr>
                <w:rFonts w:ascii="Calibri" w:hAnsi="Calibri" w:cs="Calibri"/>
                <w:lang w:val="fr-FR"/>
              </w:rPr>
              <w:t xml:space="preserve"> et (iii) </w:t>
            </w:r>
            <w:r w:rsidRPr="00452BBE">
              <w:rPr>
                <w:rFonts w:ascii="Calibri" w:hAnsi="Calibri" w:cs="Calibri"/>
                <w:b/>
                <w:bCs/>
                <w:lang w:val="fr-FR"/>
              </w:rPr>
              <w:t>cohésion sociale et réconciliation nationale</w:t>
            </w:r>
            <w:r w:rsidRPr="00452BBE">
              <w:rPr>
                <w:rFonts w:ascii="Calibri" w:hAnsi="Calibri" w:cs="Calibri"/>
                <w:lang w:val="fr-FR"/>
              </w:rPr>
              <w:t xml:space="preserve">.  </w:t>
            </w:r>
          </w:p>
          <w:p w14:paraId="58CB2E72"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 xml:space="preserve">Dans la composante </w:t>
            </w:r>
            <w:r w:rsidRPr="00452BBE">
              <w:rPr>
                <w:rFonts w:ascii="Calibri" w:hAnsi="Calibri" w:cs="Calibri"/>
                <w:b/>
                <w:bCs/>
                <w:lang w:val="fr-FR"/>
              </w:rPr>
              <w:t>cohésion sociale et réconciliation nationale</w:t>
            </w:r>
            <w:r w:rsidRPr="00452BBE">
              <w:rPr>
                <w:rFonts w:ascii="Calibri" w:hAnsi="Calibri" w:cs="Calibri"/>
                <w:lang w:val="fr-FR"/>
              </w:rPr>
              <w:t xml:space="preserve">, on retient de l’analyse du contexte national d’une part que la menace à la cohésion sociale est liée à plusieurs facteurs dont les pratiques de l’exploitation minière, les compétitions sur les ressources entre agriculteurs et éleveurs. </w:t>
            </w:r>
          </w:p>
          <w:p w14:paraId="05C1ADBA"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 xml:space="preserve">D’autre part, elle révèle également que la faible valorisation des mécanismes et structures de prévention et de gestion des conflits favorise l’effritement du tissu social en termes du « vivre ensemble ». </w:t>
            </w:r>
          </w:p>
          <w:p w14:paraId="723268AC"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 xml:space="preserve">A terme, la mise en œuvre du </w:t>
            </w:r>
            <w:r w:rsidRPr="00452BBE">
              <w:rPr>
                <w:rFonts w:ascii="Calibri" w:hAnsi="Calibri" w:cs="Calibri"/>
                <w:b/>
                <w:bCs/>
                <w:lang w:val="fr-FR"/>
              </w:rPr>
              <w:t>résultat 3.1</w:t>
            </w:r>
            <w:r w:rsidRPr="00452BBE">
              <w:rPr>
                <w:rFonts w:ascii="Calibri" w:hAnsi="Calibri" w:cs="Calibri"/>
                <w:lang w:val="fr-FR"/>
              </w:rPr>
              <w:t xml:space="preserve"> de la composante cohésion sociale et réconciliation nationale : « </w:t>
            </w:r>
            <w:r w:rsidRPr="00452BBE">
              <w:rPr>
                <w:rFonts w:ascii="Calibri" w:hAnsi="Calibri" w:cs="Calibri"/>
                <w:b/>
                <w:bCs/>
                <w:lang w:val="fr-FR"/>
              </w:rPr>
              <w:t>les sociétés minières respectent les dispositions du code minier relatives à leurs responsabilités sociales et environnementales</w:t>
            </w:r>
            <w:r w:rsidRPr="00452BBE">
              <w:rPr>
                <w:rFonts w:ascii="Calibri" w:hAnsi="Calibri" w:cs="Calibri"/>
                <w:lang w:val="fr-FR"/>
              </w:rPr>
              <w:t> » vise l’atteinte de deux (02) produits qui sont :</w:t>
            </w:r>
          </w:p>
          <w:p w14:paraId="12E67FDB" w14:textId="77777777" w:rsidR="009D5650" w:rsidRPr="00452BBE" w:rsidRDefault="009D5650" w:rsidP="00452BBE">
            <w:pPr>
              <w:pStyle w:val="Paragraphedeliste"/>
              <w:numPr>
                <w:ilvl w:val="0"/>
                <w:numId w:val="6"/>
              </w:numPr>
              <w:spacing w:before="240" w:after="240" w:line="276" w:lineRule="auto"/>
              <w:ind w:left="714" w:hanging="357"/>
              <w:contextualSpacing w:val="0"/>
              <w:jc w:val="both"/>
              <w:rPr>
                <w:rFonts w:ascii="Calibri" w:eastAsia="Times New Roman" w:hAnsi="Calibri" w:cs="Calibri"/>
                <w:lang w:val="fr-FR" w:eastAsia="en-US"/>
              </w:rPr>
            </w:pPr>
            <w:r w:rsidRPr="00452BBE">
              <w:rPr>
                <w:rFonts w:ascii="Calibri" w:eastAsia="Times New Roman" w:hAnsi="Calibri" w:cs="Calibri"/>
                <w:b/>
                <w:bCs/>
                <w:lang w:val="fr-FR" w:eastAsia="en-US"/>
              </w:rPr>
              <w:t>Produit 3.1</w:t>
            </w:r>
            <w:r w:rsidRPr="00452BBE">
              <w:rPr>
                <w:rFonts w:ascii="Calibri" w:eastAsia="Times New Roman" w:hAnsi="Calibri" w:cs="Calibri"/>
                <w:lang w:val="fr-FR" w:eastAsia="en-US"/>
              </w:rPr>
              <w:t xml:space="preserve"> : Les OSC et les responsables des collectivités territoriales disposent de connaissance et d'informations sur les dispositions du code minier relatives à la RSE des sociétés minières ;</w:t>
            </w:r>
          </w:p>
          <w:p w14:paraId="2FC3A14B" w14:textId="77777777" w:rsidR="009D5650" w:rsidRPr="00452BBE" w:rsidRDefault="009D5650" w:rsidP="00452BBE">
            <w:pPr>
              <w:pStyle w:val="Paragraphedeliste"/>
              <w:numPr>
                <w:ilvl w:val="0"/>
                <w:numId w:val="6"/>
              </w:numPr>
              <w:spacing w:before="240" w:after="240" w:line="276" w:lineRule="auto"/>
              <w:ind w:left="714" w:hanging="357"/>
              <w:contextualSpacing w:val="0"/>
              <w:jc w:val="both"/>
              <w:rPr>
                <w:rFonts w:ascii="Calibri" w:eastAsia="Times New Roman" w:hAnsi="Calibri" w:cs="Calibri"/>
                <w:lang w:val="fr-FR" w:eastAsia="en-US"/>
              </w:rPr>
            </w:pPr>
            <w:r w:rsidRPr="00452BBE">
              <w:rPr>
                <w:rFonts w:ascii="Calibri" w:eastAsia="Times New Roman" w:hAnsi="Calibri" w:cs="Calibri"/>
                <w:lang w:val="fr-FR" w:eastAsia="en-US"/>
              </w:rPr>
              <w:t xml:space="preserve"> </w:t>
            </w:r>
            <w:r w:rsidRPr="00452BBE">
              <w:rPr>
                <w:rFonts w:ascii="Calibri" w:eastAsia="Times New Roman" w:hAnsi="Calibri" w:cs="Calibri"/>
                <w:b/>
                <w:bCs/>
                <w:lang w:val="fr-FR" w:eastAsia="en-US"/>
              </w:rPr>
              <w:t>Produit 3.2</w:t>
            </w:r>
            <w:r w:rsidRPr="00452BBE">
              <w:rPr>
                <w:rFonts w:ascii="Calibri" w:eastAsia="Times New Roman" w:hAnsi="Calibri" w:cs="Calibri"/>
                <w:lang w:val="fr-FR" w:eastAsia="en-US"/>
              </w:rPr>
              <w:t> : Les OSC disposent des capacités techniques et matérielles pour contrôler les activités des sociétés minières.</w:t>
            </w:r>
          </w:p>
          <w:p w14:paraId="7F0F7E94"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 xml:space="preserve">Ainsi, dans le cadre de la mise en œuvre du </w:t>
            </w:r>
            <w:r w:rsidRPr="00452BBE">
              <w:rPr>
                <w:rFonts w:ascii="Calibri" w:hAnsi="Calibri" w:cs="Calibri"/>
                <w:b/>
                <w:bCs/>
                <w:lang w:val="fr-FR"/>
              </w:rPr>
              <w:t>produit 3.1</w:t>
            </w:r>
            <w:r w:rsidRPr="00452BBE">
              <w:rPr>
                <w:rFonts w:ascii="Calibri" w:hAnsi="Calibri" w:cs="Calibri"/>
                <w:lang w:val="fr-FR"/>
              </w:rPr>
              <w:t>, le programme attend renforcer les capacités des OSC et des responsables des collectivités territoriales des zones minières pour qu’ils disposent de connaissance et d'informations sur les dispositions du code minier relatives à la RSE des sociétés minières.</w:t>
            </w:r>
          </w:p>
          <w:p w14:paraId="1077E6C9" w14:textId="77777777"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Mais avant, il est nécessaire pour le Programme de disposer d’un guide d’information et de formation sur la RSE des sociétés minières.</w:t>
            </w:r>
          </w:p>
          <w:p w14:paraId="62DD599A" w14:textId="4E0B0F25"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 xml:space="preserve">Étant donné que la Direction Générale de la Promotion de la Cohésion </w:t>
            </w:r>
            <w:r w:rsidR="00452BBE">
              <w:rPr>
                <w:rFonts w:ascii="Calibri" w:hAnsi="Calibri" w:cs="Calibri"/>
                <w:lang w:val="fr-FR"/>
              </w:rPr>
              <w:t>S</w:t>
            </w:r>
            <w:r w:rsidRPr="00452BBE">
              <w:rPr>
                <w:rFonts w:ascii="Calibri" w:hAnsi="Calibri" w:cs="Calibri"/>
                <w:lang w:val="fr-FR"/>
              </w:rPr>
              <w:t>ociale (</w:t>
            </w:r>
            <w:r w:rsidRPr="00452BBE">
              <w:rPr>
                <w:rFonts w:ascii="Calibri" w:hAnsi="Calibri" w:cs="Calibri"/>
                <w:b/>
                <w:bCs/>
                <w:lang w:val="fr-FR"/>
              </w:rPr>
              <w:t>DGPCS</w:t>
            </w:r>
            <w:r w:rsidRPr="00452BBE">
              <w:rPr>
                <w:rFonts w:ascii="Calibri" w:hAnsi="Calibri" w:cs="Calibri"/>
                <w:lang w:val="fr-FR"/>
              </w:rPr>
              <w:t>) la structure nationale de coordination et de mise en œuvre de la politique du Gouvernement en matière de cohésion sociale au Burkina Faso, le PNUD a sollicité son appui technique pour la mise en œuvre des actions du volet cohésion sociale de la composante cohésion sociale et réconciliation nationale dudit programme.</w:t>
            </w:r>
          </w:p>
          <w:p w14:paraId="60C345B4" w14:textId="04B18FE0" w:rsidR="009D5650" w:rsidRPr="00452BBE"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C’est fort de ce qui précède que l</w:t>
            </w:r>
            <w:r w:rsidR="0076728A">
              <w:rPr>
                <w:rFonts w:ascii="Calibri" w:hAnsi="Calibri" w:cs="Calibri"/>
                <w:lang w:val="fr-FR"/>
              </w:rPr>
              <w:t>e</w:t>
            </w:r>
            <w:r w:rsidRPr="00452BBE">
              <w:rPr>
                <w:rFonts w:ascii="Calibri" w:hAnsi="Calibri" w:cs="Calibri"/>
                <w:lang w:val="fr-FR"/>
              </w:rPr>
              <w:t xml:space="preserve"> </w:t>
            </w:r>
            <w:r w:rsidR="0076728A">
              <w:rPr>
                <w:rFonts w:ascii="Calibri" w:hAnsi="Calibri" w:cs="Calibri"/>
                <w:lang w:val="fr-FR"/>
              </w:rPr>
              <w:t>PNUD</w:t>
            </w:r>
            <w:r w:rsidRPr="00452BBE">
              <w:rPr>
                <w:rFonts w:ascii="Calibri" w:hAnsi="Calibri" w:cs="Calibri"/>
                <w:lang w:val="fr-FR"/>
              </w:rPr>
              <w:t xml:space="preserve"> souhaite recruter un consultant (e) individuel national (e) au profit du programme « État de droit, Sécurité et Cohésion sociale » pour conduire la mission d’élaboration d’un guide d’information et de formation sur la RSE au profit des OSC et des collectivités territoriales des zones minières et d’assurer la formation au profit des groupes cibles ci-dessus mentionnés.</w:t>
            </w:r>
          </w:p>
          <w:p w14:paraId="67131663" w14:textId="51F133A5" w:rsidR="005A5327" w:rsidRPr="009C6D47" w:rsidRDefault="009D5650" w:rsidP="00452BBE">
            <w:pPr>
              <w:spacing w:before="240" w:after="240" w:line="276" w:lineRule="auto"/>
              <w:jc w:val="both"/>
              <w:rPr>
                <w:rFonts w:ascii="Calibri" w:hAnsi="Calibri" w:cs="Calibri"/>
                <w:lang w:val="fr-FR"/>
              </w:rPr>
            </w:pPr>
            <w:r w:rsidRPr="00452BBE">
              <w:rPr>
                <w:rFonts w:ascii="Calibri" w:hAnsi="Calibri" w:cs="Calibri"/>
                <w:lang w:val="fr-FR"/>
              </w:rPr>
              <w:t>Les présents termes de référence visent à préciser les conditions pour un bon déroulement de cette mission de consultance</w:t>
            </w:r>
            <w:r w:rsidR="00B7258D">
              <w:rPr>
                <w:rFonts w:ascii="Calibri" w:hAnsi="Calibri" w:cs="Calibri"/>
                <w:lang w:val="fr-FR"/>
              </w:rPr>
              <w:t>.</w:t>
            </w:r>
          </w:p>
        </w:tc>
      </w:tr>
      <w:tr w:rsidR="00E124CC" w:rsidRPr="002F5E5D" w14:paraId="585EC826"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shd w:val="clear" w:color="auto" w:fill="E0E0E0"/>
          </w:tcPr>
          <w:p w14:paraId="7FFE430A" w14:textId="2D4C0BAC" w:rsidR="00E124CC" w:rsidRPr="0034419E" w:rsidRDefault="00E124CC" w:rsidP="00E124CC">
            <w:pPr>
              <w:rPr>
                <w:rFonts w:cstheme="minorHAnsi"/>
                <w:b/>
                <w:sz w:val="28"/>
                <w:szCs w:val="28"/>
                <w:lang w:val="fr-FR"/>
              </w:rPr>
            </w:pPr>
            <w:r w:rsidRPr="0034419E">
              <w:rPr>
                <w:rFonts w:cstheme="minorHAnsi"/>
                <w:b/>
                <w:color w:val="000000"/>
                <w:sz w:val="28"/>
                <w:szCs w:val="28"/>
                <w:lang w:val="fr-FR"/>
              </w:rPr>
              <w:lastRenderedPageBreak/>
              <w:t xml:space="preserve">III. </w:t>
            </w:r>
            <w:r w:rsidR="0034419E">
              <w:rPr>
                <w:rFonts w:cstheme="minorHAnsi"/>
                <w:b/>
                <w:color w:val="000000"/>
                <w:sz w:val="28"/>
                <w:szCs w:val="28"/>
                <w:lang w:val="fr-FR"/>
              </w:rPr>
              <w:t>Objectifs</w:t>
            </w:r>
          </w:p>
        </w:tc>
      </w:tr>
      <w:tr w:rsidR="00E124CC" w:rsidRPr="00CD2828" w14:paraId="0D5507C8"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vAlign w:val="center"/>
          </w:tcPr>
          <w:p w14:paraId="78686A0C" w14:textId="59689834" w:rsidR="0034419E" w:rsidRDefault="0034419E" w:rsidP="00EE6AE9">
            <w:pPr>
              <w:rPr>
                <w:rFonts w:ascii="Calibri" w:hAnsi="Calibri" w:cs="Calibri"/>
                <w:lang w:val="fr-FR"/>
              </w:rPr>
            </w:pPr>
          </w:p>
          <w:p w14:paraId="1CA3F11D" w14:textId="46C8FCE2" w:rsidR="0034419E" w:rsidRPr="0034419E" w:rsidRDefault="0034419E" w:rsidP="00EE6AE9">
            <w:pPr>
              <w:rPr>
                <w:rFonts w:ascii="Calibri" w:hAnsi="Calibri" w:cs="Calibri"/>
                <w:b/>
                <w:bCs/>
                <w:lang w:val="fr-FR"/>
              </w:rPr>
            </w:pPr>
            <w:r w:rsidRPr="0034419E">
              <w:rPr>
                <w:rFonts w:ascii="Calibri" w:hAnsi="Calibri" w:cs="Calibri"/>
                <w:b/>
                <w:bCs/>
                <w:lang w:val="fr-FR"/>
              </w:rPr>
              <w:t>3.1-Objectif général</w:t>
            </w:r>
          </w:p>
          <w:p w14:paraId="24CDF218" w14:textId="77777777" w:rsidR="0034419E" w:rsidRPr="00B7258D" w:rsidRDefault="0034419E" w:rsidP="0034419E">
            <w:pPr>
              <w:spacing w:line="276" w:lineRule="auto"/>
              <w:jc w:val="both"/>
              <w:rPr>
                <w:rFonts w:cstheme="minorHAnsi"/>
              </w:rPr>
            </w:pPr>
            <w:r w:rsidRPr="00B7258D">
              <w:rPr>
                <w:rFonts w:cstheme="minorHAnsi"/>
              </w:rPr>
              <w:lastRenderedPageBreak/>
              <w:t>L’objectif général est d’élaborer un guide d’information et de formation sur la RSE au profit des OSC et des collectivités territoriales des zones minières et d’assurer la formation au profit des groupes cibles ci-dessus mentionnés.</w:t>
            </w:r>
          </w:p>
          <w:p w14:paraId="668BCAEF" w14:textId="340D21AA" w:rsidR="0034419E" w:rsidRDefault="0034419E" w:rsidP="00EE6AE9">
            <w:pPr>
              <w:rPr>
                <w:rFonts w:ascii="Calibri" w:hAnsi="Calibri" w:cs="Calibri"/>
                <w:lang w:val="fr-FR"/>
              </w:rPr>
            </w:pPr>
          </w:p>
          <w:p w14:paraId="55C33E20" w14:textId="008011E6" w:rsidR="0034419E" w:rsidRPr="0034419E" w:rsidRDefault="0034419E" w:rsidP="0034419E">
            <w:pPr>
              <w:rPr>
                <w:rFonts w:ascii="Calibri" w:hAnsi="Calibri" w:cs="Calibri"/>
                <w:b/>
                <w:bCs/>
                <w:lang w:val="fr-FR"/>
              </w:rPr>
            </w:pPr>
            <w:r w:rsidRPr="0034419E">
              <w:rPr>
                <w:rFonts w:ascii="Calibri" w:hAnsi="Calibri" w:cs="Calibri"/>
                <w:b/>
                <w:bCs/>
                <w:lang w:val="fr-FR"/>
              </w:rPr>
              <w:t>3.1-Objectif</w:t>
            </w:r>
            <w:r w:rsidR="00866CC0">
              <w:rPr>
                <w:rFonts w:ascii="Calibri" w:hAnsi="Calibri" w:cs="Calibri"/>
                <w:b/>
                <w:bCs/>
                <w:lang w:val="fr-FR"/>
              </w:rPr>
              <w:t>s</w:t>
            </w:r>
            <w:r w:rsidRPr="0034419E">
              <w:rPr>
                <w:rFonts w:ascii="Calibri" w:hAnsi="Calibri" w:cs="Calibri"/>
                <w:b/>
                <w:bCs/>
                <w:lang w:val="fr-FR"/>
              </w:rPr>
              <w:t xml:space="preserve"> </w:t>
            </w:r>
            <w:r w:rsidR="00866CC0">
              <w:rPr>
                <w:rFonts w:ascii="Calibri" w:hAnsi="Calibri" w:cs="Calibri"/>
                <w:b/>
                <w:bCs/>
                <w:lang w:val="fr-FR"/>
              </w:rPr>
              <w:t>spécifiques :</w:t>
            </w:r>
          </w:p>
          <w:p w14:paraId="76D147FA" w14:textId="77777777" w:rsidR="0034419E" w:rsidRDefault="0034419E" w:rsidP="00EE6AE9">
            <w:pPr>
              <w:rPr>
                <w:rFonts w:ascii="Calibri" w:hAnsi="Calibri" w:cs="Calibri"/>
                <w:lang w:val="fr-FR"/>
              </w:rPr>
            </w:pPr>
          </w:p>
          <w:p w14:paraId="4272E3C3" w14:textId="01915D7F" w:rsidR="00F875A8"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définir le contenu d’information, sensibilisation, formation et de mise en pratique de la RSE structuré en modules assortis de séquences, d’objectifs pédagogiques et d’outils de formation, d’information, de mise en pratique. Le guide devra faire ressortir les informations suivantes : les principes et fondements de la RSE, la pratique de la RSE au Burkina Faso, les bonnes pratiques, les défis/enjeux de la RSE, les avantages pour les entreprises minières et les communautés des zones minières</w:t>
            </w:r>
            <w:r w:rsidR="00B7258D">
              <w:rPr>
                <w:rFonts w:ascii="Calibri" w:hAnsi="Calibri" w:cs="Calibri"/>
                <w:lang w:val="fr-FR"/>
              </w:rPr>
              <w:t> ;</w:t>
            </w:r>
            <w:r w:rsidRPr="00452BBE">
              <w:rPr>
                <w:rFonts w:ascii="Calibri" w:hAnsi="Calibri" w:cs="Calibri"/>
                <w:lang w:val="fr-FR"/>
              </w:rPr>
              <w:t xml:space="preserve"> </w:t>
            </w:r>
          </w:p>
          <w:p w14:paraId="758C78C5" w14:textId="1AF62FAF" w:rsidR="00E124CC"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identifier des bonnes pratiques de la RSE dans les zones minières au Burkina Faso</w:t>
            </w:r>
            <w:r w:rsidR="00B7258D">
              <w:rPr>
                <w:rFonts w:ascii="Calibri" w:hAnsi="Calibri" w:cs="Calibri"/>
                <w:lang w:val="fr-FR"/>
              </w:rPr>
              <w:t> ;</w:t>
            </w:r>
          </w:p>
          <w:p w14:paraId="3F9A53E2" w14:textId="40BA1237" w:rsidR="00F875A8"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développer des modules de formation et des outils de formation, d’information, de sensibilisation et de mise en pratique de la RSE</w:t>
            </w:r>
            <w:r w:rsidR="00B7258D">
              <w:rPr>
                <w:rFonts w:ascii="Calibri" w:hAnsi="Calibri" w:cs="Calibri"/>
                <w:lang w:val="fr-FR"/>
              </w:rPr>
              <w:t> ;</w:t>
            </w:r>
          </w:p>
          <w:p w14:paraId="65AD7852" w14:textId="346DB245" w:rsidR="00F875A8"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définir la méthodologie, l’organisation et l’évaluation des actions de formation, d’information-sensibilisation et de mise en pratique de la RSE</w:t>
            </w:r>
            <w:r w:rsidR="00B7258D">
              <w:rPr>
                <w:rFonts w:ascii="Calibri" w:hAnsi="Calibri" w:cs="Calibri"/>
                <w:lang w:val="fr-FR"/>
              </w:rPr>
              <w:t> ;</w:t>
            </w:r>
          </w:p>
          <w:p w14:paraId="21932BF6" w14:textId="57219525" w:rsidR="00F875A8"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proposer des techniques d’animation de la formation RSE, d’information sur les bonnes pratiques adaptées au public cible</w:t>
            </w:r>
            <w:r w:rsidR="00B7258D">
              <w:rPr>
                <w:rFonts w:ascii="Calibri" w:hAnsi="Calibri" w:cs="Calibri"/>
                <w:lang w:val="fr-FR"/>
              </w:rPr>
              <w:t> ;</w:t>
            </w:r>
          </w:p>
          <w:p w14:paraId="46B79ED4" w14:textId="3E63842F" w:rsidR="00F875A8" w:rsidRPr="00452BBE" w:rsidRDefault="00F875A8" w:rsidP="00452BBE">
            <w:pPr>
              <w:pStyle w:val="Paragraphedeliste"/>
              <w:numPr>
                <w:ilvl w:val="0"/>
                <w:numId w:val="7"/>
              </w:numPr>
              <w:spacing w:line="276" w:lineRule="auto"/>
              <w:rPr>
                <w:rFonts w:ascii="Calibri" w:hAnsi="Calibri" w:cs="Calibri"/>
                <w:lang w:val="fr-FR"/>
              </w:rPr>
            </w:pPr>
            <w:r w:rsidRPr="00452BBE">
              <w:rPr>
                <w:rFonts w:ascii="Calibri" w:hAnsi="Calibri" w:cs="Calibri"/>
                <w:lang w:val="fr-FR"/>
              </w:rPr>
              <w:t>renforcer les capacités opérationnelles des OSC et des collectivités territoriales des zones minières pour une meilleure appropriation du guide d’information et le suivi-évaluation des actions des entreprises minières en matière de RSE dans leurs localités respectives</w:t>
            </w:r>
            <w:r w:rsidR="00B7258D">
              <w:rPr>
                <w:rFonts w:ascii="Calibri" w:hAnsi="Calibri" w:cs="Calibri"/>
                <w:lang w:val="fr-FR"/>
              </w:rPr>
              <w:t>.</w:t>
            </w:r>
          </w:p>
        </w:tc>
      </w:tr>
      <w:tr w:rsidR="00E124CC" w:rsidRPr="002F5E5D" w14:paraId="454A2D8F"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shd w:val="clear" w:color="auto" w:fill="E0E0E0"/>
          </w:tcPr>
          <w:p w14:paraId="12183231" w14:textId="34C76D7A" w:rsidR="00E124CC" w:rsidRPr="008A3C4E" w:rsidRDefault="00E124CC" w:rsidP="00E124CC">
            <w:pPr>
              <w:tabs>
                <w:tab w:val="num" w:pos="900"/>
              </w:tabs>
              <w:jc w:val="both"/>
              <w:rPr>
                <w:rFonts w:cs="Arial"/>
                <w:b/>
                <w:sz w:val="28"/>
                <w:szCs w:val="28"/>
                <w:lang w:val="fr-FR"/>
              </w:rPr>
            </w:pPr>
            <w:r w:rsidRPr="008A3C4E">
              <w:rPr>
                <w:rFonts w:cs="Arial"/>
                <w:b/>
                <w:sz w:val="28"/>
                <w:szCs w:val="28"/>
                <w:lang w:val="fr-FR"/>
              </w:rPr>
              <w:lastRenderedPageBreak/>
              <w:t xml:space="preserve">IV. </w:t>
            </w:r>
            <w:r w:rsidR="00866CC0">
              <w:rPr>
                <w:rFonts w:cs="Arial"/>
                <w:b/>
                <w:sz w:val="28"/>
                <w:szCs w:val="28"/>
                <w:lang w:val="fr-FR"/>
              </w:rPr>
              <w:t>Résultats attendus</w:t>
            </w:r>
          </w:p>
        </w:tc>
      </w:tr>
      <w:tr w:rsidR="00E124CC" w:rsidRPr="00CD2828" w14:paraId="3EA8E227" w14:textId="77777777" w:rsidTr="007C2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1550"/>
        </w:trPr>
        <w:tc>
          <w:tcPr>
            <w:tcW w:w="11424" w:type="dxa"/>
            <w:gridSpan w:val="4"/>
            <w:tcBorders>
              <w:bottom w:val="single" w:sz="4" w:space="0" w:color="auto"/>
            </w:tcBorders>
          </w:tcPr>
          <w:p w14:paraId="49C2A3C9" w14:textId="61BFAC79" w:rsidR="00E124CC" w:rsidRDefault="00E124CC" w:rsidP="00E124CC">
            <w:pPr>
              <w:tabs>
                <w:tab w:val="num" w:pos="900"/>
              </w:tabs>
              <w:jc w:val="both"/>
              <w:rPr>
                <w:rFonts w:cstheme="minorHAnsi"/>
                <w:lang w:val="fr-FR"/>
              </w:rPr>
            </w:pPr>
          </w:p>
          <w:p w14:paraId="11487EEB" w14:textId="57C9099C" w:rsidR="00866CC0" w:rsidRDefault="007C28B8" w:rsidP="00E124CC">
            <w:pPr>
              <w:tabs>
                <w:tab w:val="num" w:pos="900"/>
              </w:tabs>
              <w:jc w:val="both"/>
              <w:rPr>
                <w:rFonts w:cstheme="minorHAnsi"/>
                <w:b/>
                <w:bCs/>
                <w:lang w:val="fr-FR"/>
              </w:rPr>
            </w:pPr>
            <w:r>
              <w:rPr>
                <w:rFonts w:cstheme="minorHAnsi"/>
                <w:b/>
                <w:bCs/>
                <w:lang w:val="fr-FR"/>
              </w:rPr>
              <w:t xml:space="preserve">4.1- </w:t>
            </w:r>
            <w:r w:rsidR="00866CC0" w:rsidRPr="00866CC0">
              <w:rPr>
                <w:rFonts w:cstheme="minorHAnsi"/>
                <w:b/>
                <w:bCs/>
                <w:lang w:val="fr-FR"/>
              </w:rPr>
              <w:t>Résultats attendus</w:t>
            </w:r>
          </w:p>
          <w:p w14:paraId="5785139E" w14:textId="14398F94" w:rsidR="00866CC0" w:rsidRPr="00B7258D" w:rsidRDefault="00866CC0" w:rsidP="00866CC0">
            <w:pPr>
              <w:spacing w:before="240" w:after="240" w:line="276" w:lineRule="auto"/>
              <w:jc w:val="both"/>
              <w:rPr>
                <w:rFonts w:cstheme="minorHAnsi"/>
              </w:rPr>
            </w:pPr>
            <w:r w:rsidRPr="00B7258D">
              <w:rPr>
                <w:rFonts w:cstheme="minorHAnsi"/>
              </w:rPr>
              <w:t>Les résultats attendus à la fin de la prestation sont les suivants:</w:t>
            </w:r>
          </w:p>
          <w:p w14:paraId="274E71C3" w14:textId="35CB7438" w:rsidR="00866CC0" w:rsidRPr="00B7258D" w:rsidRDefault="00866CC0" w:rsidP="00866CC0">
            <w:pPr>
              <w:pStyle w:val="Paragraphedeliste"/>
              <w:numPr>
                <w:ilvl w:val="0"/>
                <w:numId w:val="14"/>
              </w:numPr>
              <w:spacing w:before="120" w:after="120" w:line="276" w:lineRule="auto"/>
              <w:contextualSpacing w:val="0"/>
              <w:jc w:val="both"/>
              <w:rPr>
                <w:rFonts w:asciiTheme="minorHAnsi" w:hAnsiTheme="minorHAnsi" w:cstheme="minorHAnsi"/>
              </w:rPr>
            </w:pPr>
            <w:r w:rsidRPr="00B7258D">
              <w:rPr>
                <w:rFonts w:asciiTheme="minorHAnsi" w:hAnsiTheme="minorHAnsi" w:cstheme="minorHAnsi"/>
              </w:rPr>
              <w:t xml:space="preserve">un guide d’information et de formation sur la RSE est disponible pour aider les OSC et les collectivités territoriales des zones minières dans l’information, la formation, la sensibilisation pour un engagement citoyen et responsable des communautés riveraines des sites </w:t>
            </w:r>
            <w:proofErr w:type="gramStart"/>
            <w:r w:rsidRPr="00B7258D">
              <w:rPr>
                <w:rFonts w:asciiTheme="minorHAnsi" w:hAnsiTheme="minorHAnsi" w:cstheme="minorHAnsi"/>
              </w:rPr>
              <w:t>miniers;</w:t>
            </w:r>
            <w:proofErr w:type="gramEnd"/>
          </w:p>
          <w:p w14:paraId="076F05C2" w14:textId="3872B796" w:rsidR="00866CC0" w:rsidRPr="00B7258D" w:rsidRDefault="00866CC0" w:rsidP="00866CC0">
            <w:pPr>
              <w:pStyle w:val="Paragraphedeliste"/>
              <w:numPr>
                <w:ilvl w:val="0"/>
                <w:numId w:val="14"/>
              </w:numPr>
              <w:spacing w:before="120" w:after="120" w:line="276" w:lineRule="auto"/>
              <w:ind w:left="714" w:hanging="357"/>
              <w:contextualSpacing w:val="0"/>
              <w:jc w:val="both"/>
              <w:rPr>
                <w:rFonts w:asciiTheme="minorHAnsi" w:hAnsiTheme="minorHAnsi" w:cstheme="minorHAnsi"/>
              </w:rPr>
            </w:pPr>
            <w:r w:rsidRPr="00B7258D">
              <w:rPr>
                <w:rFonts w:asciiTheme="minorHAnsi" w:hAnsiTheme="minorHAnsi" w:cstheme="minorHAnsi"/>
              </w:rPr>
              <w:t xml:space="preserve">des outils adéquats nécessaires pour le suivi-évaluation des actions en matières de RSE par les OSC et les collectivités territoriales des zones </w:t>
            </w:r>
            <w:proofErr w:type="gramStart"/>
            <w:r w:rsidRPr="00B7258D">
              <w:rPr>
                <w:rFonts w:asciiTheme="minorHAnsi" w:hAnsiTheme="minorHAnsi" w:cstheme="minorHAnsi"/>
              </w:rPr>
              <w:t>minières;</w:t>
            </w:r>
            <w:proofErr w:type="gramEnd"/>
          </w:p>
          <w:p w14:paraId="493C94A1" w14:textId="77777777" w:rsidR="00866CC0" w:rsidRPr="00B7258D" w:rsidRDefault="00866CC0" w:rsidP="00866CC0">
            <w:pPr>
              <w:pStyle w:val="Paragraphedeliste"/>
              <w:numPr>
                <w:ilvl w:val="0"/>
                <w:numId w:val="14"/>
              </w:numPr>
              <w:spacing w:before="120" w:after="120" w:line="276" w:lineRule="auto"/>
              <w:contextualSpacing w:val="0"/>
              <w:jc w:val="both"/>
              <w:rPr>
                <w:rFonts w:asciiTheme="minorHAnsi" w:hAnsiTheme="minorHAnsi" w:cstheme="minorHAnsi"/>
              </w:rPr>
            </w:pPr>
            <w:r w:rsidRPr="00B7258D">
              <w:rPr>
                <w:rFonts w:asciiTheme="minorHAnsi" w:hAnsiTheme="minorHAnsi" w:cstheme="minorHAnsi"/>
              </w:rPr>
              <w:t xml:space="preserve">les OSC et les collectivités territoriales des zones minières ont été formées à l’usage du guide d’information et de formation sur </w:t>
            </w:r>
            <w:proofErr w:type="gramStart"/>
            <w:r w:rsidRPr="00B7258D">
              <w:rPr>
                <w:rFonts w:asciiTheme="minorHAnsi" w:hAnsiTheme="minorHAnsi" w:cstheme="minorHAnsi"/>
              </w:rPr>
              <w:t>la  RSE</w:t>
            </w:r>
            <w:proofErr w:type="gramEnd"/>
            <w:r w:rsidRPr="00B7258D">
              <w:rPr>
                <w:rFonts w:asciiTheme="minorHAnsi" w:hAnsiTheme="minorHAnsi" w:cstheme="minorHAnsi"/>
              </w:rPr>
              <w:t xml:space="preserve"> pour un engagement citoyen et responsable des communautés.</w:t>
            </w:r>
          </w:p>
          <w:p w14:paraId="54335B5B" w14:textId="72CDCF45" w:rsidR="000A08D0" w:rsidRPr="007C28B8" w:rsidRDefault="007C28B8" w:rsidP="007C28B8">
            <w:pPr>
              <w:jc w:val="both"/>
              <w:rPr>
                <w:rFonts w:cstheme="minorHAnsi"/>
                <w:lang w:val="fr-FR"/>
              </w:rPr>
            </w:pPr>
            <w:r w:rsidRPr="007C28B8">
              <w:rPr>
                <w:rFonts w:cstheme="minorHAnsi"/>
                <w:b/>
                <w:bCs/>
                <w:lang w:val="fr-FR" w:eastAsia="fr-FR"/>
              </w:rPr>
              <w:t>4.2- Principaux livrables attendus</w:t>
            </w:r>
          </w:p>
          <w:p w14:paraId="7A8D3391" w14:textId="77777777" w:rsidR="007C28B8" w:rsidRPr="00B7258D" w:rsidRDefault="007C28B8" w:rsidP="007C28B8">
            <w:pPr>
              <w:spacing w:before="240" w:after="240" w:line="276" w:lineRule="auto"/>
              <w:jc w:val="both"/>
              <w:rPr>
                <w:rFonts w:cstheme="minorHAnsi"/>
              </w:rPr>
            </w:pPr>
            <w:r w:rsidRPr="00B7258D">
              <w:rPr>
                <w:rFonts w:cstheme="minorHAnsi"/>
                <w:b/>
              </w:rPr>
              <w:t>Livrable 1</w:t>
            </w:r>
            <w:r w:rsidRPr="00B7258D">
              <w:rPr>
                <w:rFonts w:cstheme="minorHAnsi"/>
              </w:rPr>
              <w:t xml:space="preserve"> : le guide d’information et de formation sur la RSE ;</w:t>
            </w:r>
          </w:p>
          <w:p w14:paraId="1600463A" w14:textId="77777777" w:rsidR="007C28B8" w:rsidRPr="00B7258D" w:rsidRDefault="007C28B8" w:rsidP="007C28B8">
            <w:pPr>
              <w:spacing w:before="240" w:after="240" w:line="276" w:lineRule="auto"/>
              <w:jc w:val="both"/>
              <w:rPr>
                <w:rFonts w:cstheme="minorHAnsi"/>
              </w:rPr>
            </w:pPr>
            <w:r w:rsidRPr="00B7258D">
              <w:rPr>
                <w:rFonts w:cstheme="minorHAnsi"/>
                <w:b/>
              </w:rPr>
              <w:t>Livrable 2</w:t>
            </w:r>
            <w:r w:rsidRPr="00B7258D">
              <w:rPr>
                <w:rFonts w:cstheme="minorHAnsi"/>
              </w:rPr>
              <w:t xml:space="preserve"> : le rapport de formation des OSC et des collectivités territoriales des zones minières du Burkina Faso ;</w:t>
            </w:r>
          </w:p>
          <w:p w14:paraId="2392DEFC" w14:textId="5A559A34" w:rsidR="007C28B8" w:rsidRPr="006818A8" w:rsidRDefault="007C28B8" w:rsidP="007C28B8">
            <w:pPr>
              <w:spacing w:before="240" w:after="240" w:line="276" w:lineRule="auto"/>
              <w:jc w:val="both"/>
              <w:rPr>
                <w:rFonts w:cstheme="minorHAnsi"/>
                <w:lang w:val="fr-FR"/>
              </w:rPr>
            </w:pPr>
            <w:r w:rsidRPr="006818A8">
              <w:rPr>
                <w:rFonts w:cstheme="minorHAnsi"/>
                <w:b/>
                <w:lang w:val="fr-FR"/>
              </w:rPr>
              <w:t>Livrable 3</w:t>
            </w:r>
            <w:r w:rsidRPr="006818A8">
              <w:rPr>
                <w:rFonts w:cstheme="minorHAnsi"/>
                <w:lang w:val="fr-FR"/>
              </w:rPr>
              <w:t xml:space="preserve"> : liste des outils de formation, de sensibilisation, d’information, d’évaluation</w:t>
            </w:r>
            <w:r w:rsidR="007A1E4B" w:rsidRPr="006818A8">
              <w:rPr>
                <w:rFonts w:cstheme="minorHAnsi"/>
                <w:lang w:val="fr-FR"/>
              </w:rPr>
              <w:t>;</w:t>
            </w:r>
          </w:p>
          <w:p w14:paraId="657F3DBE" w14:textId="21099ADA" w:rsidR="007C28B8" w:rsidRPr="006818A8" w:rsidRDefault="007C28B8" w:rsidP="007C28B8">
            <w:pPr>
              <w:spacing w:line="276" w:lineRule="auto"/>
              <w:jc w:val="both"/>
              <w:rPr>
                <w:rFonts w:cstheme="minorHAnsi"/>
                <w:lang w:val="fr-FR"/>
              </w:rPr>
            </w:pPr>
            <w:r w:rsidRPr="006818A8">
              <w:rPr>
                <w:rFonts w:cstheme="minorHAnsi"/>
                <w:b/>
                <w:lang w:val="fr-FR"/>
              </w:rPr>
              <w:lastRenderedPageBreak/>
              <w:t>Livrable 4</w:t>
            </w:r>
            <w:r w:rsidRPr="006818A8">
              <w:rPr>
                <w:rFonts w:cstheme="minorHAnsi"/>
                <w:lang w:val="fr-FR"/>
              </w:rPr>
              <w:t xml:space="preserve"> : liste des bonnes pratiques RSE au sein des entreprises minières au Burkina Faso</w:t>
            </w:r>
            <w:r w:rsidR="007A1E4B" w:rsidRPr="006818A8">
              <w:rPr>
                <w:rFonts w:cstheme="minorHAnsi"/>
                <w:lang w:val="fr-FR"/>
              </w:rPr>
              <w:t>.</w:t>
            </w:r>
          </w:p>
          <w:p w14:paraId="77E59C44" w14:textId="341BF243" w:rsidR="007C28B8" w:rsidRPr="007C28B8" w:rsidRDefault="007C28B8" w:rsidP="007C28B8">
            <w:pPr>
              <w:spacing w:before="240" w:after="240" w:line="276" w:lineRule="auto"/>
              <w:jc w:val="both"/>
              <w:rPr>
                <w:rFonts w:cstheme="minorHAnsi"/>
                <w:lang w:val="fr-FR"/>
              </w:rPr>
            </w:pPr>
            <w:r w:rsidRPr="00B7258D">
              <w:rPr>
                <w:rFonts w:cstheme="minorHAnsi"/>
              </w:rPr>
              <w:t xml:space="preserve">Les </w:t>
            </w:r>
            <w:proofErr w:type="spellStart"/>
            <w:r w:rsidRPr="00B7258D">
              <w:rPr>
                <w:rFonts w:cstheme="minorHAnsi"/>
              </w:rPr>
              <w:t>livrables</w:t>
            </w:r>
            <w:proofErr w:type="spellEnd"/>
            <w:r w:rsidRPr="00B7258D">
              <w:rPr>
                <w:rFonts w:cstheme="minorHAnsi"/>
              </w:rPr>
              <w:t xml:space="preserve"> </w:t>
            </w:r>
            <w:proofErr w:type="spellStart"/>
            <w:r w:rsidRPr="00B7258D">
              <w:rPr>
                <w:rFonts w:cstheme="minorHAnsi"/>
              </w:rPr>
              <w:t>devront</w:t>
            </w:r>
            <w:proofErr w:type="spellEnd"/>
            <w:r w:rsidRPr="00B7258D">
              <w:rPr>
                <w:rFonts w:cstheme="minorHAnsi"/>
              </w:rPr>
              <w:t xml:space="preserve"> </w:t>
            </w:r>
            <w:proofErr w:type="spellStart"/>
            <w:r w:rsidRPr="00B7258D">
              <w:rPr>
                <w:rFonts w:cstheme="minorHAnsi"/>
              </w:rPr>
              <w:t>être</w:t>
            </w:r>
            <w:proofErr w:type="spellEnd"/>
            <w:r w:rsidRPr="00B7258D">
              <w:rPr>
                <w:rFonts w:cstheme="minorHAnsi"/>
              </w:rPr>
              <w:t xml:space="preserve"> remis en langue française adapter aux publics cibles, en 10 copies imprimées en couleur et reliés ainsi que 3 supports électroniques (clés USB/disques durs, selon les besoins).</w:t>
            </w:r>
          </w:p>
        </w:tc>
      </w:tr>
      <w:tr w:rsidR="00651C66" w:rsidRPr="00714521" w14:paraId="2B5AD91D"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93"/>
        </w:trPr>
        <w:tc>
          <w:tcPr>
            <w:tcW w:w="11424" w:type="dxa"/>
            <w:gridSpan w:val="4"/>
            <w:tcBorders>
              <w:bottom w:val="single" w:sz="4" w:space="0" w:color="auto"/>
            </w:tcBorders>
          </w:tcPr>
          <w:p w14:paraId="66AD8F2F" w14:textId="7CC98F54" w:rsidR="00651C66" w:rsidRPr="00452BBE" w:rsidRDefault="00651C66" w:rsidP="00452BBE">
            <w:pPr>
              <w:tabs>
                <w:tab w:val="num" w:pos="900"/>
                <w:tab w:val="right" w:pos="11208"/>
              </w:tabs>
              <w:jc w:val="both"/>
              <w:rPr>
                <w:rFonts w:cs="Arial"/>
                <w:highlight w:val="lightGray"/>
                <w:lang w:val="fr-FR"/>
              </w:rPr>
            </w:pPr>
            <w:r w:rsidRPr="00452BBE">
              <w:rPr>
                <w:rFonts w:cs="Arial"/>
                <w:b/>
                <w:sz w:val="28"/>
                <w:szCs w:val="28"/>
                <w:highlight w:val="lightGray"/>
                <w:lang w:val="fr-FR"/>
              </w:rPr>
              <w:lastRenderedPageBreak/>
              <w:t>V. Méthodologie</w:t>
            </w:r>
            <w:r w:rsidRPr="00714521">
              <w:rPr>
                <w:rFonts w:cs="Arial"/>
                <w:b/>
                <w:sz w:val="28"/>
                <w:szCs w:val="28"/>
                <w:highlight w:val="lightGray"/>
                <w:lang w:val="fr-FR"/>
              </w:rPr>
              <w:tab/>
            </w:r>
          </w:p>
        </w:tc>
      </w:tr>
      <w:tr w:rsidR="00651C66" w:rsidRPr="00CD2828" w14:paraId="14C3E86F"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93"/>
        </w:trPr>
        <w:tc>
          <w:tcPr>
            <w:tcW w:w="11424" w:type="dxa"/>
            <w:gridSpan w:val="4"/>
            <w:tcBorders>
              <w:bottom w:val="single" w:sz="4" w:space="0" w:color="auto"/>
            </w:tcBorders>
          </w:tcPr>
          <w:p w14:paraId="53275AB5" w14:textId="77777777" w:rsidR="00651C66" w:rsidRPr="007A1E4B" w:rsidRDefault="00651C66" w:rsidP="00651C66">
            <w:pPr>
              <w:spacing w:before="240" w:after="240" w:line="276" w:lineRule="auto"/>
              <w:jc w:val="both"/>
              <w:rPr>
                <w:rFonts w:cstheme="minorHAnsi"/>
                <w:b/>
              </w:rPr>
            </w:pPr>
            <w:r w:rsidRPr="007A1E4B">
              <w:rPr>
                <w:rFonts w:cstheme="minorHAnsi"/>
                <w:b/>
              </w:rPr>
              <w:t xml:space="preserve">La mission doit durer un (01) mois et commencera dès la signature du contrat et l'attribution du marché par une notification de la mission. </w:t>
            </w:r>
          </w:p>
          <w:p w14:paraId="27CFC3A6" w14:textId="6EFAA16B" w:rsidR="00651C66" w:rsidRPr="007A1E4B" w:rsidRDefault="00B86A0B" w:rsidP="00651C66">
            <w:pPr>
              <w:spacing w:before="240" w:after="240" w:line="276" w:lineRule="auto"/>
              <w:jc w:val="both"/>
              <w:rPr>
                <w:rFonts w:cstheme="minorHAnsi"/>
                <w:b/>
              </w:rPr>
            </w:pPr>
            <w:r w:rsidRPr="007A1E4B">
              <w:rPr>
                <w:rFonts w:cstheme="minorHAnsi"/>
                <w:b/>
              </w:rPr>
              <w:t>5</w:t>
            </w:r>
            <w:r w:rsidR="00651C66" w:rsidRPr="007A1E4B">
              <w:rPr>
                <w:rFonts w:cstheme="minorHAnsi"/>
                <w:b/>
              </w:rPr>
              <w:t>.1. Éléments généraux</w:t>
            </w:r>
          </w:p>
          <w:p w14:paraId="68916E60" w14:textId="77777777" w:rsidR="00651C66" w:rsidRPr="007A1E4B" w:rsidRDefault="00651C66" w:rsidP="00651C66">
            <w:pPr>
              <w:spacing w:before="240" w:line="276" w:lineRule="auto"/>
              <w:jc w:val="both"/>
              <w:rPr>
                <w:rFonts w:cstheme="minorHAnsi"/>
              </w:rPr>
            </w:pPr>
            <w:r w:rsidRPr="007A1E4B">
              <w:rPr>
                <w:rFonts w:cstheme="minorHAnsi"/>
              </w:rPr>
              <w:t>Le/la consultant (e) devra fournir un projet de méthodologie de réalisation de la mission précisant le niveau de compréhension de la mission, y compris les outils qu’il/elle envisage d’exploiter pour atteindre les objectifs de la mission, ainsi qu'un plan de travail. La méthodologie doit démontrer comment les objectifs spécifiques seront atteints au cours de la mission.</w:t>
            </w:r>
          </w:p>
          <w:p w14:paraId="2E44461F" w14:textId="0AA945EB" w:rsidR="00651C66" w:rsidRPr="00B740E9" w:rsidRDefault="00B86A0B" w:rsidP="00651C66">
            <w:pPr>
              <w:spacing w:before="240" w:after="240" w:line="276" w:lineRule="auto"/>
              <w:jc w:val="both"/>
              <w:rPr>
                <w:rFonts w:cstheme="minorHAnsi"/>
                <w:b/>
              </w:rPr>
            </w:pPr>
            <w:r w:rsidRPr="00B740E9">
              <w:rPr>
                <w:rFonts w:cstheme="minorHAnsi"/>
                <w:b/>
              </w:rPr>
              <w:t>5</w:t>
            </w:r>
            <w:r w:rsidR="00651C66" w:rsidRPr="00B740E9">
              <w:rPr>
                <w:rFonts w:cstheme="minorHAnsi"/>
                <w:b/>
              </w:rPr>
              <w:t xml:space="preserve">.2. </w:t>
            </w:r>
            <w:proofErr w:type="spellStart"/>
            <w:r w:rsidR="00651C66" w:rsidRPr="00B740E9">
              <w:rPr>
                <w:rFonts w:cstheme="minorHAnsi"/>
                <w:b/>
              </w:rPr>
              <w:t>Activités</w:t>
            </w:r>
            <w:proofErr w:type="spellEnd"/>
            <w:r w:rsidR="00651C66" w:rsidRPr="00B740E9">
              <w:rPr>
                <w:rFonts w:cstheme="minorHAnsi"/>
                <w:b/>
              </w:rPr>
              <w:t xml:space="preserve"> / </w:t>
            </w:r>
            <w:proofErr w:type="spellStart"/>
            <w:r w:rsidR="00651C66" w:rsidRPr="00B740E9">
              <w:rPr>
                <w:rFonts w:cstheme="minorHAnsi"/>
                <w:b/>
              </w:rPr>
              <w:t>méthodologie</w:t>
            </w:r>
            <w:proofErr w:type="spellEnd"/>
            <w:r w:rsidR="00651C66" w:rsidRPr="00B740E9">
              <w:rPr>
                <w:rFonts w:cstheme="minorHAnsi"/>
                <w:b/>
              </w:rPr>
              <w:t xml:space="preserve"> </w:t>
            </w:r>
            <w:proofErr w:type="spellStart"/>
            <w:r w:rsidR="00651C66" w:rsidRPr="00B740E9">
              <w:rPr>
                <w:rFonts w:cstheme="minorHAnsi"/>
                <w:b/>
              </w:rPr>
              <w:t>spécifique</w:t>
            </w:r>
            <w:proofErr w:type="spellEnd"/>
          </w:p>
          <w:p w14:paraId="0C42E6A9" w14:textId="455FB8C6" w:rsidR="00651C66" w:rsidRPr="007A1E4B"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rPr>
            </w:pPr>
            <w:r w:rsidRPr="007A1E4B">
              <w:rPr>
                <w:rFonts w:asciiTheme="minorHAnsi" w:hAnsiTheme="minorHAnsi" w:cstheme="minorHAnsi"/>
              </w:rPr>
              <w:t xml:space="preserve">Evaluation du niveau </w:t>
            </w:r>
            <w:proofErr w:type="spellStart"/>
            <w:r w:rsidRPr="007A1E4B">
              <w:rPr>
                <w:rFonts w:asciiTheme="minorHAnsi" w:hAnsiTheme="minorHAnsi" w:cstheme="minorHAnsi"/>
              </w:rPr>
              <w:t>en</w:t>
            </w:r>
            <w:proofErr w:type="spellEnd"/>
            <w:r w:rsidRPr="007A1E4B">
              <w:rPr>
                <w:rFonts w:asciiTheme="minorHAnsi" w:hAnsiTheme="minorHAnsi" w:cstheme="minorHAnsi"/>
              </w:rPr>
              <w:t xml:space="preserve"> RSE des </w:t>
            </w:r>
            <w:proofErr w:type="spellStart"/>
            <w:r w:rsidRPr="007A1E4B">
              <w:rPr>
                <w:rFonts w:asciiTheme="minorHAnsi" w:hAnsiTheme="minorHAnsi" w:cstheme="minorHAnsi"/>
              </w:rPr>
              <w:t>différentes</w:t>
            </w:r>
            <w:proofErr w:type="spellEnd"/>
            <w:r w:rsidRPr="007A1E4B">
              <w:rPr>
                <w:rFonts w:asciiTheme="minorHAnsi" w:hAnsiTheme="minorHAnsi" w:cstheme="minorHAnsi"/>
              </w:rPr>
              <w:t xml:space="preserve"> OSC et </w:t>
            </w:r>
            <w:proofErr w:type="spellStart"/>
            <w:r w:rsidRPr="007A1E4B">
              <w:rPr>
                <w:rFonts w:asciiTheme="minorHAnsi" w:hAnsiTheme="minorHAnsi" w:cstheme="minorHAnsi"/>
              </w:rPr>
              <w:t>collectivités</w:t>
            </w:r>
            <w:proofErr w:type="spellEnd"/>
            <w:r w:rsidRPr="007A1E4B">
              <w:rPr>
                <w:rFonts w:asciiTheme="minorHAnsi" w:hAnsiTheme="minorHAnsi" w:cstheme="minorHAnsi"/>
              </w:rPr>
              <w:t xml:space="preserve"> </w:t>
            </w:r>
            <w:proofErr w:type="spellStart"/>
            <w:r w:rsidRPr="007A1E4B">
              <w:rPr>
                <w:rFonts w:asciiTheme="minorHAnsi" w:hAnsiTheme="minorHAnsi" w:cstheme="minorHAnsi"/>
              </w:rPr>
              <w:t>territoriales</w:t>
            </w:r>
            <w:proofErr w:type="spellEnd"/>
            <w:r w:rsidRPr="007A1E4B">
              <w:rPr>
                <w:rFonts w:asciiTheme="minorHAnsi" w:hAnsiTheme="minorHAnsi" w:cstheme="minorHAnsi"/>
              </w:rPr>
              <w:t xml:space="preserve"> des zones </w:t>
            </w:r>
            <w:proofErr w:type="spellStart"/>
            <w:r w:rsidRPr="007A1E4B">
              <w:rPr>
                <w:rFonts w:asciiTheme="minorHAnsi" w:hAnsiTheme="minorHAnsi" w:cstheme="minorHAnsi"/>
              </w:rPr>
              <w:t>minières</w:t>
            </w:r>
            <w:proofErr w:type="spellEnd"/>
            <w:r w:rsidRPr="007A1E4B">
              <w:rPr>
                <w:rFonts w:asciiTheme="minorHAnsi" w:hAnsiTheme="minorHAnsi" w:cstheme="minorHAnsi"/>
              </w:rPr>
              <w:t xml:space="preserve"> du Burkina Faso (diagnostic de l’existant en termes d’outils, de modules de formation, expériences, connaissances, pratiques</w:t>
            </w:r>
            <w:proofErr w:type="gramStart"/>
            <w:r w:rsidRPr="007A1E4B">
              <w:rPr>
                <w:rFonts w:asciiTheme="minorHAnsi" w:hAnsiTheme="minorHAnsi" w:cstheme="minorHAnsi"/>
              </w:rPr>
              <w:t>);</w:t>
            </w:r>
            <w:proofErr w:type="gramEnd"/>
          </w:p>
          <w:p w14:paraId="7D979B3C" w14:textId="04404F76" w:rsidR="00651C66" w:rsidRPr="006818A8"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Le consultant collaborera avec un groupe de travail constitué du PNUD</w:t>
            </w:r>
            <w:r w:rsidR="007C28B8" w:rsidRPr="006818A8">
              <w:rPr>
                <w:rFonts w:asciiTheme="minorHAnsi" w:hAnsiTheme="minorHAnsi" w:cstheme="minorHAnsi"/>
                <w:lang w:val="fr-FR"/>
              </w:rPr>
              <w:t>/COSED</w:t>
            </w:r>
            <w:r w:rsidR="007A1E4B">
              <w:rPr>
                <w:rFonts w:asciiTheme="minorHAnsi" w:hAnsiTheme="minorHAnsi" w:cstheme="minorHAnsi"/>
                <w:lang w:val="fr-FR"/>
              </w:rPr>
              <w:t>,</w:t>
            </w:r>
            <w:r w:rsidRPr="006818A8">
              <w:rPr>
                <w:rFonts w:asciiTheme="minorHAnsi" w:hAnsiTheme="minorHAnsi" w:cstheme="minorHAnsi"/>
                <w:lang w:val="fr-FR"/>
              </w:rPr>
              <w:t xml:space="preserve"> de la DGPCS</w:t>
            </w:r>
            <w:r w:rsidR="007A1E4B" w:rsidRPr="006818A8">
              <w:rPr>
                <w:rFonts w:asciiTheme="minorHAnsi" w:hAnsiTheme="minorHAnsi" w:cstheme="minorHAnsi"/>
                <w:lang w:val="fr-FR"/>
              </w:rPr>
              <w:t xml:space="preserve"> </w:t>
            </w:r>
            <w:r w:rsidR="007A1E4B">
              <w:rPr>
                <w:rFonts w:asciiTheme="minorHAnsi" w:hAnsiTheme="minorHAnsi" w:cstheme="minorHAnsi"/>
                <w:lang w:val="fr-FR"/>
              </w:rPr>
              <w:t>et d’autres personnes ressources au besoin</w:t>
            </w:r>
            <w:r w:rsidRPr="006818A8">
              <w:rPr>
                <w:rFonts w:asciiTheme="minorHAnsi" w:hAnsiTheme="minorHAnsi" w:cstheme="minorHAnsi"/>
                <w:lang w:val="fr-FR"/>
              </w:rPr>
              <w:t>;</w:t>
            </w:r>
          </w:p>
          <w:p w14:paraId="3C2B55B1" w14:textId="4A300040" w:rsidR="00651C66" w:rsidRPr="007A1E4B"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rPr>
            </w:pPr>
            <w:proofErr w:type="spellStart"/>
            <w:r w:rsidRPr="007A1E4B">
              <w:rPr>
                <w:rFonts w:asciiTheme="minorHAnsi" w:hAnsiTheme="minorHAnsi" w:cstheme="minorHAnsi"/>
              </w:rPr>
              <w:t>Élaboration</w:t>
            </w:r>
            <w:proofErr w:type="spellEnd"/>
            <w:r w:rsidRPr="007A1E4B">
              <w:rPr>
                <w:rFonts w:asciiTheme="minorHAnsi" w:hAnsiTheme="minorHAnsi" w:cstheme="minorHAnsi"/>
              </w:rPr>
              <w:t xml:space="preserve"> et validation du plan et de la méthodologie de </w:t>
            </w:r>
            <w:proofErr w:type="gramStart"/>
            <w:r w:rsidRPr="007A1E4B">
              <w:rPr>
                <w:rFonts w:asciiTheme="minorHAnsi" w:hAnsiTheme="minorHAnsi" w:cstheme="minorHAnsi"/>
              </w:rPr>
              <w:t>travail;</w:t>
            </w:r>
            <w:proofErr w:type="gramEnd"/>
            <w:r w:rsidRPr="007A1E4B">
              <w:rPr>
                <w:rFonts w:asciiTheme="minorHAnsi" w:hAnsiTheme="minorHAnsi" w:cstheme="minorHAnsi"/>
              </w:rPr>
              <w:t xml:space="preserve"> </w:t>
            </w:r>
          </w:p>
          <w:p w14:paraId="65833BBE" w14:textId="330F0DAE" w:rsidR="00651C66" w:rsidRPr="006818A8"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Réunions intermédiaires de validation des liv</w:t>
            </w:r>
            <w:r w:rsidR="007A1E4B" w:rsidRPr="006818A8">
              <w:rPr>
                <w:rFonts w:asciiTheme="minorHAnsi" w:hAnsiTheme="minorHAnsi" w:cstheme="minorHAnsi"/>
                <w:lang w:val="fr-FR"/>
              </w:rPr>
              <w:t>r</w:t>
            </w:r>
            <w:r w:rsidRPr="006818A8">
              <w:rPr>
                <w:rFonts w:asciiTheme="minorHAnsi" w:hAnsiTheme="minorHAnsi" w:cstheme="minorHAnsi"/>
                <w:lang w:val="fr-FR"/>
              </w:rPr>
              <w:t>able</w:t>
            </w:r>
            <w:r w:rsidR="00714521" w:rsidRPr="006818A8">
              <w:rPr>
                <w:rFonts w:asciiTheme="minorHAnsi" w:hAnsiTheme="minorHAnsi" w:cstheme="minorHAnsi"/>
                <w:lang w:val="fr-FR"/>
              </w:rPr>
              <w:t>s</w:t>
            </w:r>
            <w:r w:rsidRPr="006818A8">
              <w:rPr>
                <w:rFonts w:asciiTheme="minorHAnsi" w:hAnsiTheme="minorHAnsi" w:cstheme="minorHAnsi"/>
                <w:lang w:val="fr-FR"/>
              </w:rPr>
              <w:t>;</w:t>
            </w:r>
          </w:p>
          <w:p w14:paraId="7697DD0F" w14:textId="3F652245" w:rsidR="00651C66" w:rsidRPr="00B740E9"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rPr>
            </w:pPr>
            <w:r w:rsidRPr="00B740E9">
              <w:rPr>
                <w:rFonts w:asciiTheme="minorHAnsi" w:hAnsiTheme="minorHAnsi" w:cstheme="minorHAnsi"/>
              </w:rPr>
              <w:t xml:space="preserve">Production d’un rapport </w:t>
            </w:r>
            <w:proofErr w:type="spellStart"/>
            <w:proofErr w:type="gramStart"/>
            <w:r w:rsidRPr="00B740E9">
              <w:rPr>
                <w:rFonts w:asciiTheme="minorHAnsi" w:hAnsiTheme="minorHAnsi" w:cstheme="minorHAnsi"/>
              </w:rPr>
              <w:t>provisoire</w:t>
            </w:r>
            <w:proofErr w:type="spellEnd"/>
            <w:r w:rsidRPr="00B740E9">
              <w:rPr>
                <w:rFonts w:asciiTheme="minorHAnsi" w:hAnsiTheme="minorHAnsi" w:cstheme="minorHAnsi"/>
              </w:rPr>
              <w:t>;</w:t>
            </w:r>
            <w:proofErr w:type="gramEnd"/>
          </w:p>
          <w:p w14:paraId="3B087E03" w14:textId="25E07FAB" w:rsidR="00651C66" w:rsidRPr="007A1E4B"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rPr>
            </w:pPr>
            <w:r w:rsidRPr="007A1E4B">
              <w:rPr>
                <w:rFonts w:asciiTheme="minorHAnsi" w:hAnsiTheme="minorHAnsi" w:cstheme="minorHAnsi"/>
              </w:rPr>
              <w:t xml:space="preserve">Réunion de pré-validation du rapport provisoire par le comité de </w:t>
            </w:r>
            <w:proofErr w:type="gramStart"/>
            <w:r w:rsidRPr="007A1E4B">
              <w:rPr>
                <w:rFonts w:asciiTheme="minorHAnsi" w:hAnsiTheme="minorHAnsi" w:cstheme="minorHAnsi"/>
              </w:rPr>
              <w:t>suivi;</w:t>
            </w:r>
            <w:proofErr w:type="gramEnd"/>
          </w:p>
          <w:p w14:paraId="4FD712C7" w14:textId="77777777" w:rsidR="00651C66" w:rsidRPr="007A1E4B" w:rsidRDefault="00651C66" w:rsidP="00651C66">
            <w:pPr>
              <w:pStyle w:val="Paragraphedeliste"/>
              <w:numPr>
                <w:ilvl w:val="0"/>
                <w:numId w:val="8"/>
              </w:numPr>
              <w:spacing w:before="120" w:after="120" w:line="276" w:lineRule="auto"/>
              <w:ind w:left="714" w:hanging="357"/>
              <w:contextualSpacing w:val="0"/>
              <w:jc w:val="both"/>
              <w:rPr>
                <w:rFonts w:asciiTheme="minorHAnsi" w:hAnsiTheme="minorHAnsi" w:cstheme="minorHAnsi"/>
              </w:rPr>
            </w:pPr>
            <w:r w:rsidRPr="007A1E4B">
              <w:rPr>
                <w:rFonts w:asciiTheme="minorHAnsi" w:hAnsiTheme="minorHAnsi" w:cstheme="minorHAnsi"/>
              </w:rPr>
              <w:t>Organisation d’un atelier de validation du rapport final.</w:t>
            </w:r>
          </w:p>
          <w:p w14:paraId="71318B8F" w14:textId="77777777" w:rsidR="00651C66" w:rsidRPr="00B740E9" w:rsidRDefault="00651C66" w:rsidP="00E124CC">
            <w:pPr>
              <w:tabs>
                <w:tab w:val="num" w:pos="900"/>
              </w:tabs>
              <w:jc w:val="both"/>
              <w:rPr>
                <w:rFonts w:cstheme="minorHAnsi"/>
                <w:b/>
                <w:sz w:val="28"/>
                <w:szCs w:val="28"/>
                <w:highlight w:val="lightGray"/>
                <w:lang w:val="fr-FR"/>
              </w:rPr>
            </w:pPr>
          </w:p>
        </w:tc>
      </w:tr>
      <w:tr w:rsidR="00E124CC" w:rsidRPr="006F3EC0" w14:paraId="33DD1B40"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E0E0E0"/>
          </w:tcPr>
          <w:p w14:paraId="6FF8B8F9" w14:textId="68ED6C5A" w:rsidR="00E124CC" w:rsidRPr="00B740E9" w:rsidRDefault="00714521" w:rsidP="00452BBE">
            <w:pPr>
              <w:tabs>
                <w:tab w:val="num" w:pos="900"/>
              </w:tabs>
              <w:jc w:val="both"/>
              <w:rPr>
                <w:rFonts w:cstheme="minorHAnsi"/>
                <w:lang w:val="fr-FR"/>
              </w:rPr>
            </w:pPr>
            <w:r w:rsidRPr="00B740E9">
              <w:rPr>
                <w:rFonts w:cstheme="minorHAnsi"/>
                <w:b/>
                <w:sz w:val="28"/>
                <w:szCs w:val="28"/>
                <w:lang w:val="fr-FR"/>
              </w:rPr>
              <w:t>VI. Supervision</w:t>
            </w:r>
            <w:r w:rsidRPr="00B740E9" w:rsidDel="00714521">
              <w:rPr>
                <w:rFonts w:cstheme="minorHAnsi"/>
                <w:b/>
                <w:sz w:val="28"/>
                <w:szCs w:val="28"/>
                <w:lang w:val="fr-FR"/>
              </w:rPr>
              <w:t xml:space="preserve"> </w:t>
            </w:r>
          </w:p>
        </w:tc>
      </w:tr>
      <w:tr w:rsidR="00714521" w:rsidRPr="00CD2828" w14:paraId="58515833"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auto"/>
          </w:tcPr>
          <w:p w14:paraId="4DC4F71D" w14:textId="442021B8" w:rsidR="00B86A0B" w:rsidRPr="007A1E4B" w:rsidRDefault="00B86A0B" w:rsidP="00B86A0B">
            <w:pPr>
              <w:spacing w:before="240" w:line="276" w:lineRule="auto"/>
              <w:jc w:val="both"/>
              <w:rPr>
                <w:rFonts w:cstheme="minorHAnsi"/>
              </w:rPr>
            </w:pPr>
            <w:r w:rsidRPr="006818A8">
              <w:rPr>
                <w:rFonts w:cstheme="minorHAnsi"/>
                <w:lang w:val="fr-FR"/>
              </w:rPr>
              <w:t>Le soumissionnaire travaillera en étroite relation avec l</w:t>
            </w:r>
            <w:r w:rsidR="00F85E87" w:rsidRPr="006818A8">
              <w:rPr>
                <w:rFonts w:cstheme="minorHAnsi"/>
                <w:lang w:val="fr-FR"/>
              </w:rPr>
              <w:t>e</w:t>
            </w:r>
            <w:r w:rsidR="00452BBE" w:rsidRPr="006818A8">
              <w:rPr>
                <w:rFonts w:cstheme="minorHAnsi"/>
                <w:lang w:val="fr-FR"/>
              </w:rPr>
              <w:t xml:space="preserve"> </w:t>
            </w:r>
            <w:r w:rsidR="007A1E4B">
              <w:rPr>
                <w:rFonts w:cstheme="minorHAnsi"/>
                <w:lang w:val="fr-FR"/>
              </w:rPr>
              <w:t>Responsable de la Composante</w:t>
            </w:r>
            <w:r w:rsidR="00452BBE" w:rsidRPr="006818A8">
              <w:rPr>
                <w:rFonts w:cstheme="minorHAnsi"/>
                <w:lang w:val="fr-FR"/>
              </w:rPr>
              <w:t xml:space="preserve"> Cohésion Sociale</w:t>
            </w:r>
            <w:r w:rsidR="007A1E4B">
              <w:rPr>
                <w:rFonts w:cstheme="minorHAnsi"/>
                <w:lang w:val="fr-FR"/>
              </w:rPr>
              <w:t xml:space="preserve"> du Programme COSED</w:t>
            </w:r>
            <w:r w:rsidRPr="006818A8">
              <w:rPr>
                <w:rFonts w:cstheme="minorHAnsi"/>
                <w:lang w:val="fr-FR"/>
              </w:rPr>
              <w:t xml:space="preserve"> à qui il/elle rendra régulièrement compte du niveau de réalisation de l'activité. Le suivi des travaux se fera par un comité qui sera désignée à cet effet. </w:t>
            </w:r>
            <w:r w:rsidRPr="007A1E4B">
              <w:rPr>
                <w:rFonts w:cstheme="minorHAnsi"/>
              </w:rPr>
              <w:t>Ce comité aura la charge de vérifier si la méthodologie proposée par le consultant permet d'atteindre les objectifs escomptés d'une part et de vérifier si la méthodologie validée par le commanditaire est celle appliquée sur le terrain d'autre part.</w:t>
            </w:r>
          </w:p>
          <w:p w14:paraId="657F1B90" w14:textId="1FBA700E" w:rsidR="00714521" w:rsidRPr="006F3EC0" w:rsidRDefault="00B86A0B" w:rsidP="00452BBE">
            <w:pPr>
              <w:spacing w:before="240" w:line="276" w:lineRule="auto"/>
              <w:jc w:val="both"/>
              <w:rPr>
                <w:rFonts w:cstheme="minorHAnsi"/>
                <w:b/>
                <w:sz w:val="28"/>
                <w:szCs w:val="28"/>
                <w:lang w:val="fr-FR"/>
              </w:rPr>
            </w:pPr>
            <w:r w:rsidRPr="007A1E4B">
              <w:rPr>
                <w:rFonts w:cstheme="minorHAnsi"/>
              </w:rPr>
              <w:t xml:space="preserve">Les membres du comité de suivi ne sauront dépasser 10 personnes. Le comité de suivi peut faire appel à toute personne de ressource dont les compétences sont jugées nécessaires. Le comité de suivi se </w:t>
            </w:r>
            <w:proofErr w:type="spellStart"/>
            <w:r w:rsidRPr="007A1E4B">
              <w:rPr>
                <w:rFonts w:cstheme="minorHAnsi"/>
              </w:rPr>
              <w:t>réunit</w:t>
            </w:r>
            <w:proofErr w:type="spellEnd"/>
            <w:r w:rsidRPr="007A1E4B">
              <w:rPr>
                <w:rFonts w:cstheme="minorHAnsi"/>
              </w:rPr>
              <w:t xml:space="preserve"> sur convocation </w:t>
            </w:r>
            <w:proofErr w:type="spellStart"/>
            <w:r w:rsidRPr="007A1E4B">
              <w:rPr>
                <w:rFonts w:cstheme="minorHAnsi"/>
              </w:rPr>
              <w:lastRenderedPageBreak/>
              <w:t>expresse</w:t>
            </w:r>
            <w:proofErr w:type="spellEnd"/>
            <w:r w:rsidRPr="007A1E4B">
              <w:rPr>
                <w:rFonts w:cstheme="minorHAnsi"/>
              </w:rPr>
              <w:t xml:space="preserve"> (</w:t>
            </w:r>
            <w:proofErr w:type="spellStart"/>
            <w:proofErr w:type="gramStart"/>
            <w:r w:rsidRPr="007A1E4B">
              <w:rPr>
                <w:rFonts w:cstheme="minorHAnsi"/>
                <w:b/>
              </w:rPr>
              <w:t>sms</w:t>
            </w:r>
            <w:proofErr w:type="spellEnd"/>
            <w:r w:rsidRPr="007A1E4B">
              <w:rPr>
                <w:rFonts w:cstheme="minorHAnsi"/>
                <w:b/>
              </w:rPr>
              <w:t> ;</w:t>
            </w:r>
            <w:proofErr w:type="gramEnd"/>
            <w:r w:rsidRPr="007A1E4B">
              <w:rPr>
                <w:rFonts w:cstheme="minorHAnsi"/>
                <w:b/>
              </w:rPr>
              <w:t xml:space="preserve"> </w:t>
            </w:r>
            <w:proofErr w:type="spellStart"/>
            <w:r w:rsidRPr="007A1E4B">
              <w:rPr>
                <w:rFonts w:cstheme="minorHAnsi"/>
                <w:b/>
              </w:rPr>
              <w:t>whatsApp</w:t>
            </w:r>
            <w:proofErr w:type="spellEnd"/>
            <w:r w:rsidRPr="007A1E4B">
              <w:rPr>
                <w:rFonts w:cstheme="minorHAnsi"/>
                <w:b/>
              </w:rPr>
              <w:t>, mail</w:t>
            </w:r>
            <w:r w:rsidRPr="007A1E4B">
              <w:rPr>
                <w:rFonts w:cstheme="minorHAnsi"/>
              </w:rPr>
              <w:t>) de son président à chaque fois que de besoin jusqu’à l’adoption officielle du guide d’information et de formation sur la RSE et le plan de formation.</w:t>
            </w:r>
          </w:p>
        </w:tc>
      </w:tr>
      <w:tr w:rsidR="00714521" w:rsidRPr="006F3EC0" w14:paraId="7A34BE90" w14:textId="77777777" w:rsidTr="006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E0E0E0"/>
          </w:tcPr>
          <w:p w14:paraId="7D13C335" w14:textId="14F127D4" w:rsidR="00714521" w:rsidRPr="00B740E9" w:rsidRDefault="00714521" w:rsidP="00651C66">
            <w:pPr>
              <w:tabs>
                <w:tab w:val="num" w:pos="900"/>
              </w:tabs>
              <w:jc w:val="both"/>
              <w:rPr>
                <w:rFonts w:cstheme="minorHAnsi"/>
                <w:b/>
                <w:sz w:val="28"/>
                <w:szCs w:val="28"/>
                <w:lang w:val="fr-FR"/>
              </w:rPr>
            </w:pPr>
            <w:r w:rsidRPr="00B740E9">
              <w:rPr>
                <w:rFonts w:cstheme="minorHAnsi"/>
                <w:b/>
                <w:sz w:val="28"/>
                <w:szCs w:val="28"/>
                <w:lang w:val="fr-FR"/>
              </w:rPr>
              <w:lastRenderedPageBreak/>
              <w:t>V</w:t>
            </w:r>
            <w:r w:rsidR="00B86A0B" w:rsidRPr="00B740E9">
              <w:rPr>
                <w:rFonts w:cstheme="minorHAnsi"/>
                <w:b/>
                <w:sz w:val="28"/>
                <w:szCs w:val="28"/>
                <w:lang w:val="fr-FR"/>
              </w:rPr>
              <w:t>II</w:t>
            </w:r>
            <w:r w:rsidRPr="00B740E9">
              <w:rPr>
                <w:rFonts w:cstheme="minorHAnsi"/>
                <w:b/>
                <w:sz w:val="28"/>
                <w:szCs w:val="28"/>
                <w:lang w:val="fr-FR"/>
              </w:rPr>
              <w:t xml:space="preserve">. </w:t>
            </w:r>
            <w:r w:rsidR="00B86A0B" w:rsidRPr="00B740E9">
              <w:rPr>
                <w:rFonts w:cstheme="minorHAnsi"/>
                <w:b/>
                <w:sz w:val="28"/>
                <w:szCs w:val="28"/>
                <w:lang w:val="fr-FR"/>
              </w:rPr>
              <w:t>Rapport</w:t>
            </w:r>
            <w:r w:rsidRPr="00B740E9">
              <w:rPr>
                <w:rFonts w:cstheme="minorHAnsi"/>
                <w:b/>
                <w:sz w:val="28"/>
                <w:szCs w:val="28"/>
                <w:lang w:val="fr-FR"/>
              </w:rPr>
              <w:t>s</w:t>
            </w:r>
          </w:p>
        </w:tc>
      </w:tr>
      <w:tr w:rsidR="00B86A0B" w:rsidRPr="00CD2828" w14:paraId="4361DF11"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auto"/>
          </w:tcPr>
          <w:p w14:paraId="36B7C4CA" w14:textId="77777777" w:rsidR="00B86A0B" w:rsidRPr="00F0627A" w:rsidRDefault="00B86A0B" w:rsidP="00452BBE">
            <w:pPr>
              <w:tabs>
                <w:tab w:val="num" w:pos="900"/>
              </w:tabs>
              <w:spacing w:line="276" w:lineRule="auto"/>
              <w:jc w:val="both"/>
              <w:rPr>
                <w:rFonts w:cstheme="minorHAnsi"/>
              </w:rPr>
            </w:pPr>
            <w:r w:rsidRPr="00F0627A">
              <w:rPr>
                <w:rFonts w:cstheme="minorHAnsi"/>
              </w:rPr>
              <w:t>A la fin de la mission, le/la consultant (e) devra soumettre un rapport provisoire à valider au cours d’une réunion avec le comité de suivi et un rapport définitif ayant pris en compte toutes les observations précédemment faites au cours de cette réunion de validation et le plan de formation des OSC et des collectivités territoriales des zones minières.</w:t>
            </w:r>
          </w:p>
          <w:p w14:paraId="63976DF3" w14:textId="3C8ADFC8" w:rsidR="00B86A0B" w:rsidRPr="00B740E9" w:rsidRDefault="00B86A0B" w:rsidP="00651C66">
            <w:pPr>
              <w:tabs>
                <w:tab w:val="num" w:pos="900"/>
              </w:tabs>
              <w:jc w:val="both"/>
              <w:rPr>
                <w:rFonts w:cstheme="minorHAnsi"/>
                <w:b/>
                <w:sz w:val="28"/>
                <w:szCs w:val="28"/>
                <w:lang w:val="fr-FR"/>
              </w:rPr>
            </w:pPr>
          </w:p>
        </w:tc>
      </w:tr>
      <w:tr w:rsidR="00B86A0B" w:rsidRPr="006F3EC0" w14:paraId="07EAEA95" w14:textId="77777777" w:rsidTr="0065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tcBorders>
              <w:bottom w:val="single" w:sz="4" w:space="0" w:color="auto"/>
            </w:tcBorders>
            <w:shd w:val="clear" w:color="auto" w:fill="E0E0E0"/>
          </w:tcPr>
          <w:p w14:paraId="163EF287" w14:textId="3F92B1D2" w:rsidR="00B86A0B" w:rsidRPr="00B740E9" w:rsidRDefault="00B86A0B" w:rsidP="00651C66">
            <w:pPr>
              <w:tabs>
                <w:tab w:val="num" w:pos="900"/>
              </w:tabs>
              <w:jc w:val="both"/>
              <w:rPr>
                <w:rFonts w:cstheme="minorHAnsi"/>
                <w:b/>
                <w:sz w:val="28"/>
                <w:szCs w:val="28"/>
                <w:lang w:val="fr-FR"/>
              </w:rPr>
            </w:pPr>
            <w:r w:rsidRPr="00B740E9">
              <w:rPr>
                <w:rFonts w:cstheme="minorHAnsi"/>
                <w:b/>
                <w:sz w:val="28"/>
                <w:szCs w:val="28"/>
                <w:lang w:val="fr-FR"/>
              </w:rPr>
              <w:t>VIII. Compétences</w:t>
            </w:r>
          </w:p>
        </w:tc>
      </w:tr>
      <w:tr w:rsidR="00E124CC" w:rsidRPr="00CD2828" w14:paraId="6CC231A6"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983"/>
        </w:trPr>
        <w:tc>
          <w:tcPr>
            <w:tcW w:w="11424" w:type="dxa"/>
            <w:gridSpan w:val="4"/>
            <w:vAlign w:val="center"/>
          </w:tcPr>
          <w:p w14:paraId="39CB84E9" w14:textId="5454051B" w:rsidR="00B86A0B" w:rsidRPr="00B740E9" w:rsidRDefault="00B86A0B" w:rsidP="00B86A0B">
            <w:pPr>
              <w:spacing w:before="240" w:after="240"/>
              <w:jc w:val="both"/>
              <w:rPr>
                <w:rFonts w:cstheme="minorHAnsi"/>
                <w:b/>
              </w:rPr>
            </w:pPr>
            <w:r w:rsidRPr="00B740E9">
              <w:rPr>
                <w:rFonts w:cstheme="minorHAnsi"/>
                <w:b/>
              </w:rPr>
              <w:t xml:space="preserve">8.1. </w:t>
            </w:r>
            <w:proofErr w:type="spellStart"/>
            <w:r w:rsidRPr="00B740E9">
              <w:rPr>
                <w:rFonts w:cstheme="minorHAnsi"/>
                <w:b/>
              </w:rPr>
              <w:t>Valeurs</w:t>
            </w:r>
            <w:proofErr w:type="spellEnd"/>
            <w:r w:rsidRPr="00B740E9">
              <w:rPr>
                <w:rFonts w:cstheme="minorHAnsi"/>
                <w:b/>
              </w:rPr>
              <w:t xml:space="preserve"> </w:t>
            </w:r>
            <w:proofErr w:type="spellStart"/>
            <w:r w:rsidRPr="00B740E9">
              <w:rPr>
                <w:rFonts w:cstheme="minorHAnsi"/>
                <w:b/>
              </w:rPr>
              <w:t>intrinsèques</w:t>
            </w:r>
            <w:proofErr w:type="spellEnd"/>
          </w:p>
          <w:p w14:paraId="4FB6A321" w14:textId="0C73D684" w:rsidR="00B86A0B" w:rsidRPr="00F0627A" w:rsidRDefault="00B86A0B" w:rsidP="00452BBE">
            <w:pPr>
              <w:pStyle w:val="Paragraphedeliste"/>
              <w:numPr>
                <w:ilvl w:val="0"/>
                <w:numId w:val="5"/>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Démontrer son intégrité en se conformant aux valeurs et aux normes morales des Nations </w:t>
            </w:r>
            <w:proofErr w:type="gramStart"/>
            <w:r w:rsidRPr="00F0627A">
              <w:rPr>
                <w:rFonts w:asciiTheme="minorHAnsi" w:hAnsiTheme="minorHAnsi" w:cstheme="minorHAnsi"/>
              </w:rPr>
              <w:t>Unies;</w:t>
            </w:r>
            <w:proofErr w:type="gramEnd"/>
          </w:p>
          <w:p w14:paraId="2C9D0394" w14:textId="2FE9D580" w:rsidR="00B86A0B" w:rsidRPr="00F0627A" w:rsidRDefault="00B86A0B" w:rsidP="00452BBE">
            <w:pPr>
              <w:pStyle w:val="Paragraphedeliste"/>
              <w:numPr>
                <w:ilvl w:val="0"/>
                <w:numId w:val="5"/>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Favoriser la vision, la mission, et les buts stratégiques du </w:t>
            </w:r>
            <w:proofErr w:type="gramStart"/>
            <w:r w:rsidRPr="00F0627A">
              <w:rPr>
                <w:rFonts w:asciiTheme="minorHAnsi" w:hAnsiTheme="minorHAnsi" w:cstheme="minorHAnsi"/>
              </w:rPr>
              <w:t>PNUD;</w:t>
            </w:r>
            <w:proofErr w:type="gramEnd"/>
          </w:p>
          <w:p w14:paraId="1E9F0F66" w14:textId="03ABE097" w:rsidR="00B86A0B" w:rsidRDefault="00B86A0B" w:rsidP="00452BBE">
            <w:pPr>
              <w:pStyle w:val="Paragraphedeliste"/>
              <w:numPr>
                <w:ilvl w:val="0"/>
                <w:numId w:val="5"/>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Démontrer sa capacité d’exercer dans un environnement ne tenant pas compte de la différence culturelle, de genre, de religion, de race, de </w:t>
            </w:r>
            <w:proofErr w:type="spellStart"/>
            <w:r w:rsidRPr="00F0627A">
              <w:rPr>
                <w:rFonts w:asciiTheme="minorHAnsi" w:hAnsiTheme="minorHAnsi" w:cstheme="minorHAnsi"/>
              </w:rPr>
              <w:t>nationalité</w:t>
            </w:r>
            <w:proofErr w:type="spellEnd"/>
            <w:r w:rsidRPr="00F0627A">
              <w:rPr>
                <w:rFonts w:asciiTheme="minorHAnsi" w:hAnsiTheme="minorHAnsi" w:cstheme="minorHAnsi"/>
              </w:rPr>
              <w:t xml:space="preserve"> et de </w:t>
            </w:r>
            <w:proofErr w:type="spellStart"/>
            <w:proofErr w:type="gramStart"/>
            <w:r w:rsidRPr="00F0627A">
              <w:rPr>
                <w:rFonts w:asciiTheme="minorHAnsi" w:hAnsiTheme="minorHAnsi" w:cstheme="minorHAnsi"/>
              </w:rPr>
              <w:t>sensibilité</w:t>
            </w:r>
            <w:proofErr w:type="spellEnd"/>
            <w:r w:rsidRPr="00F0627A">
              <w:rPr>
                <w:rFonts w:asciiTheme="minorHAnsi" w:hAnsiTheme="minorHAnsi" w:cstheme="minorHAnsi"/>
              </w:rPr>
              <w:t>;</w:t>
            </w:r>
            <w:proofErr w:type="gramEnd"/>
          </w:p>
          <w:p w14:paraId="434D9607" w14:textId="4E698541" w:rsidR="00B86A0B" w:rsidRPr="00B740E9" w:rsidRDefault="00B86A0B" w:rsidP="00452BBE">
            <w:pPr>
              <w:spacing w:line="276" w:lineRule="auto"/>
              <w:rPr>
                <w:rFonts w:cstheme="minorHAnsi"/>
                <w:b/>
                <w:bCs/>
                <w:color w:val="333333"/>
                <w:lang w:val="fr-FR" w:eastAsia="fr-FR"/>
              </w:rPr>
            </w:pPr>
            <w:proofErr w:type="spellStart"/>
            <w:r w:rsidRPr="00F0627A">
              <w:rPr>
                <w:rFonts w:cstheme="minorHAnsi"/>
              </w:rPr>
              <w:t>Démontrer</w:t>
            </w:r>
            <w:proofErr w:type="spellEnd"/>
            <w:r w:rsidRPr="00F0627A">
              <w:rPr>
                <w:rFonts w:cstheme="minorHAnsi"/>
              </w:rPr>
              <w:t xml:space="preserve"> la rigueur dans le travail, une grande disponibilité, une aptitude au travail en équipe et un esprit d’initiative développé</w:t>
            </w:r>
            <w:r w:rsidRPr="00F0627A" w:rsidDel="00B86A0B">
              <w:rPr>
                <w:rFonts w:cstheme="minorHAnsi"/>
                <w:b/>
                <w:bCs/>
                <w:color w:val="333333"/>
                <w:lang w:eastAsia="fr-FR"/>
              </w:rPr>
              <w:t xml:space="preserve"> </w:t>
            </w:r>
          </w:p>
          <w:p w14:paraId="199727A5" w14:textId="2145CB67" w:rsidR="003A66AB" w:rsidRPr="00B740E9" w:rsidRDefault="003A66AB" w:rsidP="003A66AB">
            <w:pPr>
              <w:spacing w:before="240" w:after="240"/>
              <w:jc w:val="both"/>
              <w:rPr>
                <w:rFonts w:cstheme="minorHAnsi"/>
                <w:b/>
              </w:rPr>
            </w:pPr>
            <w:r w:rsidRPr="00B740E9">
              <w:rPr>
                <w:rFonts w:cstheme="minorHAnsi"/>
                <w:b/>
              </w:rPr>
              <w:t>8.2. Compétences fonctionnelles</w:t>
            </w:r>
          </w:p>
          <w:p w14:paraId="56D89592" w14:textId="5ED9687D" w:rsidR="003A66AB" w:rsidRPr="00B740E9" w:rsidRDefault="003A66AB" w:rsidP="003A66AB">
            <w:pPr>
              <w:pStyle w:val="Paragraphedeliste"/>
              <w:numPr>
                <w:ilvl w:val="0"/>
                <w:numId w:val="5"/>
              </w:numPr>
              <w:spacing w:before="120" w:after="120" w:line="276" w:lineRule="auto"/>
              <w:contextualSpacing w:val="0"/>
              <w:jc w:val="both"/>
              <w:rPr>
                <w:rFonts w:asciiTheme="minorHAnsi" w:hAnsiTheme="minorHAnsi" w:cstheme="minorHAnsi"/>
              </w:rPr>
            </w:pPr>
            <w:r w:rsidRPr="00B740E9">
              <w:rPr>
                <w:rFonts w:asciiTheme="minorHAnsi" w:hAnsiTheme="minorHAnsi" w:cstheme="minorHAnsi"/>
              </w:rPr>
              <w:t xml:space="preserve">Planification et </w:t>
            </w:r>
            <w:proofErr w:type="spellStart"/>
            <w:r w:rsidRPr="00B740E9">
              <w:rPr>
                <w:rFonts w:asciiTheme="minorHAnsi" w:hAnsiTheme="minorHAnsi" w:cstheme="minorHAnsi"/>
              </w:rPr>
              <w:t>organisation</w:t>
            </w:r>
            <w:proofErr w:type="spellEnd"/>
            <w:r w:rsidRPr="00B740E9">
              <w:rPr>
                <w:rFonts w:asciiTheme="minorHAnsi" w:hAnsiTheme="minorHAnsi" w:cstheme="minorHAnsi"/>
              </w:rPr>
              <w:t>;</w:t>
            </w:r>
          </w:p>
          <w:p w14:paraId="4DEED775" w14:textId="558A78D2" w:rsidR="003A66AB" w:rsidRPr="00B740E9" w:rsidRDefault="003A66AB" w:rsidP="003A66AB">
            <w:pPr>
              <w:pStyle w:val="Paragraphedeliste"/>
              <w:numPr>
                <w:ilvl w:val="0"/>
                <w:numId w:val="5"/>
              </w:numPr>
              <w:spacing w:before="120" w:after="120" w:line="276" w:lineRule="auto"/>
              <w:contextualSpacing w:val="0"/>
              <w:jc w:val="both"/>
              <w:rPr>
                <w:rFonts w:asciiTheme="minorHAnsi" w:hAnsiTheme="minorHAnsi" w:cstheme="minorHAnsi"/>
              </w:rPr>
            </w:pPr>
            <w:r w:rsidRPr="00B740E9">
              <w:rPr>
                <w:rFonts w:asciiTheme="minorHAnsi" w:hAnsiTheme="minorHAnsi" w:cstheme="minorHAnsi"/>
              </w:rPr>
              <w:t>Communication;</w:t>
            </w:r>
          </w:p>
          <w:p w14:paraId="5ECC800A" w14:textId="3C4A0255" w:rsidR="003A66AB" w:rsidRPr="00B740E9" w:rsidRDefault="003A66AB" w:rsidP="003A66AB">
            <w:pPr>
              <w:pStyle w:val="Paragraphedeliste"/>
              <w:numPr>
                <w:ilvl w:val="0"/>
                <w:numId w:val="5"/>
              </w:numPr>
              <w:spacing w:before="120" w:after="120" w:line="276" w:lineRule="auto"/>
              <w:contextualSpacing w:val="0"/>
              <w:jc w:val="both"/>
              <w:rPr>
                <w:rFonts w:asciiTheme="minorHAnsi" w:hAnsiTheme="minorHAnsi" w:cstheme="minorHAnsi"/>
              </w:rPr>
            </w:pPr>
            <w:proofErr w:type="spellStart"/>
            <w:r w:rsidRPr="00B740E9">
              <w:rPr>
                <w:rFonts w:asciiTheme="minorHAnsi" w:hAnsiTheme="minorHAnsi" w:cstheme="minorHAnsi"/>
              </w:rPr>
              <w:t>Capacité</w:t>
            </w:r>
            <w:proofErr w:type="spellEnd"/>
            <w:r w:rsidRPr="00B740E9">
              <w:rPr>
                <w:rFonts w:asciiTheme="minorHAnsi" w:hAnsiTheme="minorHAnsi" w:cstheme="minorHAnsi"/>
              </w:rPr>
              <w:t xml:space="preserve"> </w:t>
            </w:r>
            <w:proofErr w:type="spellStart"/>
            <w:r w:rsidRPr="00B740E9">
              <w:rPr>
                <w:rFonts w:asciiTheme="minorHAnsi" w:hAnsiTheme="minorHAnsi" w:cstheme="minorHAnsi"/>
              </w:rPr>
              <w:t>d’adaptation</w:t>
            </w:r>
            <w:proofErr w:type="spellEnd"/>
            <w:r w:rsidRPr="00B740E9">
              <w:rPr>
                <w:rFonts w:asciiTheme="minorHAnsi" w:hAnsiTheme="minorHAnsi" w:cstheme="minorHAnsi"/>
              </w:rPr>
              <w:t>;</w:t>
            </w:r>
          </w:p>
          <w:p w14:paraId="6658E5FC" w14:textId="7E483BE2" w:rsidR="003A66AB" w:rsidRPr="00B740E9" w:rsidRDefault="003A66AB" w:rsidP="003A66AB">
            <w:pPr>
              <w:pStyle w:val="Paragraphedeliste"/>
              <w:numPr>
                <w:ilvl w:val="0"/>
                <w:numId w:val="5"/>
              </w:numPr>
              <w:spacing w:before="120" w:after="120" w:line="276" w:lineRule="auto"/>
              <w:contextualSpacing w:val="0"/>
              <w:jc w:val="both"/>
              <w:rPr>
                <w:rFonts w:asciiTheme="minorHAnsi" w:hAnsiTheme="minorHAnsi" w:cstheme="minorHAnsi"/>
              </w:rPr>
            </w:pPr>
            <w:r w:rsidRPr="00B740E9">
              <w:rPr>
                <w:rFonts w:asciiTheme="minorHAnsi" w:hAnsiTheme="minorHAnsi" w:cstheme="minorHAnsi"/>
              </w:rPr>
              <w:t xml:space="preserve">Esprit </w:t>
            </w:r>
            <w:proofErr w:type="spellStart"/>
            <w:r w:rsidRPr="00B740E9">
              <w:rPr>
                <w:rFonts w:asciiTheme="minorHAnsi" w:hAnsiTheme="minorHAnsi" w:cstheme="minorHAnsi"/>
              </w:rPr>
              <w:t>d’équipe</w:t>
            </w:r>
            <w:proofErr w:type="spellEnd"/>
            <w:r w:rsidRPr="00B740E9">
              <w:rPr>
                <w:rFonts w:asciiTheme="minorHAnsi" w:hAnsiTheme="minorHAnsi" w:cstheme="minorHAnsi"/>
              </w:rPr>
              <w:t>;</w:t>
            </w:r>
          </w:p>
          <w:p w14:paraId="7B7BD307" w14:textId="77777777" w:rsidR="003A66AB" w:rsidRPr="00F0627A" w:rsidRDefault="003A66AB" w:rsidP="003A66AB">
            <w:pPr>
              <w:pStyle w:val="Paragraphedeliste"/>
              <w:numPr>
                <w:ilvl w:val="0"/>
                <w:numId w:val="5"/>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Bonne capacité de rédaction en français.</w:t>
            </w:r>
          </w:p>
          <w:p w14:paraId="428112FC" w14:textId="5BB38A62" w:rsidR="00E124CC" w:rsidRPr="00B740E9" w:rsidRDefault="00E124CC" w:rsidP="00452BBE">
            <w:pPr>
              <w:pStyle w:val="Paragraphedeliste"/>
              <w:spacing w:before="75" w:after="100" w:afterAutospacing="1"/>
              <w:rPr>
                <w:rFonts w:asciiTheme="minorHAnsi" w:hAnsiTheme="minorHAnsi" w:cstheme="minorHAnsi"/>
                <w:color w:val="333333"/>
                <w:lang w:val="fr-FR" w:eastAsia="fr-FR"/>
              </w:rPr>
            </w:pPr>
          </w:p>
        </w:tc>
      </w:tr>
      <w:tr w:rsidR="00E124CC" w:rsidRPr="006F3EC0" w14:paraId="66E53BB3"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1424" w:type="dxa"/>
            <w:gridSpan w:val="4"/>
            <w:shd w:val="clear" w:color="auto" w:fill="E0E0E0"/>
          </w:tcPr>
          <w:p w14:paraId="70F7A0EB" w14:textId="11D0C66B" w:rsidR="00E124CC" w:rsidRPr="00B740E9" w:rsidRDefault="000D161A" w:rsidP="00E124CC">
            <w:pPr>
              <w:rPr>
                <w:rFonts w:cstheme="minorHAnsi"/>
                <w:lang w:val="fr-FR"/>
              </w:rPr>
            </w:pPr>
            <w:r w:rsidRPr="00B740E9">
              <w:rPr>
                <w:rFonts w:cstheme="minorHAnsi"/>
                <w:b/>
                <w:bCs/>
                <w:sz w:val="28"/>
                <w:szCs w:val="28"/>
                <w:lang w:val="fr-FR"/>
              </w:rPr>
              <w:t>IX</w:t>
            </w:r>
            <w:r w:rsidR="00E124CC" w:rsidRPr="00B740E9">
              <w:rPr>
                <w:rFonts w:cstheme="minorHAnsi"/>
                <w:b/>
                <w:sz w:val="28"/>
                <w:szCs w:val="28"/>
                <w:lang w:val="fr-FR"/>
              </w:rPr>
              <w:t>. Qualifications</w:t>
            </w:r>
          </w:p>
        </w:tc>
      </w:tr>
      <w:tr w:rsidR="00E124CC" w:rsidRPr="00CD2828" w14:paraId="3A9DA7F0"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230"/>
        </w:trPr>
        <w:tc>
          <w:tcPr>
            <w:tcW w:w="1510" w:type="dxa"/>
            <w:tcBorders>
              <w:bottom w:val="single" w:sz="4" w:space="0" w:color="auto"/>
            </w:tcBorders>
          </w:tcPr>
          <w:p w14:paraId="03302443" w14:textId="77777777" w:rsidR="00E124CC" w:rsidRPr="00B740E9" w:rsidRDefault="00E124CC" w:rsidP="00FA5CE0">
            <w:pPr>
              <w:rPr>
                <w:rFonts w:cstheme="minorHAnsi"/>
                <w:lang w:val="fr-FR"/>
              </w:rPr>
            </w:pPr>
            <w:r w:rsidRPr="00B740E9">
              <w:rPr>
                <w:rFonts w:cstheme="minorHAnsi"/>
                <w:lang w:val="fr-FR"/>
              </w:rPr>
              <w:t>Education :</w:t>
            </w:r>
          </w:p>
        </w:tc>
        <w:tc>
          <w:tcPr>
            <w:tcW w:w="9914" w:type="dxa"/>
            <w:gridSpan w:val="3"/>
            <w:tcBorders>
              <w:bottom w:val="single" w:sz="4" w:space="0" w:color="auto"/>
            </w:tcBorders>
          </w:tcPr>
          <w:p w14:paraId="68EBD6D5" w14:textId="0DB65E32" w:rsidR="00E124CC" w:rsidRPr="006F3EC0" w:rsidRDefault="005A5327" w:rsidP="00452BBE">
            <w:pPr>
              <w:spacing w:line="276" w:lineRule="auto"/>
              <w:rPr>
                <w:rFonts w:cstheme="minorHAnsi"/>
                <w:color w:val="333333"/>
                <w:lang w:val="fr-FR" w:eastAsia="fr-FR"/>
              </w:rPr>
            </w:pPr>
            <w:r w:rsidRPr="00B740E9">
              <w:rPr>
                <w:rFonts w:cstheme="minorHAnsi"/>
                <w:lang w:val="fr-FR"/>
              </w:rPr>
              <w:t xml:space="preserve">Le consultant doit être titulaire d’un diplôme universitaire </w:t>
            </w:r>
            <w:r w:rsidR="003A66AB" w:rsidRPr="00B740E9">
              <w:rPr>
                <w:rFonts w:cstheme="minorHAnsi"/>
                <w:lang w:val="fr-FR"/>
              </w:rPr>
              <w:t xml:space="preserve">(école de commerce, école d’ingénieur, IEP, Université) </w:t>
            </w:r>
            <w:r w:rsidRPr="00B740E9">
              <w:rPr>
                <w:rFonts w:cstheme="minorHAnsi"/>
                <w:lang w:val="fr-FR"/>
              </w:rPr>
              <w:t xml:space="preserve">de niveau </w:t>
            </w:r>
            <w:r w:rsidR="003A66AB" w:rsidRPr="00B740E9">
              <w:rPr>
                <w:rFonts w:cstheme="minorHAnsi"/>
                <w:lang w:val="fr-FR"/>
              </w:rPr>
              <w:t>Bac+</w:t>
            </w:r>
            <w:r w:rsidR="00452BBE" w:rsidRPr="00B740E9">
              <w:rPr>
                <w:rFonts w:cstheme="minorHAnsi"/>
                <w:lang w:val="fr-FR"/>
              </w:rPr>
              <w:t>5 en</w:t>
            </w:r>
            <w:r w:rsidRPr="00B740E9">
              <w:rPr>
                <w:rFonts w:cstheme="minorHAnsi"/>
                <w:lang w:val="fr-FR"/>
              </w:rPr>
              <w:t xml:space="preserve"> </w:t>
            </w:r>
            <w:r w:rsidR="003A66AB" w:rsidRPr="00B740E9">
              <w:rPr>
                <w:rFonts w:cstheme="minorHAnsi"/>
                <w:lang w:val="fr-FR"/>
              </w:rPr>
              <w:t>développement durable/RSE ou diplôme équivalent.</w:t>
            </w:r>
          </w:p>
        </w:tc>
      </w:tr>
      <w:tr w:rsidR="00E124CC" w:rsidRPr="00CD2828" w14:paraId="1E3DA4BE"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230"/>
        </w:trPr>
        <w:tc>
          <w:tcPr>
            <w:tcW w:w="1510" w:type="dxa"/>
            <w:tcBorders>
              <w:bottom w:val="single" w:sz="4" w:space="0" w:color="auto"/>
            </w:tcBorders>
          </w:tcPr>
          <w:p w14:paraId="4D4064A6" w14:textId="77777777" w:rsidR="00E124CC" w:rsidRPr="00B740E9" w:rsidRDefault="00E124CC" w:rsidP="00FA5CE0">
            <w:pPr>
              <w:rPr>
                <w:rFonts w:cstheme="minorHAnsi"/>
                <w:lang w:val="fr-FR"/>
              </w:rPr>
            </w:pPr>
            <w:r w:rsidRPr="00B740E9">
              <w:rPr>
                <w:rFonts w:cstheme="minorHAnsi"/>
                <w:lang w:val="fr-FR"/>
              </w:rPr>
              <w:t>Expérience</w:t>
            </w:r>
          </w:p>
        </w:tc>
        <w:tc>
          <w:tcPr>
            <w:tcW w:w="9914" w:type="dxa"/>
            <w:gridSpan w:val="3"/>
            <w:tcBorders>
              <w:bottom w:val="single" w:sz="4" w:space="0" w:color="auto"/>
            </w:tcBorders>
          </w:tcPr>
          <w:p w14:paraId="1447DF10" w14:textId="27D62060" w:rsidR="003A66AB" w:rsidRPr="00F0627A" w:rsidRDefault="003A66AB" w:rsidP="00B32B6D">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Au minimum 5 ans d’expériences professionnelles dans le domaine Développement Durable, conduite du changement ou au sein d’une direction </w:t>
            </w:r>
            <w:proofErr w:type="gramStart"/>
            <w:r w:rsidRPr="00F0627A">
              <w:rPr>
                <w:rFonts w:asciiTheme="minorHAnsi" w:hAnsiTheme="minorHAnsi" w:cstheme="minorHAnsi"/>
              </w:rPr>
              <w:t>RSE;</w:t>
            </w:r>
            <w:proofErr w:type="gramEnd"/>
          </w:p>
          <w:p w14:paraId="244524C2" w14:textId="3A6F58C4"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Solides connaissances pratiques en RSE: déclinaison du développement durable par secteur d’activité, connaissance des normes ISO 26000, ISO 14001 et autres référentiels relatifs à la RSE, connaissance des grands concepts et des nouveaux business </w:t>
            </w:r>
            <w:proofErr w:type="gramStart"/>
            <w:r w:rsidRPr="00F0627A">
              <w:rPr>
                <w:rFonts w:asciiTheme="minorHAnsi" w:hAnsiTheme="minorHAnsi" w:cstheme="minorHAnsi"/>
              </w:rPr>
              <w:t>model;</w:t>
            </w:r>
            <w:proofErr w:type="gramEnd"/>
          </w:p>
          <w:p w14:paraId="0B9FE5F2" w14:textId="5CAD35E9"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Avoir de solides expériences en tant formateurs des acteurs de l’écosystèmes dans l’implémentation de la démarche RSE au Burkina </w:t>
            </w:r>
            <w:proofErr w:type="gramStart"/>
            <w:r w:rsidRPr="00F0627A">
              <w:rPr>
                <w:rFonts w:asciiTheme="minorHAnsi" w:hAnsiTheme="minorHAnsi" w:cstheme="minorHAnsi"/>
              </w:rPr>
              <w:t>Faso;</w:t>
            </w:r>
            <w:proofErr w:type="gramEnd"/>
          </w:p>
          <w:p w14:paraId="104522A0" w14:textId="7BFA1C42"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lastRenderedPageBreak/>
              <w:t xml:space="preserve">Avoir de solides savoir-faire dans l’appui-conseil et l’encadrement des entreprises minières pour l’implémentation d’une démarche RSE en leur </w:t>
            </w:r>
            <w:proofErr w:type="gramStart"/>
            <w:r w:rsidRPr="00F0627A">
              <w:rPr>
                <w:rFonts w:asciiTheme="minorHAnsi" w:hAnsiTheme="minorHAnsi" w:cstheme="minorHAnsi"/>
              </w:rPr>
              <w:t>sein;</w:t>
            </w:r>
            <w:proofErr w:type="gramEnd"/>
          </w:p>
          <w:p w14:paraId="474DFFF5" w14:textId="451B1067"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Avoir une bonne connaissance de l’écosystème des mines au Burkina </w:t>
            </w:r>
            <w:proofErr w:type="gramStart"/>
            <w:r w:rsidRPr="00F0627A">
              <w:rPr>
                <w:rFonts w:asciiTheme="minorHAnsi" w:hAnsiTheme="minorHAnsi" w:cstheme="minorHAnsi"/>
              </w:rPr>
              <w:t>Faso;</w:t>
            </w:r>
            <w:proofErr w:type="gramEnd"/>
          </w:p>
          <w:p w14:paraId="16613DD0" w14:textId="762A2CC3"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Posséder une expérience dans l’utilisation des méthodes rapides et participatives, de la conception des études quantitatives, de l’échantillonnage et d’analyse de </w:t>
            </w:r>
            <w:proofErr w:type="gramStart"/>
            <w:r w:rsidRPr="00F0627A">
              <w:rPr>
                <w:rFonts w:asciiTheme="minorHAnsi" w:hAnsiTheme="minorHAnsi" w:cstheme="minorHAnsi"/>
              </w:rPr>
              <w:t>données;</w:t>
            </w:r>
            <w:proofErr w:type="gramEnd"/>
          </w:p>
          <w:p w14:paraId="2B8D05F1" w14:textId="3A512625" w:rsidR="003A66AB" w:rsidRPr="00F0627A" w:rsidRDefault="003A66AB">
            <w:pPr>
              <w:pStyle w:val="Paragraphedeliste"/>
              <w:numPr>
                <w:ilvl w:val="0"/>
                <w:numId w:val="3"/>
              </w:numPr>
              <w:spacing w:before="120" w:after="120" w:line="276" w:lineRule="auto"/>
              <w:contextualSpacing w:val="0"/>
              <w:jc w:val="both"/>
              <w:rPr>
                <w:rFonts w:asciiTheme="minorHAnsi" w:hAnsiTheme="minorHAnsi" w:cstheme="minorHAnsi"/>
              </w:rPr>
            </w:pPr>
            <w:r w:rsidRPr="00F0627A">
              <w:rPr>
                <w:rFonts w:asciiTheme="minorHAnsi" w:hAnsiTheme="minorHAnsi" w:cstheme="minorHAnsi"/>
              </w:rPr>
              <w:t xml:space="preserve">Une expérience avec le PNUD ou toute autre Agence du Système des Nations-Unies serait un </w:t>
            </w:r>
            <w:proofErr w:type="gramStart"/>
            <w:r w:rsidRPr="00F0627A">
              <w:rPr>
                <w:rFonts w:asciiTheme="minorHAnsi" w:hAnsiTheme="minorHAnsi" w:cstheme="minorHAnsi"/>
              </w:rPr>
              <w:t>atout;</w:t>
            </w:r>
            <w:proofErr w:type="gramEnd"/>
          </w:p>
          <w:p w14:paraId="144460AE" w14:textId="53E33D34" w:rsidR="00E124CC" w:rsidRPr="00B740E9" w:rsidRDefault="003A66AB" w:rsidP="00452BBE">
            <w:pPr>
              <w:pStyle w:val="Paragraphedeliste"/>
              <w:numPr>
                <w:ilvl w:val="0"/>
                <w:numId w:val="3"/>
              </w:numPr>
              <w:spacing w:line="276" w:lineRule="auto"/>
              <w:rPr>
                <w:rFonts w:asciiTheme="minorHAnsi" w:hAnsiTheme="minorHAnsi" w:cstheme="minorHAnsi"/>
                <w:lang w:val="fr-FR"/>
              </w:rPr>
            </w:pPr>
            <w:r w:rsidRPr="00F0627A">
              <w:rPr>
                <w:rFonts w:asciiTheme="minorHAnsi" w:hAnsiTheme="minorHAnsi" w:cstheme="minorHAnsi"/>
              </w:rPr>
              <w:t>Être capable de travailler sous pression et en équipe</w:t>
            </w:r>
            <w:r w:rsidR="00F0627A" w:rsidRPr="00F0627A">
              <w:rPr>
                <w:rFonts w:asciiTheme="minorHAnsi" w:hAnsiTheme="minorHAnsi" w:cstheme="minorHAnsi"/>
              </w:rPr>
              <w:t>.</w:t>
            </w:r>
          </w:p>
        </w:tc>
      </w:tr>
      <w:tr w:rsidR="00E124CC" w:rsidRPr="00CD2828" w14:paraId="206454CB"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510" w:type="dxa"/>
          </w:tcPr>
          <w:p w14:paraId="3DE5C2F9" w14:textId="77777777" w:rsidR="00E124CC" w:rsidRPr="00B740E9" w:rsidRDefault="00E124CC" w:rsidP="00FA5CE0">
            <w:pPr>
              <w:rPr>
                <w:rFonts w:cstheme="minorHAnsi"/>
                <w:lang w:val="fr-FR"/>
              </w:rPr>
            </w:pPr>
            <w:r w:rsidRPr="00B740E9">
              <w:rPr>
                <w:rFonts w:cstheme="minorHAnsi"/>
                <w:lang w:val="fr-FR"/>
              </w:rPr>
              <w:lastRenderedPageBreak/>
              <w:t>Langues :</w:t>
            </w:r>
          </w:p>
        </w:tc>
        <w:tc>
          <w:tcPr>
            <w:tcW w:w="9914" w:type="dxa"/>
            <w:gridSpan w:val="3"/>
          </w:tcPr>
          <w:p w14:paraId="32759BE8" w14:textId="77777777" w:rsidR="00E124CC" w:rsidRPr="00B740E9" w:rsidRDefault="00E124CC" w:rsidP="006520F6">
            <w:pPr>
              <w:numPr>
                <w:ilvl w:val="0"/>
                <w:numId w:val="1"/>
              </w:numPr>
              <w:rPr>
                <w:rFonts w:cstheme="minorHAnsi"/>
                <w:lang w:val="fr-FR"/>
              </w:rPr>
            </w:pPr>
            <w:r w:rsidRPr="00B740E9">
              <w:rPr>
                <w:rFonts w:cstheme="minorHAnsi"/>
                <w:lang w:val="fr-FR"/>
              </w:rPr>
              <w:t>Pratique courante du français (écrit et oral</w:t>
            </w:r>
            <w:r w:rsidR="000E7548" w:rsidRPr="00B740E9">
              <w:rPr>
                <w:rFonts w:cstheme="minorHAnsi"/>
                <w:lang w:val="fr-FR"/>
              </w:rPr>
              <w:t>)</w:t>
            </w:r>
            <w:r w:rsidRPr="00B740E9">
              <w:rPr>
                <w:rFonts w:cstheme="minorHAnsi"/>
                <w:lang w:val="fr-FR"/>
              </w:rPr>
              <w:t>.</w:t>
            </w:r>
          </w:p>
          <w:p w14:paraId="64EAD7C4" w14:textId="77777777" w:rsidR="00E124CC" w:rsidRPr="00B740E9" w:rsidRDefault="00E124CC" w:rsidP="00FA5CE0">
            <w:pPr>
              <w:rPr>
                <w:rFonts w:cstheme="minorHAnsi"/>
                <w:lang w:val="fr-FR"/>
              </w:rPr>
            </w:pPr>
          </w:p>
        </w:tc>
      </w:tr>
      <w:tr w:rsidR="000D161A" w:rsidRPr="006F3EC0" w14:paraId="6F3727E0"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shd w:val="clear" w:color="auto" w:fill="D9D9D9" w:themeFill="background1" w:themeFillShade="D9"/>
          </w:tcPr>
          <w:p w14:paraId="775E1421" w14:textId="08D84798" w:rsidR="000D161A" w:rsidRPr="00B740E9" w:rsidRDefault="000D161A" w:rsidP="00452BBE">
            <w:pPr>
              <w:rPr>
                <w:rFonts w:cstheme="minorHAnsi"/>
                <w:lang w:val="fr-FR"/>
              </w:rPr>
            </w:pPr>
            <w:r w:rsidRPr="00B740E9">
              <w:rPr>
                <w:rFonts w:cstheme="minorHAnsi"/>
                <w:b/>
                <w:bCs/>
                <w:sz w:val="28"/>
                <w:szCs w:val="28"/>
                <w:lang w:val="fr-FR"/>
              </w:rPr>
              <w:t>X</w:t>
            </w:r>
            <w:r w:rsidRPr="00B740E9">
              <w:rPr>
                <w:rFonts w:cstheme="minorHAnsi"/>
                <w:b/>
                <w:sz w:val="28"/>
                <w:szCs w:val="28"/>
                <w:lang w:val="fr-FR"/>
              </w:rPr>
              <w:t>. Condition de participation</w:t>
            </w:r>
          </w:p>
        </w:tc>
      </w:tr>
      <w:tr w:rsidR="000D161A" w:rsidRPr="00CD2828" w14:paraId="74A0DF4A" w14:textId="77777777" w:rsidTr="0045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tcPr>
          <w:p w14:paraId="07D94DDC" w14:textId="77777777" w:rsidR="000D161A" w:rsidRPr="006818A8" w:rsidRDefault="000D161A" w:rsidP="00452BBE">
            <w:pPr>
              <w:spacing w:before="240" w:line="276" w:lineRule="auto"/>
              <w:jc w:val="both"/>
              <w:rPr>
                <w:rFonts w:cstheme="minorHAnsi"/>
                <w:lang w:val="fr-FR"/>
              </w:rPr>
            </w:pPr>
            <w:r w:rsidRPr="006818A8">
              <w:rPr>
                <w:rFonts w:cstheme="minorHAnsi"/>
                <w:lang w:val="fr-FR"/>
              </w:rPr>
              <w:t>Etre un individu libre de tout engagement contractuel pendant la durée du contrat.</w:t>
            </w:r>
          </w:p>
          <w:p w14:paraId="368CB435" w14:textId="77777777" w:rsidR="000D161A" w:rsidRPr="006818A8" w:rsidRDefault="000D161A" w:rsidP="00452BBE">
            <w:pPr>
              <w:spacing w:before="240" w:line="276" w:lineRule="auto"/>
              <w:jc w:val="both"/>
              <w:rPr>
                <w:rFonts w:cstheme="minorHAnsi"/>
                <w:lang w:val="fr-FR"/>
              </w:rPr>
            </w:pPr>
            <w:r w:rsidRPr="006818A8">
              <w:rPr>
                <w:rFonts w:cstheme="minorHAnsi"/>
                <w:lang w:val="fr-FR"/>
              </w:rPr>
              <w:t>Soumettre un dossier de candidature comprenant un CV, une offre technique et une offre financière.</w:t>
            </w:r>
          </w:p>
          <w:p w14:paraId="4EEA3370" w14:textId="4586854F" w:rsidR="000D161A" w:rsidRPr="006818A8" w:rsidRDefault="000D161A" w:rsidP="00452BBE">
            <w:pPr>
              <w:spacing w:before="240" w:after="240" w:line="276" w:lineRule="auto"/>
              <w:jc w:val="both"/>
              <w:rPr>
                <w:rFonts w:cstheme="minorHAnsi"/>
                <w:lang w:val="fr-FR"/>
              </w:rPr>
            </w:pPr>
            <w:r w:rsidRPr="006818A8">
              <w:rPr>
                <w:rFonts w:cstheme="minorHAnsi"/>
                <w:b/>
                <w:lang w:val="fr-FR"/>
              </w:rPr>
              <w:t>10.1.</w:t>
            </w:r>
            <w:r w:rsidRPr="006818A8">
              <w:rPr>
                <w:rFonts w:cstheme="minorHAnsi"/>
                <w:lang w:val="fr-FR"/>
              </w:rPr>
              <w:t xml:space="preserve"> </w:t>
            </w:r>
            <w:r w:rsidRPr="006818A8">
              <w:rPr>
                <w:rFonts w:cstheme="minorHAnsi"/>
                <w:b/>
                <w:lang w:val="fr-FR"/>
              </w:rPr>
              <w:t>Contenu de la proposition technique</w:t>
            </w:r>
            <w:r w:rsidRPr="006818A8">
              <w:rPr>
                <w:rFonts w:cstheme="minorHAnsi"/>
                <w:lang w:val="fr-FR"/>
              </w:rPr>
              <w:t xml:space="preserve"> </w:t>
            </w:r>
          </w:p>
          <w:p w14:paraId="09C435E5" w14:textId="7E5AD11D" w:rsidR="000D161A" w:rsidRPr="006818A8" w:rsidRDefault="000D161A" w:rsidP="00452BBE">
            <w:pPr>
              <w:spacing w:before="240" w:line="276" w:lineRule="auto"/>
              <w:jc w:val="both"/>
              <w:rPr>
                <w:rFonts w:cstheme="minorHAnsi"/>
                <w:lang w:val="fr-FR"/>
              </w:rPr>
            </w:pPr>
            <w:r w:rsidRPr="006818A8">
              <w:rPr>
                <w:rFonts w:cstheme="minorHAnsi"/>
                <w:lang w:val="fr-FR"/>
              </w:rPr>
              <w:t>Une offre technique ressortant les éléments ci-après:</w:t>
            </w:r>
          </w:p>
          <w:p w14:paraId="47543C60" w14:textId="311078CA" w:rsidR="000D161A" w:rsidRPr="006818A8" w:rsidRDefault="000D161A" w:rsidP="00B32B6D">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La lettre de soumission de candidature;</w:t>
            </w:r>
          </w:p>
          <w:p w14:paraId="059D12D5" w14:textId="22324EB9" w:rsidR="000D161A" w:rsidRPr="006818A8"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L’analyse et la compréhension des termes de référence;</w:t>
            </w:r>
          </w:p>
          <w:p w14:paraId="75E834B1" w14:textId="59801855" w:rsidR="000D161A" w:rsidRPr="00B740E9"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rPr>
            </w:pPr>
            <w:r w:rsidRPr="00B740E9">
              <w:rPr>
                <w:rFonts w:asciiTheme="minorHAnsi" w:hAnsiTheme="minorHAnsi" w:cstheme="minorHAnsi"/>
              </w:rPr>
              <w:t xml:space="preserve">La </w:t>
            </w:r>
            <w:proofErr w:type="spellStart"/>
            <w:r w:rsidRPr="00B740E9">
              <w:rPr>
                <w:rFonts w:asciiTheme="minorHAnsi" w:hAnsiTheme="minorHAnsi" w:cstheme="minorHAnsi"/>
              </w:rPr>
              <w:t>méthodologie</w:t>
            </w:r>
            <w:proofErr w:type="spellEnd"/>
            <w:r w:rsidRPr="00B740E9">
              <w:rPr>
                <w:rFonts w:asciiTheme="minorHAnsi" w:hAnsiTheme="minorHAnsi" w:cstheme="minorHAnsi"/>
              </w:rPr>
              <w:t xml:space="preserve"> de </w:t>
            </w:r>
            <w:proofErr w:type="gramStart"/>
            <w:r w:rsidRPr="00B740E9">
              <w:rPr>
                <w:rFonts w:asciiTheme="minorHAnsi" w:hAnsiTheme="minorHAnsi" w:cstheme="minorHAnsi"/>
              </w:rPr>
              <w:t>travail;</w:t>
            </w:r>
            <w:proofErr w:type="gramEnd"/>
            <w:r w:rsidRPr="00B740E9">
              <w:rPr>
                <w:rFonts w:asciiTheme="minorHAnsi" w:hAnsiTheme="minorHAnsi" w:cstheme="minorHAnsi"/>
              </w:rPr>
              <w:t xml:space="preserve"> </w:t>
            </w:r>
          </w:p>
          <w:p w14:paraId="683A56CB" w14:textId="7F02C5FA" w:rsidR="000D161A" w:rsidRPr="006818A8"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 xml:space="preserve">Un chronogramme d’exécution de la mission; </w:t>
            </w:r>
          </w:p>
          <w:p w14:paraId="2120AA8D" w14:textId="2871FF8F" w:rsidR="000D161A" w:rsidRPr="006818A8"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Le curriculum vitae actualisé et signé;</w:t>
            </w:r>
          </w:p>
          <w:p w14:paraId="7D3B9FE9" w14:textId="42B33794" w:rsidR="000D161A" w:rsidRPr="006818A8"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A</w:t>
            </w:r>
            <w:r w:rsidR="002407CF">
              <w:rPr>
                <w:rFonts w:asciiTheme="minorHAnsi" w:hAnsiTheme="minorHAnsi" w:cstheme="minorHAnsi"/>
                <w:lang w:val="fr-FR"/>
              </w:rPr>
              <w:t>u moins deux (02) a</w:t>
            </w:r>
            <w:r w:rsidRPr="006818A8">
              <w:rPr>
                <w:rFonts w:asciiTheme="minorHAnsi" w:hAnsiTheme="minorHAnsi" w:cstheme="minorHAnsi"/>
                <w:lang w:val="fr-FR"/>
              </w:rPr>
              <w:t>ttestations de travaux de similaires;</w:t>
            </w:r>
          </w:p>
          <w:p w14:paraId="7372B2CA" w14:textId="77777777" w:rsidR="000D161A" w:rsidRPr="006818A8" w:rsidRDefault="000D161A">
            <w:pPr>
              <w:pStyle w:val="Paragraphedeliste"/>
              <w:numPr>
                <w:ilvl w:val="0"/>
                <w:numId w:val="12"/>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03 références au moins faisant ressortir que le (la) consultant (e) a déjà rendu des services similaires.</w:t>
            </w:r>
          </w:p>
          <w:p w14:paraId="1241E70C" w14:textId="77777777" w:rsidR="000D161A" w:rsidRPr="006818A8" w:rsidRDefault="000D161A">
            <w:pPr>
              <w:spacing w:before="240" w:line="276" w:lineRule="auto"/>
              <w:jc w:val="both"/>
              <w:rPr>
                <w:rFonts w:cstheme="minorHAnsi"/>
                <w:lang w:val="fr-FR"/>
              </w:rPr>
            </w:pPr>
            <w:r w:rsidRPr="006818A8">
              <w:rPr>
                <w:rFonts w:cstheme="minorHAnsi"/>
                <w:lang w:val="fr-FR"/>
              </w:rPr>
              <w:t>La méthodologie proposée par le/la candidat (e) retenu (e) pourra être amendée par la suite à la lumière de la revue documentaire et les exigences de l’organisation en la matière pour être soumis à la validation du comité d’évaluation et/ou de suivi.</w:t>
            </w:r>
          </w:p>
          <w:p w14:paraId="05496DFC" w14:textId="00D72A58" w:rsidR="000D161A" w:rsidRPr="006818A8" w:rsidRDefault="000D161A" w:rsidP="00452BBE">
            <w:pPr>
              <w:spacing w:before="240" w:line="276" w:lineRule="auto"/>
              <w:jc w:val="both"/>
              <w:rPr>
                <w:rFonts w:cstheme="minorHAnsi"/>
                <w:lang w:val="fr-FR"/>
              </w:rPr>
            </w:pPr>
            <w:r w:rsidRPr="006818A8">
              <w:rPr>
                <w:rFonts w:cstheme="minorHAnsi"/>
                <w:b/>
                <w:lang w:val="fr-FR"/>
              </w:rPr>
              <w:t>10.2. Contenu de la proposition financière</w:t>
            </w:r>
          </w:p>
          <w:p w14:paraId="6D0D1FFB" w14:textId="1F03F0DF" w:rsidR="000D161A" w:rsidRPr="006818A8" w:rsidRDefault="000D161A" w:rsidP="00452BBE">
            <w:pPr>
              <w:spacing w:before="240" w:line="276" w:lineRule="auto"/>
              <w:jc w:val="both"/>
              <w:rPr>
                <w:rFonts w:cstheme="minorHAnsi"/>
                <w:lang w:val="fr-FR"/>
              </w:rPr>
            </w:pPr>
            <w:r w:rsidRPr="006818A8">
              <w:rPr>
                <w:rFonts w:cstheme="minorHAnsi"/>
                <w:lang w:val="fr-FR"/>
              </w:rPr>
              <w:t>Une offre financière présentant les détails estimatifs:</w:t>
            </w:r>
          </w:p>
          <w:p w14:paraId="2B90CC4F" w14:textId="1ED9709A" w:rsidR="000D161A" w:rsidRPr="006818A8" w:rsidRDefault="000D161A" w:rsidP="00B32B6D">
            <w:pPr>
              <w:pStyle w:val="Paragraphedeliste"/>
              <w:numPr>
                <w:ilvl w:val="0"/>
                <w:numId w:val="13"/>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t>il est demandé au/à la consultant (e) de préparer le tableau de coûts sous forme d'une enveloppe distincte de la réponse à l'invitation à soumission. Tous les coûts et tarifs doivent être exempts de toute taxe, le PNUD étant exonéré d'impôts;</w:t>
            </w:r>
          </w:p>
          <w:p w14:paraId="6CFAAA5E" w14:textId="77777777" w:rsidR="000D161A" w:rsidRPr="006818A8" w:rsidRDefault="000D161A">
            <w:pPr>
              <w:pStyle w:val="Paragraphedeliste"/>
              <w:numPr>
                <w:ilvl w:val="0"/>
                <w:numId w:val="13"/>
              </w:numPr>
              <w:spacing w:before="120" w:after="120" w:line="276" w:lineRule="auto"/>
              <w:ind w:left="714" w:hanging="357"/>
              <w:contextualSpacing w:val="0"/>
              <w:jc w:val="both"/>
              <w:rPr>
                <w:rFonts w:asciiTheme="minorHAnsi" w:hAnsiTheme="minorHAnsi" w:cstheme="minorHAnsi"/>
                <w:lang w:val="fr-FR"/>
              </w:rPr>
            </w:pPr>
            <w:r w:rsidRPr="006818A8">
              <w:rPr>
                <w:rFonts w:asciiTheme="minorHAnsi" w:hAnsiTheme="minorHAnsi" w:cstheme="minorHAnsi"/>
                <w:lang w:val="fr-FR"/>
              </w:rPr>
              <w:lastRenderedPageBreak/>
              <w:t>le formulaire doit être utilisé pour préparer le tableau des coûts qui se compose des honoraires, des indemnités de subsistance (s'il y'a lieu) et divers.</w:t>
            </w:r>
          </w:p>
          <w:p w14:paraId="6766D6C6" w14:textId="7EF5A540" w:rsidR="000D161A" w:rsidRPr="006818A8" w:rsidRDefault="000D161A" w:rsidP="00452BBE">
            <w:pPr>
              <w:spacing w:before="120" w:after="120" w:line="276" w:lineRule="auto"/>
              <w:jc w:val="both"/>
              <w:rPr>
                <w:rFonts w:cstheme="minorHAnsi"/>
                <w:lang w:val="fr-FR"/>
              </w:rPr>
            </w:pPr>
            <w:r w:rsidRPr="006818A8">
              <w:rPr>
                <w:rFonts w:cstheme="minorHAnsi"/>
                <w:b/>
                <w:bCs/>
                <w:u w:val="single"/>
                <w:lang w:val="fr-FR"/>
              </w:rPr>
              <w:t>NB</w:t>
            </w:r>
            <w:r w:rsidRPr="006818A8">
              <w:rPr>
                <w:rFonts w:cstheme="minorHAnsi"/>
                <w:lang w:val="fr-FR"/>
              </w:rPr>
              <w:t>: les frais liés à l’organisation des ateliers seront pris en charge directement par le programme.</w:t>
            </w:r>
          </w:p>
          <w:p w14:paraId="5C098785" w14:textId="6F4A693B" w:rsidR="000D161A" w:rsidRPr="00B740E9" w:rsidRDefault="000D161A" w:rsidP="00452BBE">
            <w:pPr>
              <w:spacing w:line="276" w:lineRule="auto"/>
              <w:ind w:left="720"/>
              <w:rPr>
                <w:rFonts w:cstheme="minorHAnsi"/>
                <w:lang w:val="fr-FR"/>
              </w:rPr>
            </w:pPr>
            <w:r w:rsidRPr="006818A8">
              <w:rPr>
                <w:rFonts w:cstheme="minorHAnsi"/>
                <w:lang w:val="fr-FR"/>
              </w:rPr>
              <w:t>Le calendrier des paiements sera accepté à la signature du contrat et sera progressif en fonction de la séquence des livrables. Le paiement définitif sera effectué après la livraison des livrables et l’évaluation satisfaisante.</w:t>
            </w:r>
          </w:p>
        </w:tc>
      </w:tr>
      <w:tr w:rsidR="000D161A" w:rsidRPr="006F3EC0" w14:paraId="535011B8" w14:textId="77777777" w:rsidTr="0045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shd w:val="clear" w:color="auto" w:fill="D9D9D9" w:themeFill="background1" w:themeFillShade="D9"/>
          </w:tcPr>
          <w:p w14:paraId="4BCB5A32" w14:textId="5BD06E84" w:rsidR="000D161A" w:rsidRPr="00B740E9" w:rsidRDefault="000D161A" w:rsidP="00452BBE">
            <w:pPr>
              <w:rPr>
                <w:rFonts w:cstheme="minorHAnsi"/>
                <w:lang w:val="fr-FR"/>
              </w:rPr>
            </w:pPr>
            <w:r w:rsidRPr="00B740E9">
              <w:rPr>
                <w:rFonts w:cstheme="minorHAnsi"/>
                <w:b/>
                <w:bCs/>
                <w:sz w:val="28"/>
                <w:szCs w:val="28"/>
                <w:lang w:val="fr-FR"/>
              </w:rPr>
              <w:lastRenderedPageBreak/>
              <w:t>XI. Méthode de sélection</w:t>
            </w:r>
          </w:p>
        </w:tc>
      </w:tr>
      <w:tr w:rsidR="000D161A" w:rsidRPr="002407CF" w14:paraId="2E7B3FFB" w14:textId="77777777" w:rsidTr="0045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tcBorders>
              <w:bottom w:val="single" w:sz="4" w:space="0" w:color="auto"/>
            </w:tcBorders>
          </w:tcPr>
          <w:p w14:paraId="1BDBBA72" w14:textId="77777777" w:rsidR="00B32B6D" w:rsidRPr="002407CF" w:rsidRDefault="00B32B6D" w:rsidP="00452BBE">
            <w:pPr>
              <w:spacing w:before="240" w:after="240" w:line="276" w:lineRule="auto"/>
              <w:jc w:val="both"/>
              <w:rPr>
                <w:rFonts w:cstheme="minorHAnsi"/>
              </w:rPr>
            </w:pPr>
            <w:r w:rsidRPr="002407CF">
              <w:rPr>
                <w:rFonts w:cstheme="minorHAnsi"/>
              </w:rPr>
              <w:t>La proposition technique est évaluée sur la base de son degré de réponse à la mission (Termes de Référence).</w:t>
            </w:r>
          </w:p>
          <w:p w14:paraId="578C5A97" w14:textId="7EF7C938" w:rsidR="00B32B6D" w:rsidRPr="006818A8" w:rsidRDefault="00B32B6D" w:rsidP="00B32B6D">
            <w:pPr>
              <w:spacing w:before="240" w:after="240" w:line="276" w:lineRule="auto"/>
              <w:jc w:val="both"/>
              <w:rPr>
                <w:rFonts w:cstheme="minorHAnsi"/>
                <w:lang w:val="fr-FR"/>
              </w:rPr>
            </w:pPr>
            <w:r w:rsidRPr="002407CF">
              <w:rPr>
                <w:rFonts w:cstheme="minorHAnsi"/>
              </w:rPr>
              <w:t xml:space="preserve">Les candidatures reçues seront évaluées sur la base de leurs qualifications et leurs expériences. </w:t>
            </w:r>
            <w:r w:rsidRPr="006818A8">
              <w:rPr>
                <w:rFonts w:cstheme="minorHAnsi"/>
                <w:lang w:val="fr-FR"/>
              </w:rPr>
              <w:t xml:space="preserve">Ainsi, les consultants intéressés sont invités à soumettre </w:t>
            </w:r>
            <w:r w:rsidR="002407CF" w:rsidRPr="006818A8">
              <w:rPr>
                <w:rFonts w:cstheme="minorHAnsi"/>
                <w:lang w:val="fr-FR"/>
              </w:rPr>
              <w:t>da</w:t>
            </w:r>
            <w:r w:rsidR="002407CF">
              <w:rPr>
                <w:rFonts w:cstheme="minorHAnsi"/>
                <w:lang w:val="fr-FR"/>
              </w:rPr>
              <w:t xml:space="preserve">ns des enveloppes séparées </w:t>
            </w:r>
            <w:r w:rsidRPr="006818A8">
              <w:rPr>
                <w:rFonts w:cstheme="minorHAnsi"/>
                <w:lang w:val="fr-FR"/>
              </w:rPr>
              <w:t>une proposition technique (bref exposé de la méthodologie/approche à appliquer pour exécuter le travail) ainsi qu’une proposition financière détaillée.</w:t>
            </w:r>
          </w:p>
          <w:p w14:paraId="3E7C2F05" w14:textId="30D181EF" w:rsidR="00B32B6D" w:rsidRPr="006818A8" w:rsidRDefault="00B32B6D">
            <w:pPr>
              <w:spacing w:before="240" w:after="240" w:line="276" w:lineRule="auto"/>
              <w:jc w:val="both"/>
              <w:rPr>
                <w:rFonts w:cstheme="minorHAnsi"/>
                <w:lang w:val="fr-FR"/>
              </w:rPr>
            </w:pPr>
            <w:proofErr w:type="spellStart"/>
            <w:r w:rsidRPr="002407CF">
              <w:rPr>
                <w:rFonts w:cstheme="minorHAnsi"/>
              </w:rPr>
              <w:t>L’évaluation</w:t>
            </w:r>
            <w:proofErr w:type="spellEnd"/>
            <w:r w:rsidRPr="002407CF">
              <w:rPr>
                <w:rFonts w:cstheme="minorHAnsi"/>
              </w:rPr>
              <w:t xml:space="preserve"> des propositions se déroule en deux temps. L’évaluation de la proposition technique est achevée avant l’ouverture et la comparaison des propositions financières.</w:t>
            </w:r>
            <w:r w:rsidRPr="002407CF">
              <w:rPr>
                <w:rFonts w:cstheme="minorHAnsi"/>
              </w:rPr>
              <w:tab/>
              <w:t xml:space="preserve">La proposition technique est évaluée sur la base de son degré de réponse aux termes de référence. </w:t>
            </w:r>
            <w:r w:rsidRPr="006818A8">
              <w:rPr>
                <w:rFonts w:cstheme="minorHAnsi"/>
                <w:lang w:val="fr-FR"/>
              </w:rPr>
              <w:t xml:space="preserve">La proposition financière des soumissions ne sera considérée que pour les soumissionnaires qui remplissent les critères requis et ayant obtenu au moins un score de 70% après l’évaluation de </w:t>
            </w:r>
            <w:r w:rsidR="002407CF" w:rsidRPr="006818A8">
              <w:rPr>
                <w:rFonts w:cstheme="minorHAnsi"/>
                <w:lang w:val="fr-FR"/>
              </w:rPr>
              <w:t>le</w:t>
            </w:r>
            <w:r w:rsidR="002407CF">
              <w:rPr>
                <w:rFonts w:cstheme="minorHAnsi"/>
                <w:lang w:val="fr-FR"/>
              </w:rPr>
              <w:t>urs</w:t>
            </w:r>
            <w:r w:rsidR="002407CF" w:rsidRPr="006818A8">
              <w:rPr>
                <w:rFonts w:cstheme="minorHAnsi"/>
                <w:lang w:val="fr-FR"/>
              </w:rPr>
              <w:t xml:space="preserve"> </w:t>
            </w:r>
            <w:r w:rsidRPr="006818A8">
              <w:rPr>
                <w:rFonts w:cstheme="minorHAnsi"/>
                <w:lang w:val="fr-FR"/>
              </w:rPr>
              <w:t>offre</w:t>
            </w:r>
            <w:r w:rsidR="002407CF">
              <w:rPr>
                <w:rFonts w:cstheme="minorHAnsi"/>
                <w:lang w:val="fr-FR"/>
              </w:rPr>
              <w:t>s</w:t>
            </w:r>
            <w:r w:rsidRPr="006818A8">
              <w:rPr>
                <w:rFonts w:cstheme="minorHAnsi"/>
                <w:lang w:val="fr-FR"/>
              </w:rPr>
              <w:t xml:space="preserve"> technique</w:t>
            </w:r>
            <w:r w:rsidR="002407CF">
              <w:rPr>
                <w:rFonts w:cstheme="minorHAnsi"/>
                <w:lang w:val="fr-FR"/>
              </w:rPr>
              <w:t>s</w:t>
            </w:r>
            <w:r w:rsidRPr="006818A8">
              <w:rPr>
                <w:rFonts w:cstheme="minorHAnsi"/>
                <w:lang w:val="fr-FR"/>
              </w:rPr>
              <w:t>.</w:t>
            </w:r>
            <w:r w:rsidRPr="006818A8">
              <w:rPr>
                <w:rFonts w:cstheme="minorHAnsi"/>
                <w:lang w:val="fr-FR"/>
              </w:rPr>
              <w:tab/>
            </w:r>
          </w:p>
          <w:p w14:paraId="3D249654" w14:textId="74B45776" w:rsidR="00B32B6D" w:rsidRPr="002407CF" w:rsidRDefault="00B32B6D">
            <w:pPr>
              <w:spacing w:before="240" w:after="240" w:line="276" w:lineRule="auto"/>
              <w:jc w:val="both"/>
              <w:rPr>
                <w:rFonts w:cstheme="minorHAnsi"/>
              </w:rPr>
            </w:pPr>
            <w:r w:rsidRPr="002407CF">
              <w:rPr>
                <w:rFonts w:cstheme="minorHAnsi"/>
              </w:rPr>
              <w:t>Lors d’une deuxième étape, les offres financières de tous les Soumissionnaires ayant</w:t>
            </w:r>
            <w:r w:rsidR="006818A8">
              <w:rPr>
                <w:rFonts w:cstheme="minorHAnsi"/>
              </w:rPr>
              <w:t xml:space="preserve"> </w:t>
            </w:r>
            <w:proofErr w:type="spellStart"/>
            <w:r w:rsidRPr="002407CF">
              <w:rPr>
                <w:rFonts w:cstheme="minorHAnsi"/>
              </w:rPr>
              <w:t>obtenu</w:t>
            </w:r>
            <w:proofErr w:type="spellEnd"/>
            <w:r w:rsidRPr="002407CF">
              <w:rPr>
                <w:rFonts w:cstheme="minorHAnsi"/>
              </w:rPr>
              <w:t> la note technique </w:t>
            </w:r>
            <w:proofErr w:type="spellStart"/>
            <w:r w:rsidRPr="002407CF">
              <w:rPr>
                <w:rFonts w:cstheme="minorHAnsi"/>
              </w:rPr>
              <w:t>minimale</w:t>
            </w:r>
            <w:proofErr w:type="spellEnd"/>
            <w:r w:rsidRPr="002407CF">
              <w:rPr>
                <w:rFonts w:cstheme="minorHAnsi"/>
              </w:rPr>
              <w:t xml:space="preserve"> de 70% </w:t>
            </w:r>
            <w:proofErr w:type="spellStart"/>
            <w:r w:rsidRPr="002407CF">
              <w:rPr>
                <w:rFonts w:cstheme="minorHAnsi"/>
              </w:rPr>
              <w:t>seront</w:t>
            </w:r>
            <w:proofErr w:type="spellEnd"/>
            <w:r w:rsidRPr="002407CF">
              <w:rPr>
                <w:rFonts w:cstheme="minorHAnsi"/>
              </w:rPr>
              <w:t xml:space="preserve"> </w:t>
            </w:r>
            <w:proofErr w:type="spellStart"/>
            <w:r w:rsidRPr="002407CF">
              <w:rPr>
                <w:rFonts w:cstheme="minorHAnsi"/>
              </w:rPr>
              <w:t>comparées</w:t>
            </w:r>
            <w:proofErr w:type="spellEnd"/>
            <w:r w:rsidRPr="002407CF">
              <w:rPr>
                <w:rFonts w:cstheme="minorHAnsi"/>
              </w:rPr>
              <w:t>.</w:t>
            </w:r>
            <w:r w:rsidRPr="002407CF">
              <w:rPr>
                <w:rFonts w:cstheme="minorHAnsi"/>
              </w:rPr>
              <w:tab/>
            </w:r>
            <w:r w:rsidRPr="002407CF">
              <w:rPr>
                <w:rFonts w:cstheme="minorHAnsi"/>
              </w:rPr>
              <w:tab/>
            </w:r>
          </w:p>
          <w:p w14:paraId="3FA7E13E" w14:textId="005001F2" w:rsidR="00B32B6D" w:rsidRPr="002407CF" w:rsidRDefault="00B32B6D">
            <w:pPr>
              <w:spacing w:before="240" w:after="240" w:line="276" w:lineRule="auto"/>
              <w:jc w:val="both"/>
              <w:rPr>
                <w:rFonts w:cstheme="minorHAnsi"/>
              </w:rPr>
            </w:pPr>
            <w:r w:rsidRPr="006818A8">
              <w:rPr>
                <w:rFonts w:cstheme="minorHAnsi"/>
                <w:lang w:val="fr-FR"/>
              </w:rPr>
              <w:t xml:space="preserve">L’approche utilisée est celle du meilleur rapport qualité/prix (ou score combiné): elle combine les qualifications des soumissionnaires ayant obtenu au moins un score de 70% à l’issue de l’évaluation de l’offre technique et </w:t>
            </w:r>
            <w:r w:rsidR="00FF04DB" w:rsidRPr="006818A8">
              <w:rPr>
                <w:rFonts w:cstheme="minorHAnsi"/>
                <w:lang w:val="fr-FR"/>
              </w:rPr>
              <w:t>le</w:t>
            </w:r>
            <w:r w:rsidR="00FF04DB">
              <w:rPr>
                <w:rFonts w:cstheme="minorHAnsi"/>
                <w:lang w:val="fr-FR"/>
              </w:rPr>
              <w:t>urs</w:t>
            </w:r>
            <w:r w:rsidR="00FF04DB" w:rsidRPr="006818A8">
              <w:rPr>
                <w:rFonts w:cstheme="minorHAnsi"/>
                <w:lang w:val="fr-FR"/>
              </w:rPr>
              <w:t xml:space="preserve"> </w:t>
            </w:r>
            <w:r w:rsidRPr="006818A8">
              <w:rPr>
                <w:rFonts w:cstheme="minorHAnsi"/>
                <w:lang w:val="fr-FR"/>
              </w:rPr>
              <w:t>proposition</w:t>
            </w:r>
            <w:r w:rsidR="00FF04DB">
              <w:rPr>
                <w:rFonts w:cstheme="minorHAnsi"/>
                <w:lang w:val="fr-FR"/>
              </w:rPr>
              <w:t>s</w:t>
            </w:r>
            <w:r w:rsidRPr="006818A8">
              <w:rPr>
                <w:rFonts w:cstheme="minorHAnsi"/>
                <w:lang w:val="fr-FR"/>
              </w:rPr>
              <w:t xml:space="preserve"> financière</w:t>
            </w:r>
            <w:r w:rsidR="00FF04DB">
              <w:rPr>
                <w:rFonts w:cstheme="minorHAnsi"/>
                <w:lang w:val="fr-FR"/>
              </w:rPr>
              <w:t>s</w:t>
            </w:r>
            <w:r w:rsidRPr="006818A8">
              <w:rPr>
                <w:rFonts w:cstheme="minorHAnsi"/>
                <w:lang w:val="fr-FR"/>
              </w:rPr>
              <w:t>.</w:t>
            </w:r>
            <w:r w:rsidRPr="006818A8">
              <w:rPr>
                <w:rFonts w:cstheme="minorHAnsi"/>
                <w:lang w:val="fr-FR"/>
              </w:rPr>
              <w:tab/>
            </w:r>
            <w:r w:rsidRPr="006818A8">
              <w:rPr>
                <w:rFonts w:cstheme="minorHAnsi"/>
                <w:lang w:val="fr-FR"/>
              </w:rPr>
              <w:cr/>
            </w:r>
            <w:r w:rsidRPr="002407CF">
              <w:rPr>
                <w:rFonts w:cstheme="minorHAnsi"/>
              </w:rPr>
              <w:t xml:space="preserve">La proposition financière </w:t>
            </w:r>
            <w:proofErr w:type="spellStart"/>
            <w:r w:rsidRPr="002407CF">
              <w:rPr>
                <w:rFonts w:cstheme="minorHAnsi"/>
              </w:rPr>
              <w:t>représentera</w:t>
            </w:r>
            <w:proofErr w:type="spellEnd"/>
            <w:r w:rsidRPr="002407CF">
              <w:rPr>
                <w:rFonts w:cstheme="minorHAnsi"/>
              </w:rPr>
              <w:t> 30% de </w:t>
            </w:r>
            <w:proofErr w:type="spellStart"/>
            <w:r w:rsidRPr="002407CF">
              <w:rPr>
                <w:rFonts w:cstheme="minorHAnsi"/>
              </w:rPr>
              <w:t>l’ensemble</w:t>
            </w:r>
            <w:proofErr w:type="spellEnd"/>
            <w:r w:rsidRPr="002407CF">
              <w:rPr>
                <w:rFonts w:cstheme="minorHAnsi"/>
              </w:rPr>
              <w:t xml:space="preserve"> des points de l’évaluation du soumissionnaire.</w:t>
            </w:r>
            <w:r w:rsidRPr="002407CF">
              <w:rPr>
                <w:rFonts w:cstheme="minorHAnsi"/>
              </w:rPr>
              <w:tab/>
            </w:r>
          </w:p>
          <w:p w14:paraId="13C6035A" w14:textId="7D5D48E4" w:rsidR="000D161A" w:rsidRPr="002407CF" w:rsidRDefault="00B32B6D" w:rsidP="00D75887">
            <w:pPr>
              <w:spacing w:before="240" w:after="240" w:line="276" w:lineRule="auto"/>
              <w:jc w:val="both"/>
              <w:rPr>
                <w:rFonts w:cstheme="minorHAnsi"/>
              </w:rPr>
            </w:pPr>
            <w:r w:rsidRPr="002407CF">
              <w:rPr>
                <w:rFonts w:cstheme="minorHAnsi"/>
              </w:rPr>
              <w:t>Le marché sera attribué au soumissionnaire ayant obtenu le pourcentage le plus élevé, après la combinaison des scores de l’évaluation de l’offre technique (représentant 70% du total) et ceux de l’offre financière (représentant 30% du total).</w:t>
            </w:r>
          </w:p>
        </w:tc>
      </w:tr>
      <w:tr w:rsidR="000D161A" w:rsidRPr="006F3EC0" w14:paraId="0F8B2D64" w14:textId="77777777" w:rsidTr="00D7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tcBorders>
              <w:bottom w:val="single" w:sz="4" w:space="0" w:color="auto"/>
            </w:tcBorders>
            <w:shd w:val="clear" w:color="auto" w:fill="D9D9D9" w:themeFill="background1" w:themeFillShade="D9"/>
          </w:tcPr>
          <w:p w14:paraId="76615873" w14:textId="3D5026BF" w:rsidR="000D161A" w:rsidRPr="00B740E9" w:rsidRDefault="00B32B6D" w:rsidP="00D75887">
            <w:pPr>
              <w:rPr>
                <w:rFonts w:cstheme="minorHAnsi"/>
                <w:lang w:val="fr-FR"/>
              </w:rPr>
            </w:pPr>
            <w:r w:rsidRPr="00B740E9">
              <w:rPr>
                <w:rFonts w:cstheme="minorHAnsi"/>
                <w:b/>
                <w:bCs/>
                <w:sz w:val="28"/>
                <w:szCs w:val="28"/>
                <w:lang w:val="fr-FR"/>
              </w:rPr>
              <w:t>XII. Présentation des offres</w:t>
            </w:r>
          </w:p>
        </w:tc>
      </w:tr>
      <w:tr w:rsidR="000D161A" w:rsidRPr="00CD2828" w14:paraId="13890FD3" w14:textId="77777777" w:rsidTr="0045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86"/>
        </w:trPr>
        <w:tc>
          <w:tcPr>
            <w:tcW w:w="11424" w:type="dxa"/>
            <w:gridSpan w:val="4"/>
            <w:tcBorders>
              <w:bottom w:val="single" w:sz="4" w:space="0" w:color="auto"/>
            </w:tcBorders>
          </w:tcPr>
          <w:p w14:paraId="01EFD159" w14:textId="3B236FF3" w:rsidR="00B32B6D" w:rsidRPr="006818A8" w:rsidRDefault="00B32B6D" w:rsidP="00B32B6D">
            <w:pPr>
              <w:spacing w:before="240" w:after="240" w:line="276" w:lineRule="auto"/>
              <w:jc w:val="both"/>
              <w:rPr>
                <w:rFonts w:cstheme="minorHAnsi"/>
                <w:lang w:val="fr-FR"/>
              </w:rPr>
            </w:pPr>
            <w:r w:rsidRPr="006818A8">
              <w:rPr>
                <w:rFonts w:cstheme="minorHAnsi"/>
                <w:lang w:val="fr-FR"/>
              </w:rPr>
              <w:t xml:space="preserve">La proposition technique et la proposition financière seront préparées dans des enveloppes séparées contenues dans une grande enveloppe portant la mention « </w:t>
            </w:r>
            <w:r w:rsidRPr="006818A8">
              <w:rPr>
                <w:rFonts w:cstheme="minorHAnsi"/>
                <w:b/>
                <w:lang w:val="fr-FR"/>
              </w:rPr>
              <w:t>Offre pour le</w:t>
            </w:r>
            <w:r w:rsidRPr="006818A8">
              <w:rPr>
                <w:rFonts w:cstheme="minorHAnsi"/>
                <w:lang w:val="fr-FR"/>
              </w:rPr>
              <w:t xml:space="preserve"> </w:t>
            </w:r>
            <w:r w:rsidRPr="006818A8">
              <w:rPr>
                <w:rFonts w:cstheme="minorHAnsi"/>
                <w:b/>
                <w:lang w:val="fr-FR"/>
              </w:rPr>
              <w:t>recrutement d’un (e) consultant (e) individuel</w:t>
            </w:r>
            <w:r w:rsidR="00FF04DB">
              <w:rPr>
                <w:rFonts w:cstheme="minorHAnsi"/>
                <w:b/>
                <w:lang w:val="fr-FR"/>
              </w:rPr>
              <w:t>(le)</w:t>
            </w:r>
            <w:r w:rsidRPr="006818A8">
              <w:rPr>
                <w:rFonts w:cstheme="minorHAnsi"/>
                <w:b/>
                <w:lang w:val="fr-FR"/>
              </w:rPr>
              <w:t xml:space="preserve"> national pour élaborer un guide d’information et de formation sur la RSE au profit des OSC et des collectivités territoriales des zones minières</w:t>
            </w:r>
            <w:r w:rsidRPr="006818A8">
              <w:rPr>
                <w:rFonts w:cstheme="minorHAnsi"/>
                <w:lang w:val="fr-FR"/>
              </w:rPr>
              <w:t xml:space="preserve"> ».</w:t>
            </w:r>
          </w:p>
          <w:p w14:paraId="7FEABAD8" w14:textId="7A294731" w:rsidR="00B32B6D" w:rsidRPr="006818A8" w:rsidRDefault="00B32B6D" w:rsidP="00D75887">
            <w:pPr>
              <w:spacing w:before="240" w:after="240" w:line="276" w:lineRule="auto"/>
              <w:jc w:val="both"/>
              <w:rPr>
                <w:rFonts w:cstheme="minorHAnsi"/>
                <w:lang w:val="fr-FR"/>
              </w:rPr>
            </w:pPr>
            <w:r w:rsidRPr="006818A8">
              <w:rPr>
                <w:rFonts w:cstheme="minorHAnsi"/>
                <w:lang w:val="fr-FR"/>
              </w:rPr>
              <w:t xml:space="preserve">Les candidats intéressés doivent faire parvenir leurs offres technique et financière avant </w:t>
            </w:r>
            <w:r w:rsidRPr="007158C1">
              <w:rPr>
                <w:rFonts w:cstheme="minorHAnsi"/>
                <w:b/>
                <w:bCs/>
                <w:lang w:val="fr-FR"/>
              </w:rPr>
              <w:t xml:space="preserve">le </w:t>
            </w:r>
            <w:r w:rsidR="003E3B7B">
              <w:rPr>
                <w:rFonts w:cstheme="minorHAnsi"/>
                <w:b/>
                <w:bCs/>
                <w:lang w:val="fr-FR"/>
              </w:rPr>
              <w:t>26 octobre</w:t>
            </w:r>
            <w:r w:rsidRPr="007158C1">
              <w:rPr>
                <w:rFonts w:cstheme="minorHAnsi"/>
                <w:b/>
                <w:bCs/>
                <w:lang w:val="fr-FR"/>
              </w:rPr>
              <w:t xml:space="preserve"> 2020</w:t>
            </w:r>
            <w:r w:rsidRPr="007158C1">
              <w:rPr>
                <w:rFonts w:cstheme="minorHAnsi"/>
                <w:lang w:val="fr-FR"/>
              </w:rPr>
              <w:t xml:space="preserve"> à 1</w:t>
            </w:r>
            <w:r w:rsidR="003E3B7B">
              <w:rPr>
                <w:rFonts w:cstheme="minorHAnsi"/>
                <w:lang w:val="fr-FR"/>
              </w:rPr>
              <w:t>0</w:t>
            </w:r>
            <w:r w:rsidRPr="007158C1">
              <w:rPr>
                <w:rFonts w:cstheme="minorHAnsi"/>
                <w:lang w:val="fr-FR"/>
              </w:rPr>
              <w:t xml:space="preserve"> heures 00 minutes</w:t>
            </w:r>
            <w:r w:rsidR="003E3B7B">
              <w:rPr>
                <w:rFonts w:cstheme="minorHAnsi"/>
                <w:lang w:val="fr-FR"/>
              </w:rPr>
              <w:t xml:space="preserve"> à l’adresse offres.burkina@undp.org</w:t>
            </w:r>
            <w:r w:rsidRPr="007158C1">
              <w:rPr>
                <w:rFonts w:cstheme="minorHAnsi"/>
                <w:lang w:val="fr-FR"/>
              </w:rPr>
              <w:t>.</w:t>
            </w:r>
          </w:p>
          <w:p w14:paraId="6B0EE9C6" w14:textId="77777777" w:rsidR="00B32B6D" w:rsidRPr="006818A8" w:rsidRDefault="00B32B6D" w:rsidP="00D75887">
            <w:pPr>
              <w:spacing w:before="240" w:after="240" w:line="276" w:lineRule="auto"/>
              <w:jc w:val="both"/>
              <w:rPr>
                <w:rFonts w:cstheme="minorHAnsi"/>
                <w:b/>
                <w:lang w:val="fr-FR"/>
              </w:rPr>
            </w:pPr>
            <w:r w:rsidRPr="006818A8">
              <w:rPr>
                <w:rFonts w:cstheme="minorHAnsi"/>
                <w:b/>
                <w:lang w:val="fr-FR"/>
              </w:rPr>
              <w:lastRenderedPageBreak/>
              <w:t>Les candidatures féminines sont vivement encouragées.</w:t>
            </w:r>
            <w:r w:rsidRPr="006818A8">
              <w:rPr>
                <w:rFonts w:cstheme="minorHAnsi"/>
                <w:b/>
                <w:lang w:val="fr-FR"/>
              </w:rPr>
              <w:tab/>
            </w:r>
          </w:p>
          <w:p w14:paraId="362B5421" w14:textId="2EF9C4DC" w:rsidR="00B32B6D" w:rsidRPr="006818A8" w:rsidRDefault="00B32B6D" w:rsidP="00D75887">
            <w:pPr>
              <w:spacing w:before="240" w:after="240" w:line="276" w:lineRule="auto"/>
              <w:jc w:val="both"/>
              <w:rPr>
                <w:rFonts w:cstheme="minorHAnsi"/>
                <w:lang w:val="fr-FR"/>
              </w:rPr>
            </w:pPr>
            <w:r w:rsidRPr="006818A8">
              <w:rPr>
                <w:rFonts w:cstheme="minorHAnsi"/>
                <w:lang w:val="fr-FR"/>
              </w:rPr>
              <w:t>Les offres parvenues hors délai ne sont pas recevable</w:t>
            </w:r>
            <w:r w:rsidR="00EC6BE5">
              <w:rPr>
                <w:rFonts w:cstheme="minorHAnsi"/>
                <w:lang w:val="fr-FR"/>
              </w:rPr>
              <w:t>s</w:t>
            </w:r>
          </w:p>
          <w:p w14:paraId="70C6BE8D" w14:textId="77777777" w:rsidR="000D161A" w:rsidRPr="006F3EC0" w:rsidRDefault="000D161A" w:rsidP="00D75887">
            <w:pPr>
              <w:rPr>
                <w:rFonts w:cstheme="minorHAnsi"/>
                <w:lang w:val="fr-FR"/>
              </w:rPr>
            </w:pPr>
          </w:p>
        </w:tc>
      </w:tr>
    </w:tbl>
    <w:p w14:paraId="4415BA60" w14:textId="77777777" w:rsidR="003E6F3C" w:rsidRPr="00B740E9" w:rsidRDefault="003E6F3C" w:rsidP="003E6F3C">
      <w:pPr>
        <w:rPr>
          <w:rFonts w:cstheme="minorHAnsi"/>
          <w:lang w:val="fr-FR"/>
        </w:rPr>
      </w:pPr>
    </w:p>
    <w:p w14:paraId="353A4246" w14:textId="77777777" w:rsidR="00456FE9" w:rsidRPr="00456FE9" w:rsidRDefault="00456FE9" w:rsidP="00456FE9">
      <w:pPr>
        <w:rPr>
          <w:rFonts w:ascii="Calibri" w:hAnsi="Calibri" w:cs="Calibri"/>
          <w:lang w:val="fr-FR"/>
        </w:rPr>
      </w:pPr>
    </w:p>
    <w:sectPr w:rsidR="00456FE9" w:rsidRPr="00456FE9" w:rsidSect="00F96684">
      <w:pgSz w:w="12240" w:h="15840"/>
      <w:pgMar w:top="992"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837A" w14:textId="77777777" w:rsidR="00802AA3" w:rsidRDefault="00802AA3" w:rsidP="00B32B6D">
      <w:r>
        <w:separator/>
      </w:r>
    </w:p>
  </w:endnote>
  <w:endnote w:type="continuationSeparator" w:id="0">
    <w:p w14:paraId="3CF54466" w14:textId="77777777" w:rsidR="00802AA3" w:rsidRDefault="00802AA3" w:rsidP="00B3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12E2" w14:textId="77777777" w:rsidR="00802AA3" w:rsidRDefault="00802AA3" w:rsidP="00B32B6D">
      <w:r>
        <w:separator/>
      </w:r>
    </w:p>
  </w:footnote>
  <w:footnote w:type="continuationSeparator" w:id="0">
    <w:p w14:paraId="61BB873C" w14:textId="77777777" w:rsidR="00802AA3" w:rsidRDefault="00802AA3" w:rsidP="00B3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AC7"/>
    <w:multiLevelType w:val="hybridMultilevel"/>
    <w:tmpl w:val="92C04C9C"/>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2B47"/>
    <w:multiLevelType w:val="hybridMultilevel"/>
    <w:tmpl w:val="ECD08624"/>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C1B5F"/>
    <w:multiLevelType w:val="hybridMultilevel"/>
    <w:tmpl w:val="86D04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1D3B"/>
    <w:multiLevelType w:val="hybridMultilevel"/>
    <w:tmpl w:val="515EF9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B06E66"/>
    <w:multiLevelType w:val="hybridMultilevel"/>
    <w:tmpl w:val="C5A49C18"/>
    <w:lvl w:ilvl="0" w:tplc="8174DFE4">
      <w:start w:val="1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BD2A1F"/>
    <w:multiLevelType w:val="hybridMultilevel"/>
    <w:tmpl w:val="409AC5B4"/>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76629"/>
    <w:multiLevelType w:val="hybridMultilevel"/>
    <w:tmpl w:val="E0E0A7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E07C82"/>
    <w:multiLevelType w:val="hybridMultilevel"/>
    <w:tmpl w:val="9BDAA1EE"/>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10571"/>
    <w:multiLevelType w:val="hybridMultilevel"/>
    <w:tmpl w:val="E63626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907786D"/>
    <w:multiLevelType w:val="hybridMultilevel"/>
    <w:tmpl w:val="7D6C277C"/>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E2886"/>
    <w:multiLevelType w:val="hybridMultilevel"/>
    <w:tmpl w:val="D1D8D77E"/>
    <w:lvl w:ilvl="0" w:tplc="4C24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77CBA"/>
    <w:multiLevelType w:val="hybridMultilevel"/>
    <w:tmpl w:val="9F226796"/>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23F6"/>
    <w:multiLevelType w:val="hybridMultilevel"/>
    <w:tmpl w:val="8168FF10"/>
    <w:lvl w:ilvl="0" w:tplc="916A0604">
      <w:start w:val="2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727D0"/>
    <w:multiLevelType w:val="hybridMultilevel"/>
    <w:tmpl w:val="22964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3"/>
  </w:num>
  <w:num w:numId="5">
    <w:abstractNumId w:val="8"/>
  </w:num>
  <w:num w:numId="6">
    <w:abstractNumId w:val="2"/>
  </w:num>
  <w:num w:numId="7">
    <w:abstractNumId w:val="4"/>
  </w:num>
  <w:num w:numId="8">
    <w:abstractNumId w:val="1"/>
  </w:num>
  <w:num w:numId="9">
    <w:abstractNumId w:val="12"/>
  </w:num>
  <w:num w:numId="10">
    <w:abstractNumId w:val="9"/>
  </w:num>
  <w:num w:numId="11">
    <w:abstractNumId w:val="11"/>
  </w:num>
  <w:num w:numId="12">
    <w:abstractNumId w:val="7"/>
  </w:num>
  <w:num w:numId="13">
    <w:abstractNumId w:val="5"/>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EFAB03-9F60-4D9C-B2E9-F64D2F7D55CF}"/>
    <w:docVar w:name="dgnword-eventsink" w:val="155322360"/>
  </w:docVars>
  <w:rsids>
    <w:rsidRoot w:val="003E6F3C"/>
    <w:rsid w:val="00032428"/>
    <w:rsid w:val="000329C1"/>
    <w:rsid w:val="00043D3E"/>
    <w:rsid w:val="000638EA"/>
    <w:rsid w:val="00077003"/>
    <w:rsid w:val="000966CF"/>
    <w:rsid w:val="000A08D0"/>
    <w:rsid w:val="000B4AFD"/>
    <w:rsid w:val="000D161A"/>
    <w:rsid w:val="000E1B57"/>
    <w:rsid w:val="000E3184"/>
    <w:rsid w:val="000E7548"/>
    <w:rsid w:val="00107FD3"/>
    <w:rsid w:val="00124EFE"/>
    <w:rsid w:val="0012565D"/>
    <w:rsid w:val="00146E83"/>
    <w:rsid w:val="001475ED"/>
    <w:rsid w:val="001509A2"/>
    <w:rsid w:val="001764C4"/>
    <w:rsid w:val="001A5A4C"/>
    <w:rsid w:val="001B1E1F"/>
    <w:rsid w:val="001B2426"/>
    <w:rsid w:val="001B7732"/>
    <w:rsid w:val="001D1BA6"/>
    <w:rsid w:val="001E5B9D"/>
    <w:rsid w:val="001E7DC9"/>
    <w:rsid w:val="001F03D9"/>
    <w:rsid w:val="00217D75"/>
    <w:rsid w:val="0022082E"/>
    <w:rsid w:val="00221056"/>
    <w:rsid w:val="002407CF"/>
    <w:rsid w:val="00245814"/>
    <w:rsid w:val="002F5E5D"/>
    <w:rsid w:val="00312B1B"/>
    <w:rsid w:val="00320FE9"/>
    <w:rsid w:val="003277EC"/>
    <w:rsid w:val="0034419E"/>
    <w:rsid w:val="00345441"/>
    <w:rsid w:val="00355943"/>
    <w:rsid w:val="003644F2"/>
    <w:rsid w:val="00364F21"/>
    <w:rsid w:val="00373298"/>
    <w:rsid w:val="003809FC"/>
    <w:rsid w:val="00387229"/>
    <w:rsid w:val="003A56E0"/>
    <w:rsid w:val="003A66AB"/>
    <w:rsid w:val="003D5428"/>
    <w:rsid w:val="003D6D1B"/>
    <w:rsid w:val="003E3B7B"/>
    <w:rsid w:val="003E557D"/>
    <w:rsid w:val="003E6F3C"/>
    <w:rsid w:val="003F1289"/>
    <w:rsid w:val="003F5361"/>
    <w:rsid w:val="00400A1C"/>
    <w:rsid w:val="00426960"/>
    <w:rsid w:val="00452BBE"/>
    <w:rsid w:val="00454E00"/>
    <w:rsid w:val="00456FE9"/>
    <w:rsid w:val="00457286"/>
    <w:rsid w:val="00461706"/>
    <w:rsid w:val="00464E46"/>
    <w:rsid w:val="00475BD4"/>
    <w:rsid w:val="004A1446"/>
    <w:rsid w:val="004A3606"/>
    <w:rsid w:val="004A5A01"/>
    <w:rsid w:val="004D42C8"/>
    <w:rsid w:val="004F7370"/>
    <w:rsid w:val="00542960"/>
    <w:rsid w:val="00545B87"/>
    <w:rsid w:val="00555326"/>
    <w:rsid w:val="00570C46"/>
    <w:rsid w:val="005A5327"/>
    <w:rsid w:val="005C429A"/>
    <w:rsid w:val="005D10B7"/>
    <w:rsid w:val="005D5087"/>
    <w:rsid w:val="005E29BD"/>
    <w:rsid w:val="0061343F"/>
    <w:rsid w:val="00613895"/>
    <w:rsid w:val="00622299"/>
    <w:rsid w:val="006230EE"/>
    <w:rsid w:val="00651C66"/>
    <w:rsid w:val="006520F6"/>
    <w:rsid w:val="006716E4"/>
    <w:rsid w:val="00680828"/>
    <w:rsid w:val="006814D1"/>
    <w:rsid w:val="006818A8"/>
    <w:rsid w:val="006B211A"/>
    <w:rsid w:val="006D6DED"/>
    <w:rsid w:val="006F3EC0"/>
    <w:rsid w:val="006F7082"/>
    <w:rsid w:val="00714521"/>
    <w:rsid w:val="007157CB"/>
    <w:rsid w:val="007158C1"/>
    <w:rsid w:val="00751B8E"/>
    <w:rsid w:val="0076728A"/>
    <w:rsid w:val="0077437D"/>
    <w:rsid w:val="0078641E"/>
    <w:rsid w:val="00787644"/>
    <w:rsid w:val="007A1E4B"/>
    <w:rsid w:val="007B3156"/>
    <w:rsid w:val="007B79AC"/>
    <w:rsid w:val="007C1C80"/>
    <w:rsid w:val="007C28B8"/>
    <w:rsid w:val="007C3626"/>
    <w:rsid w:val="007C7FB8"/>
    <w:rsid w:val="007E3016"/>
    <w:rsid w:val="00802AA3"/>
    <w:rsid w:val="00803FAF"/>
    <w:rsid w:val="00810340"/>
    <w:rsid w:val="00816F22"/>
    <w:rsid w:val="00834B10"/>
    <w:rsid w:val="008371BE"/>
    <w:rsid w:val="00853377"/>
    <w:rsid w:val="00866CC0"/>
    <w:rsid w:val="008719AD"/>
    <w:rsid w:val="00872D0E"/>
    <w:rsid w:val="00880AAA"/>
    <w:rsid w:val="00894063"/>
    <w:rsid w:val="008979D4"/>
    <w:rsid w:val="008A3C4E"/>
    <w:rsid w:val="008B494F"/>
    <w:rsid w:val="008B4B3C"/>
    <w:rsid w:val="008C428E"/>
    <w:rsid w:val="008F3086"/>
    <w:rsid w:val="008F4F96"/>
    <w:rsid w:val="00904C0A"/>
    <w:rsid w:val="00907A63"/>
    <w:rsid w:val="00916B95"/>
    <w:rsid w:val="009241D5"/>
    <w:rsid w:val="00940D56"/>
    <w:rsid w:val="0095201A"/>
    <w:rsid w:val="00952633"/>
    <w:rsid w:val="00962114"/>
    <w:rsid w:val="00984F91"/>
    <w:rsid w:val="009B1177"/>
    <w:rsid w:val="009C6D47"/>
    <w:rsid w:val="009D5650"/>
    <w:rsid w:val="009D5CA3"/>
    <w:rsid w:val="00A264EA"/>
    <w:rsid w:val="00A546AF"/>
    <w:rsid w:val="00A62AE4"/>
    <w:rsid w:val="00A70F34"/>
    <w:rsid w:val="00A74634"/>
    <w:rsid w:val="00A93FFB"/>
    <w:rsid w:val="00AB544E"/>
    <w:rsid w:val="00AE2DDE"/>
    <w:rsid w:val="00AE380D"/>
    <w:rsid w:val="00AF5864"/>
    <w:rsid w:val="00B06356"/>
    <w:rsid w:val="00B1079A"/>
    <w:rsid w:val="00B32B6D"/>
    <w:rsid w:val="00B7258D"/>
    <w:rsid w:val="00B72BD4"/>
    <w:rsid w:val="00B740E9"/>
    <w:rsid w:val="00B77B29"/>
    <w:rsid w:val="00B86A0B"/>
    <w:rsid w:val="00B957CF"/>
    <w:rsid w:val="00B96573"/>
    <w:rsid w:val="00BB0EE3"/>
    <w:rsid w:val="00BB30E4"/>
    <w:rsid w:val="00BB6B01"/>
    <w:rsid w:val="00BD00C9"/>
    <w:rsid w:val="00BF4E92"/>
    <w:rsid w:val="00BF6A2A"/>
    <w:rsid w:val="00C16AA7"/>
    <w:rsid w:val="00C16B0E"/>
    <w:rsid w:val="00C43430"/>
    <w:rsid w:val="00C617C3"/>
    <w:rsid w:val="00C721F4"/>
    <w:rsid w:val="00C7534F"/>
    <w:rsid w:val="00CA2F9E"/>
    <w:rsid w:val="00CB6451"/>
    <w:rsid w:val="00CC57E7"/>
    <w:rsid w:val="00CD2828"/>
    <w:rsid w:val="00D013CB"/>
    <w:rsid w:val="00D053BB"/>
    <w:rsid w:val="00D14367"/>
    <w:rsid w:val="00D27CC3"/>
    <w:rsid w:val="00D3687E"/>
    <w:rsid w:val="00D5133F"/>
    <w:rsid w:val="00D75887"/>
    <w:rsid w:val="00D81943"/>
    <w:rsid w:val="00DD7F18"/>
    <w:rsid w:val="00E124CC"/>
    <w:rsid w:val="00E21673"/>
    <w:rsid w:val="00E31557"/>
    <w:rsid w:val="00E407A5"/>
    <w:rsid w:val="00E46474"/>
    <w:rsid w:val="00E57432"/>
    <w:rsid w:val="00E8269E"/>
    <w:rsid w:val="00E85401"/>
    <w:rsid w:val="00E92AA9"/>
    <w:rsid w:val="00EB4E8E"/>
    <w:rsid w:val="00EC6BE5"/>
    <w:rsid w:val="00EE19DA"/>
    <w:rsid w:val="00EE6AE9"/>
    <w:rsid w:val="00EF65D5"/>
    <w:rsid w:val="00EF7027"/>
    <w:rsid w:val="00F0627A"/>
    <w:rsid w:val="00F113EF"/>
    <w:rsid w:val="00F1489F"/>
    <w:rsid w:val="00F477EC"/>
    <w:rsid w:val="00F53C6D"/>
    <w:rsid w:val="00F53E15"/>
    <w:rsid w:val="00F57333"/>
    <w:rsid w:val="00F85005"/>
    <w:rsid w:val="00F85E87"/>
    <w:rsid w:val="00F875A8"/>
    <w:rsid w:val="00F91296"/>
    <w:rsid w:val="00F94382"/>
    <w:rsid w:val="00F96684"/>
    <w:rsid w:val="00FA5B43"/>
    <w:rsid w:val="00FA5CE0"/>
    <w:rsid w:val="00FB2A7D"/>
    <w:rsid w:val="00FC09FE"/>
    <w:rsid w:val="00FF04DB"/>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650D"/>
  <w15:chartTrackingRefBased/>
  <w15:docId w15:val="{E01E9ACB-F771-413D-8F40-02B4CC6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E0"/>
    <w:rPr>
      <w:rFonts w:asciiTheme="minorHAnsi" w:eastAsia="Times New Roman" w:hAnsiTheme="minorHAnsi"/>
      <w:sz w:val="24"/>
      <w:szCs w:val="24"/>
    </w:rPr>
  </w:style>
  <w:style w:type="paragraph" w:styleId="Titre1">
    <w:name w:val="heading 1"/>
    <w:basedOn w:val="Normal"/>
    <w:next w:val="Normal"/>
    <w:link w:val="Titre1Car"/>
    <w:qFormat/>
    <w:rsid w:val="003E6F3C"/>
    <w:pPr>
      <w:keepNext/>
      <w:outlineLvl w:val="0"/>
    </w:pPr>
    <w:rPr>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E6F3C"/>
    <w:rPr>
      <w:rFonts w:ascii="Arial" w:eastAsia="Times New Roman" w:hAnsi="Arial" w:cs="Times New Roman"/>
      <w:b/>
      <w:bCs/>
      <w:sz w:val="24"/>
      <w:szCs w:val="24"/>
    </w:rPr>
  </w:style>
  <w:style w:type="paragraph" w:styleId="Titre">
    <w:name w:val="Title"/>
    <w:basedOn w:val="Normal"/>
    <w:link w:val="TitreCar"/>
    <w:qFormat/>
    <w:rsid w:val="003E6F3C"/>
    <w:pPr>
      <w:jc w:val="center"/>
    </w:pPr>
    <w:rPr>
      <w:b/>
      <w:bCs/>
      <w:sz w:val="28"/>
      <w:lang w:val="x-none" w:eastAsia="x-none"/>
    </w:rPr>
  </w:style>
  <w:style w:type="character" w:customStyle="1" w:styleId="TitreCar">
    <w:name w:val="Titre Car"/>
    <w:link w:val="Titre"/>
    <w:rsid w:val="003E6F3C"/>
    <w:rPr>
      <w:rFonts w:ascii="Arial" w:eastAsia="Times New Roman" w:hAnsi="Arial" w:cs="Times New Roman"/>
      <w:b/>
      <w:bCs/>
      <w:sz w:val="28"/>
      <w:szCs w:val="24"/>
    </w:rPr>
  </w:style>
  <w:style w:type="paragraph" w:styleId="Paragraphedeliste">
    <w:name w:val="List Paragraph"/>
    <w:basedOn w:val="Normal"/>
    <w:uiPriority w:val="34"/>
    <w:qFormat/>
    <w:rsid w:val="003E6F3C"/>
    <w:pPr>
      <w:ind w:left="720"/>
      <w:contextualSpacing/>
    </w:pPr>
    <w:rPr>
      <w:rFonts w:ascii="Times New Roman" w:eastAsia="Batang" w:hAnsi="Times New Roman"/>
      <w:lang w:eastAsia="ko-KR"/>
    </w:rPr>
  </w:style>
  <w:style w:type="paragraph" w:styleId="Textedebulles">
    <w:name w:val="Balloon Text"/>
    <w:basedOn w:val="Normal"/>
    <w:link w:val="TextedebullesCar"/>
    <w:uiPriority w:val="99"/>
    <w:semiHidden/>
    <w:unhideWhenUsed/>
    <w:rsid w:val="003E6F3C"/>
    <w:rPr>
      <w:rFonts w:ascii="Tahoma" w:hAnsi="Tahoma"/>
      <w:sz w:val="16"/>
      <w:szCs w:val="16"/>
      <w:lang w:val="x-none" w:eastAsia="x-none"/>
    </w:rPr>
  </w:style>
  <w:style w:type="character" w:customStyle="1" w:styleId="TextedebullesCar">
    <w:name w:val="Texte de bulles Car"/>
    <w:link w:val="Textedebulles"/>
    <w:uiPriority w:val="99"/>
    <w:semiHidden/>
    <w:rsid w:val="003E6F3C"/>
    <w:rPr>
      <w:rFonts w:ascii="Tahoma" w:eastAsia="Times New Roman" w:hAnsi="Tahoma" w:cs="Tahoma"/>
      <w:sz w:val="16"/>
      <w:szCs w:val="16"/>
    </w:rPr>
  </w:style>
  <w:style w:type="paragraph" w:styleId="Corpsdetexte">
    <w:name w:val="Body Text"/>
    <w:basedOn w:val="Normal"/>
    <w:link w:val="CorpsdetexteCar"/>
    <w:rsid w:val="003E6F3C"/>
    <w:rPr>
      <w:rFonts w:ascii="Times New Roman" w:hAnsi="Times New Roman"/>
      <w:b/>
      <w:bCs/>
      <w:i/>
      <w:iCs/>
      <w:lang w:val="fr-FR" w:eastAsia="x-none"/>
    </w:rPr>
  </w:style>
  <w:style w:type="character" w:customStyle="1" w:styleId="CorpsdetexteCar">
    <w:name w:val="Corps de texte Car"/>
    <w:link w:val="Corpsdetexte"/>
    <w:rsid w:val="003E6F3C"/>
    <w:rPr>
      <w:rFonts w:ascii="Times New Roman" w:eastAsia="Times New Roman" w:hAnsi="Times New Roman" w:cs="Times New Roman"/>
      <w:b/>
      <w:bCs/>
      <w:i/>
      <w:iCs/>
      <w:sz w:val="24"/>
      <w:szCs w:val="24"/>
      <w:lang w:val="fr-FR"/>
    </w:rPr>
  </w:style>
  <w:style w:type="character" w:styleId="Marquedecommentaire">
    <w:name w:val="annotation reference"/>
    <w:uiPriority w:val="99"/>
    <w:semiHidden/>
    <w:unhideWhenUsed/>
    <w:rsid w:val="00F94382"/>
    <w:rPr>
      <w:sz w:val="16"/>
      <w:szCs w:val="16"/>
    </w:rPr>
  </w:style>
  <w:style w:type="paragraph" w:styleId="Commentaire">
    <w:name w:val="annotation text"/>
    <w:basedOn w:val="Normal"/>
    <w:link w:val="CommentaireCar"/>
    <w:uiPriority w:val="99"/>
    <w:semiHidden/>
    <w:unhideWhenUsed/>
    <w:rsid w:val="00F94382"/>
    <w:rPr>
      <w:szCs w:val="20"/>
    </w:rPr>
  </w:style>
  <w:style w:type="character" w:customStyle="1" w:styleId="CommentaireCar">
    <w:name w:val="Commentaire Car"/>
    <w:link w:val="Commentaire"/>
    <w:uiPriority w:val="99"/>
    <w:semiHidden/>
    <w:rsid w:val="00F94382"/>
    <w:rPr>
      <w:rFonts w:ascii="Arial" w:eastAsia="Times New Roman" w:hAnsi="Arial"/>
      <w:lang w:val="en-US" w:eastAsia="en-US"/>
    </w:rPr>
  </w:style>
  <w:style w:type="paragraph" w:styleId="Objetducommentaire">
    <w:name w:val="annotation subject"/>
    <w:basedOn w:val="Commentaire"/>
    <w:next w:val="Commentaire"/>
    <w:link w:val="ObjetducommentaireCar"/>
    <w:uiPriority w:val="99"/>
    <w:semiHidden/>
    <w:unhideWhenUsed/>
    <w:rsid w:val="00F94382"/>
    <w:rPr>
      <w:b/>
      <w:bCs/>
    </w:rPr>
  </w:style>
  <w:style w:type="character" w:customStyle="1" w:styleId="ObjetducommentaireCar">
    <w:name w:val="Objet du commentaire Car"/>
    <w:link w:val="Objetducommentaire"/>
    <w:uiPriority w:val="99"/>
    <w:semiHidden/>
    <w:rsid w:val="00F94382"/>
    <w:rPr>
      <w:rFonts w:ascii="Arial" w:eastAsia="Times New Roman" w:hAnsi="Arial"/>
      <w:b/>
      <w:bCs/>
      <w:lang w:val="en-US" w:eastAsia="en-US"/>
    </w:rPr>
  </w:style>
  <w:style w:type="paragraph" w:styleId="Rvision">
    <w:name w:val="Revision"/>
    <w:hidden/>
    <w:uiPriority w:val="99"/>
    <w:semiHidden/>
    <w:rsid w:val="007B3156"/>
    <w:rPr>
      <w:rFonts w:ascii="Arial" w:eastAsia="Times New Roman" w:hAnsi="Arial"/>
      <w:szCs w:val="24"/>
    </w:rPr>
  </w:style>
  <w:style w:type="paragraph" w:styleId="En-tte">
    <w:name w:val="header"/>
    <w:basedOn w:val="Normal"/>
    <w:link w:val="En-tteCar"/>
    <w:uiPriority w:val="99"/>
    <w:unhideWhenUsed/>
    <w:rsid w:val="00B32B6D"/>
    <w:pPr>
      <w:tabs>
        <w:tab w:val="center" w:pos="4536"/>
        <w:tab w:val="right" w:pos="9072"/>
      </w:tabs>
    </w:pPr>
  </w:style>
  <w:style w:type="character" w:customStyle="1" w:styleId="En-tteCar">
    <w:name w:val="En-tête Car"/>
    <w:basedOn w:val="Policepardfaut"/>
    <w:link w:val="En-tte"/>
    <w:uiPriority w:val="99"/>
    <w:rsid w:val="00B32B6D"/>
    <w:rPr>
      <w:rFonts w:asciiTheme="minorHAnsi" w:eastAsia="Times New Roman" w:hAnsiTheme="minorHAnsi"/>
      <w:sz w:val="24"/>
      <w:szCs w:val="24"/>
    </w:rPr>
  </w:style>
  <w:style w:type="paragraph" w:styleId="Pieddepage">
    <w:name w:val="footer"/>
    <w:basedOn w:val="Normal"/>
    <w:link w:val="PieddepageCar"/>
    <w:uiPriority w:val="99"/>
    <w:unhideWhenUsed/>
    <w:rsid w:val="00B32B6D"/>
    <w:pPr>
      <w:tabs>
        <w:tab w:val="center" w:pos="4536"/>
        <w:tab w:val="right" w:pos="9072"/>
      </w:tabs>
    </w:pPr>
  </w:style>
  <w:style w:type="character" w:customStyle="1" w:styleId="PieddepageCar">
    <w:name w:val="Pied de page Car"/>
    <w:basedOn w:val="Policepardfaut"/>
    <w:link w:val="Pieddepage"/>
    <w:uiPriority w:val="99"/>
    <w:rsid w:val="00B32B6D"/>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9198">
      <w:bodyDiv w:val="1"/>
      <w:marLeft w:val="0"/>
      <w:marRight w:val="0"/>
      <w:marTop w:val="0"/>
      <w:marBottom w:val="0"/>
      <w:divBdr>
        <w:top w:val="none" w:sz="0" w:space="0" w:color="auto"/>
        <w:left w:val="none" w:sz="0" w:space="0" w:color="auto"/>
        <w:bottom w:val="none" w:sz="0" w:space="0" w:color="auto"/>
        <w:right w:val="none" w:sz="0" w:space="0" w:color="auto"/>
      </w:divBdr>
    </w:div>
    <w:div w:id="506599319">
      <w:bodyDiv w:val="1"/>
      <w:marLeft w:val="0"/>
      <w:marRight w:val="0"/>
      <w:marTop w:val="0"/>
      <w:marBottom w:val="0"/>
      <w:divBdr>
        <w:top w:val="none" w:sz="0" w:space="0" w:color="auto"/>
        <w:left w:val="none" w:sz="0" w:space="0" w:color="auto"/>
        <w:bottom w:val="none" w:sz="0" w:space="0" w:color="auto"/>
        <w:right w:val="none" w:sz="0" w:space="0" w:color="auto"/>
      </w:divBdr>
      <w:divsChild>
        <w:div w:id="1541433859">
          <w:marLeft w:val="720"/>
          <w:marRight w:val="0"/>
          <w:marTop w:val="0"/>
          <w:marBottom w:val="0"/>
          <w:divBdr>
            <w:top w:val="none" w:sz="0" w:space="0" w:color="auto"/>
            <w:left w:val="none" w:sz="0" w:space="0" w:color="auto"/>
            <w:bottom w:val="none" w:sz="0" w:space="0" w:color="auto"/>
            <w:right w:val="none" w:sz="0" w:space="0" w:color="auto"/>
          </w:divBdr>
        </w:div>
      </w:divsChild>
    </w:div>
    <w:div w:id="17387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ECD8-1495-46EE-A628-824B01A9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2511</Words>
  <Characters>14314</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herve.cledjo</dc:creator>
  <cp:keywords/>
  <cp:lastModifiedBy>Aminata Gueye-Cisse</cp:lastModifiedBy>
  <cp:revision>2</cp:revision>
  <cp:lastPrinted>2019-03-11T08:49:00Z</cp:lastPrinted>
  <dcterms:created xsi:type="dcterms:W3CDTF">2020-10-19T10:52:00Z</dcterms:created>
  <dcterms:modified xsi:type="dcterms:W3CDTF">2020-10-19T10:52:00Z</dcterms:modified>
</cp:coreProperties>
</file>