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EE89E" w14:textId="299B1946" w:rsidR="00382220" w:rsidRDefault="0088263E" w:rsidP="00C25F1B">
      <w:pPr>
        <w:spacing w:after="0" w:line="240" w:lineRule="auto"/>
        <w:jc w:val="center"/>
        <w:rPr>
          <w:b/>
        </w:rPr>
      </w:pPr>
      <w:r w:rsidRPr="0088263E">
        <w:rPr>
          <w:b/>
        </w:rPr>
        <w:t>TERMS OF REFERENCE</w:t>
      </w:r>
      <w:r w:rsidR="00382220" w:rsidRPr="00382220">
        <w:rPr>
          <w:b/>
        </w:rPr>
        <w:t xml:space="preserve"> </w:t>
      </w:r>
    </w:p>
    <w:p w14:paraId="3E2561DB" w14:textId="77777777" w:rsidR="00382220" w:rsidRPr="00382220" w:rsidRDefault="00382220" w:rsidP="00C25F1B">
      <w:pPr>
        <w:spacing w:after="0" w:line="240" w:lineRule="auto"/>
        <w:jc w:val="center"/>
        <w:rPr>
          <w:b/>
        </w:rPr>
      </w:pPr>
    </w:p>
    <w:p w14:paraId="0FF34930" w14:textId="4127EDB9" w:rsidR="00E21DD0" w:rsidRDefault="00E21DD0" w:rsidP="00C25F1B">
      <w:pPr>
        <w:spacing w:after="0" w:line="240" w:lineRule="auto"/>
        <w:jc w:val="center"/>
        <w:rPr>
          <w:b/>
          <w:bCs/>
        </w:rPr>
      </w:pPr>
      <w:r w:rsidRPr="00E21DD0">
        <w:rPr>
          <w:rFonts w:ascii="Arial" w:hAnsi="Arial" w:cs="Arial"/>
          <w:b/>
          <w:bCs/>
        </w:rPr>
        <w:t>ASSESSMENT AND</w:t>
      </w:r>
      <w:r w:rsidRPr="00E21DD0">
        <w:rPr>
          <w:rFonts w:ascii="Arial" w:hAnsi="Arial" w:cs="Arial"/>
          <w:b/>
          <w:bCs/>
          <w:lang w:val="mn-MN"/>
        </w:rPr>
        <w:t xml:space="preserve"> DEVELOPMENT </w:t>
      </w:r>
      <w:r w:rsidR="009B0847">
        <w:rPr>
          <w:rFonts w:ascii="Arial" w:hAnsi="Arial" w:cs="Arial"/>
          <w:b/>
          <w:bCs/>
        </w:rPr>
        <w:t xml:space="preserve">OF </w:t>
      </w:r>
      <w:r w:rsidRPr="00E21DD0">
        <w:rPr>
          <w:rFonts w:ascii="Arial" w:hAnsi="Arial" w:cs="Arial"/>
          <w:b/>
          <w:bCs/>
          <w:lang w:val="mn-MN"/>
        </w:rPr>
        <w:t>THE DEVELOPMENT BANK OF MONGOLIA</w:t>
      </w:r>
      <w:r w:rsidR="009B0847">
        <w:rPr>
          <w:rFonts w:ascii="Arial" w:hAnsi="Arial" w:cs="Arial"/>
          <w:b/>
          <w:bCs/>
        </w:rPr>
        <w:t>’S CAPACITY</w:t>
      </w:r>
      <w:r w:rsidRPr="00E21DD0">
        <w:rPr>
          <w:rFonts w:ascii="Arial" w:hAnsi="Arial" w:cs="Arial"/>
          <w:b/>
          <w:bCs/>
          <w:lang w:val="mn-MN"/>
        </w:rPr>
        <w:t xml:space="preserve"> FOR </w:t>
      </w:r>
      <w:r w:rsidRPr="00E21DD0">
        <w:rPr>
          <w:rFonts w:ascii="Arial" w:hAnsi="Arial" w:cs="Arial"/>
          <w:b/>
          <w:bCs/>
        </w:rPr>
        <w:t>FINANCING SUSTAINABLE DEVELOPMENT</w:t>
      </w:r>
      <w:r w:rsidRPr="00E21DD0">
        <w:rPr>
          <w:b/>
          <w:bCs/>
        </w:rPr>
        <w:t xml:space="preserve"> </w:t>
      </w:r>
    </w:p>
    <w:p w14:paraId="33D7B75C" w14:textId="77777777" w:rsidR="00C25F1B" w:rsidRPr="00E21DD0" w:rsidRDefault="00C25F1B" w:rsidP="00C25F1B">
      <w:pPr>
        <w:spacing w:after="0" w:line="240" w:lineRule="auto"/>
        <w:jc w:val="center"/>
        <w:rPr>
          <w:b/>
          <w:bCs/>
        </w:rPr>
      </w:pPr>
    </w:p>
    <w:p w14:paraId="37292F49" w14:textId="77777777" w:rsidR="009B0847" w:rsidRDefault="009B0847" w:rsidP="00C25F1B">
      <w:pPr>
        <w:spacing w:after="0" w:line="240" w:lineRule="auto"/>
        <w:jc w:val="center"/>
        <w:rPr>
          <w:b/>
        </w:rPr>
      </w:pPr>
      <w:r>
        <w:rPr>
          <w:b/>
        </w:rPr>
        <w:t>UN JOINT PROGRAMME</w:t>
      </w:r>
    </w:p>
    <w:p w14:paraId="2E4D20F4" w14:textId="6EE08A5E" w:rsidR="00382220" w:rsidRPr="00382220" w:rsidRDefault="009B0847" w:rsidP="00C25F1B">
      <w:pPr>
        <w:spacing w:after="0" w:line="240" w:lineRule="auto"/>
        <w:jc w:val="center"/>
        <w:rPr>
          <w:b/>
        </w:rPr>
      </w:pPr>
      <w:r w:rsidRPr="00382220">
        <w:rPr>
          <w:b/>
        </w:rPr>
        <w:t xml:space="preserve"> </w:t>
      </w:r>
      <w:r w:rsidR="00382220" w:rsidRPr="00382220">
        <w:rPr>
          <w:b/>
        </w:rPr>
        <w:t xml:space="preserve">“ROLLING OUT AN INTEGRATED APPROACH TO SDG FINANCING IN MONGOLIA” </w:t>
      </w:r>
    </w:p>
    <w:p w14:paraId="43028775" w14:textId="77777777" w:rsidR="00D32236" w:rsidRPr="00D32236" w:rsidRDefault="00D32236" w:rsidP="00C25F1B">
      <w:pPr>
        <w:tabs>
          <w:tab w:val="left" w:pos="1410"/>
        </w:tabs>
        <w:spacing w:after="60" w:line="240" w:lineRule="auto"/>
        <w:rPr>
          <w:b/>
        </w:rPr>
      </w:pPr>
    </w:p>
    <w:tbl>
      <w:tblPr>
        <w:tblStyle w:val="TableGrid"/>
        <w:tblW w:w="0" w:type="auto"/>
        <w:tblLook w:val="04A0" w:firstRow="1" w:lastRow="0" w:firstColumn="1" w:lastColumn="0" w:noHBand="0" w:noVBand="1"/>
      </w:tblPr>
      <w:tblGrid>
        <w:gridCol w:w="2149"/>
        <w:gridCol w:w="7201"/>
      </w:tblGrid>
      <w:tr w:rsidR="0088263E" w14:paraId="31A1F69A" w14:textId="77777777" w:rsidTr="0088263E">
        <w:trPr>
          <w:trHeight w:val="260"/>
        </w:trPr>
        <w:tc>
          <w:tcPr>
            <w:tcW w:w="2178" w:type="dxa"/>
            <w:shd w:val="clear" w:color="auto" w:fill="D9D9D9" w:themeFill="background1" w:themeFillShade="D9"/>
            <w:vAlign w:val="center"/>
          </w:tcPr>
          <w:p w14:paraId="50D6351F" w14:textId="77777777" w:rsidR="0088263E" w:rsidRDefault="0088263E" w:rsidP="00C25F1B">
            <w:pPr>
              <w:tabs>
                <w:tab w:val="left" w:pos="1410"/>
              </w:tabs>
              <w:rPr>
                <w:b/>
              </w:rPr>
            </w:pPr>
            <w:r>
              <w:rPr>
                <w:b/>
              </w:rPr>
              <w:t>Location</w:t>
            </w:r>
          </w:p>
        </w:tc>
        <w:tc>
          <w:tcPr>
            <w:tcW w:w="7398" w:type="dxa"/>
            <w:vAlign w:val="center"/>
          </w:tcPr>
          <w:p w14:paraId="44C0C067" w14:textId="79DCAF63" w:rsidR="0088263E" w:rsidRPr="00D124AB" w:rsidRDefault="00DC705D" w:rsidP="00C25F1B">
            <w:pPr>
              <w:tabs>
                <w:tab w:val="left" w:pos="1410"/>
              </w:tabs>
              <w:rPr>
                <w:rFonts w:cstheme="minorHAnsi"/>
              </w:rPr>
            </w:pPr>
            <w:r>
              <w:rPr>
                <w:rFonts w:cstheme="minorHAnsi"/>
              </w:rPr>
              <w:t xml:space="preserve">Multiple </w:t>
            </w:r>
          </w:p>
        </w:tc>
      </w:tr>
      <w:tr w:rsidR="0088263E" w14:paraId="69BEF766" w14:textId="77777777" w:rsidTr="0088263E">
        <w:trPr>
          <w:trHeight w:val="251"/>
        </w:trPr>
        <w:tc>
          <w:tcPr>
            <w:tcW w:w="2178" w:type="dxa"/>
            <w:shd w:val="clear" w:color="auto" w:fill="D9D9D9" w:themeFill="background1" w:themeFillShade="D9"/>
            <w:vAlign w:val="center"/>
          </w:tcPr>
          <w:p w14:paraId="2D7E3ADA" w14:textId="77777777" w:rsidR="0088263E" w:rsidRDefault="0088263E" w:rsidP="00C25F1B">
            <w:pPr>
              <w:tabs>
                <w:tab w:val="left" w:pos="1410"/>
              </w:tabs>
              <w:rPr>
                <w:b/>
              </w:rPr>
            </w:pPr>
            <w:r>
              <w:rPr>
                <w:b/>
              </w:rPr>
              <w:t>Application deadline</w:t>
            </w:r>
          </w:p>
        </w:tc>
        <w:tc>
          <w:tcPr>
            <w:tcW w:w="7398" w:type="dxa"/>
            <w:vAlign w:val="center"/>
          </w:tcPr>
          <w:p w14:paraId="5EA48CEB" w14:textId="21247070" w:rsidR="0088263E" w:rsidRPr="00D124AB" w:rsidRDefault="0088263E" w:rsidP="00C25F1B">
            <w:pPr>
              <w:tabs>
                <w:tab w:val="left" w:pos="1410"/>
              </w:tabs>
              <w:rPr>
                <w:rFonts w:cstheme="minorHAnsi"/>
              </w:rPr>
            </w:pPr>
            <w:bookmarkStart w:id="0" w:name="_GoBack"/>
            <w:bookmarkEnd w:id="0"/>
          </w:p>
        </w:tc>
      </w:tr>
      <w:tr w:rsidR="0088263E" w14:paraId="5C46A93B" w14:textId="77777777" w:rsidTr="0088263E">
        <w:trPr>
          <w:trHeight w:val="332"/>
        </w:trPr>
        <w:tc>
          <w:tcPr>
            <w:tcW w:w="2178" w:type="dxa"/>
            <w:shd w:val="clear" w:color="auto" w:fill="D9D9D9" w:themeFill="background1" w:themeFillShade="D9"/>
            <w:vAlign w:val="center"/>
          </w:tcPr>
          <w:p w14:paraId="5E25F0B3" w14:textId="77777777" w:rsidR="0088263E" w:rsidRDefault="0088263E" w:rsidP="00C25F1B">
            <w:pPr>
              <w:tabs>
                <w:tab w:val="left" w:pos="1410"/>
              </w:tabs>
              <w:rPr>
                <w:b/>
              </w:rPr>
            </w:pPr>
            <w:r>
              <w:rPr>
                <w:b/>
              </w:rPr>
              <w:t>Type of Contract</w:t>
            </w:r>
          </w:p>
        </w:tc>
        <w:tc>
          <w:tcPr>
            <w:tcW w:w="7398" w:type="dxa"/>
            <w:vAlign w:val="center"/>
          </w:tcPr>
          <w:p w14:paraId="708FEB66" w14:textId="77777777" w:rsidR="0088263E" w:rsidRPr="00D124AB" w:rsidRDefault="0088263E" w:rsidP="00C25F1B">
            <w:pPr>
              <w:tabs>
                <w:tab w:val="left" w:pos="1410"/>
              </w:tabs>
              <w:rPr>
                <w:rFonts w:cstheme="minorHAnsi"/>
              </w:rPr>
            </w:pPr>
            <w:r w:rsidRPr="00D124AB">
              <w:rPr>
                <w:rFonts w:cstheme="minorHAnsi"/>
              </w:rPr>
              <w:t xml:space="preserve">Individual </w:t>
            </w:r>
            <w:r w:rsidR="00993991" w:rsidRPr="00D124AB">
              <w:rPr>
                <w:rFonts w:cstheme="minorHAnsi"/>
              </w:rPr>
              <w:t>Contractor</w:t>
            </w:r>
          </w:p>
        </w:tc>
      </w:tr>
      <w:tr w:rsidR="0088263E" w14:paraId="48482786" w14:textId="77777777" w:rsidTr="0088263E">
        <w:trPr>
          <w:trHeight w:val="260"/>
        </w:trPr>
        <w:tc>
          <w:tcPr>
            <w:tcW w:w="2178" w:type="dxa"/>
            <w:shd w:val="clear" w:color="auto" w:fill="D9D9D9" w:themeFill="background1" w:themeFillShade="D9"/>
            <w:vAlign w:val="center"/>
          </w:tcPr>
          <w:p w14:paraId="1DD71BF8" w14:textId="77777777" w:rsidR="0088263E" w:rsidRDefault="0088263E" w:rsidP="00C25F1B">
            <w:pPr>
              <w:tabs>
                <w:tab w:val="left" w:pos="1410"/>
              </w:tabs>
              <w:rPr>
                <w:b/>
              </w:rPr>
            </w:pPr>
            <w:r>
              <w:rPr>
                <w:b/>
              </w:rPr>
              <w:t>Post Level</w:t>
            </w:r>
          </w:p>
        </w:tc>
        <w:tc>
          <w:tcPr>
            <w:tcW w:w="7398" w:type="dxa"/>
            <w:vAlign w:val="center"/>
          </w:tcPr>
          <w:p w14:paraId="6058C345" w14:textId="523D54ED" w:rsidR="0088263E" w:rsidRPr="00D124AB" w:rsidRDefault="00DE7857" w:rsidP="00C25F1B">
            <w:pPr>
              <w:tabs>
                <w:tab w:val="left" w:pos="1410"/>
              </w:tabs>
              <w:rPr>
                <w:rFonts w:cstheme="minorHAnsi"/>
              </w:rPr>
            </w:pPr>
            <w:r>
              <w:rPr>
                <w:rFonts w:cstheme="minorHAnsi"/>
              </w:rPr>
              <w:t>National</w:t>
            </w:r>
            <w:r w:rsidR="0088263E" w:rsidRPr="00D124AB">
              <w:rPr>
                <w:rFonts w:cstheme="minorHAnsi"/>
              </w:rPr>
              <w:t xml:space="preserve"> Consultant</w:t>
            </w:r>
            <w:r w:rsidR="00D32236" w:rsidRPr="00D124AB">
              <w:rPr>
                <w:rFonts w:cstheme="minorHAnsi"/>
              </w:rPr>
              <w:t xml:space="preserve"> </w:t>
            </w:r>
          </w:p>
        </w:tc>
      </w:tr>
      <w:tr w:rsidR="0088263E" w14:paraId="59C6D8B3" w14:textId="77777777" w:rsidTr="0088263E">
        <w:trPr>
          <w:trHeight w:val="260"/>
        </w:trPr>
        <w:tc>
          <w:tcPr>
            <w:tcW w:w="2178" w:type="dxa"/>
            <w:shd w:val="clear" w:color="auto" w:fill="D9D9D9" w:themeFill="background1" w:themeFillShade="D9"/>
            <w:vAlign w:val="center"/>
          </w:tcPr>
          <w:p w14:paraId="13212A61" w14:textId="77777777" w:rsidR="0088263E" w:rsidRDefault="0088263E" w:rsidP="00C25F1B">
            <w:pPr>
              <w:tabs>
                <w:tab w:val="left" w:pos="1410"/>
              </w:tabs>
              <w:rPr>
                <w:b/>
              </w:rPr>
            </w:pPr>
            <w:r>
              <w:rPr>
                <w:b/>
              </w:rPr>
              <w:t>Languages required:</w:t>
            </w:r>
          </w:p>
        </w:tc>
        <w:tc>
          <w:tcPr>
            <w:tcW w:w="7398" w:type="dxa"/>
            <w:vAlign w:val="center"/>
          </w:tcPr>
          <w:p w14:paraId="7A6397E3" w14:textId="087EC20D" w:rsidR="0088263E" w:rsidRPr="00D124AB" w:rsidRDefault="00D32236" w:rsidP="00C25F1B">
            <w:pPr>
              <w:tabs>
                <w:tab w:val="left" w:pos="1410"/>
              </w:tabs>
              <w:rPr>
                <w:rFonts w:cstheme="minorHAnsi"/>
              </w:rPr>
            </w:pPr>
            <w:r w:rsidRPr="00D124AB">
              <w:rPr>
                <w:rFonts w:cstheme="minorHAnsi"/>
              </w:rPr>
              <w:t>English</w:t>
            </w:r>
            <w:r w:rsidR="00DC705D">
              <w:rPr>
                <w:rFonts w:cstheme="minorHAnsi"/>
              </w:rPr>
              <w:t xml:space="preserve"> and Mongolian</w:t>
            </w:r>
          </w:p>
        </w:tc>
      </w:tr>
      <w:tr w:rsidR="0088263E" w14:paraId="7D91E2DC" w14:textId="77777777" w:rsidTr="0088263E">
        <w:trPr>
          <w:trHeight w:val="260"/>
        </w:trPr>
        <w:tc>
          <w:tcPr>
            <w:tcW w:w="2178" w:type="dxa"/>
            <w:shd w:val="clear" w:color="auto" w:fill="D9D9D9" w:themeFill="background1" w:themeFillShade="D9"/>
            <w:vAlign w:val="center"/>
          </w:tcPr>
          <w:p w14:paraId="3C7420F8" w14:textId="77777777" w:rsidR="0088263E" w:rsidRDefault="0088263E" w:rsidP="00C25F1B">
            <w:pPr>
              <w:tabs>
                <w:tab w:val="left" w:pos="1410"/>
              </w:tabs>
              <w:rPr>
                <w:b/>
              </w:rPr>
            </w:pPr>
            <w:r>
              <w:rPr>
                <w:b/>
              </w:rPr>
              <w:t>Duration of Initial Contract:</w:t>
            </w:r>
          </w:p>
        </w:tc>
        <w:tc>
          <w:tcPr>
            <w:tcW w:w="7398" w:type="dxa"/>
            <w:vAlign w:val="center"/>
          </w:tcPr>
          <w:p w14:paraId="4E21B10B" w14:textId="2D42DFA1" w:rsidR="0088263E" w:rsidRPr="00D124AB" w:rsidRDefault="007F20F3" w:rsidP="00C25F1B">
            <w:pPr>
              <w:tabs>
                <w:tab w:val="left" w:pos="1410"/>
              </w:tabs>
              <w:rPr>
                <w:rFonts w:cstheme="minorHAnsi"/>
              </w:rPr>
            </w:pPr>
            <w:r>
              <w:rPr>
                <w:rFonts w:cstheme="minorHAnsi"/>
              </w:rPr>
              <w:t>2</w:t>
            </w:r>
            <w:r w:rsidR="00DE7857">
              <w:rPr>
                <w:rFonts w:cstheme="minorHAnsi"/>
              </w:rPr>
              <w:t>0</w:t>
            </w:r>
            <w:r w:rsidR="0025483C">
              <w:rPr>
                <w:rFonts w:cstheme="minorHAnsi"/>
              </w:rPr>
              <w:t xml:space="preserve"> working days</w:t>
            </w:r>
          </w:p>
        </w:tc>
      </w:tr>
    </w:tbl>
    <w:p w14:paraId="60B91964" w14:textId="77777777" w:rsidR="0088263E" w:rsidRPr="00E2763D" w:rsidRDefault="0088263E" w:rsidP="00C25F1B">
      <w:pPr>
        <w:tabs>
          <w:tab w:val="left" w:pos="1410"/>
        </w:tabs>
        <w:spacing w:line="240" w:lineRule="auto"/>
        <w:rPr>
          <w:b/>
          <w:color w:val="0070C0"/>
          <w:sz w:val="16"/>
          <w:szCs w:val="16"/>
        </w:rPr>
      </w:pPr>
    </w:p>
    <w:p w14:paraId="380FFAC1" w14:textId="77777777" w:rsidR="009E2B22" w:rsidRPr="00623392" w:rsidRDefault="009E2B22" w:rsidP="00C25F1B">
      <w:pPr>
        <w:tabs>
          <w:tab w:val="left" w:pos="1410"/>
        </w:tabs>
        <w:spacing w:after="60" w:line="240" w:lineRule="auto"/>
        <w:rPr>
          <w:b/>
          <w:color w:val="0070C0"/>
        </w:rPr>
      </w:pPr>
      <w:r w:rsidRPr="00623392">
        <w:rPr>
          <w:b/>
          <w:color w:val="0070C0"/>
        </w:rPr>
        <w:t>BACKGROUND</w:t>
      </w:r>
    </w:p>
    <w:tbl>
      <w:tblPr>
        <w:tblStyle w:val="TableGrid"/>
        <w:tblW w:w="0" w:type="auto"/>
        <w:tblLook w:val="04A0" w:firstRow="1" w:lastRow="0" w:firstColumn="1" w:lastColumn="0" w:noHBand="0" w:noVBand="1"/>
      </w:tblPr>
      <w:tblGrid>
        <w:gridCol w:w="9350"/>
      </w:tblGrid>
      <w:tr w:rsidR="0065710B" w:rsidRPr="00623392" w14:paraId="08CEF6BF" w14:textId="77777777" w:rsidTr="0065710B">
        <w:tc>
          <w:tcPr>
            <w:tcW w:w="9576" w:type="dxa"/>
          </w:tcPr>
          <w:p w14:paraId="2E4A495A" w14:textId="77777777" w:rsidR="002F6DC5" w:rsidRPr="00C25F1B" w:rsidRDefault="002F6DC5" w:rsidP="00C25F1B">
            <w:pPr>
              <w:contextualSpacing/>
              <w:jc w:val="both"/>
              <w:rPr>
                <w:rFonts w:cstheme="minorHAnsi"/>
              </w:rPr>
            </w:pPr>
            <w:r w:rsidRPr="00C25F1B">
              <w:rPr>
                <w:rFonts w:cstheme="minorHAnsi"/>
              </w:rPr>
              <w:t>The Sustainable Development Goals (SDGs) are the most ambitious collective development endeavour attempted, requiring the world to equally ensure social governance, economic inclusion, and environmental protection by 2030. There is growing recognition of the need for more integrated approaches to financing, where public and private sources of finance contribute to sustainable development according to their specific characteristics. This is a central feature of the Addis Ababa Action Agenda (AAAA), which calls for the SDGs to be implemented through nationally owned sustainable development strategies, supported by integrated national financing frameworks</w:t>
            </w:r>
            <w:r w:rsidRPr="00C25F1B">
              <w:rPr>
                <w:rFonts w:cstheme="minorHAnsi"/>
              </w:rPr>
              <w:footnoteReference w:id="1"/>
            </w:r>
            <w:r w:rsidRPr="00C25F1B">
              <w:rPr>
                <w:rFonts w:cstheme="minorHAnsi"/>
              </w:rPr>
              <w:t>. Integrated national financing frameworks</w:t>
            </w:r>
            <w:r w:rsidRPr="00C25F1B">
              <w:rPr>
                <w:rFonts w:cstheme="minorHAnsi"/>
              </w:rPr>
              <w:footnoteReference w:id="2"/>
            </w:r>
            <w:r w:rsidRPr="00C25F1B">
              <w:rPr>
                <w:rFonts w:cstheme="minorHAnsi"/>
              </w:rPr>
              <w:t xml:space="preserve"> bring together financing and related policies most relevant to addressing a country’s financing challenges. </w:t>
            </w:r>
          </w:p>
          <w:p w14:paraId="72ECC50E" w14:textId="77777777" w:rsidR="002F6DC5" w:rsidRPr="00C25F1B" w:rsidRDefault="002F6DC5" w:rsidP="00C25F1B">
            <w:pPr>
              <w:contextualSpacing/>
              <w:jc w:val="both"/>
              <w:rPr>
                <w:rFonts w:cstheme="minorHAnsi"/>
              </w:rPr>
            </w:pPr>
          </w:p>
          <w:p w14:paraId="00508F3E" w14:textId="00408B9A" w:rsidR="002F6DC5" w:rsidRPr="00C25F1B" w:rsidRDefault="002F6DC5" w:rsidP="00C25F1B">
            <w:pPr>
              <w:contextualSpacing/>
              <w:jc w:val="both"/>
              <w:rPr>
                <w:rFonts w:cstheme="minorHAnsi"/>
              </w:rPr>
            </w:pPr>
            <w:r w:rsidRPr="00C25F1B">
              <w:rPr>
                <w:rFonts w:cstheme="minorHAnsi"/>
              </w:rPr>
              <w:t>Mongolia has taken important steps to accelerate SDGs implementation in policy and socio-economic areas. The Parliament recently approved a long-term development policy document-Vision-2050 replacing the Sustainable Development Vision-2030, and the</w:t>
            </w:r>
            <w:r w:rsidR="009B0847" w:rsidRPr="00C25F1B">
              <w:rPr>
                <w:rFonts w:cstheme="minorHAnsi"/>
              </w:rPr>
              <w:t xml:space="preserve"> </w:t>
            </w:r>
            <w:r w:rsidRPr="00C25F1B">
              <w:rPr>
                <w:rFonts w:cstheme="minorHAnsi"/>
              </w:rPr>
              <w:t xml:space="preserve">medium-term (5-year) national development guidelines </w:t>
            </w:r>
            <w:r w:rsidR="009B0847" w:rsidRPr="00C25F1B">
              <w:rPr>
                <w:rFonts w:cstheme="minorHAnsi"/>
              </w:rPr>
              <w:t xml:space="preserve">and 4 year Government Action Plan </w:t>
            </w:r>
            <w:r w:rsidRPr="00C25F1B">
              <w:rPr>
                <w:rFonts w:cstheme="minorHAnsi"/>
              </w:rPr>
              <w:t>in alignment with the Vision-2050.</w:t>
            </w:r>
          </w:p>
          <w:p w14:paraId="2D93F965" w14:textId="77777777" w:rsidR="002F6DC5" w:rsidRPr="00C25F1B" w:rsidRDefault="002F6DC5" w:rsidP="00C25F1B">
            <w:pPr>
              <w:contextualSpacing/>
              <w:jc w:val="both"/>
              <w:rPr>
                <w:rFonts w:cstheme="minorHAnsi"/>
              </w:rPr>
            </w:pPr>
          </w:p>
          <w:p w14:paraId="20D35031" w14:textId="77777777" w:rsidR="002F6DC5" w:rsidRPr="00C25F1B" w:rsidRDefault="002F6DC5" w:rsidP="00C25F1B">
            <w:pPr>
              <w:contextualSpacing/>
              <w:jc w:val="both"/>
              <w:rPr>
                <w:rFonts w:cstheme="minorHAnsi"/>
              </w:rPr>
            </w:pPr>
            <w:r w:rsidRPr="00C25F1B">
              <w:rPr>
                <w:rFonts w:cstheme="minorHAnsi"/>
              </w:rPr>
              <w:t>The UN Joint Programme “Rolling out an Integrated Approach to the SDG Financing in Mongolia”  aims to contribute to improved alignment of financial resources with the national development policies, formulation of an integrated financing strategy, and building capacity of key stakeholders for the implementation of SDGs and their financing strategies.</w:t>
            </w:r>
          </w:p>
          <w:p w14:paraId="65B82803" w14:textId="77777777" w:rsidR="002F6DC5" w:rsidRPr="00C25F1B" w:rsidRDefault="002F6DC5" w:rsidP="00C25F1B">
            <w:pPr>
              <w:contextualSpacing/>
              <w:jc w:val="both"/>
              <w:rPr>
                <w:rFonts w:cstheme="minorHAnsi"/>
              </w:rPr>
            </w:pPr>
          </w:p>
          <w:p w14:paraId="64E3EE7A" w14:textId="77777777" w:rsidR="002F6DC5" w:rsidRPr="00C25F1B" w:rsidRDefault="002F6DC5" w:rsidP="00C25F1B">
            <w:pPr>
              <w:contextualSpacing/>
              <w:jc w:val="both"/>
              <w:rPr>
                <w:rFonts w:cstheme="minorHAnsi"/>
              </w:rPr>
            </w:pPr>
            <w:r w:rsidRPr="00C25F1B">
              <w:rPr>
                <w:rFonts w:cstheme="minorHAnsi"/>
              </w:rPr>
              <w:t xml:space="preserve">The Development Bank of Mongolia (DBM), as the national development bank, has a unique and important role in the country’s sustainable financing landscape. Its aim is to finance programs and projects that promote national sustainable economic development, replacing imports and expanding exports. As set out in the Law on Development Bank of Mongolia, one of the prerequisites for the programs and projects to be financed by the DBM is that they have to be compliant with Mongolia’s </w:t>
            </w:r>
            <w:r w:rsidRPr="00C25F1B">
              <w:rPr>
                <w:rFonts w:cstheme="minorHAnsi"/>
              </w:rPr>
              <w:lastRenderedPageBreak/>
              <w:t>Sustainable Development Vision and medium-term development policies. It is also the nation’s largest financier as the DBM’s net annual lending is equal to around 1/3 of state budget investments, making it a substantial</w:t>
            </w:r>
            <w:r w:rsidRPr="00C25F1B" w:rsidDel="00D90E0C">
              <w:rPr>
                <w:rFonts w:cstheme="minorHAnsi"/>
              </w:rPr>
              <w:t xml:space="preserve"> </w:t>
            </w:r>
            <w:r w:rsidRPr="00C25F1B">
              <w:rPr>
                <w:rFonts w:cstheme="minorHAnsi"/>
              </w:rPr>
              <w:t>player in successfully re-profiling development financing towards sustainable development. It assumes an important policy role in the overall integrated national financing framework because of its past engagement (e.g. serving on the Development Finance Assessment oversight committee) and being a key stakeholder on the policy side as well as in their own operations. DBM has the greatest potential to exemplify industry’s best practice and motivate other financial institutions in adopting sustainable financing principles in their operations.</w:t>
            </w:r>
          </w:p>
          <w:p w14:paraId="1740B409" w14:textId="77777777" w:rsidR="002F6DC5" w:rsidRPr="00C25F1B" w:rsidRDefault="002F6DC5" w:rsidP="00C25F1B">
            <w:pPr>
              <w:contextualSpacing/>
              <w:jc w:val="both"/>
              <w:rPr>
                <w:rFonts w:cstheme="minorHAnsi"/>
              </w:rPr>
            </w:pPr>
          </w:p>
          <w:p w14:paraId="296882AE" w14:textId="77777777" w:rsidR="0065710B" w:rsidRPr="00C25F1B" w:rsidRDefault="002F6DC5" w:rsidP="00C25F1B">
            <w:pPr>
              <w:contextualSpacing/>
              <w:jc w:val="both"/>
              <w:rPr>
                <w:rFonts w:cstheme="minorHAnsi"/>
              </w:rPr>
            </w:pPr>
            <w:r w:rsidRPr="00C25F1B">
              <w:rPr>
                <w:rFonts w:cstheme="minorHAnsi"/>
              </w:rPr>
              <w:t>In order to help strengthen DBM’s role and contribution towards the operationalization of overall integrated national financing framework for financing the SDGs, capacity development is needed at the DBM in all areas of its business conduct from strategy planning to actual implementation. The capacity</w:t>
            </w:r>
            <w:r w:rsidR="009B0847" w:rsidRPr="00C25F1B">
              <w:rPr>
                <w:rFonts w:cstheme="minorHAnsi"/>
              </w:rPr>
              <w:t xml:space="preserve"> assessment and</w:t>
            </w:r>
            <w:r w:rsidRPr="00C25F1B">
              <w:rPr>
                <w:rFonts w:cstheme="minorHAnsi"/>
              </w:rPr>
              <w:t xml:space="preserve"> development at the DBM is especially timely and necessary at this stage, as they are currentl</w:t>
            </w:r>
            <w:r w:rsidR="009B0847" w:rsidRPr="00C25F1B">
              <w:rPr>
                <w:rFonts w:cstheme="minorHAnsi"/>
              </w:rPr>
              <w:t>y developing their</w:t>
            </w:r>
            <w:r w:rsidRPr="00C25F1B">
              <w:rPr>
                <w:rFonts w:cstheme="minorHAnsi"/>
              </w:rPr>
              <w:t xml:space="preserve"> strateg</w:t>
            </w:r>
            <w:r w:rsidR="009B0847" w:rsidRPr="00C25F1B">
              <w:rPr>
                <w:rFonts w:cstheme="minorHAnsi"/>
              </w:rPr>
              <w:t>ic</w:t>
            </w:r>
            <w:r w:rsidRPr="00C25F1B">
              <w:rPr>
                <w:rFonts w:cstheme="minorHAnsi"/>
              </w:rPr>
              <w:t xml:space="preserve"> and business plan, in alignment with the development and approval of the new Government Agenda, following the Parliamentary elections in June 2020.</w:t>
            </w:r>
          </w:p>
          <w:p w14:paraId="0A1CAABE" w14:textId="5986F4C1" w:rsidR="009B0847" w:rsidRPr="00623392" w:rsidRDefault="009B0847" w:rsidP="00C25F1B">
            <w:pPr>
              <w:pStyle w:val="CommentText"/>
              <w:contextualSpacing/>
              <w:jc w:val="both"/>
              <w:rPr>
                <w:rFonts w:ascii="Arial" w:hAnsi="Arial" w:cs="Arial"/>
                <w:sz w:val="22"/>
                <w:szCs w:val="22"/>
              </w:rPr>
            </w:pPr>
          </w:p>
        </w:tc>
      </w:tr>
    </w:tbl>
    <w:p w14:paraId="04F55419" w14:textId="77777777" w:rsidR="00B446B4" w:rsidRDefault="00B446B4" w:rsidP="00C25F1B">
      <w:pPr>
        <w:tabs>
          <w:tab w:val="left" w:pos="1410"/>
        </w:tabs>
        <w:spacing w:line="240" w:lineRule="auto"/>
        <w:rPr>
          <w:b/>
          <w:color w:val="0070C0"/>
        </w:rPr>
      </w:pPr>
    </w:p>
    <w:p w14:paraId="06DCA7F3" w14:textId="6D30D201" w:rsidR="00944F40" w:rsidRPr="0088263E" w:rsidRDefault="0088263E" w:rsidP="00C25F1B">
      <w:pPr>
        <w:tabs>
          <w:tab w:val="left" w:pos="1410"/>
        </w:tabs>
        <w:spacing w:line="240" w:lineRule="auto"/>
        <w:rPr>
          <w:b/>
          <w:color w:val="0070C0"/>
        </w:rPr>
      </w:pPr>
      <w:r w:rsidRPr="0088263E">
        <w:rPr>
          <w:b/>
          <w:color w:val="0070C0"/>
        </w:rPr>
        <w:t>DUTIES AND RESPONSIBILITIES</w:t>
      </w:r>
    </w:p>
    <w:tbl>
      <w:tblPr>
        <w:tblStyle w:val="TableGrid"/>
        <w:tblW w:w="0" w:type="auto"/>
        <w:tblLook w:val="04A0" w:firstRow="1" w:lastRow="0" w:firstColumn="1" w:lastColumn="0" w:noHBand="0" w:noVBand="1"/>
      </w:tblPr>
      <w:tblGrid>
        <w:gridCol w:w="9350"/>
      </w:tblGrid>
      <w:tr w:rsidR="0065710B" w14:paraId="398288A9" w14:textId="77777777" w:rsidTr="0065710B">
        <w:tc>
          <w:tcPr>
            <w:tcW w:w="9576" w:type="dxa"/>
          </w:tcPr>
          <w:p w14:paraId="0C1CCB9D" w14:textId="77777777" w:rsidR="00623392" w:rsidRDefault="00623392" w:rsidP="00C25F1B">
            <w:pPr>
              <w:contextualSpacing/>
              <w:rPr>
                <w:b/>
              </w:rPr>
            </w:pPr>
          </w:p>
          <w:p w14:paraId="5A23CF58" w14:textId="1CCD5403" w:rsidR="0065710B" w:rsidRPr="00C25F1B" w:rsidRDefault="00EC70F7" w:rsidP="00C25F1B">
            <w:pPr>
              <w:contextualSpacing/>
              <w:jc w:val="both"/>
              <w:rPr>
                <w:rFonts w:cstheme="minorHAnsi"/>
                <w:b/>
                <w:bCs/>
              </w:rPr>
            </w:pPr>
            <w:r w:rsidRPr="00C25F1B">
              <w:rPr>
                <w:rFonts w:cstheme="minorHAnsi"/>
                <w:b/>
                <w:bCs/>
              </w:rPr>
              <w:t>Scope of Work</w:t>
            </w:r>
          </w:p>
          <w:p w14:paraId="00534A35" w14:textId="77777777" w:rsidR="00436C30" w:rsidRPr="00C25F1B" w:rsidRDefault="00436C30" w:rsidP="00C25F1B">
            <w:pPr>
              <w:contextualSpacing/>
              <w:jc w:val="both"/>
              <w:rPr>
                <w:rFonts w:cstheme="minorHAnsi"/>
              </w:rPr>
            </w:pPr>
          </w:p>
          <w:p w14:paraId="6336E7BA" w14:textId="5E7F21D9" w:rsidR="002D6250" w:rsidRPr="00C25F1B" w:rsidRDefault="00623392" w:rsidP="00C25F1B">
            <w:pPr>
              <w:contextualSpacing/>
              <w:jc w:val="both"/>
              <w:rPr>
                <w:rFonts w:cstheme="minorHAnsi"/>
              </w:rPr>
            </w:pPr>
            <w:r w:rsidRPr="00C25F1B">
              <w:rPr>
                <w:rFonts w:cstheme="minorHAnsi"/>
              </w:rPr>
              <w:t xml:space="preserve">The scope of assignment covers the review and </w:t>
            </w:r>
            <w:r w:rsidR="002D6250" w:rsidRPr="00C25F1B">
              <w:rPr>
                <w:rFonts w:cstheme="minorHAnsi"/>
              </w:rPr>
              <w:t xml:space="preserve">assessment of the DBM’s current integration of sustainable financing principles </w:t>
            </w:r>
            <w:r w:rsidRPr="00C25F1B">
              <w:rPr>
                <w:rFonts w:cstheme="minorHAnsi"/>
              </w:rPr>
              <w:t>and</w:t>
            </w:r>
            <w:r w:rsidR="002D6250" w:rsidRPr="00C25F1B">
              <w:rPr>
                <w:rFonts w:cstheme="minorHAnsi"/>
              </w:rPr>
              <w:t xml:space="preserve"> contribution towards SDGs, develop</w:t>
            </w:r>
            <w:r w:rsidRPr="00C25F1B">
              <w:rPr>
                <w:rFonts w:cstheme="minorHAnsi"/>
              </w:rPr>
              <w:t>ment of</w:t>
            </w:r>
            <w:r w:rsidR="002D6250" w:rsidRPr="00C25F1B">
              <w:rPr>
                <w:rFonts w:cstheme="minorHAnsi"/>
              </w:rPr>
              <w:t xml:space="preserve"> recommendations based on the assessment</w:t>
            </w:r>
            <w:r w:rsidRPr="00C25F1B">
              <w:rPr>
                <w:rFonts w:cstheme="minorHAnsi"/>
              </w:rPr>
              <w:t xml:space="preserve"> and </w:t>
            </w:r>
            <w:r w:rsidR="002D6250" w:rsidRPr="00C25F1B">
              <w:rPr>
                <w:rFonts w:cstheme="minorHAnsi"/>
              </w:rPr>
              <w:t>provi</w:t>
            </w:r>
            <w:r w:rsidRPr="00C25F1B">
              <w:rPr>
                <w:rFonts w:cstheme="minorHAnsi"/>
              </w:rPr>
              <w:t>sion of</w:t>
            </w:r>
            <w:r w:rsidR="002D6250" w:rsidRPr="00C25F1B">
              <w:rPr>
                <w:rFonts w:cstheme="minorHAnsi"/>
              </w:rPr>
              <w:t xml:space="preserve"> SDG tools, guidelines, and standards templates,</w:t>
            </w:r>
            <w:r w:rsidRPr="00C25F1B">
              <w:rPr>
                <w:rFonts w:cstheme="minorHAnsi"/>
              </w:rPr>
              <w:t xml:space="preserve"> </w:t>
            </w:r>
            <w:r w:rsidR="002D6250" w:rsidRPr="00C25F1B">
              <w:rPr>
                <w:rFonts w:cstheme="minorHAnsi"/>
              </w:rPr>
              <w:t>training and capacity-building</w:t>
            </w:r>
            <w:r w:rsidRPr="00C25F1B">
              <w:rPr>
                <w:rFonts w:cstheme="minorHAnsi"/>
              </w:rPr>
              <w:t xml:space="preserve"> activities</w:t>
            </w:r>
            <w:r w:rsidR="002D6250" w:rsidRPr="00C25F1B">
              <w:rPr>
                <w:rFonts w:cstheme="minorHAnsi"/>
              </w:rPr>
              <w:t xml:space="preserve">. </w:t>
            </w:r>
            <w:r w:rsidR="00B036DD" w:rsidRPr="00C25F1B">
              <w:rPr>
                <w:rFonts w:cstheme="minorHAnsi"/>
              </w:rPr>
              <w:t xml:space="preserve">The </w:t>
            </w:r>
            <w:r w:rsidR="00DE7857">
              <w:rPr>
                <w:rFonts w:cstheme="minorHAnsi"/>
              </w:rPr>
              <w:t>national</w:t>
            </w:r>
            <w:r w:rsidR="00B036DD" w:rsidRPr="00C25F1B">
              <w:rPr>
                <w:rFonts w:cstheme="minorHAnsi"/>
              </w:rPr>
              <w:t xml:space="preserve"> consultant will</w:t>
            </w:r>
            <w:r w:rsidR="00DE7857">
              <w:rPr>
                <w:rFonts w:cstheme="minorHAnsi"/>
              </w:rPr>
              <w:t xml:space="preserve"> collaborate with and receive strategic guidance from the international consultant </w:t>
            </w:r>
            <w:r w:rsidR="00B036DD" w:rsidRPr="00C25F1B">
              <w:rPr>
                <w:rFonts w:cstheme="minorHAnsi"/>
              </w:rPr>
              <w:t>and deliver the following outputs and deliverables</w:t>
            </w:r>
            <w:r w:rsidR="00DE7857">
              <w:rPr>
                <w:rFonts w:cstheme="minorHAnsi"/>
              </w:rPr>
              <w:t xml:space="preserve"> as a team</w:t>
            </w:r>
            <w:r w:rsidR="00B036DD" w:rsidRPr="00C25F1B">
              <w:rPr>
                <w:rFonts w:cstheme="minorHAnsi"/>
              </w:rPr>
              <w:t>.</w:t>
            </w:r>
            <w:r w:rsidR="00DE7857">
              <w:rPr>
                <w:rFonts w:cstheme="minorHAnsi"/>
              </w:rPr>
              <w:t xml:space="preserve"> The national consultant will translate the final documents into Mongolian.</w:t>
            </w:r>
          </w:p>
          <w:p w14:paraId="4B00B6B9" w14:textId="77777777" w:rsidR="00436C30" w:rsidRPr="00C25F1B" w:rsidRDefault="00436C30" w:rsidP="00C25F1B">
            <w:pPr>
              <w:contextualSpacing/>
              <w:jc w:val="both"/>
              <w:rPr>
                <w:rFonts w:cstheme="minorHAnsi"/>
              </w:rPr>
            </w:pPr>
          </w:p>
          <w:p w14:paraId="2A3E70A7" w14:textId="27AC2DE3" w:rsidR="00B446B4" w:rsidRPr="00C25F1B" w:rsidRDefault="00EC70F7" w:rsidP="00C25F1B">
            <w:pPr>
              <w:contextualSpacing/>
              <w:jc w:val="both"/>
              <w:rPr>
                <w:rFonts w:cstheme="minorHAnsi"/>
                <w:b/>
                <w:bCs/>
              </w:rPr>
            </w:pPr>
            <w:r w:rsidRPr="00C25F1B">
              <w:rPr>
                <w:rFonts w:cstheme="minorHAnsi"/>
                <w:b/>
                <w:bCs/>
              </w:rPr>
              <w:t>Expected Outputs and Deliverables</w:t>
            </w:r>
          </w:p>
          <w:p w14:paraId="30322610" w14:textId="77777777" w:rsidR="00436C30" w:rsidRPr="00C25F1B" w:rsidRDefault="00436C30" w:rsidP="00C25F1B">
            <w:pPr>
              <w:contextualSpacing/>
              <w:jc w:val="both"/>
              <w:rPr>
                <w:rFonts w:cstheme="minorHAnsi"/>
              </w:rPr>
            </w:pPr>
          </w:p>
          <w:p w14:paraId="3DE47B4A" w14:textId="0325ECBF" w:rsidR="002F6DC5" w:rsidRPr="00C25F1B" w:rsidRDefault="002F6DC5" w:rsidP="00C25F1B">
            <w:pPr>
              <w:pStyle w:val="ListParagraph"/>
              <w:numPr>
                <w:ilvl w:val="0"/>
                <w:numId w:val="19"/>
              </w:numPr>
              <w:jc w:val="both"/>
              <w:rPr>
                <w:rFonts w:cstheme="minorHAnsi"/>
                <w:b/>
                <w:bCs/>
              </w:rPr>
            </w:pPr>
            <w:r w:rsidRPr="00C25F1B">
              <w:rPr>
                <w:rFonts w:cstheme="minorHAnsi"/>
                <w:b/>
                <w:bCs/>
              </w:rPr>
              <w:t xml:space="preserve">Assessment of </w:t>
            </w:r>
            <w:r w:rsidR="002D6250" w:rsidRPr="00C25F1B">
              <w:rPr>
                <w:rFonts w:cstheme="minorHAnsi"/>
                <w:b/>
                <w:bCs/>
              </w:rPr>
              <w:t>DBM’s extent of financing for development</w:t>
            </w:r>
          </w:p>
          <w:p w14:paraId="67CEFB8A" w14:textId="59E4F96C" w:rsidR="00C25F1B" w:rsidRDefault="00DE7857" w:rsidP="00C25F1B">
            <w:pPr>
              <w:pStyle w:val="ListParagraph"/>
              <w:numPr>
                <w:ilvl w:val="0"/>
                <w:numId w:val="20"/>
              </w:numPr>
              <w:jc w:val="both"/>
              <w:rPr>
                <w:rFonts w:cstheme="minorHAnsi"/>
              </w:rPr>
            </w:pPr>
            <w:r>
              <w:rPr>
                <w:rFonts w:cstheme="minorHAnsi"/>
              </w:rPr>
              <w:t>Support the international consultant on the r</w:t>
            </w:r>
            <w:r w:rsidR="002F6DC5" w:rsidRPr="00C25F1B">
              <w:rPr>
                <w:rFonts w:cstheme="minorHAnsi"/>
              </w:rPr>
              <w:t xml:space="preserve">eview and assessment of current operational practices and governance structure, against the international best practices and guidelines including UN Guiding Principles on Business and Human Rights, the OECD Due Diligence Guidance for Responsible Business Conduct, UNEP Principles for responsible banking and that of </w:t>
            </w:r>
            <w:r w:rsidR="00623392" w:rsidRPr="00C25F1B">
              <w:rPr>
                <w:rFonts w:cstheme="minorHAnsi"/>
              </w:rPr>
              <w:t>S</w:t>
            </w:r>
            <w:r w:rsidR="002F6DC5" w:rsidRPr="00C25F1B">
              <w:rPr>
                <w:rFonts w:cstheme="minorHAnsi"/>
              </w:rPr>
              <w:t xml:space="preserve">ustainable </w:t>
            </w:r>
            <w:r w:rsidR="00623392" w:rsidRPr="00C25F1B">
              <w:rPr>
                <w:rFonts w:cstheme="minorHAnsi"/>
              </w:rPr>
              <w:t>B</w:t>
            </w:r>
            <w:r w:rsidR="002F6DC5" w:rsidRPr="00C25F1B">
              <w:rPr>
                <w:rFonts w:cstheme="minorHAnsi"/>
              </w:rPr>
              <w:t xml:space="preserve">anking </w:t>
            </w:r>
            <w:r w:rsidR="00623392" w:rsidRPr="00C25F1B">
              <w:rPr>
                <w:rFonts w:cstheme="minorHAnsi"/>
              </w:rPr>
              <w:t>N</w:t>
            </w:r>
            <w:r w:rsidR="002F6DC5" w:rsidRPr="00C25F1B">
              <w:rPr>
                <w:rFonts w:cstheme="minorHAnsi"/>
              </w:rPr>
              <w:t xml:space="preserve">etwork (SBN) and sustainable banking principles adopted by various development banks; </w:t>
            </w:r>
          </w:p>
          <w:p w14:paraId="1B441A02" w14:textId="77777777" w:rsidR="00C25F1B" w:rsidRDefault="002F6DC5" w:rsidP="00C25F1B">
            <w:pPr>
              <w:pStyle w:val="ListParagraph"/>
              <w:numPr>
                <w:ilvl w:val="0"/>
                <w:numId w:val="20"/>
              </w:numPr>
              <w:jc w:val="both"/>
              <w:rPr>
                <w:rFonts w:cstheme="minorHAnsi"/>
              </w:rPr>
            </w:pPr>
            <w:r w:rsidRPr="00C25F1B">
              <w:rPr>
                <w:rFonts w:cstheme="minorHAnsi"/>
              </w:rPr>
              <w:t>Review and assessment of current operations and priorities against the national priorities, development policies and its legal mandate, and determine the extent to which the DBM is financing the national development priorities and its legal mandate, including the Vision-2050, National Green Development Policy, Nationally Determined Contributions (NDC), medium-term (5-year) national and local development guidelines, the Government Action P</w:t>
            </w:r>
            <w:r w:rsidR="00623392" w:rsidRPr="00C25F1B">
              <w:rPr>
                <w:rFonts w:cstheme="minorHAnsi"/>
              </w:rPr>
              <w:t>lan</w:t>
            </w:r>
            <w:r w:rsidRPr="00C25F1B">
              <w:rPr>
                <w:rFonts w:cstheme="minorHAnsi"/>
              </w:rPr>
              <w:t xml:space="preserve">, annual national and local development plans, and sectoral development </w:t>
            </w:r>
            <w:proofErr w:type="spellStart"/>
            <w:r w:rsidRPr="00C25F1B">
              <w:rPr>
                <w:rFonts w:cstheme="minorHAnsi"/>
              </w:rPr>
              <w:t>programmes</w:t>
            </w:r>
            <w:proofErr w:type="spellEnd"/>
            <w:r w:rsidRPr="00C25F1B">
              <w:rPr>
                <w:rFonts w:cstheme="minorHAnsi"/>
              </w:rPr>
              <w:t>;</w:t>
            </w:r>
          </w:p>
          <w:p w14:paraId="14175FA5" w14:textId="77777777" w:rsidR="00C25F1B" w:rsidRDefault="002F6DC5" w:rsidP="00C25F1B">
            <w:pPr>
              <w:pStyle w:val="ListParagraph"/>
              <w:numPr>
                <w:ilvl w:val="0"/>
                <w:numId w:val="20"/>
              </w:numPr>
              <w:jc w:val="both"/>
              <w:rPr>
                <w:rFonts w:cstheme="minorHAnsi"/>
              </w:rPr>
            </w:pPr>
            <w:r w:rsidRPr="00C25F1B">
              <w:rPr>
                <w:rFonts w:cstheme="minorHAnsi"/>
              </w:rPr>
              <w:t xml:space="preserve">Review the already undertaken financial sector assessments and reviews on SDG implementation progress, including </w:t>
            </w:r>
            <w:hyperlink r:id="rId11" w:history="1">
              <w:r w:rsidRPr="00C25F1B">
                <w:rPr>
                  <w:rFonts w:cstheme="minorHAnsi"/>
                </w:rPr>
                <w:t>DFA</w:t>
              </w:r>
            </w:hyperlink>
            <w:r w:rsidRPr="00C25F1B">
              <w:rPr>
                <w:rFonts w:cstheme="minorHAnsi"/>
              </w:rPr>
              <w:t xml:space="preserve">, </w:t>
            </w:r>
            <w:hyperlink r:id="rId12" w:history="1">
              <w:r w:rsidRPr="00C25F1B">
                <w:rPr>
                  <w:rFonts w:cstheme="minorHAnsi"/>
                </w:rPr>
                <w:t>VNR</w:t>
              </w:r>
            </w:hyperlink>
            <w:r w:rsidRPr="00C25F1B">
              <w:rPr>
                <w:rFonts w:cstheme="minorHAnsi"/>
              </w:rPr>
              <w:t xml:space="preserve">, and </w:t>
            </w:r>
            <w:hyperlink r:id="rId13" w:history="1">
              <w:r w:rsidRPr="00C25F1B">
                <w:rPr>
                  <w:rFonts w:cstheme="minorHAnsi"/>
                </w:rPr>
                <w:t>SFRM</w:t>
              </w:r>
            </w:hyperlink>
            <w:r w:rsidRPr="00C25F1B">
              <w:rPr>
                <w:rFonts w:cstheme="minorHAnsi"/>
              </w:rPr>
              <w:t>.</w:t>
            </w:r>
          </w:p>
          <w:p w14:paraId="449042BF" w14:textId="3F95B88B" w:rsidR="002F6DC5" w:rsidRPr="00C25F1B" w:rsidRDefault="00DE7857" w:rsidP="00C25F1B">
            <w:pPr>
              <w:pStyle w:val="ListParagraph"/>
              <w:numPr>
                <w:ilvl w:val="0"/>
                <w:numId w:val="20"/>
              </w:numPr>
              <w:jc w:val="both"/>
              <w:rPr>
                <w:rFonts w:cstheme="minorHAnsi"/>
              </w:rPr>
            </w:pPr>
            <w:r>
              <w:rPr>
                <w:rFonts w:cstheme="minorHAnsi"/>
              </w:rPr>
              <w:lastRenderedPageBreak/>
              <w:t>Support the international consultant on the development of</w:t>
            </w:r>
            <w:r w:rsidR="002F6DC5" w:rsidRPr="00C25F1B">
              <w:rPr>
                <w:rFonts w:cstheme="minorHAnsi"/>
              </w:rPr>
              <w:t xml:space="preserve"> comprehensive recommendations </w:t>
            </w:r>
            <w:r w:rsidR="005F61A1" w:rsidRPr="00C25F1B">
              <w:rPr>
                <w:rFonts w:cstheme="minorHAnsi"/>
              </w:rPr>
              <w:t xml:space="preserve">and action plan </w:t>
            </w:r>
            <w:r w:rsidR="002F6DC5" w:rsidRPr="00C25F1B">
              <w:rPr>
                <w:rFonts w:cstheme="minorHAnsi"/>
              </w:rPr>
              <w:t xml:space="preserve">towards financing for national sustainable development and integration of sustainable financing principles across entire operations; </w:t>
            </w:r>
          </w:p>
          <w:p w14:paraId="6D5D7BD7" w14:textId="77777777" w:rsidR="002F6DC5" w:rsidRPr="00C25F1B" w:rsidRDefault="002F6DC5" w:rsidP="00C25F1B">
            <w:pPr>
              <w:contextualSpacing/>
              <w:jc w:val="both"/>
              <w:rPr>
                <w:rFonts w:cstheme="minorHAnsi"/>
              </w:rPr>
            </w:pPr>
          </w:p>
          <w:p w14:paraId="3664DADF" w14:textId="26EBDD7C" w:rsidR="002F6DC5" w:rsidRPr="00C25F1B" w:rsidRDefault="002F6DC5" w:rsidP="00C25F1B">
            <w:pPr>
              <w:pStyle w:val="ListParagraph"/>
              <w:numPr>
                <w:ilvl w:val="0"/>
                <w:numId w:val="19"/>
              </w:numPr>
              <w:jc w:val="both"/>
              <w:rPr>
                <w:rFonts w:cstheme="minorHAnsi"/>
                <w:b/>
                <w:bCs/>
              </w:rPr>
            </w:pPr>
            <w:r w:rsidRPr="00C25F1B">
              <w:rPr>
                <w:rFonts w:cstheme="minorHAnsi"/>
                <w:b/>
                <w:bCs/>
              </w:rPr>
              <w:t xml:space="preserve">Support </w:t>
            </w:r>
            <w:r w:rsidR="00C25F1B" w:rsidRPr="00C25F1B">
              <w:rPr>
                <w:rFonts w:cstheme="minorHAnsi"/>
                <w:b/>
                <w:bCs/>
              </w:rPr>
              <w:t xml:space="preserve">on </w:t>
            </w:r>
            <w:r w:rsidRPr="00C25F1B">
              <w:rPr>
                <w:rFonts w:cstheme="minorHAnsi"/>
                <w:b/>
                <w:bCs/>
              </w:rPr>
              <w:t xml:space="preserve">development of </w:t>
            </w:r>
            <w:r w:rsidR="00044305">
              <w:rPr>
                <w:rFonts w:cstheme="minorHAnsi"/>
                <w:b/>
                <w:bCs/>
              </w:rPr>
              <w:t xml:space="preserve">guidelines, standards, policies and other relevant documents necessary to integrate SDGs into </w:t>
            </w:r>
            <w:r w:rsidRPr="00C25F1B">
              <w:rPr>
                <w:rFonts w:cstheme="minorHAnsi"/>
                <w:b/>
                <w:bCs/>
              </w:rPr>
              <w:t>DBM’s operation and sustainability reporti</w:t>
            </w:r>
            <w:r w:rsidR="00B036DD" w:rsidRPr="00C25F1B">
              <w:rPr>
                <w:rFonts w:cstheme="minorHAnsi"/>
                <w:b/>
                <w:bCs/>
              </w:rPr>
              <w:t>ng.</w:t>
            </w:r>
          </w:p>
          <w:p w14:paraId="527E6E4F" w14:textId="77777777" w:rsidR="00044305" w:rsidRDefault="00044305" w:rsidP="00C25F1B">
            <w:pPr>
              <w:pStyle w:val="ListParagraph"/>
              <w:numPr>
                <w:ilvl w:val="0"/>
                <w:numId w:val="20"/>
              </w:numPr>
              <w:jc w:val="both"/>
              <w:rPr>
                <w:rFonts w:cstheme="minorHAnsi"/>
              </w:rPr>
            </w:pPr>
            <w:r>
              <w:rPr>
                <w:rFonts w:cstheme="minorHAnsi"/>
              </w:rPr>
              <w:t>Draft and support the introduction of standards, policies and relevant documents to integrate SDGs into DBM’s operation;</w:t>
            </w:r>
          </w:p>
          <w:p w14:paraId="63ECB24C" w14:textId="76F28FAA" w:rsidR="00C25F1B" w:rsidRDefault="00DE7857" w:rsidP="00C25F1B">
            <w:pPr>
              <w:pStyle w:val="ListParagraph"/>
              <w:numPr>
                <w:ilvl w:val="0"/>
                <w:numId w:val="20"/>
              </w:numPr>
              <w:jc w:val="both"/>
              <w:rPr>
                <w:rFonts w:cstheme="minorHAnsi"/>
              </w:rPr>
            </w:pPr>
            <w:r>
              <w:rPr>
                <w:rFonts w:cstheme="minorHAnsi"/>
              </w:rPr>
              <w:t>Support to i</w:t>
            </w:r>
            <w:r w:rsidR="002F6DC5" w:rsidRPr="00C25F1B">
              <w:rPr>
                <w:rFonts w:cstheme="minorHAnsi"/>
              </w:rPr>
              <w:t>dentify and agree on a set of business objectives, targets, and indicators, consistent with national policies, SDGs, and international sustainable financing principles.</w:t>
            </w:r>
          </w:p>
          <w:p w14:paraId="6250CB27" w14:textId="1D65984E" w:rsidR="00C25F1B" w:rsidRDefault="00DE7857" w:rsidP="00C25F1B">
            <w:pPr>
              <w:pStyle w:val="ListParagraph"/>
              <w:numPr>
                <w:ilvl w:val="0"/>
                <w:numId w:val="20"/>
              </w:numPr>
              <w:jc w:val="both"/>
              <w:rPr>
                <w:rFonts w:cstheme="minorHAnsi"/>
              </w:rPr>
            </w:pPr>
            <w:r>
              <w:rPr>
                <w:rFonts w:cstheme="minorHAnsi"/>
              </w:rPr>
              <w:t>Support to d</w:t>
            </w:r>
            <w:r w:rsidR="002F6DC5" w:rsidRPr="00C25F1B">
              <w:rPr>
                <w:rFonts w:cstheme="minorHAnsi"/>
              </w:rPr>
              <w:t xml:space="preserve">raft and support introduction of new sustainable financing instruments that will attract private capital into </w:t>
            </w:r>
            <w:r w:rsidR="00B036DD" w:rsidRPr="00C25F1B">
              <w:rPr>
                <w:rFonts w:cstheme="minorHAnsi"/>
              </w:rPr>
              <w:t xml:space="preserve">areas such as </w:t>
            </w:r>
            <w:r w:rsidR="002F6DC5" w:rsidRPr="00C25F1B">
              <w:rPr>
                <w:rFonts w:cstheme="minorHAnsi"/>
              </w:rPr>
              <w:t>low-carbon energy solutions, large-scale infrastructure, and social impact projects.</w:t>
            </w:r>
          </w:p>
          <w:p w14:paraId="0C899770" w14:textId="7A03FC5E" w:rsidR="00C25F1B" w:rsidRDefault="00DE7857" w:rsidP="00C25F1B">
            <w:pPr>
              <w:pStyle w:val="ListParagraph"/>
              <w:numPr>
                <w:ilvl w:val="0"/>
                <w:numId w:val="20"/>
              </w:numPr>
              <w:jc w:val="both"/>
              <w:rPr>
                <w:rFonts w:cstheme="minorHAnsi"/>
              </w:rPr>
            </w:pPr>
            <w:r>
              <w:rPr>
                <w:rFonts w:cstheme="minorHAnsi"/>
              </w:rPr>
              <w:t>Support to d</w:t>
            </w:r>
            <w:r w:rsidR="002F6DC5" w:rsidRPr="00C25F1B">
              <w:rPr>
                <w:rFonts w:cstheme="minorHAnsi"/>
              </w:rPr>
              <w:t>raft and agree on ways to improve disclosure, impact, performance measurement system</w:t>
            </w:r>
            <w:r w:rsidR="00B036DD" w:rsidRPr="00C25F1B">
              <w:rPr>
                <w:rFonts w:cstheme="minorHAnsi"/>
              </w:rPr>
              <w:t xml:space="preserve"> and</w:t>
            </w:r>
            <w:r w:rsidR="002F6DC5" w:rsidRPr="00C25F1B">
              <w:rPr>
                <w:rFonts w:cstheme="minorHAnsi"/>
              </w:rPr>
              <w:t xml:space="preserve"> reporting </w:t>
            </w:r>
            <w:r w:rsidR="00B036DD" w:rsidRPr="00C25F1B">
              <w:rPr>
                <w:rFonts w:cstheme="minorHAnsi"/>
              </w:rPr>
              <w:t>on</w:t>
            </w:r>
            <w:r w:rsidR="002F6DC5" w:rsidRPr="00C25F1B">
              <w:rPr>
                <w:rFonts w:cstheme="minorHAnsi"/>
              </w:rPr>
              <w:t xml:space="preserve"> the SDGs, considering general features of effective reporting and data users’ (the government, investors, civil society, academia etc) information needs. </w:t>
            </w:r>
          </w:p>
          <w:p w14:paraId="52269825" w14:textId="7BF091EA" w:rsidR="002F6DC5" w:rsidRPr="00C25F1B" w:rsidRDefault="00DE7857" w:rsidP="00C25F1B">
            <w:pPr>
              <w:pStyle w:val="ListParagraph"/>
              <w:numPr>
                <w:ilvl w:val="0"/>
                <w:numId w:val="20"/>
              </w:numPr>
              <w:jc w:val="both"/>
              <w:rPr>
                <w:rFonts w:cstheme="minorHAnsi"/>
              </w:rPr>
            </w:pPr>
            <w:r>
              <w:rPr>
                <w:rFonts w:cstheme="minorHAnsi"/>
              </w:rPr>
              <w:t>Support to p</w:t>
            </w:r>
            <w:r w:rsidR="002F6DC5" w:rsidRPr="00C25F1B">
              <w:rPr>
                <w:rFonts w:cstheme="minorHAnsi"/>
              </w:rPr>
              <w:t>rovide operational guidelines and standards templates for areas such as ESG investing, ESG disclosure, ESG integration assessment, ESG risk management, sustainability governance and performance measurement, to help ensure the practical application of the training and capacity development activities.</w:t>
            </w:r>
          </w:p>
          <w:p w14:paraId="2DA7920B" w14:textId="77777777" w:rsidR="002F6DC5" w:rsidRPr="00C25F1B" w:rsidRDefault="002F6DC5" w:rsidP="00C25F1B">
            <w:pPr>
              <w:contextualSpacing/>
              <w:jc w:val="both"/>
              <w:rPr>
                <w:rFonts w:cstheme="minorHAnsi"/>
              </w:rPr>
            </w:pPr>
          </w:p>
          <w:p w14:paraId="109A783B" w14:textId="5F18AB20" w:rsidR="002F6DC5" w:rsidRPr="00C25F1B" w:rsidRDefault="002F6DC5" w:rsidP="00C25F1B">
            <w:pPr>
              <w:pStyle w:val="ListParagraph"/>
              <w:numPr>
                <w:ilvl w:val="0"/>
                <w:numId w:val="19"/>
              </w:numPr>
              <w:jc w:val="both"/>
              <w:rPr>
                <w:rFonts w:cstheme="minorHAnsi"/>
                <w:b/>
                <w:bCs/>
              </w:rPr>
            </w:pPr>
            <w:r w:rsidRPr="00C25F1B">
              <w:rPr>
                <w:rFonts w:cstheme="minorHAnsi"/>
                <w:b/>
                <w:bCs/>
              </w:rPr>
              <w:t>Capacity-building for DBM integration of sustainable financing principles</w:t>
            </w:r>
          </w:p>
          <w:p w14:paraId="110326CF" w14:textId="6506F8C0" w:rsidR="002F6DC5" w:rsidRDefault="00DE7857" w:rsidP="00C25F1B">
            <w:pPr>
              <w:pStyle w:val="ListParagraph"/>
              <w:numPr>
                <w:ilvl w:val="0"/>
                <w:numId w:val="20"/>
              </w:numPr>
              <w:jc w:val="both"/>
              <w:rPr>
                <w:rFonts w:cstheme="minorHAnsi"/>
              </w:rPr>
            </w:pPr>
            <w:r>
              <w:rPr>
                <w:rFonts w:cstheme="minorHAnsi"/>
              </w:rPr>
              <w:t>Support to p</w:t>
            </w:r>
            <w:r w:rsidR="002F6DC5" w:rsidRPr="00C25F1B">
              <w:rPr>
                <w:rFonts w:cstheme="minorHAnsi"/>
              </w:rPr>
              <w:t xml:space="preserve">repare a training plan based on the capacity assessment, including components on strategy formulation, planning, implementation, monitoring and evaluation and ongoing organizational learning and risk management in terms of integrating sustainable financing principles </w:t>
            </w:r>
            <w:r w:rsidR="00B036DD" w:rsidRPr="00C25F1B">
              <w:rPr>
                <w:rFonts w:cstheme="minorHAnsi"/>
              </w:rPr>
              <w:t xml:space="preserve">and SDGs implementation </w:t>
            </w:r>
            <w:r w:rsidR="002F6DC5" w:rsidRPr="00C25F1B">
              <w:rPr>
                <w:rFonts w:cstheme="minorHAnsi"/>
              </w:rPr>
              <w:t>into DBM operations.</w:t>
            </w:r>
          </w:p>
          <w:p w14:paraId="09E06F34" w14:textId="6ECF0D86" w:rsidR="00C25F1B" w:rsidRDefault="00DE7857" w:rsidP="00C25F1B">
            <w:pPr>
              <w:pStyle w:val="ListParagraph"/>
              <w:numPr>
                <w:ilvl w:val="0"/>
                <w:numId w:val="20"/>
              </w:numPr>
              <w:jc w:val="both"/>
              <w:rPr>
                <w:rFonts w:cstheme="minorHAnsi"/>
              </w:rPr>
            </w:pPr>
            <w:proofErr w:type="spellStart"/>
            <w:r>
              <w:rPr>
                <w:rFonts w:cstheme="minorHAnsi"/>
              </w:rPr>
              <w:t>Suppor</w:t>
            </w:r>
            <w:proofErr w:type="spellEnd"/>
            <w:r>
              <w:rPr>
                <w:rFonts w:cstheme="minorHAnsi"/>
              </w:rPr>
              <w:t xml:space="preserve"> to d</w:t>
            </w:r>
            <w:r w:rsidR="002F6DC5" w:rsidRPr="00C25F1B">
              <w:rPr>
                <w:rFonts w:cstheme="minorHAnsi"/>
              </w:rPr>
              <w:t xml:space="preserve">evelop training materials, guidelines as well as templates for regulations and standards, that will support the integration of sustainable financing principles </w:t>
            </w:r>
            <w:r w:rsidR="00B036DD" w:rsidRPr="00C25F1B">
              <w:rPr>
                <w:rFonts w:cstheme="minorHAnsi"/>
              </w:rPr>
              <w:t xml:space="preserve">and SDGs implementation </w:t>
            </w:r>
            <w:r w:rsidR="002F6DC5" w:rsidRPr="00C25F1B">
              <w:rPr>
                <w:rFonts w:cstheme="minorHAnsi"/>
              </w:rPr>
              <w:t>into DBM operations.</w:t>
            </w:r>
          </w:p>
          <w:p w14:paraId="1AE953B8" w14:textId="77777777" w:rsidR="00C25F1B" w:rsidRDefault="002F6DC5" w:rsidP="00C25F1B">
            <w:pPr>
              <w:pStyle w:val="ListParagraph"/>
              <w:numPr>
                <w:ilvl w:val="0"/>
                <w:numId w:val="20"/>
              </w:numPr>
              <w:jc w:val="both"/>
              <w:rPr>
                <w:rFonts w:cstheme="minorHAnsi"/>
              </w:rPr>
            </w:pPr>
            <w:r w:rsidRPr="00C25F1B">
              <w:rPr>
                <w:rFonts w:cstheme="minorHAnsi"/>
              </w:rPr>
              <w:t>Deliver training and workshops in a suitable format (on-the-job, group-based, online etc.,) in accordance with the training plan.</w:t>
            </w:r>
          </w:p>
          <w:p w14:paraId="4729C3C1" w14:textId="77777777" w:rsidR="00C25F1B" w:rsidRDefault="002F6DC5" w:rsidP="00C25F1B">
            <w:pPr>
              <w:pStyle w:val="ListParagraph"/>
              <w:numPr>
                <w:ilvl w:val="0"/>
                <w:numId w:val="20"/>
              </w:numPr>
              <w:jc w:val="both"/>
              <w:rPr>
                <w:rFonts w:cstheme="minorHAnsi"/>
              </w:rPr>
            </w:pPr>
            <w:r w:rsidRPr="00C25F1B">
              <w:rPr>
                <w:rFonts w:cstheme="minorHAnsi"/>
              </w:rPr>
              <w:t>Organize discussion meetings, one-on-one meetings and consultations with the DBM, providing guidance on integrating sustainable financing principles into their business and strategy planning, related laws and regulations, management and operational structure and provide feedback on any draft documents, if available.</w:t>
            </w:r>
          </w:p>
          <w:p w14:paraId="525E8127" w14:textId="0A67B224" w:rsidR="0069373F" w:rsidRPr="00C25F1B" w:rsidRDefault="002F6DC5" w:rsidP="00C25F1B">
            <w:pPr>
              <w:pStyle w:val="ListParagraph"/>
              <w:numPr>
                <w:ilvl w:val="0"/>
                <w:numId w:val="20"/>
              </w:numPr>
              <w:jc w:val="both"/>
              <w:rPr>
                <w:rFonts w:cstheme="minorHAnsi"/>
              </w:rPr>
            </w:pPr>
            <w:r w:rsidRPr="00C25F1B">
              <w:rPr>
                <w:rFonts w:cstheme="minorHAnsi"/>
              </w:rPr>
              <w:t>Prepare a report including key recommendations and actions to be taken by DBM.</w:t>
            </w:r>
          </w:p>
          <w:p w14:paraId="069CD2A4" w14:textId="33ABFE13" w:rsidR="00436C30" w:rsidRDefault="00436C30" w:rsidP="00C25F1B">
            <w:pPr>
              <w:tabs>
                <w:tab w:val="num" w:pos="700"/>
              </w:tabs>
              <w:jc w:val="both"/>
              <w:rPr>
                <w:rFonts w:cs="Arial"/>
                <w:lang w:val="mn-MN"/>
              </w:rPr>
            </w:pPr>
          </w:p>
          <w:p w14:paraId="6EF2D65E" w14:textId="601D6CF8" w:rsidR="00E2763D" w:rsidRDefault="00E2763D" w:rsidP="00C25F1B">
            <w:pPr>
              <w:contextualSpacing/>
              <w:rPr>
                <w:rFonts w:cstheme="minorHAnsi"/>
                <w:b/>
                <w:szCs w:val="20"/>
              </w:rPr>
            </w:pPr>
            <w:r w:rsidRPr="00E2763D">
              <w:rPr>
                <w:rFonts w:cstheme="minorHAnsi"/>
                <w:b/>
                <w:szCs w:val="20"/>
              </w:rPr>
              <w:t>Institutional Arrangement</w:t>
            </w:r>
          </w:p>
          <w:p w14:paraId="63EA5E47" w14:textId="77777777" w:rsidR="00B036DD" w:rsidRPr="00E2763D" w:rsidRDefault="00B036DD" w:rsidP="00C25F1B">
            <w:pPr>
              <w:contextualSpacing/>
              <w:rPr>
                <w:rFonts w:cstheme="minorHAnsi"/>
                <w:b/>
                <w:szCs w:val="20"/>
              </w:rPr>
            </w:pPr>
          </w:p>
          <w:p w14:paraId="0F3A75C5" w14:textId="56172727" w:rsidR="002F6DC5" w:rsidRPr="00C25F1B" w:rsidRDefault="002F6DC5" w:rsidP="00C25F1B">
            <w:pPr>
              <w:contextualSpacing/>
              <w:jc w:val="both"/>
              <w:rPr>
                <w:rFonts w:cstheme="minorHAnsi"/>
              </w:rPr>
            </w:pPr>
            <w:r w:rsidRPr="00C25F1B">
              <w:rPr>
                <w:rFonts w:cstheme="minorHAnsi"/>
              </w:rPr>
              <w:t>The consultant</w:t>
            </w:r>
            <w:r w:rsidR="00B036DD" w:rsidRPr="00C25F1B">
              <w:rPr>
                <w:rFonts w:cstheme="minorHAnsi"/>
              </w:rPr>
              <w:t xml:space="preserve"> </w:t>
            </w:r>
            <w:r w:rsidRPr="00C25F1B">
              <w:rPr>
                <w:rFonts w:cstheme="minorHAnsi"/>
              </w:rPr>
              <w:t>shall report to the Project Coordinator and work closely with the SDG project team, consultants, and the national counterparts. All reports shall be submitted to the UNDP Country Office</w:t>
            </w:r>
            <w:r w:rsidR="00B036DD" w:rsidRPr="00C25F1B">
              <w:rPr>
                <w:rFonts w:cstheme="minorHAnsi"/>
              </w:rPr>
              <w:t>,</w:t>
            </w:r>
            <w:r w:rsidRPr="00C25F1B">
              <w:rPr>
                <w:rFonts w:cstheme="minorHAnsi"/>
              </w:rPr>
              <w:t xml:space="preserve"> BRH SDG finance team and</w:t>
            </w:r>
            <w:r w:rsidR="00B036DD" w:rsidRPr="00C25F1B">
              <w:rPr>
                <w:rFonts w:cstheme="minorHAnsi"/>
              </w:rPr>
              <w:t xml:space="preserve"> the</w:t>
            </w:r>
            <w:r w:rsidRPr="00C25F1B">
              <w:rPr>
                <w:rFonts w:cstheme="minorHAnsi"/>
              </w:rPr>
              <w:t xml:space="preserve"> Development Bank of Mongolia. The </w:t>
            </w:r>
            <w:r w:rsidR="00E662CA">
              <w:rPr>
                <w:rFonts w:cstheme="minorHAnsi"/>
              </w:rPr>
              <w:t>deliverables and the final documents</w:t>
            </w:r>
            <w:r w:rsidRPr="00C25F1B">
              <w:rPr>
                <w:rFonts w:cstheme="minorHAnsi"/>
              </w:rPr>
              <w:t xml:space="preserve"> shall be submitted in English</w:t>
            </w:r>
            <w:r w:rsidR="00DE7857">
              <w:rPr>
                <w:rFonts w:cstheme="minorHAnsi"/>
              </w:rPr>
              <w:t xml:space="preserve"> and Mongolian</w:t>
            </w:r>
            <w:r w:rsidRPr="00C25F1B">
              <w:rPr>
                <w:rFonts w:cstheme="minorHAnsi"/>
              </w:rPr>
              <w:t xml:space="preserve">. </w:t>
            </w:r>
          </w:p>
          <w:p w14:paraId="1DB07293" w14:textId="77777777" w:rsidR="00E2763D" w:rsidRPr="004E4D64" w:rsidRDefault="00E2763D" w:rsidP="00C25F1B">
            <w:pPr>
              <w:widowControl w:val="0"/>
              <w:overflowPunct w:val="0"/>
              <w:adjustRightInd w:val="0"/>
              <w:contextualSpacing/>
              <w:rPr>
                <w:rFonts w:cstheme="minorHAnsi"/>
              </w:rPr>
            </w:pPr>
          </w:p>
          <w:p w14:paraId="1528293A" w14:textId="77777777" w:rsidR="00E2763D" w:rsidRDefault="00E2763D" w:rsidP="00C25F1B">
            <w:pPr>
              <w:contextualSpacing/>
              <w:rPr>
                <w:rFonts w:cstheme="minorHAnsi"/>
                <w:b/>
                <w:szCs w:val="20"/>
              </w:rPr>
            </w:pPr>
            <w:r w:rsidRPr="00EC70F7">
              <w:rPr>
                <w:rFonts w:cstheme="minorHAnsi"/>
                <w:b/>
                <w:szCs w:val="20"/>
              </w:rPr>
              <w:t>Duration of the Work</w:t>
            </w:r>
          </w:p>
          <w:p w14:paraId="3E1D64BC" w14:textId="5DFAB128" w:rsidR="00E9620E" w:rsidRDefault="007F20F3" w:rsidP="00C25F1B">
            <w:pPr>
              <w:widowControl w:val="0"/>
              <w:overflowPunct w:val="0"/>
              <w:adjustRightInd w:val="0"/>
              <w:contextualSpacing/>
              <w:rPr>
                <w:rFonts w:cstheme="minorHAnsi"/>
              </w:rPr>
            </w:pPr>
            <w:r>
              <w:rPr>
                <w:rFonts w:cstheme="minorHAnsi"/>
              </w:rPr>
              <w:t>2</w:t>
            </w:r>
            <w:r w:rsidR="00DC705D">
              <w:rPr>
                <w:rFonts w:cstheme="minorHAnsi"/>
              </w:rPr>
              <w:t xml:space="preserve">0 </w:t>
            </w:r>
            <w:r w:rsidR="00E9620E">
              <w:rPr>
                <w:rFonts w:cstheme="minorHAnsi"/>
              </w:rPr>
              <w:t>working days</w:t>
            </w:r>
            <w:r w:rsidR="002F6DC5">
              <w:rPr>
                <w:rFonts w:cstheme="minorHAnsi"/>
              </w:rPr>
              <w:t xml:space="preserve"> during November</w:t>
            </w:r>
            <w:r>
              <w:rPr>
                <w:rFonts w:cstheme="minorHAnsi"/>
              </w:rPr>
              <w:t xml:space="preserve"> 2020 </w:t>
            </w:r>
            <w:r w:rsidR="002F6DC5">
              <w:rPr>
                <w:rFonts w:cstheme="minorHAnsi"/>
              </w:rPr>
              <w:t>-</w:t>
            </w:r>
            <w:r>
              <w:rPr>
                <w:rFonts w:cstheme="minorHAnsi"/>
              </w:rPr>
              <w:t xml:space="preserve"> February</w:t>
            </w:r>
            <w:r w:rsidR="00E9620E">
              <w:rPr>
                <w:rFonts w:cstheme="minorHAnsi"/>
              </w:rPr>
              <w:t xml:space="preserve"> 202</w:t>
            </w:r>
            <w:r>
              <w:rPr>
                <w:rFonts w:cstheme="minorHAnsi"/>
              </w:rPr>
              <w:t>1</w:t>
            </w:r>
            <w:r w:rsidR="00E9620E">
              <w:rPr>
                <w:rFonts w:cstheme="minorHAnsi"/>
              </w:rPr>
              <w:t xml:space="preserve">. </w:t>
            </w:r>
          </w:p>
          <w:p w14:paraId="07BA3DA0" w14:textId="77777777" w:rsidR="00E2763D" w:rsidRDefault="00E2763D" w:rsidP="00C25F1B">
            <w:pPr>
              <w:contextualSpacing/>
              <w:rPr>
                <w:rFonts w:cstheme="minorHAnsi"/>
                <w:b/>
                <w:szCs w:val="20"/>
              </w:rPr>
            </w:pPr>
          </w:p>
          <w:p w14:paraId="0EDACEF6" w14:textId="77777777" w:rsidR="00E2763D" w:rsidRDefault="00E2763D" w:rsidP="00C25F1B">
            <w:pPr>
              <w:contextualSpacing/>
              <w:rPr>
                <w:rFonts w:cstheme="minorHAnsi"/>
                <w:b/>
                <w:szCs w:val="20"/>
              </w:rPr>
            </w:pPr>
            <w:r w:rsidRPr="00627610">
              <w:rPr>
                <w:rFonts w:cstheme="minorHAnsi"/>
                <w:b/>
                <w:szCs w:val="20"/>
              </w:rPr>
              <w:t>Duty Station</w:t>
            </w:r>
          </w:p>
          <w:p w14:paraId="60A1C800" w14:textId="74EE6779" w:rsidR="002165F8" w:rsidRPr="0065710B" w:rsidRDefault="00DC705D" w:rsidP="00C25F1B">
            <w:pPr>
              <w:widowControl w:val="0"/>
              <w:overflowPunct w:val="0"/>
              <w:adjustRightInd w:val="0"/>
              <w:contextualSpacing/>
            </w:pPr>
            <w:r>
              <w:lastRenderedPageBreak/>
              <w:t xml:space="preserve">Multiple (DBM, UNDP CO, home-based </w:t>
            </w:r>
            <w:proofErr w:type="spellStart"/>
            <w:r>
              <w:t>etc</w:t>
            </w:r>
            <w:proofErr w:type="spellEnd"/>
            <w:r>
              <w:t>)</w:t>
            </w:r>
          </w:p>
        </w:tc>
      </w:tr>
    </w:tbl>
    <w:p w14:paraId="5FC17B02" w14:textId="77777777" w:rsidR="00DA646F" w:rsidRPr="009C5FF1" w:rsidRDefault="00DA646F" w:rsidP="00C25F1B">
      <w:pPr>
        <w:spacing w:line="240" w:lineRule="auto"/>
        <w:rPr>
          <w:b/>
          <w:sz w:val="10"/>
          <w:szCs w:val="10"/>
        </w:rPr>
      </w:pPr>
    </w:p>
    <w:p w14:paraId="5AC71D79" w14:textId="77777777" w:rsidR="00462CB5" w:rsidRDefault="00462CB5" w:rsidP="00C25F1B">
      <w:pPr>
        <w:tabs>
          <w:tab w:val="left" w:pos="1410"/>
        </w:tabs>
        <w:spacing w:after="120" w:line="240" w:lineRule="auto"/>
        <w:rPr>
          <w:b/>
          <w:color w:val="0070C0"/>
        </w:rPr>
      </w:pPr>
    </w:p>
    <w:p w14:paraId="1C98DDBC" w14:textId="4D80A1AC" w:rsidR="0088263E" w:rsidRDefault="0088263E" w:rsidP="00C25F1B">
      <w:pPr>
        <w:tabs>
          <w:tab w:val="left" w:pos="1410"/>
        </w:tabs>
        <w:spacing w:after="120" w:line="240" w:lineRule="auto"/>
        <w:rPr>
          <w:b/>
          <w:color w:val="0070C0"/>
        </w:rPr>
      </w:pPr>
      <w:r w:rsidRPr="0088263E">
        <w:rPr>
          <w:b/>
          <w:color w:val="0070C0"/>
        </w:rPr>
        <w:t>COMPETENCIES</w:t>
      </w:r>
    </w:p>
    <w:tbl>
      <w:tblPr>
        <w:tblStyle w:val="TableGrid"/>
        <w:tblW w:w="0" w:type="auto"/>
        <w:tblLook w:val="04A0" w:firstRow="1" w:lastRow="0" w:firstColumn="1" w:lastColumn="0" w:noHBand="0" w:noVBand="1"/>
      </w:tblPr>
      <w:tblGrid>
        <w:gridCol w:w="9350"/>
      </w:tblGrid>
      <w:tr w:rsidR="0088263E" w14:paraId="6B193C2B" w14:textId="77777777" w:rsidTr="0088263E">
        <w:tc>
          <w:tcPr>
            <w:tcW w:w="9576" w:type="dxa"/>
          </w:tcPr>
          <w:p w14:paraId="3FAA5ECE" w14:textId="77777777" w:rsidR="0039261A" w:rsidRPr="009C5FF1" w:rsidRDefault="0039261A" w:rsidP="00C25F1B">
            <w:pPr>
              <w:rPr>
                <w:rFonts w:cstheme="minorHAnsi"/>
                <w:b/>
                <w:sz w:val="10"/>
                <w:szCs w:val="10"/>
              </w:rPr>
            </w:pPr>
          </w:p>
          <w:p w14:paraId="5C23B44C" w14:textId="19E0809A" w:rsidR="00C06337" w:rsidRPr="00C06337" w:rsidRDefault="00C06337" w:rsidP="00C25F1B">
            <w:pPr>
              <w:pStyle w:val="ListParagraph"/>
              <w:widowControl w:val="0"/>
              <w:numPr>
                <w:ilvl w:val="0"/>
                <w:numId w:val="10"/>
              </w:numPr>
              <w:overflowPunct w:val="0"/>
              <w:adjustRightInd w:val="0"/>
              <w:ind w:left="340" w:hanging="340"/>
              <w:rPr>
                <w:rFonts w:cstheme="minorHAnsi"/>
              </w:rPr>
            </w:pPr>
            <w:r w:rsidRPr="00C06337">
              <w:rPr>
                <w:rFonts w:cstheme="minorHAnsi"/>
              </w:rPr>
              <w:t>Strong analytical, reporting and writing</w:t>
            </w:r>
            <w:r w:rsidR="001734A9">
              <w:rPr>
                <w:rFonts w:cstheme="minorHAnsi"/>
              </w:rPr>
              <w:t xml:space="preserve"> </w:t>
            </w:r>
            <w:r w:rsidRPr="00C06337">
              <w:rPr>
                <w:rFonts w:cstheme="minorHAnsi"/>
              </w:rPr>
              <w:t>skills;</w:t>
            </w:r>
          </w:p>
          <w:p w14:paraId="60C8A50B" w14:textId="77777777" w:rsidR="00C06337" w:rsidRPr="00C06337" w:rsidRDefault="00C06337" w:rsidP="00C25F1B">
            <w:pPr>
              <w:pStyle w:val="ListParagraph"/>
              <w:widowControl w:val="0"/>
              <w:numPr>
                <w:ilvl w:val="0"/>
                <w:numId w:val="10"/>
              </w:numPr>
              <w:overflowPunct w:val="0"/>
              <w:adjustRightInd w:val="0"/>
              <w:ind w:left="340" w:hanging="340"/>
              <w:rPr>
                <w:rFonts w:cstheme="minorHAnsi"/>
              </w:rPr>
            </w:pPr>
            <w:r w:rsidRPr="00C06337">
              <w:rPr>
                <w:rFonts w:cstheme="minorHAnsi"/>
              </w:rPr>
              <w:t>Openness to change and ability to receive/integrate feedback;</w:t>
            </w:r>
          </w:p>
          <w:p w14:paraId="0C70843F" w14:textId="77777777" w:rsidR="00C06337" w:rsidRPr="00C06337" w:rsidRDefault="00C06337" w:rsidP="00C25F1B">
            <w:pPr>
              <w:pStyle w:val="ListParagraph"/>
              <w:widowControl w:val="0"/>
              <w:numPr>
                <w:ilvl w:val="0"/>
                <w:numId w:val="10"/>
              </w:numPr>
              <w:overflowPunct w:val="0"/>
              <w:adjustRightInd w:val="0"/>
              <w:ind w:left="340" w:hanging="340"/>
              <w:rPr>
                <w:rFonts w:cstheme="minorHAnsi"/>
              </w:rPr>
            </w:pPr>
            <w:r w:rsidRPr="00C06337">
              <w:rPr>
                <w:rFonts w:cstheme="minorHAnsi"/>
              </w:rPr>
              <w:t>Ability to plan, organize, implement and report on work;</w:t>
            </w:r>
          </w:p>
          <w:p w14:paraId="538E11EB" w14:textId="77777777" w:rsidR="00C06337" w:rsidRPr="00C06337" w:rsidRDefault="00C06337" w:rsidP="00C25F1B">
            <w:pPr>
              <w:pStyle w:val="ListParagraph"/>
              <w:widowControl w:val="0"/>
              <w:numPr>
                <w:ilvl w:val="0"/>
                <w:numId w:val="10"/>
              </w:numPr>
              <w:overflowPunct w:val="0"/>
              <w:adjustRightInd w:val="0"/>
              <w:ind w:left="340" w:hanging="340"/>
              <w:rPr>
                <w:rFonts w:cstheme="minorHAnsi"/>
              </w:rPr>
            </w:pPr>
            <w:r w:rsidRPr="00C06337">
              <w:rPr>
                <w:rFonts w:cstheme="minorHAnsi"/>
              </w:rPr>
              <w:t>Ability to work under pressure and tight deadlines;</w:t>
            </w:r>
          </w:p>
          <w:p w14:paraId="4B1DC44C" w14:textId="3FCE6EAA" w:rsidR="0039261A" w:rsidRPr="001734A9" w:rsidRDefault="0039261A" w:rsidP="00C25F1B">
            <w:pPr>
              <w:pStyle w:val="ListParagraph"/>
              <w:widowControl w:val="0"/>
              <w:numPr>
                <w:ilvl w:val="0"/>
                <w:numId w:val="10"/>
              </w:numPr>
              <w:overflowPunct w:val="0"/>
              <w:adjustRightInd w:val="0"/>
              <w:ind w:left="340" w:hanging="340"/>
              <w:rPr>
                <w:rFonts w:cstheme="minorHAnsi"/>
              </w:rPr>
            </w:pPr>
            <w:r w:rsidRPr="001734A9">
              <w:rPr>
                <w:rFonts w:cstheme="minorHAnsi"/>
              </w:rPr>
              <w:t>Proficiency in the use of office IT applications;</w:t>
            </w:r>
          </w:p>
          <w:p w14:paraId="3B3B43E4" w14:textId="37C41FCF" w:rsidR="0039261A" w:rsidRPr="00C06337" w:rsidRDefault="0039261A" w:rsidP="00C25F1B">
            <w:pPr>
              <w:pStyle w:val="ListParagraph"/>
              <w:widowControl w:val="0"/>
              <w:numPr>
                <w:ilvl w:val="0"/>
                <w:numId w:val="10"/>
              </w:numPr>
              <w:overflowPunct w:val="0"/>
              <w:adjustRightInd w:val="0"/>
              <w:ind w:left="340" w:hanging="340"/>
              <w:rPr>
                <w:rFonts w:cstheme="minorHAnsi"/>
              </w:rPr>
            </w:pPr>
            <w:r w:rsidRPr="00C06337">
              <w:rPr>
                <w:rFonts w:cstheme="minorHAnsi"/>
              </w:rPr>
              <w:t>Excellent presentation and facilitation skills</w:t>
            </w:r>
            <w:r w:rsidR="00E26221">
              <w:rPr>
                <w:rFonts w:cstheme="minorHAnsi"/>
              </w:rPr>
              <w:t>;</w:t>
            </w:r>
          </w:p>
          <w:p w14:paraId="6BA85525" w14:textId="77777777" w:rsidR="0039261A" w:rsidRPr="0039261A" w:rsidRDefault="0039261A" w:rsidP="00C25F1B">
            <w:pPr>
              <w:pStyle w:val="ListParagraph"/>
              <w:widowControl w:val="0"/>
              <w:numPr>
                <w:ilvl w:val="0"/>
                <w:numId w:val="10"/>
              </w:numPr>
              <w:overflowPunct w:val="0"/>
              <w:adjustRightInd w:val="0"/>
              <w:ind w:left="340" w:hanging="340"/>
              <w:rPr>
                <w:rFonts w:cstheme="minorHAnsi"/>
              </w:rPr>
            </w:pPr>
            <w:r w:rsidRPr="0039261A">
              <w:rPr>
                <w:rFonts w:cstheme="minorHAnsi"/>
              </w:rPr>
              <w:t>Demonstrates integrity and ethical standards;</w:t>
            </w:r>
          </w:p>
          <w:p w14:paraId="09980E7D" w14:textId="77777777" w:rsidR="001734A9" w:rsidRDefault="0039261A" w:rsidP="00C25F1B">
            <w:pPr>
              <w:pStyle w:val="ListParagraph"/>
              <w:widowControl w:val="0"/>
              <w:numPr>
                <w:ilvl w:val="0"/>
                <w:numId w:val="10"/>
              </w:numPr>
              <w:overflowPunct w:val="0"/>
              <w:adjustRightInd w:val="0"/>
              <w:ind w:left="340" w:hanging="340"/>
              <w:rPr>
                <w:rFonts w:cstheme="minorHAnsi"/>
              </w:rPr>
            </w:pPr>
            <w:r w:rsidRPr="0039261A">
              <w:rPr>
                <w:rFonts w:cstheme="minorHAnsi"/>
              </w:rPr>
              <w:t>Positive, constructive attitude to work;</w:t>
            </w:r>
          </w:p>
          <w:p w14:paraId="6A58C8B8" w14:textId="2EF1B420" w:rsidR="0088263E" w:rsidRPr="001734A9" w:rsidRDefault="0039261A" w:rsidP="00C25F1B">
            <w:pPr>
              <w:pStyle w:val="ListParagraph"/>
              <w:widowControl w:val="0"/>
              <w:numPr>
                <w:ilvl w:val="0"/>
                <w:numId w:val="10"/>
              </w:numPr>
              <w:overflowPunct w:val="0"/>
              <w:adjustRightInd w:val="0"/>
              <w:ind w:left="340" w:hanging="340"/>
              <w:rPr>
                <w:rFonts w:cstheme="minorHAnsi"/>
              </w:rPr>
            </w:pPr>
            <w:r w:rsidRPr="001734A9">
              <w:rPr>
                <w:rFonts w:cstheme="minorHAnsi"/>
              </w:rPr>
              <w:t>Displays cultural, gender, religion, race, nationality and age sensitivity and adaptability.</w:t>
            </w:r>
          </w:p>
        </w:tc>
      </w:tr>
    </w:tbl>
    <w:p w14:paraId="42262B17" w14:textId="77777777" w:rsidR="0088263E" w:rsidRPr="00F53128" w:rsidRDefault="0088263E" w:rsidP="00C25F1B">
      <w:pPr>
        <w:tabs>
          <w:tab w:val="left" w:pos="1410"/>
        </w:tabs>
        <w:spacing w:line="240" w:lineRule="auto"/>
        <w:rPr>
          <w:b/>
          <w:color w:val="0070C0"/>
          <w:sz w:val="10"/>
          <w:szCs w:val="10"/>
        </w:rPr>
      </w:pPr>
    </w:p>
    <w:p w14:paraId="4D4FF9BB" w14:textId="77777777" w:rsidR="0088263E" w:rsidRPr="0088263E" w:rsidRDefault="0088263E" w:rsidP="00C25F1B">
      <w:pPr>
        <w:tabs>
          <w:tab w:val="left" w:pos="1410"/>
          <w:tab w:val="left" w:pos="3632"/>
        </w:tabs>
        <w:spacing w:after="120" w:line="240" w:lineRule="auto"/>
        <w:rPr>
          <w:b/>
          <w:color w:val="0070C0"/>
        </w:rPr>
      </w:pPr>
      <w:r>
        <w:rPr>
          <w:b/>
          <w:color w:val="0070C0"/>
        </w:rPr>
        <w:t>REQUIRED SKILLS AND EXPERIENCE</w:t>
      </w:r>
      <w:r w:rsidR="002165F8">
        <w:rPr>
          <w:b/>
          <w:color w:val="0070C0"/>
        </w:rPr>
        <w:tab/>
      </w:r>
    </w:p>
    <w:tbl>
      <w:tblPr>
        <w:tblStyle w:val="TableGrid"/>
        <w:tblW w:w="0" w:type="auto"/>
        <w:tblLook w:val="04A0" w:firstRow="1" w:lastRow="0" w:firstColumn="1" w:lastColumn="0" w:noHBand="0" w:noVBand="1"/>
      </w:tblPr>
      <w:tblGrid>
        <w:gridCol w:w="9350"/>
      </w:tblGrid>
      <w:tr w:rsidR="00443E94" w14:paraId="02BA00EB" w14:textId="77777777" w:rsidTr="00443E94">
        <w:tc>
          <w:tcPr>
            <w:tcW w:w="9576" w:type="dxa"/>
          </w:tcPr>
          <w:p w14:paraId="102C55C0" w14:textId="77777777" w:rsidR="0065710B" w:rsidRPr="0039261A" w:rsidRDefault="0039261A" w:rsidP="00C25F1B">
            <w:pPr>
              <w:spacing w:before="80" w:after="60"/>
              <w:jc w:val="both"/>
              <w:rPr>
                <w:rFonts w:ascii="Calibri" w:hAnsi="Calibri" w:cs="Arial"/>
                <w:b/>
              </w:rPr>
            </w:pPr>
            <w:r w:rsidRPr="0039261A">
              <w:rPr>
                <w:rFonts w:ascii="Calibri" w:hAnsi="Calibri" w:cs="Arial"/>
                <w:b/>
              </w:rPr>
              <w:t>Educational</w:t>
            </w:r>
            <w:r w:rsidR="0065710B" w:rsidRPr="0039261A">
              <w:rPr>
                <w:rFonts w:ascii="Calibri" w:hAnsi="Calibri" w:cs="Arial"/>
                <w:b/>
              </w:rPr>
              <w:t xml:space="preserve"> Qualifications:</w:t>
            </w:r>
          </w:p>
          <w:p w14:paraId="4A885A23" w14:textId="77777777" w:rsidR="002F6DC5" w:rsidRDefault="002F6DC5" w:rsidP="00C25F1B">
            <w:pPr>
              <w:spacing w:before="80" w:after="60"/>
              <w:jc w:val="both"/>
            </w:pPr>
            <w:r>
              <w:t>Master’s degree in Economics, Finance or a related field.</w:t>
            </w:r>
          </w:p>
          <w:p w14:paraId="7A86AAE9" w14:textId="4463FA5B" w:rsidR="0065710B" w:rsidRPr="0039261A" w:rsidRDefault="0039261A" w:rsidP="00C25F1B">
            <w:pPr>
              <w:spacing w:before="80" w:after="60"/>
              <w:jc w:val="both"/>
              <w:rPr>
                <w:rFonts w:ascii="Calibri" w:hAnsi="Calibri" w:cs="Arial"/>
                <w:b/>
              </w:rPr>
            </w:pPr>
            <w:r w:rsidRPr="0039261A">
              <w:rPr>
                <w:rFonts w:ascii="Calibri" w:hAnsi="Calibri" w:cs="Arial"/>
                <w:b/>
              </w:rPr>
              <w:t>Experience</w:t>
            </w:r>
          </w:p>
          <w:p w14:paraId="55941A4F" w14:textId="3B613E1D" w:rsidR="002F6DC5" w:rsidRPr="00B036DD" w:rsidRDefault="002F6DC5" w:rsidP="00C25F1B">
            <w:pPr>
              <w:pStyle w:val="ListParagraph"/>
              <w:numPr>
                <w:ilvl w:val="0"/>
                <w:numId w:val="18"/>
              </w:numPr>
              <w:jc w:val="both"/>
            </w:pPr>
            <w:r>
              <w:t>Minimum</w:t>
            </w:r>
            <w:r w:rsidRPr="00B036DD">
              <w:t xml:space="preserve"> </w:t>
            </w:r>
            <w:r w:rsidR="00DC705D">
              <w:t>5</w:t>
            </w:r>
            <w:r w:rsidRPr="00B036DD">
              <w:t xml:space="preserve"> years of professional experience in banking and financial industry and other closely relevant fields;</w:t>
            </w:r>
          </w:p>
          <w:p w14:paraId="2DC23306" w14:textId="2549E212" w:rsidR="002F6DC5" w:rsidRPr="00B036DD" w:rsidRDefault="00DC705D" w:rsidP="00C25F1B">
            <w:pPr>
              <w:pStyle w:val="ListParagraph"/>
              <w:numPr>
                <w:ilvl w:val="0"/>
                <w:numId w:val="18"/>
              </w:numPr>
              <w:jc w:val="both"/>
            </w:pPr>
            <w:r>
              <w:t>E</w:t>
            </w:r>
            <w:r w:rsidR="002F6DC5" w:rsidRPr="00B036DD">
              <w:t>xperience of introducing sustainable</w:t>
            </w:r>
            <w:r w:rsidR="00B036DD">
              <w:t>/</w:t>
            </w:r>
            <w:r w:rsidR="002F6DC5" w:rsidRPr="00B036DD">
              <w:t>green financing, impact financing, sustainable financial product development</w:t>
            </w:r>
            <w:r w:rsidR="00B036DD">
              <w:t xml:space="preserve"> </w:t>
            </w:r>
            <w:r>
              <w:t>is an advantage.</w:t>
            </w:r>
          </w:p>
          <w:p w14:paraId="0E2C3D5B" w14:textId="4EAD64F4" w:rsidR="002F6DC5" w:rsidRPr="00B036DD" w:rsidRDefault="002F6DC5" w:rsidP="00C25F1B">
            <w:pPr>
              <w:pStyle w:val="ListParagraph"/>
              <w:numPr>
                <w:ilvl w:val="0"/>
                <w:numId w:val="18"/>
              </w:numPr>
              <w:jc w:val="both"/>
            </w:pPr>
            <w:r w:rsidRPr="00B036DD">
              <w:t xml:space="preserve">Demonstrated understanding and guidance experience on development issues, national policies, strategic plan, regulations, governance, and operational structure in line with SDGs </w:t>
            </w:r>
            <w:r w:rsidR="00B036DD">
              <w:t>is an advantage</w:t>
            </w:r>
            <w:r w:rsidRPr="00B036DD">
              <w:t xml:space="preserve">. </w:t>
            </w:r>
          </w:p>
          <w:p w14:paraId="523A8D2C" w14:textId="77777777" w:rsidR="002F6DC5" w:rsidRPr="00B036DD" w:rsidRDefault="002F6DC5" w:rsidP="00C25F1B">
            <w:pPr>
              <w:pStyle w:val="ListParagraph"/>
              <w:numPr>
                <w:ilvl w:val="0"/>
                <w:numId w:val="18"/>
              </w:numPr>
              <w:jc w:val="both"/>
            </w:pPr>
            <w:r w:rsidRPr="00B036DD">
              <w:t>Prior assignments of similar nature, complexity, and scope.</w:t>
            </w:r>
          </w:p>
          <w:p w14:paraId="45F3D739" w14:textId="77777777" w:rsidR="00DC705D" w:rsidRDefault="00DC705D" w:rsidP="00C25F1B">
            <w:pPr>
              <w:pStyle w:val="ListParagraph"/>
              <w:numPr>
                <w:ilvl w:val="0"/>
                <w:numId w:val="18"/>
              </w:numPr>
              <w:jc w:val="both"/>
            </w:pPr>
            <w:r>
              <w:t>Demonstrated experience of conducting research;</w:t>
            </w:r>
          </w:p>
          <w:p w14:paraId="2B46A4E8" w14:textId="5064CC06" w:rsidR="002F6DC5" w:rsidRPr="00B036DD" w:rsidRDefault="002F6DC5" w:rsidP="00C25F1B">
            <w:pPr>
              <w:pStyle w:val="ListParagraph"/>
              <w:numPr>
                <w:ilvl w:val="0"/>
                <w:numId w:val="18"/>
              </w:numPr>
              <w:jc w:val="both"/>
            </w:pPr>
            <w:r w:rsidRPr="00B036DD">
              <w:t>Good analytic and report writing skills.</w:t>
            </w:r>
          </w:p>
          <w:p w14:paraId="0C8C1E39" w14:textId="77777777" w:rsidR="00627610" w:rsidRDefault="0039261A" w:rsidP="00C25F1B">
            <w:pPr>
              <w:spacing w:before="80" w:after="60"/>
              <w:jc w:val="both"/>
              <w:rPr>
                <w:rFonts w:ascii="Calibri" w:hAnsi="Calibri" w:cs="Arial"/>
                <w:b/>
              </w:rPr>
            </w:pPr>
            <w:r>
              <w:rPr>
                <w:rFonts w:ascii="Calibri" w:hAnsi="Calibri" w:cs="Arial"/>
                <w:b/>
              </w:rPr>
              <w:t xml:space="preserve">Language </w:t>
            </w:r>
            <w:r w:rsidR="00627610" w:rsidRPr="0039261A">
              <w:rPr>
                <w:rFonts w:ascii="Calibri" w:hAnsi="Calibri" w:cs="Arial"/>
                <w:b/>
              </w:rPr>
              <w:t>requirements</w:t>
            </w:r>
          </w:p>
          <w:p w14:paraId="6EA42D7D" w14:textId="44DAB188" w:rsidR="00721950" w:rsidRDefault="0039261A" w:rsidP="00C25F1B">
            <w:pPr>
              <w:pStyle w:val="ListParagraph"/>
              <w:widowControl w:val="0"/>
              <w:numPr>
                <w:ilvl w:val="0"/>
                <w:numId w:val="3"/>
              </w:numPr>
              <w:overflowPunct w:val="0"/>
              <w:adjustRightInd w:val="0"/>
              <w:ind w:left="360" w:hanging="270"/>
              <w:rPr>
                <w:rFonts w:cstheme="minorHAnsi"/>
              </w:rPr>
            </w:pPr>
            <w:r>
              <w:rPr>
                <w:rFonts w:cstheme="minorHAnsi"/>
              </w:rPr>
              <w:t xml:space="preserve">Fluency </w:t>
            </w:r>
            <w:r w:rsidR="001734A9">
              <w:rPr>
                <w:rFonts w:cstheme="minorHAnsi"/>
              </w:rPr>
              <w:t>in written and spoken</w:t>
            </w:r>
            <w:r>
              <w:rPr>
                <w:rFonts w:cstheme="minorHAnsi"/>
              </w:rPr>
              <w:t xml:space="preserve"> </w:t>
            </w:r>
            <w:r w:rsidRPr="0039261A">
              <w:rPr>
                <w:rFonts w:cstheme="minorHAnsi"/>
              </w:rPr>
              <w:t>English</w:t>
            </w:r>
            <w:r w:rsidR="00DC705D">
              <w:rPr>
                <w:rFonts w:cstheme="minorHAnsi"/>
              </w:rPr>
              <w:t xml:space="preserve"> and Mongolian</w:t>
            </w:r>
            <w:r w:rsidRPr="0039261A">
              <w:rPr>
                <w:rFonts w:cstheme="minorHAnsi"/>
              </w:rPr>
              <w:t xml:space="preserve"> is required;</w:t>
            </w:r>
          </w:p>
          <w:p w14:paraId="47D453ED" w14:textId="77777777" w:rsidR="002165F8" w:rsidRPr="00993991" w:rsidRDefault="002165F8" w:rsidP="00C25F1B">
            <w:pPr>
              <w:jc w:val="both"/>
              <w:rPr>
                <w:rFonts w:ascii="Calibri" w:hAnsi="Calibri" w:cs="Arial"/>
                <w:i/>
                <w:color w:val="FF0000"/>
                <w:sz w:val="10"/>
                <w:szCs w:val="10"/>
              </w:rPr>
            </w:pPr>
          </w:p>
          <w:p w14:paraId="37A4878F" w14:textId="77777777" w:rsidR="002165F8" w:rsidRDefault="002165F8" w:rsidP="00C25F1B">
            <w:pPr>
              <w:jc w:val="both"/>
              <w:rPr>
                <w:rFonts w:ascii="Calibri" w:hAnsi="Calibri" w:cs="Calibri"/>
                <w:b/>
              </w:rPr>
            </w:pPr>
            <w:r>
              <w:rPr>
                <w:rFonts w:ascii="Calibri" w:hAnsi="Calibri" w:cs="Calibri"/>
                <w:b/>
              </w:rPr>
              <w:t>Price Proposal and Schedule of Payments</w:t>
            </w:r>
          </w:p>
          <w:p w14:paraId="6ED6977B" w14:textId="77777777" w:rsidR="0039261A" w:rsidRPr="00993991" w:rsidRDefault="0039261A" w:rsidP="00C25F1B">
            <w:pPr>
              <w:autoSpaceDE w:val="0"/>
              <w:autoSpaceDN w:val="0"/>
              <w:adjustRightInd w:val="0"/>
              <w:rPr>
                <w:color w:val="FF0000"/>
                <w:sz w:val="10"/>
                <w:szCs w:val="10"/>
              </w:rPr>
            </w:pPr>
          </w:p>
          <w:p w14:paraId="63694CC9" w14:textId="6C7229BF" w:rsidR="002165F8" w:rsidRDefault="0039261A" w:rsidP="00C25F1B">
            <w:pPr>
              <w:widowControl w:val="0"/>
              <w:overflowPunct w:val="0"/>
              <w:adjustRightInd w:val="0"/>
              <w:jc w:val="both"/>
              <w:rPr>
                <w:rFonts w:cstheme="minorHAnsi"/>
              </w:rPr>
            </w:pPr>
            <w:r w:rsidRPr="0039261A">
              <w:rPr>
                <w:rFonts w:cstheme="minorHAnsi"/>
              </w:rPr>
              <w:t>Consultant must send a financial proposal based on</w:t>
            </w:r>
            <w:r w:rsidR="001734A9">
              <w:rPr>
                <w:rFonts w:cstheme="minorHAnsi"/>
              </w:rPr>
              <w:t xml:space="preserve"> </w:t>
            </w:r>
            <w:r w:rsidR="002165F8" w:rsidRPr="009D0092">
              <w:rPr>
                <w:rFonts w:cstheme="minorHAnsi"/>
                <w:b/>
              </w:rPr>
              <w:t>Lump Sum Amount</w:t>
            </w:r>
            <w:r w:rsidRPr="009D0092">
              <w:rPr>
                <w:rFonts w:cstheme="minorHAnsi"/>
              </w:rPr>
              <w:t>. The total amount quoted shall be all-inclusive</w:t>
            </w:r>
            <w:r w:rsidR="00F53128" w:rsidRPr="009D0092">
              <w:rPr>
                <w:rFonts w:cstheme="minorHAnsi"/>
              </w:rPr>
              <w:t xml:space="preserve"> and include all costs components required to perform the deliverables identified in the TOR, including</w:t>
            </w:r>
            <w:r w:rsidR="009D0092">
              <w:rPr>
                <w:rFonts w:cstheme="minorHAnsi"/>
              </w:rPr>
              <w:t xml:space="preserve"> professional fee, travel costs, </w:t>
            </w:r>
            <w:r w:rsidR="00F53128" w:rsidRPr="009D0092">
              <w:rPr>
                <w:rFonts w:cstheme="minorHAnsi"/>
              </w:rPr>
              <w:t>living allowance (if any work is to be done outside the IC´s duty station)</w:t>
            </w:r>
            <w:r w:rsidR="009D0092">
              <w:rPr>
                <w:rFonts w:cstheme="minorHAnsi"/>
              </w:rPr>
              <w:t xml:space="preserve"> and any other applicable cost to be incurred by the IC</w:t>
            </w:r>
            <w:r w:rsidR="009D0092" w:rsidRPr="009D0092">
              <w:rPr>
                <w:rFonts w:cstheme="minorHAnsi"/>
              </w:rPr>
              <w:t xml:space="preserve"> </w:t>
            </w:r>
            <w:r w:rsidR="009D0092">
              <w:rPr>
                <w:rFonts w:cstheme="minorHAnsi"/>
              </w:rPr>
              <w:t>in completing the assignment</w:t>
            </w:r>
            <w:r w:rsidRPr="009D0092">
              <w:rPr>
                <w:rFonts w:cstheme="minorHAnsi"/>
              </w:rPr>
              <w:t>. The</w:t>
            </w:r>
            <w:r w:rsidR="00D076A2" w:rsidRPr="00D076A2">
              <w:rPr>
                <w:rFonts w:cstheme="minorHAnsi"/>
              </w:rPr>
              <w:t xml:space="preserve"> contract price </w:t>
            </w:r>
            <w:r w:rsidR="00D076A2">
              <w:rPr>
                <w:rFonts w:cstheme="minorHAnsi"/>
              </w:rPr>
              <w:t>will</w:t>
            </w:r>
            <w:r w:rsidR="00D076A2" w:rsidRPr="00D076A2">
              <w:rPr>
                <w:rFonts w:cstheme="minorHAnsi"/>
              </w:rPr>
              <w:t xml:space="preserve"> </w:t>
            </w:r>
            <w:proofErr w:type="gramStart"/>
            <w:r w:rsidR="00D076A2" w:rsidRPr="00D076A2">
              <w:rPr>
                <w:rFonts w:cstheme="minorHAnsi"/>
              </w:rPr>
              <w:t>fixed</w:t>
            </w:r>
            <w:proofErr w:type="gramEnd"/>
            <w:r w:rsidR="00D076A2" w:rsidRPr="00D076A2">
              <w:rPr>
                <w:rFonts w:cstheme="minorHAnsi"/>
              </w:rPr>
              <w:t xml:space="preserve"> output-based price regardless of extension </w:t>
            </w:r>
            <w:r w:rsidR="00F23553">
              <w:rPr>
                <w:rFonts w:cstheme="minorHAnsi"/>
              </w:rPr>
              <w:t>of the herein specified</w:t>
            </w:r>
            <w:r w:rsidR="00D076A2">
              <w:rPr>
                <w:rFonts w:cstheme="minorHAnsi"/>
              </w:rPr>
              <w:t xml:space="preserve"> duration</w:t>
            </w:r>
            <w:r w:rsidR="00F53128" w:rsidRPr="009D0092">
              <w:rPr>
                <w:rFonts w:cstheme="minorHAnsi"/>
              </w:rPr>
              <w:t>. Payments will be done upon completion of the deliverables</w:t>
            </w:r>
            <w:r w:rsidR="00D076A2">
              <w:rPr>
                <w:rFonts w:cstheme="minorHAnsi"/>
              </w:rPr>
              <w:t>/outputs</w:t>
            </w:r>
            <w:r w:rsidR="00F53128" w:rsidRPr="009D0092">
              <w:rPr>
                <w:rFonts w:cstheme="minorHAnsi"/>
              </w:rPr>
              <w:t xml:space="preserve"> and as per below percentages:</w:t>
            </w:r>
          </w:p>
          <w:p w14:paraId="59B3B2FA" w14:textId="207AD0A7" w:rsidR="00F53128" w:rsidRDefault="00F53128" w:rsidP="00C25F1B">
            <w:pPr>
              <w:pStyle w:val="ListParagraph"/>
              <w:widowControl w:val="0"/>
              <w:numPr>
                <w:ilvl w:val="0"/>
                <w:numId w:val="4"/>
              </w:numPr>
              <w:overflowPunct w:val="0"/>
              <w:adjustRightInd w:val="0"/>
              <w:jc w:val="both"/>
              <w:rPr>
                <w:rFonts w:cstheme="minorHAnsi"/>
              </w:rPr>
            </w:pPr>
            <w:r>
              <w:rPr>
                <w:rFonts w:cstheme="minorHAnsi"/>
              </w:rPr>
              <w:t>Deliverable 1</w:t>
            </w:r>
            <w:r w:rsidR="00736AF2">
              <w:rPr>
                <w:rFonts w:cstheme="minorHAnsi"/>
              </w:rPr>
              <w:t xml:space="preserve"> </w:t>
            </w:r>
            <w:r w:rsidR="00736AF2" w:rsidRPr="00204FE3">
              <w:rPr>
                <w:rFonts w:cstheme="minorHAnsi"/>
              </w:rPr>
              <w:t>[</w:t>
            </w:r>
            <w:r w:rsidR="00870D96">
              <w:rPr>
                <w:rFonts w:cstheme="minorHAnsi"/>
              </w:rPr>
              <w:t>Inception Report</w:t>
            </w:r>
            <w:r w:rsidR="00736AF2" w:rsidRPr="00204FE3">
              <w:rPr>
                <w:rFonts w:cstheme="minorHAnsi"/>
              </w:rPr>
              <w:t>]</w:t>
            </w:r>
            <w:r w:rsidR="00A93E21">
              <w:rPr>
                <w:rFonts w:cstheme="minorHAnsi"/>
              </w:rPr>
              <w:t xml:space="preserve"> and Deliverable 2 </w:t>
            </w:r>
            <w:r w:rsidR="00A93E21" w:rsidRPr="00204FE3">
              <w:rPr>
                <w:rFonts w:cstheme="minorHAnsi"/>
              </w:rPr>
              <w:t>[</w:t>
            </w:r>
            <w:r w:rsidR="00A93E21">
              <w:rPr>
                <w:rFonts w:cstheme="minorHAnsi"/>
              </w:rPr>
              <w:t>Assessment Report</w:t>
            </w:r>
            <w:r w:rsidR="00A93E21" w:rsidRPr="00204FE3">
              <w:rPr>
                <w:rFonts w:cstheme="minorHAnsi"/>
              </w:rPr>
              <w:t>]</w:t>
            </w:r>
            <w:r w:rsidR="00A93E21">
              <w:rPr>
                <w:rFonts w:cstheme="minorHAnsi"/>
              </w:rPr>
              <w:t>: 40</w:t>
            </w:r>
            <w:r>
              <w:rPr>
                <w:rFonts w:cstheme="minorHAnsi"/>
              </w:rPr>
              <w:t>% of total contract amount</w:t>
            </w:r>
          </w:p>
          <w:p w14:paraId="040B6512" w14:textId="3A7CB296" w:rsidR="009C5FF1" w:rsidRPr="00A93E21" w:rsidRDefault="00F53128" w:rsidP="00A93E21">
            <w:pPr>
              <w:pStyle w:val="ListParagraph"/>
              <w:widowControl w:val="0"/>
              <w:numPr>
                <w:ilvl w:val="0"/>
                <w:numId w:val="4"/>
              </w:numPr>
              <w:overflowPunct w:val="0"/>
              <w:adjustRightInd w:val="0"/>
              <w:jc w:val="both"/>
              <w:rPr>
                <w:rFonts w:cstheme="minorHAnsi"/>
              </w:rPr>
            </w:pPr>
            <w:r>
              <w:rPr>
                <w:rFonts w:cstheme="minorHAnsi"/>
              </w:rPr>
              <w:t>Deliverable 3</w:t>
            </w:r>
            <w:r w:rsidR="00736AF2">
              <w:rPr>
                <w:rFonts w:cstheme="minorHAnsi"/>
              </w:rPr>
              <w:t xml:space="preserve"> </w:t>
            </w:r>
            <w:r w:rsidR="00736AF2" w:rsidRPr="00204FE3">
              <w:rPr>
                <w:rFonts w:cstheme="minorHAnsi"/>
              </w:rPr>
              <w:t>[</w:t>
            </w:r>
            <w:r w:rsidR="00870D96">
              <w:rPr>
                <w:rFonts w:cstheme="minorHAnsi"/>
              </w:rPr>
              <w:t>DBM strategic plan input, new instrument concepts, and operational tools, guidelines and</w:t>
            </w:r>
            <w:r w:rsidR="00B036DD">
              <w:rPr>
                <w:rFonts w:cstheme="minorHAnsi"/>
              </w:rPr>
              <w:t xml:space="preserve"> standards</w:t>
            </w:r>
            <w:r w:rsidR="00870D96">
              <w:rPr>
                <w:rFonts w:cstheme="minorHAnsi"/>
              </w:rPr>
              <w:t xml:space="preserve"> templates</w:t>
            </w:r>
            <w:r w:rsidR="00736AF2" w:rsidRPr="00204FE3">
              <w:rPr>
                <w:rFonts w:cstheme="minorHAnsi"/>
              </w:rPr>
              <w:t>]</w:t>
            </w:r>
            <w:r w:rsidR="00A93E21">
              <w:rPr>
                <w:rFonts w:cstheme="minorHAnsi"/>
              </w:rPr>
              <w:t xml:space="preserve"> and</w:t>
            </w:r>
            <w:r>
              <w:rPr>
                <w:rFonts w:cstheme="minorHAnsi"/>
              </w:rPr>
              <w:t xml:space="preserve"> </w:t>
            </w:r>
            <w:r w:rsidR="00A93E21">
              <w:rPr>
                <w:rFonts w:cstheme="minorHAnsi"/>
              </w:rPr>
              <w:t xml:space="preserve">Deliverable 4 </w:t>
            </w:r>
            <w:r w:rsidR="00A93E21" w:rsidRPr="00204FE3">
              <w:rPr>
                <w:rFonts w:cstheme="minorHAnsi"/>
              </w:rPr>
              <w:t>[</w:t>
            </w:r>
            <w:r w:rsidR="00A93E21">
              <w:rPr>
                <w:rFonts w:cstheme="minorHAnsi"/>
              </w:rPr>
              <w:t>Final Report</w:t>
            </w:r>
            <w:r w:rsidR="00A93E21" w:rsidRPr="00204FE3">
              <w:rPr>
                <w:rFonts w:cstheme="minorHAnsi"/>
              </w:rPr>
              <w:t>]</w:t>
            </w:r>
            <w:r w:rsidR="00A93E21">
              <w:rPr>
                <w:rFonts w:cstheme="minorHAnsi"/>
              </w:rPr>
              <w:t>: 6</w:t>
            </w:r>
            <w:r w:rsidR="00244896">
              <w:rPr>
                <w:rFonts w:cstheme="minorHAnsi"/>
              </w:rPr>
              <w:t>0</w:t>
            </w:r>
            <w:r>
              <w:rPr>
                <w:rFonts w:cstheme="minorHAnsi"/>
              </w:rPr>
              <w:t>% of total contract amount</w:t>
            </w:r>
          </w:p>
          <w:p w14:paraId="6B67A355" w14:textId="77777777" w:rsidR="00C303B6" w:rsidRPr="002D6250" w:rsidRDefault="00C303B6" w:rsidP="00C25F1B">
            <w:pPr>
              <w:widowControl w:val="0"/>
              <w:overflowPunct w:val="0"/>
              <w:adjustRightInd w:val="0"/>
              <w:jc w:val="both"/>
              <w:rPr>
                <w:rFonts w:cstheme="minorHAnsi"/>
              </w:rPr>
            </w:pPr>
          </w:p>
          <w:p w14:paraId="5433BE79" w14:textId="45C79963" w:rsidR="0069373F" w:rsidRDefault="0069373F" w:rsidP="00C25F1B">
            <w:pPr>
              <w:jc w:val="both"/>
              <w:rPr>
                <w:rFonts w:cs="Arial"/>
              </w:rPr>
            </w:pPr>
            <w:r w:rsidRPr="00BB173B">
              <w:rPr>
                <w:rFonts w:cs="Arial"/>
              </w:rPr>
              <w:lastRenderedPageBreak/>
              <w:t xml:space="preserve">Payments shall be made </w:t>
            </w:r>
            <w:r>
              <w:rPr>
                <w:rFonts w:cs="Arial"/>
              </w:rPr>
              <w:t xml:space="preserve">upon satisfactory acceptance </w:t>
            </w:r>
            <w:r w:rsidR="00DC705D">
              <w:rPr>
                <w:rFonts w:cs="Arial"/>
              </w:rPr>
              <w:t xml:space="preserve">by the project </w:t>
            </w:r>
            <w:r>
              <w:rPr>
                <w:rFonts w:cs="Arial"/>
              </w:rPr>
              <w:t>of the deliverables</w:t>
            </w:r>
            <w:r w:rsidR="00DC705D">
              <w:rPr>
                <w:rFonts w:cs="Arial"/>
              </w:rPr>
              <w:t xml:space="preserve"> produced together with the international consultant.</w:t>
            </w:r>
            <w:r>
              <w:rPr>
                <w:rFonts w:cs="Arial"/>
              </w:rPr>
              <w:t xml:space="preserve"> </w:t>
            </w:r>
          </w:p>
          <w:p w14:paraId="57A14919" w14:textId="77777777" w:rsidR="002D6250" w:rsidRDefault="002D6250" w:rsidP="00C25F1B">
            <w:pPr>
              <w:jc w:val="both"/>
              <w:rPr>
                <w:rFonts w:cs="Arial"/>
              </w:rPr>
            </w:pPr>
          </w:p>
          <w:tbl>
            <w:tblPr>
              <w:tblStyle w:val="GridTable1Light"/>
              <w:tblpPr w:leftFromText="180" w:rightFromText="180" w:vertAnchor="text" w:tblpY="1"/>
              <w:tblOverlap w:val="never"/>
              <w:tblW w:w="8725" w:type="dxa"/>
              <w:tblLook w:val="04A0" w:firstRow="1" w:lastRow="0" w:firstColumn="1" w:lastColumn="0" w:noHBand="0" w:noVBand="1"/>
            </w:tblPr>
            <w:tblGrid>
              <w:gridCol w:w="529"/>
              <w:gridCol w:w="1851"/>
              <w:gridCol w:w="1039"/>
              <w:gridCol w:w="4172"/>
              <w:gridCol w:w="1134"/>
            </w:tblGrid>
            <w:tr w:rsidR="002D6250" w:rsidRPr="00D43136" w14:paraId="64B406B1" w14:textId="77777777" w:rsidTr="00DC705D">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529" w:type="dxa"/>
                </w:tcPr>
                <w:p w14:paraId="57DBDB4B" w14:textId="77777777" w:rsidR="00C303B6" w:rsidRPr="00D43136" w:rsidRDefault="00C303B6" w:rsidP="00C25F1B">
                  <w:pPr>
                    <w:contextualSpacing/>
                    <w:rPr>
                      <w:rFonts w:ascii="Arial" w:hAnsi="Arial" w:cs="Arial"/>
                      <w:b w:val="0"/>
                      <w:bCs w:val="0"/>
                      <w:sz w:val="20"/>
                      <w:szCs w:val="20"/>
                      <w:shd w:val="clear" w:color="auto" w:fill="FFFFFF"/>
                      <w:lang w:val="mn-MN"/>
                    </w:rPr>
                  </w:pPr>
                  <w:r w:rsidRPr="00D43136">
                    <w:rPr>
                      <w:rFonts w:ascii="Arial" w:hAnsi="Arial" w:cs="Arial"/>
                      <w:sz w:val="20"/>
                      <w:szCs w:val="20"/>
                      <w:shd w:val="clear" w:color="auto" w:fill="FFFFFF"/>
                      <w:lang w:val="mn-MN"/>
                    </w:rPr>
                    <w:t>№</w:t>
                  </w:r>
                </w:p>
              </w:tc>
              <w:tc>
                <w:tcPr>
                  <w:tcW w:w="1851" w:type="dxa"/>
                </w:tcPr>
                <w:p w14:paraId="2878B85F" w14:textId="3897F9DE" w:rsidR="00C303B6" w:rsidRPr="00D43136" w:rsidRDefault="00C303B6" w:rsidP="00C25F1B">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shd w:val="clear" w:color="auto" w:fill="FFFFFF"/>
                      <w:lang w:val="mn-MN"/>
                    </w:rPr>
                  </w:pPr>
                  <w:r w:rsidRPr="00D43136">
                    <w:rPr>
                      <w:rFonts w:ascii="Arial" w:hAnsi="Arial" w:cs="Arial"/>
                      <w:sz w:val="20"/>
                      <w:szCs w:val="20"/>
                      <w:shd w:val="clear" w:color="auto" w:fill="FFFFFF"/>
                      <w:lang w:val="mn-MN"/>
                    </w:rPr>
                    <w:t>Deliverable</w:t>
                  </w:r>
                </w:p>
              </w:tc>
              <w:tc>
                <w:tcPr>
                  <w:tcW w:w="1039" w:type="dxa"/>
                </w:tcPr>
                <w:p w14:paraId="3A45CC1C" w14:textId="77777777" w:rsidR="00C303B6" w:rsidRPr="00D43136" w:rsidRDefault="00C303B6" w:rsidP="00C25F1B">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shd w:val="clear" w:color="auto" w:fill="FFFFFF"/>
                      <w:lang w:val="mn-MN"/>
                    </w:rPr>
                  </w:pPr>
                  <w:r w:rsidRPr="00D43136">
                    <w:rPr>
                      <w:rFonts w:ascii="Arial" w:hAnsi="Arial" w:cs="Arial"/>
                      <w:sz w:val="20"/>
                      <w:szCs w:val="20"/>
                      <w:shd w:val="clear" w:color="auto" w:fill="FFFFFF"/>
                      <w:lang w:val="mn-MN"/>
                    </w:rPr>
                    <w:t>Duration</w:t>
                  </w:r>
                </w:p>
              </w:tc>
              <w:tc>
                <w:tcPr>
                  <w:tcW w:w="4172" w:type="dxa"/>
                </w:tcPr>
                <w:p w14:paraId="22B41F79" w14:textId="77777777" w:rsidR="00C303B6" w:rsidRPr="00D43136" w:rsidDel="008B38B7" w:rsidRDefault="00C303B6" w:rsidP="00C25F1B">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shd w:val="clear" w:color="auto" w:fill="FFFFFF"/>
                      <w:lang w:val="mn-MN"/>
                    </w:rPr>
                  </w:pPr>
                  <w:r w:rsidRPr="00D43136">
                    <w:rPr>
                      <w:rFonts w:ascii="Arial" w:hAnsi="Arial" w:cs="Arial"/>
                      <w:sz w:val="20"/>
                      <w:szCs w:val="20"/>
                      <w:shd w:val="clear" w:color="auto" w:fill="FFFFFF"/>
                      <w:lang w:val="mn-MN"/>
                    </w:rPr>
                    <w:t>Description</w:t>
                  </w:r>
                </w:p>
              </w:tc>
              <w:tc>
                <w:tcPr>
                  <w:tcW w:w="1134" w:type="dxa"/>
                </w:tcPr>
                <w:p w14:paraId="73281B81" w14:textId="77777777" w:rsidR="00C303B6" w:rsidRPr="00D43136" w:rsidRDefault="00C303B6" w:rsidP="00C25F1B">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shd w:val="clear" w:color="auto" w:fill="FFFFFF"/>
                      <w:lang w:val="mn-MN"/>
                    </w:rPr>
                  </w:pPr>
                  <w:r w:rsidRPr="00D43136">
                    <w:rPr>
                      <w:rFonts w:ascii="Arial" w:hAnsi="Arial" w:cs="Arial"/>
                      <w:sz w:val="20"/>
                      <w:szCs w:val="20"/>
                      <w:shd w:val="clear" w:color="auto" w:fill="FFFFFF"/>
                      <w:lang w:val="mn-MN"/>
                    </w:rPr>
                    <w:t>Payment</w:t>
                  </w:r>
                </w:p>
              </w:tc>
            </w:tr>
            <w:tr w:rsidR="00633FB4" w:rsidRPr="00D43136" w14:paraId="782D6443" w14:textId="77777777" w:rsidTr="00DC705D">
              <w:trPr>
                <w:trHeight w:val="792"/>
              </w:trPr>
              <w:tc>
                <w:tcPr>
                  <w:cnfStyle w:val="001000000000" w:firstRow="0" w:lastRow="0" w:firstColumn="1" w:lastColumn="0" w:oddVBand="0" w:evenVBand="0" w:oddHBand="0" w:evenHBand="0" w:firstRowFirstColumn="0" w:firstRowLastColumn="0" w:lastRowFirstColumn="0" w:lastRowLastColumn="0"/>
                  <w:tcW w:w="529" w:type="dxa"/>
                  <w:vAlign w:val="center"/>
                </w:tcPr>
                <w:p w14:paraId="6971A49E" w14:textId="77777777" w:rsidR="00633FB4" w:rsidRPr="00B036DD" w:rsidRDefault="00633FB4" w:rsidP="00C25F1B">
                  <w:pPr>
                    <w:contextualSpacing/>
                    <w:rPr>
                      <w:rFonts w:cs="Arial"/>
                      <w:b w:val="0"/>
                      <w:bCs w:val="0"/>
                    </w:rPr>
                  </w:pPr>
                  <w:r w:rsidRPr="00B036DD">
                    <w:rPr>
                      <w:rFonts w:cs="Arial"/>
                      <w:b w:val="0"/>
                      <w:bCs w:val="0"/>
                    </w:rPr>
                    <w:t>(</w:t>
                  </w:r>
                  <w:proofErr w:type="spellStart"/>
                  <w:r w:rsidRPr="00B036DD">
                    <w:rPr>
                      <w:rFonts w:cs="Arial"/>
                      <w:b w:val="0"/>
                      <w:bCs w:val="0"/>
                    </w:rPr>
                    <w:t>i</w:t>
                  </w:r>
                  <w:proofErr w:type="spellEnd"/>
                  <w:r w:rsidRPr="00B036DD">
                    <w:rPr>
                      <w:rFonts w:cs="Arial"/>
                      <w:b w:val="0"/>
                      <w:bCs w:val="0"/>
                    </w:rPr>
                    <w:t>)</w:t>
                  </w:r>
                </w:p>
              </w:tc>
              <w:tc>
                <w:tcPr>
                  <w:tcW w:w="1851" w:type="dxa"/>
                  <w:vAlign w:val="center"/>
                </w:tcPr>
                <w:p w14:paraId="47C525F4" w14:textId="77777777" w:rsidR="00633FB4" w:rsidRPr="00B036DD" w:rsidRDefault="00633FB4" w:rsidP="00C25F1B">
                  <w:pPr>
                    <w:contextualSpacing/>
                    <w:cnfStyle w:val="000000000000" w:firstRow="0" w:lastRow="0" w:firstColumn="0" w:lastColumn="0" w:oddVBand="0" w:evenVBand="0" w:oddHBand="0" w:evenHBand="0" w:firstRowFirstColumn="0" w:firstRowLastColumn="0" w:lastRowFirstColumn="0" w:lastRowLastColumn="0"/>
                    <w:rPr>
                      <w:rFonts w:cs="Arial"/>
                    </w:rPr>
                  </w:pPr>
                  <w:r w:rsidRPr="00B036DD">
                    <w:rPr>
                      <w:rFonts w:cs="Arial"/>
                    </w:rPr>
                    <w:t>Inception report and workplan</w:t>
                  </w:r>
                </w:p>
              </w:tc>
              <w:tc>
                <w:tcPr>
                  <w:tcW w:w="1039" w:type="dxa"/>
                  <w:vAlign w:val="center"/>
                </w:tcPr>
                <w:p w14:paraId="714DD256" w14:textId="779A4F5D" w:rsidR="00633FB4" w:rsidRPr="00B036DD" w:rsidRDefault="00E37BBA" w:rsidP="00C25F1B">
                  <w:pPr>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1</w:t>
                  </w:r>
                  <w:r w:rsidR="00633FB4" w:rsidRPr="00B036DD">
                    <w:rPr>
                      <w:rFonts w:cs="Arial"/>
                    </w:rPr>
                    <w:t xml:space="preserve"> working day</w:t>
                  </w:r>
                </w:p>
              </w:tc>
              <w:tc>
                <w:tcPr>
                  <w:tcW w:w="4172" w:type="dxa"/>
                  <w:vAlign w:val="center"/>
                </w:tcPr>
                <w:p w14:paraId="518B1F22" w14:textId="1D158016" w:rsidR="00633FB4" w:rsidRPr="00B036DD" w:rsidRDefault="00633FB4" w:rsidP="00C25F1B">
                  <w:pPr>
                    <w:contextualSpacing/>
                    <w:cnfStyle w:val="000000000000" w:firstRow="0" w:lastRow="0" w:firstColumn="0" w:lastColumn="0" w:oddVBand="0" w:evenVBand="0" w:oddHBand="0" w:evenHBand="0" w:firstRowFirstColumn="0" w:firstRowLastColumn="0" w:lastRowFirstColumn="0" w:lastRowLastColumn="0"/>
                    <w:rPr>
                      <w:rFonts w:cs="Arial"/>
                    </w:rPr>
                  </w:pPr>
                  <w:r w:rsidRPr="00B036DD">
                    <w:rPr>
                      <w:rFonts w:cs="Arial"/>
                    </w:rPr>
                    <w:t>Approach, methodology, workplan</w:t>
                  </w:r>
                </w:p>
              </w:tc>
              <w:tc>
                <w:tcPr>
                  <w:tcW w:w="1134" w:type="dxa"/>
                  <w:vMerge w:val="restart"/>
                  <w:vAlign w:val="center"/>
                </w:tcPr>
                <w:p w14:paraId="613638C9" w14:textId="49689142" w:rsidR="00633FB4" w:rsidRPr="00D43136" w:rsidRDefault="00633FB4" w:rsidP="00C25F1B">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lang w:val="mn-MN"/>
                    </w:rPr>
                  </w:pPr>
                  <w:r>
                    <w:rPr>
                      <w:rFonts w:ascii="Arial" w:hAnsi="Arial" w:cs="Arial"/>
                      <w:sz w:val="20"/>
                      <w:szCs w:val="20"/>
                      <w:shd w:val="clear" w:color="auto" w:fill="FFFFFF"/>
                    </w:rPr>
                    <w:t>4</w:t>
                  </w:r>
                  <w:r w:rsidRPr="00D43136">
                    <w:rPr>
                      <w:rFonts w:ascii="Arial" w:hAnsi="Arial" w:cs="Arial"/>
                      <w:sz w:val="20"/>
                      <w:szCs w:val="20"/>
                      <w:shd w:val="clear" w:color="auto" w:fill="FFFFFF"/>
                      <w:lang w:val="mn-MN"/>
                    </w:rPr>
                    <w:t>0%</w:t>
                  </w:r>
                </w:p>
              </w:tc>
            </w:tr>
            <w:tr w:rsidR="00633FB4" w:rsidRPr="00D43136" w14:paraId="00F33661" w14:textId="77777777" w:rsidTr="00DC705D">
              <w:trPr>
                <w:trHeight w:val="170"/>
              </w:trPr>
              <w:tc>
                <w:tcPr>
                  <w:cnfStyle w:val="001000000000" w:firstRow="0" w:lastRow="0" w:firstColumn="1" w:lastColumn="0" w:oddVBand="0" w:evenVBand="0" w:oddHBand="0" w:evenHBand="0" w:firstRowFirstColumn="0" w:firstRowLastColumn="0" w:lastRowFirstColumn="0" w:lastRowLastColumn="0"/>
                  <w:tcW w:w="529" w:type="dxa"/>
                  <w:vAlign w:val="center"/>
                </w:tcPr>
                <w:p w14:paraId="006C581A" w14:textId="77777777" w:rsidR="00633FB4" w:rsidRPr="00B036DD" w:rsidRDefault="00633FB4" w:rsidP="00C25F1B">
                  <w:pPr>
                    <w:contextualSpacing/>
                    <w:rPr>
                      <w:rFonts w:cs="Arial"/>
                      <w:b w:val="0"/>
                      <w:bCs w:val="0"/>
                    </w:rPr>
                  </w:pPr>
                  <w:r w:rsidRPr="00B036DD">
                    <w:rPr>
                      <w:rFonts w:cs="Arial"/>
                      <w:b w:val="0"/>
                      <w:bCs w:val="0"/>
                    </w:rPr>
                    <w:t>(ii)</w:t>
                  </w:r>
                </w:p>
              </w:tc>
              <w:tc>
                <w:tcPr>
                  <w:tcW w:w="1851" w:type="dxa"/>
                  <w:vAlign w:val="center"/>
                </w:tcPr>
                <w:p w14:paraId="1DFABA16" w14:textId="2159C50B" w:rsidR="00633FB4" w:rsidRPr="00B036DD" w:rsidRDefault="00633FB4" w:rsidP="00C25F1B">
                  <w:pPr>
                    <w:cnfStyle w:val="000000000000" w:firstRow="0" w:lastRow="0" w:firstColumn="0" w:lastColumn="0" w:oddVBand="0" w:evenVBand="0" w:oddHBand="0" w:evenHBand="0" w:firstRowFirstColumn="0" w:firstRowLastColumn="0" w:lastRowFirstColumn="0" w:lastRowLastColumn="0"/>
                    <w:rPr>
                      <w:rFonts w:cs="Arial"/>
                    </w:rPr>
                  </w:pPr>
                  <w:r w:rsidRPr="00B036DD">
                    <w:rPr>
                      <w:rFonts w:cs="Arial"/>
                    </w:rPr>
                    <w:t>Assessment report on DBM’s extent of financing for development, recommendations and action plan</w:t>
                  </w:r>
                </w:p>
                <w:p w14:paraId="577C975D" w14:textId="1AB7F33A" w:rsidR="00633FB4" w:rsidRPr="00B036DD" w:rsidRDefault="00633FB4" w:rsidP="00C25F1B">
                  <w:pPr>
                    <w:contextualSpacing/>
                    <w:cnfStyle w:val="000000000000" w:firstRow="0" w:lastRow="0" w:firstColumn="0" w:lastColumn="0" w:oddVBand="0" w:evenVBand="0" w:oddHBand="0" w:evenHBand="0" w:firstRowFirstColumn="0" w:firstRowLastColumn="0" w:lastRowFirstColumn="0" w:lastRowLastColumn="0"/>
                    <w:rPr>
                      <w:rFonts w:cs="Arial"/>
                    </w:rPr>
                  </w:pPr>
                </w:p>
              </w:tc>
              <w:tc>
                <w:tcPr>
                  <w:tcW w:w="1039" w:type="dxa"/>
                  <w:vAlign w:val="center"/>
                </w:tcPr>
                <w:p w14:paraId="61C7B449" w14:textId="39B40CDD" w:rsidR="00633FB4" w:rsidRPr="00B036DD" w:rsidRDefault="00E37BBA" w:rsidP="00C25F1B">
                  <w:pPr>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7</w:t>
                  </w:r>
                  <w:r w:rsidR="00633FB4" w:rsidRPr="00B036DD">
                    <w:rPr>
                      <w:rFonts w:cs="Arial"/>
                    </w:rPr>
                    <w:t xml:space="preserve"> working days</w:t>
                  </w:r>
                </w:p>
              </w:tc>
              <w:tc>
                <w:tcPr>
                  <w:tcW w:w="4172" w:type="dxa"/>
                  <w:vAlign w:val="center"/>
                </w:tcPr>
                <w:p w14:paraId="3A9AA411" w14:textId="7D5426AC" w:rsidR="00633FB4" w:rsidRPr="00B036DD" w:rsidRDefault="00633FB4" w:rsidP="00C25F1B">
                  <w:pPr>
                    <w:jc w:val="both"/>
                    <w:cnfStyle w:val="000000000000" w:firstRow="0" w:lastRow="0" w:firstColumn="0" w:lastColumn="0" w:oddVBand="0" w:evenVBand="0" w:oddHBand="0" w:evenHBand="0" w:firstRowFirstColumn="0" w:firstRowLastColumn="0" w:lastRowFirstColumn="0" w:lastRowLastColumn="0"/>
                    <w:rPr>
                      <w:rFonts w:cs="Arial"/>
                    </w:rPr>
                  </w:pPr>
                  <w:r w:rsidRPr="00B036DD">
                    <w:rPr>
                      <w:rFonts w:cs="Arial"/>
                    </w:rPr>
                    <w:t>Review and assessment of DBM’s current practices, against the international best practices</w:t>
                  </w:r>
                  <w:r w:rsidR="00044305">
                    <w:rPr>
                      <w:rFonts w:cs="Arial"/>
                    </w:rPr>
                    <w:t xml:space="preserve"> for implementing SDGs</w:t>
                  </w:r>
                  <w:r w:rsidRPr="00B036DD">
                    <w:rPr>
                      <w:rFonts w:cs="Arial"/>
                    </w:rPr>
                    <w:t>;</w:t>
                  </w:r>
                </w:p>
                <w:p w14:paraId="6F3F7E07" w14:textId="77777777" w:rsidR="00633FB4" w:rsidRPr="00B036DD" w:rsidRDefault="00633FB4" w:rsidP="00C25F1B">
                  <w:pPr>
                    <w:jc w:val="both"/>
                    <w:cnfStyle w:val="000000000000" w:firstRow="0" w:lastRow="0" w:firstColumn="0" w:lastColumn="0" w:oddVBand="0" w:evenVBand="0" w:oddHBand="0" w:evenHBand="0" w:firstRowFirstColumn="0" w:firstRowLastColumn="0" w:lastRowFirstColumn="0" w:lastRowLastColumn="0"/>
                    <w:rPr>
                      <w:rFonts w:cs="Arial"/>
                    </w:rPr>
                  </w:pPr>
                  <w:r w:rsidRPr="00B036DD">
                    <w:rPr>
                      <w:rFonts w:cs="Arial"/>
                    </w:rPr>
                    <w:t>Guidance and finalization of the review and assessment of current practices against the national priorities;</w:t>
                  </w:r>
                </w:p>
                <w:p w14:paraId="66AB02CA" w14:textId="77777777" w:rsidR="00633FB4" w:rsidRPr="00B036DD" w:rsidRDefault="00633FB4" w:rsidP="00C25F1B">
                  <w:pPr>
                    <w:jc w:val="both"/>
                    <w:cnfStyle w:val="000000000000" w:firstRow="0" w:lastRow="0" w:firstColumn="0" w:lastColumn="0" w:oddVBand="0" w:evenVBand="0" w:oddHBand="0" w:evenHBand="0" w:firstRowFirstColumn="0" w:firstRowLastColumn="0" w:lastRowFirstColumn="0" w:lastRowLastColumn="0"/>
                    <w:rPr>
                      <w:rFonts w:cs="Arial"/>
                    </w:rPr>
                  </w:pPr>
                  <w:r w:rsidRPr="00B036DD">
                    <w:rPr>
                      <w:rFonts w:cs="Arial"/>
                    </w:rPr>
                    <w:t>Desk review of already conducted financial sector assessments and reviews;</w:t>
                  </w:r>
                </w:p>
                <w:p w14:paraId="455C303B" w14:textId="2663290D" w:rsidR="00633FB4" w:rsidRPr="00B036DD" w:rsidRDefault="00633FB4" w:rsidP="00C25F1B">
                  <w:pPr>
                    <w:jc w:val="both"/>
                    <w:cnfStyle w:val="000000000000" w:firstRow="0" w:lastRow="0" w:firstColumn="0" w:lastColumn="0" w:oddVBand="0" w:evenVBand="0" w:oddHBand="0" w:evenHBand="0" w:firstRowFirstColumn="0" w:firstRowLastColumn="0" w:lastRowFirstColumn="0" w:lastRowLastColumn="0"/>
                    <w:rPr>
                      <w:rFonts w:cs="Arial"/>
                    </w:rPr>
                  </w:pPr>
                  <w:r w:rsidRPr="00B036DD">
                    <w:rPr>
                      <w:rFonts w:cs="Arial"/>
                    </w:rPr>
                    <w:t xml:space="preserve">Recommendations and action plan on financing for national sustainable development and integration of sustainable financing principles across entire </w:t>
                  </w:r>
                  <w:r>
                    <w:rPr>
                      <w:rFonts w:cs="Arial"/>
                    </w:rPr>
                    <w:t xml:space="preserve">business processes and </w:t>
                  </w:r>
                  <w:r w:rsidRPr="00B036DD">
                    <w:rPr>
                      <w:rFonts w:cs="Arial"/>
                    </w:rPr>
                    <w:t xml:space="preserve">operations; </w:t>
                  </w:r>
                </w:p>
              </w:tc>
              <w:tc>
                <w:tcPr>
                  <w:tcW w:w="1134" w:type="dxa"/>
                  <w:vMerge/>
                  <w:vAlign w:val="center"/>
                </w:tcPr>
                <w:p w14:paraId="7CB32DDB" w14:textId="768B0DE7" w:rsidR="00633FB4" w:rsidRPr="00D43136" w:rsidRDefault="00633FB4" w:rsidP="00C25F1B">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lang w:val="mn-MN"/>
                    </w:rPr>
                  </w:pPr>
                </w:p>
              </w:tc>
            </w:tr>
            <w:tr w:rsidR="00633FB4" w:rsidRPr="00D43136" w14:paraId="4FAC36B3" w14:textId="77777777" w:rsidTr="00DC705D">
              <w:trPr>
                <w:trHeight w:val="170"/>
              </w:trPr>
              <w:tc>
                <w:tcPr>
                  <w:cnfStyle w:val="001000000000" w:firstRow="0" w:lastRow="0" w:firstColumn="1" w:lastColumn="0" w:oddVBand="0" w:evenVBand="0" w:oddHBand="0" w:evenHBand="0" w:firstRowFirstColumn="0" w:firstRowLastColumn="0" w:lastRowFirstColumn="0" w:lastRowLastColumn="0"/>
                  <w:tcW w:w="529" w:type="dxa"/>
                  <w:vAlign w:val="center"/>
                </w:tcPr>
                <w:p w14:paraId="3F69DAFC" w14:textId="2A8BEDA9" w:rsidR="00633FB4" w:rsidRPr="00B036DD" w:rsidRDefault="00633FB4" w:rsidP="00C25F1B">
                  <w:pPr>
                    <w:contextualSpacing/>
                    <w:rPr>
                      <w:rFonts w:cs="Arial"/>
                      <w:b w:val="0"/>
                      <w:bCs w:val="0"/>
                    </w:rPr>
                  </w:pPr>
                  <w:r w:rsidRPr="00B036DD">
                    <w:rPr>
                      <w:rFonts w:cs="Arial"/>
                      <w:b w:val="0"/>
                      <w:bCs w:val="0"/>
                    </w:rPr>
                    <w:t>(iii)</w:t>
                  </w:r>
                </w:p>
              </w:tc>
              <w:tc>
                <w:tcPr>
                  <w:tcW w:w="1851" w:type="dxa"/>
                  <w:vAlign w:val="center"/>
                </w:tcPr>
                <w:p w14:paraId="5B02D1DB" w14:textId="1A8A5812" w:rsidR="00633FB4" w:rsidRPr="00B036DD" w:rsidRDefault="00044305" w:rsidP="00C25F1B">
                  <w:pPr>
                    <w:cnfStyle w:val="000000000000" w:firstRow="0" w:lastRow="0" w:firstColumn="0" w:lastColumn="0" w:oddVBand="0" w:evenVBand="0" w:oddHBand="0" w:evenHBand="0" w:firstRowFirstColumn="0" w:firstRowLastColumn="0" w:lastRowFirstColumn="0" w:lastRowLastColumn="0"/>
                    <w:rPr>
                      <w:rFonts w:cs="Arial"/>
                    </w:rPr>
                  </w:pPr>
                  <w:r w:rsidRPr="00AC74BD">
                    <w:rPr>
                      <w:rFonts w:cstheme="minorHAnsi"/>
                      <w:bCs/>
                      <w:lang w:val="mn-MN"/>
                    </w:rPr>
                    <w:t>Support on development of guidelines, standards, policies and other relevant documents necessary to integrate SDGs into  DBM’s operation and sustainability reporting</w:t>
                  </w:r>
                </w:p>
              </w:tc>
              <w:tc>
                <w:tcPr>
                  <w:tcW w:w="1039" w:type="dxa"/>
                  <w:vAlign w:val="center"/>
                </w:tcPr>
                <w:p w14:paraId="1639B65F" w14:textId="4A7F2868" w:rsidR="00633FB4" w:rsidRPr="00B036DD" w:rsidRDefault="00E37BBA" w:rsidP="00C25F1B">
                  <w:pPr>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6</w:t>
                  </w:r>
                  <w:r w:rsidR="00633FB4" w:rsidRPr="00B036DD">
                    <w:rPr>
                      <w:rFonts w:cs="Arial"/>
                    </w:rPr>
                    <w:t xml:space="preserve"> working days</w:t>
                  </w:r>
                </w:p>
              </w:tc>
              <w:tc>
                <w:tcPr>
                  <w:tcW w:w="4172" w:type="dxa"/>
                  <w:vAlign w:val="center"/>
                </w:tcPr>
                <w:p w14:paraId="69A1EB95" w14:textId="77777777" w:rsidR="00633FB4" w:rsidRPr="00B036DD" w:rsidRDefault="00633FB4" w:rsidP="00C25F1B">
                  <w:pPr>
                    <w:jc w:val="both"/>
                    <w:cnfStyle w:val="000000000000" w:firstRow="0" w:lastRow="0" w:firstColumn="0" w:lastColumn="0" w:oddVBand="0" w:evenVBand="0" w:oddHBand="0" w:evenHBand="0" w:firstRowFirstColumn="0" w:firstRowLastColumn="0" w:lastRowFirstColumn="0" w:lastRowLastColumn="0"/>
                    <w:rPr>
                      <w:rFonts w:cs="Arial"/>
                    </w:rPr>
                  </w:pPr>
                  <w:r w:rsidRPr="00B036DD">
                    <w:rPr>
                      <w:rFonts w:cs="Arial"/>
                    </w:rPr>
                    <w:t>Identification and agreement on a set of business objectives, targets, and indicators;</w:t>
                  </w:r>
                </w:p>
                <w:p w14:paraId="14639C2E" w14:textId="77777777" w:rsidR="00633FB4" w:rsidRPr="00B036DD" w:rsidRDefault="00633FB4" w:rsidP="00C25F1B">
                  <w:pPr>
                    <w:jc w:val="both"/>
                    <w:cnfStyle w:val="000000000000" w:firstRow="0" w:lastRow="0" w:firstColumn="0" w:lastColumn="0" w:oddVBand="0" w:evenVBand="0" w:oddHBand="0" w:evenHBand="0" w:firstRowFirstColumn="0" w:firstRowLastColumn="0" w:lastRowFirstColumn="0" w:lastRowLastColumn="0"/>
                    <w:rPr>
                      <w:rFonts w:cs="Arial"/>
                    </w:rPr>
                  </w:pPr>
                  <w:r w:rsidRPr="00B036DD">
                    <w:rPr>
                      <w:rFonts w:cs="Arial"/>
                    </w:rPr>
                    <w:t>Concepts for new sustainable financing instruments;</w:t>
                  </w:r>
                </w:p>
                <w:p w14:paraId="5427FECC" w14:textId="77777777" w:rsidR="00633FB4" w:rsidRPr="00B036DD" w:rsidRDefault="00633FB4" w:rsidP="00C25F1B">
                  <w:pPr>
                    <w:jc w:val="both"/>
                    <w:cnfStyle w:val="000000000000" w:firstRow="0" w:lastRow="0" w:firstColumn="0" w:lastColumn="0" w:oddVBand="0" w:evenVBand="0" w:oddHBand="0" w:evenHBand="0" w:firstRowFirstColumn="0" w:firstRowLastColumn="0" w:lastRowFirstColumn="0" w:lastRowLastColumn="0"/>
                    <w:rPr>
                      <w:rFonts w:cs="Arial"/>
                    </w:rPr>
                  </w:pPr>
                  <w:r w:rsidRPr="00B036DD">
                    <w:rPr>
                      <w:rFonts w:cs="Arial"/>
                    </w:rPr>
                    <w:t>Recommendations to improve disclosures, impact, and performance measurement and reporting system;</w:t>
                  </w:r>
                </w:p>
                <w:p w14:paraId="403161D5" w14:textId="0D7AFFCD" w:rsidR="00633FB4" w:rsidRPr="00B036DD" w:rsidRDefault="00633FB4" w:rsidP="00C25F1B">
                  <w:pPr>
                    <w:jc w:val="both"/>
                    <w:cnfStyle w:val="000000000000" w:firstRow="0" w:lastRow="0" w:firstColumn="0" w:lastColumn="0" w:oddVBand="0" w:evenVBand="0" w:oddHBand="0" w:evenHBand="0" w:firstRowFirstColumn="0" w:firstRowLastColumn="0" w:lastRowFirstColumn="0" w:lastRowLastColumn="0"/>
                    <w:rPr>
                      <w:rFonts w:cs="Arial"/>
                    </w:rPr>
                  </w:pPr>
                  <w:r w:rsidRPr="00B036DD">
                    <w:rPr>
                      <w:rFonts w:cs="Arial"/>
                    </w:rPr>
                    <w:t xml:space="preserve">Operational guidelines, tools, </w:t>
                  </w:r>
                  <w:proofErr w:type="gramStart"/>
                  <w:r w:rsidR="00044305">
                    <w:rPr>
                      <w:rFonts w:cs="Arial"/>
                    </w:rPr>
                    <w:t xml:space="preserve">policies, </w:t>
                  </w:r>
                  <w:r w:rsidRPr="00B036DD">
                    <w:rPr>
                      <w:rFonts w:cs="Arial"/>
                    </w:rPr>
                    <w:t xml:space="preserve"> standards</w:t>
                  </w:r>
                  <w:proofErr w:type="gramEnd"/>
                  <w:r w:rsidRPr="00B036DD">
                    <w:rPr>
                      <w:rFonts w:cs="Arial"/>
                    </w:rPr>
                    <w:t xml:space="preserve"> and templates for all business areas;</w:t>
                  </w:r>
                </w:p>
                <w:p w14:paraId="3F161EFF" w14:textId="77777777" w:rsidR="00633FB4" w:rsidRPr="00B036DD" w:rsidRDefault="00633FB4" w:rsidP="00C25F1B">
                  <w:pPr>
                    <w:contextualSpacing/>
                    <w:jc w:val="both"/>
                    <w:cnfStyle w:val="000000000000" w:firstRow="0" w:lastRow="0" w:firstColumn="0" w:lastColumn="0" w:oddVBand="0" w:evenVBand="0" w:oddHBand="0" w:evenHBand="0" w:firstRowFirstColumn="0" w:firstRowLastColumn="0" w:lastRowFirstColumn="0" w:lastRowLastColumn="0"/>
                    <w:rPr>
                      <w:rFonts w:cs="Arial"/>
                    </w:rPr>
                  </w:pPr>
                </w:p>
              </w:tc>
              <w:tc>
                <w:tcPr>
                  <w:tcW w:w="1134" w:type="dxa"/>
                  <w:vMerge w:val="restart"/>
                  <w:vAlign w:val="center"/>
                </w:tcPr>
                <w:p w14:paraId="4EAFF739" w14:textId="21B0D060" w:rsidR="00633FB4" w:rsidRPr="00870D96" w:rsidRDefault="00633FB4" w:rsidP="00C25F1B">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Pr>
                      <w:rFonts w:ascii="Arial" w:hAnsi="Arial" w:cs="Arial"/>
                      <w:sz w:val="20"/>
                      <w:szCs w:val="20"/>
                      <w:shd w:val="clear" w:color="auto" w:fill="FFFFFF"/>
                    </w:rPr>
                    <w:t>60%</w:t>
                  </w:r>
                </w:p>
              </w:tc>
            </w:tr>
            <w:tr w:rsidR="00633FB4" w:rsidRPr="00D43136" w14:paraId="10267890" w14:textId="77777777" w:rsidTr="00DC705D">
              <w:trPr>
                <w:trHeight w:val="170"/>
              </w:trPr>
              <w:tc>
                <w:tcPr>
                  <w:cnfStyle w:val="001000000000" w:firstRow="0" w:lastRow="0" w:firstColumn="1" w:lastColumn="0" w:oddVBand="0" w:evenVBand="0" w:oddHBand="0" w:evenHBand="0" w:firstRowFirstColumn="0" w:firstRowLastColumn="0" w:lastRowFirstColumn="0" w:lastRowLastColumn="0"/>
                  <w:tcW w:w="529" w:type="dxa"/>
                  <w:vAlign w:val="center"/>
                </w:tcPr>
                <w:p w14:paraId="5475C36C" w14:textId="460C7FAD" w:rsidR="00633FB4" w:rsidRPr="00B036DD" w:rsidRDefault="00633FB4" w:rsidP="00C25F1B">
                  <w:pPr>
                    <w:contextualSpacing/>
                    <w:rPr>
                      <w:rFonts w:cs="Arial"/>
                      <w:b w:val="0"/>
                      <w:bCs w:val="0"/>
                    </w:rPr>
                  </w:pPr>
                  <w:r w:rsidRPr="00B036DD">
                    <w:rPr>
                      <w:rFonts w:cs="Arial"/>
                      <w:b w:val="0"/>
                      <w:bCs w:val="0"/>
                    </w:rPr>
                    <w:t>(iv)</w:t>
                  </w:r>
                </w:p>
              </w:tc>
              <w:tc>
                <w:tcPr>
                  <w:tcW w:w="1851" w:type="dxa"/>
                  <w:vAlign w:val="center"/>
                </w:tcPr>
                <w:p w14:paraId="418A48F5" w14:textId="7ED05469" w:rsidR="00633FB4" w:rsidRPr="00B036DD" w:rsidRDefault="00633FB4" w:rsidP="00C25F1B">
                  <w:pPr>
                    <w:jc w:val="both"/>
                    <w:cnfStyle w:val="000000000000" w:firstRow="0" w:lastRow="0" w:firstColumn="0" w:lastColumn="0" w:oddVBand="0" w:evenVBand="0" w:oddHBand="0" w:evenHBand="0" w:firstRowFirstColumn="0" w:firstRowLastColumn="0" w:lastRowFirstColumn="0" w:lastRowLastColumn="0"/>
                    <w:rPr>
                      <w:rFonts w:cs="Arial"/>
                    </w:rPr>
                  </w:pPr>
                  <w:r w:rsidRPr="00B036DD">
                    <w:rPr>
                      <w:rFonts w:cs="Arial"/>
                    </w:rPr>
                    <w:t xml:space="preserve">Completion of capacity-building activities and final report </w:t>
                  </w:r>
                </w:p>
                <w:p w14:paraId="44D6DA27" w14:textId="77777777" w:rsidR="00633FB4" w:rsidRPr="00B036DD" w:rsidRDefault="00633FB4" w:rsidP="00C25F1B">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39" w:type="dxa"/>
                  <w:vAlign w:val="center"/>
                </w:tcPr>
                <w:p w14:paraId="017BF4CC" w14:textId="6B1CBC7F" w:rsidR="00633FB4" w:rsidRPr="00B036DD" w:rsidRDefault="00E37BBA" w:rsidP="00C25F1B">
                  <w:pPr>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6 </w:t>
                  </w:r>
                  <w:r w:rsidR="00633FB4" w:rsidRPr="00B036DD">
                    <w:rPr>
                      <w:rFonts w:cs="Arial"/>
                    </w:rPr>
                    <w:t>working days</w:t>
                  </w:r>
                </w:p>
              </w:tc>
              <w:tc>
                <w:tcPr>
                  <w:tcW w:w="4172" w:type="dxa"/>
                  <w:vAlign w:val="center"/>
                </w:tcPr>
                <w:p w14:paraId="67036D49" w14:textId="77777777" w:rsidR="00633FB4" w:rsidRPr="00B036DD" w:rsidRDefault="00633FB4" w:rsidP="00C25F1B">
                  <w:pPr>
                    <w:jc w:val="both"/>
                    <w:cnfStyle w:val="000000000000" w:firstRow="0" w:lastRow="0" w:firstColumn="0" w:lastColumn="0" w:oddVBand="0" w:evenVBand="0" w:oddHBand="0" w:evenHBand="0" w:firstRowFirstColumn="0" w:firstRowLastColumn="0" w:lastRowFirstColumn="0" w:lastRowLastColumn="0"/>
                    <w:rPr>
                      <w:rFonts w:cs="Arial"/>
                    </w:rPr>
                  </w:pPr>
                  <w:r w:rsidRPr="00B036DD">
                    <w:rPr>
                      <w:rFonts w:cs="Arial"/>
                    </w:rPr>
                    <w:t>Training plan based on capacity assessment;</w:t>
                  </w:r>
                </w:p>
                <w:p w14:paraId="274D0F4C" w14:textId="042F020F" w:rsidR="00633FB4" w:rsidRPr="00B036DD" w:rsidRDefault="00633FB4" w:rsidP="00C25F1B">
                  <w:pPr>
                    <w:jc w:val="both"/>
                    <w:cnfStyle w:val="000000000000" w:firstRow="0" w:lastRow="0" w:firstColumn="0" w:lastColumn="0" w:oddVBand="0" w:evenVBand="0" w:oddHBand="0" w:evenHBand="0" w:firstRowFirstColumn="0" w:firstRowLastColumn="0" w:lastRowFirstColumn="0" w:lastRowLastColumn="0"/>
                    <w:rPr>
                      <w:rFonts w:cs="Arial"/>
                    </w:rPr>
                  </w:pPr>
                  <w:r w:rsidRPr="00B036DD">
                    <w:rPr>
                      <w:rFonts w:cs="Arial"/>
                    </w:rPr>
                    <w:t>Training materials development tailored to DBM needs;</w:t>
                  </w:r>
                </w:p>
                <w:p w14:paraId="75A3A22F" w14:textId="77777777" w:rsidR="00633FB4" w:rsidRPr="00B036DD" w:rsidRDefault="00633FB4" w:rsidP="00C25F1B">
                  <w:pPr>
                    <w:jc w:val="both"/>
                    <w:cnfStyle w:val="000000000000" w:firstRow="0" w:lastRow="0" w:firstColumn="0" w:lastColumn="0" w:oddVBand="0" w:evenVBand="0" w:oddHBand="0" w:evenHBand="0" w:firstRowFirstColumn="0" w:firstRowLastColumn="0" w:lastRowFirstColumn="0" w:lastRowLastColumn="0"/>
                    <w:rPr>
                      <w:rFonts w:cs="Arial"/>
                    </w:rPr>
                  </w:pPr>
                  <w:r w:rsidRPr="00B036DD">
                    <w:rPr>
                      <w:rFonts w:cs="Arial"/>
                    </w:rPr>
                    <w:t xml:space="preserve">Delivery of the training, workshop, consultations, discussions, one-on-one meetings for capacity development; </w:t>
                  </w:r>
                </w:p>
                <w:p w14:paraId="0B6AD56F" w14:textId="0DAB09CC" w:rsidR="00633FB4" w:rsidRPr="00B036DD" w:rsidRDefault="00633FB4" w:rsidP="00C25F1B">
                  <w:pPr>
                    <w:jc w:val="both"/>
                    <w:cnfStyle w:val="000000000000" w:firstRow="0" w:lastRow="0" w:firstColumn="0" w:lastColumn="0" w:oddVBand="0" w:evenVBand="0" w:oddHBand="0" w:evenHBand="0" w:firstRowFirstColumn="0" w:firstRowLastColumn="0" w:lastRowFirstColumn="0" w:lastRowLastColumn="0"/>
                    <w:rPr>
                      <w:rFonts w:cs="Arial"/>
                    </w:rPr>
                  </w:pPr>
                  <w:r w:rsidRPr="00B036DD">
                    <w:rPr>
                      <w:rFonts w:cs="Arial"/>
                    </w:rPr>
                    <w:t>Final report highlighting the findings from the assessment, including the work undertaken as well as the recommendations and further actions by DBM</w:t>
                  </w:r>
                </w:p>
              </w:tc>
              <w:tc>
                <w:tcPr>
                  <w:tcW w:w="1134" w:type="dxa"/>
                  <w:vMerge/>
                  <w:vAlign w:val="center"/>
                </w:tcPr>
                <w:p w14:paraId="1C8AB3F5" w14:textId="4AA59FAD" w:rsidR="00633FB4" w:rsidRPr="00870D96" w:rsidRDefault="00633FB4" w:rsidP="00C25F1B">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p>
              </w:tc>
            </w:tr>
          </w:tbl>
          <w:p w14:paraId="7E4FAC42" w14:textId="77777777" w:rsidR="001734A9" w:rsidRDefault="001734A9" w:rsidP="00C25F1B">
            <w:pPr>
              <w:jc w:val="both"/>
              <w:rPr>
                <w:rFonts w:cstheme="minorHAnsi"/>
              </w:rPr>
            </w:pPr>
          </w:p>
          <w:p w14:paraId="34A058AE" w14:textId="56546265" w:rsidR="002165F8" w:rsidRDefault="002165F8" w:rsidP="00C25F1B">
            <w:pPr>
              <w:jc w:val="both"/>
              <w:rPr>
                <w:b/>
              </w:rPr>
            </w:pPr>
            <w:r>
              <w:rPr>
                <w:b/>
              </w:rPr>
              <w:t>Evaluation Method and Criteria</w:t>
            </w:r>
          </w:p>
          <w:p w14:paraId="192FC18E" w14:textId="77777777" w:rsidR="002165F8" w:rsidRDefault="002165F8" w:rsidP="00C25F1B">
            <w:pPr>
              <w:rPr>
                <w:i/>
                <w:color w:val="FF0000"/>
              </w:rPr>
            </w:pPr>
          </w:p>
          <w:p w14:paraId="2E9E74A0" w14:textId="261764A8" w:rsidR="002165F8" w:rsidRPr="00424870" w:rsidRDefault="002165F8" w:rsidP="00C25F1B">
            <w:r w:rsidRPr="00816B78">
              <w:t>In</w:t>
            </w:r>
            <w:r>
              <w:t xml:space="preserve">dividual consultants will be evaluated based on the </w:t>
            </w:r>
            <w:r w:rsidR="00E05A57">
              <w:rPr>
                <w:rFonts w:cstheme="minorHAnsi"/>
                <w:b/>
              </w:rPr>
              <w:t>Cumulative analysis</w:t>
            </w:r>
            <w:r w:rsidR="00424870">
              <w:rPr>
                <w:rFonts w:cstheme="minorHAnsi"/>
                <w:b/>
              </w:rPr>
              <w:t>.</w:t>
            </w:r>
            <w:r w:rsidR="00E05A57">
              <w:rPr>
                <w:rFonts w:cstheme="minorHAnsi"/>
                <w:b/>
              </w:rPr>
              <w:t xml:space="preserve"> </w:t>
            </w:r>
          </w:p>
          <w:p w14:paraId="0FECFCD6" w14:textId="3607AF70" w:rsidR="002165F8" w:rsidRDefault="002165F8" w:rsidP="00C25F1B">
            <w:pPr>
              <w:rPr>
                <w:i/>
              </w:rPr>
            </w:pPr>
            <w:r w:rsidRPr="009F4488">
              <w:lastRenderedPageBreak/>
              <w:t>The award of the contract shall be made to the individual consultant whose offer has bee</w:t>
            </w:r>
            <w:r w:rsidR="009F4488">
              <w:t xml:space="preserve">n evaluated and determined as </w:t>
            </w:r>
            <w:r w:rsidR="006C41C9">
              <w:t xml:space="preserve">a) </w:t>
            </w:r>
            <w:r w:rsidR="009F4488">
              <w:t>responsive/compliant/acceptable;</w:t>
            </w:r>
            <w:r w:rsidRPr="009F4488">
              <w:t xml:space="preserve"> and</w:t>
            </w:r>
            <w:r w:rsidR="009F4488">
              <w:t xml:space="preserve"> </w:t>
            </w:r>
            <w:r w:rsidR="006C41C9">
              <w:t xml:space="preserve">b) </w:t>
            </w:r>
            <w:r w:rsidR="009F4488">
              <w:t>h</w:t>
            </w:r>
            <w:r w:rsidRPr="009F4488">
              <w:t>aving received the highest score out of set of weighted technical</w:t>
            </w:r>
            <w:r w:rsidR="009F4488">
              <w:t xml:space="preserve"> criteria </w:t>
            </w:r>
            <w:r w:rsidR="009F4488" w:rsidRPr="0077533C">
              <w:t>(70%).</w:t>
            </w:r>
            <w:r w:rsidRPr="0077533C">
              <w:t xml:space="preserve"> and financial criteria </w:t>
            </w:r>
            <w:r w:rsidR="009F4488" w:rsidRPr="0077533C">
              <w:t>(</w:t>
            </w:r>
            <w:r w:rsidRPr="0077533C">
              <w:t>30%</w:t>
            </w:r>
            <w:r w:rsidR="009F4488" w:rsidRPr="0077533C">
              <w:t>)</w:t>
            </w:r>
            <w:r w:rsidRPr="0077533C">
              <w:t>.</w:t>
            </w:r>
            <w:r w:rsidR="00E05A57" w:rsidRPr="0077533C">
              <w:t xml:space="preserve"> Financial </w:t>
            </w:r>
            <w:r w:rsidR="00E05A57">
              <w:t xml:space="preserve">score shall </w:t>
            </w:r>
            <w:r w:rsidR="00E05A57" w:rsidRPr="00E05A57">
              <w:t xml:space="preserve">be computed as a ratio of the </w:t>
            </w:r>
            <w:r w:rsidR="00E05A57">
              <w:t>proposal being evaluated and</w:t>
            </w:r>
            <w:r w:rsidR="00E05A57" w:rsidRPr="00E05A57">
              <w:t xml:space="preserve"> the lowest price</w:t>
            </w:r>
            <w:r w:rsidR="00E05A57">
              <w:t>d</w:t>
            </w:r>
            <w:r w:rsidR="00E05A57" w:rsidRPr="00E05A57">
              <w:t xml:space="preserve"> </w:t>
            </w:r>
            <w:r w:rsidR="00E05A57">
              <w:t>proposal received by UNDP for the assignment.</w:t>
            </w:r>
            <w:r w:rsidR="009C5FF1">
              <w:t xml:space="preserve"> </w:t>
            </w:r>
          </w:p>
          <w:p w14:paraId="49C5CF56" w14:textId="77777777" w:rsidR="002165F8" w:rsidRDefault="002165F8" w:rsidP="00C25F1B">
            <w:pPr>
              <w:rPr>
                <w:b/>
                <w:i/>
              </w:rPr>
            </w:pPr>
          </w:p>
          <w:p w14:paraId="44AFE597" w14:textId="1C14B99D" w:rsidR="00D236E3" w:rsidRPr="00D236E3" w:rsidRDefault="002165F8" w:rsidP="00C25F1B">
            <w:pPr>
              <w:rPr>
                <w:b/>
              </w:rPr>
            </w:pPr>
            <w:r w:rsidRPr="006C41C9">
              <w:rPr>
                <w:b/>
              </w:rPr>
              <w:t>Technical Criteria</w:t>
            </w:r>
            <w:r w:rsidR="006C41C9">
              <w:rPr>
                <w:b/>
              </w:rPr>
              <w:t xml:space="preserve"> for Evaluation (</w:t>
            </w:r>
            <w:r w:rsidRPr="006C41C9">
              <w:rPr>
                <w:b/>
              </w:rPr>
              <w:t>Maximum 70</w:t>
            </w:r>
            <w:r w:rsidR="00D166B1">
              <w:rPr>
                <w:b/>
              </w:rPr>
              <w:t>%</w:t>
            </w:r>
            <w:r w:rsidR="006C41C9">
              <w:rPr>
                <w:b/>
              </w:rPr>
              <w:t>)</w:t>
            </w:r>
            <w:r w:rsidR="00D236E3">
              <w:rPr>
                <w:b/>
              </w:rPr>
              <w:t xml:space="preserve"> </w:t>
            </w:r>
          </w:p>
          <w:p w14:paraId="2B07B968" w14:textId="7680074D" w:rsidR="002165F8" w:rsidRPr="006C41C9" w:rsidRDefault="006C41C9" w:rsidP="00C25F1B">
            <w:pPr>
              <w:pStyle w:val="ListParagraph"/>
              <w:numPr>
                <w:ilvl w:val="0"/>
                <w:numId w:val="2"/>
              </w:numPr>
              <w:rPr>
                <w:b/>
              </w:rPr>
            </w:pPr>
            <w:r w:rsidRPr="006C41C9">
              <w:t>Criteria 1</w:t>
            </w:r>
            <w:r w:rsidR="002165F8" w:rsidRPr="006C41C9">
              <w:t xml:space="preserve"> </w:t>
            </w:r>
            <w:r w:rsidR="002165F8" w:rsidRPr="0077533C">
              <w:t xml:space="preserve">Relevance of Education – </w:t>
            </w:r>
            <w:r w:rsidR="00920512" w:rsidRPr="0077533C">
              <w:t>20</w:t>
            </w:r>
            <w:r w:rsidR="002165F8" w:rsidRPr="0077533C">
              <w:t xml:space="preserve"> points</w:t>
            </w:r>
          </w:p>
          <w:p w14:paraId="6260A5AB" w14:textId="18FCD80D" w:rsidR="002165F8" w:rsidRPr="00534A6C" w:rsidRDefault="002165F8" w:rsidP="00C25F1B">
            <w:pPr>
              <w:pStyle w:val="ListParagraph"/>
              <w:numPr>
                <w:ilvl w:val="0"/>
                <w:numId w:val="2"/>
              </w:numPr>
            </w:pPr>
            <w:r w:rsidRPr="006C41C9">
              <w:t xml:space="preserve">Criteria </w:t>
            </w:r>
            <w:r w:rsidR="006C41C9" w:rsidRPr="006C41C9">
              <w:t>2</w:t>
            </w:r>
            <w:r w:rsidRPr="006C41C9">
              <w:t xml:space="preserve"> </w:t>
            </w:r>
            <w:r w:rsidR="00534A6C">
              <w:t>Relevance of experience in key areas (</w:t>
            </w:r>
            <w:r w:rsidR="007D4EE8">
              <w:t>banking, financial industry</w:t>
            </w:r>
            <w:r w:rsidR="00534A6C">
              <w:t xml:space="preserve"> </w:t>
            </w:r>
            <w:proofErr w:type="spellStart"/>
            <w:r w:rsidR="00534A6C">
              <w:t>etc</w:t>
            </w:r>
            <w:proofErr w:type="spellEnd"/>
            <w:r w:rsidR="00534A6C">
              <w:t xml:space="preserve">) </w:t>
            </w:r>
            <w:proofErr w:type="gramStart"/>
            <w:r w:rsidRPr="00534A6C">
              <w:t xml:space="preserve">- </w:t>
            </w:r>
            <w:r w:rsidR="00D236E3">
              <w:t xml:space="preserve"> </w:t>
            </w:r>
            <w:r w:rsidR="007D4EE8">
              <w:t>2</w:t>
            </w:r>
            <w:r w:rsidR="00534A6C">
              <w:t>0</w:t>
            </w:r>
            <w:proofErr w:type="gramEnd"/>
            <w:r w:rsidRPr="00534A6C">
              <w:t xml:space="preserve"> </w:t>
            </w:r>
            <w:r w:rsidRPr="00D236E3">
              <w:t>Points</w:t>
            </w:r>
          </w:p>
          <w:p w14:paraId="30C077A0" w14:textId="227F47C2" w:rsidR="002165F8" w:rsidRPr="00534A6C" w:rsidRDefault="002165F8" w:rsidP="00C25F1B">
            <w:pPr>
              <w:pStyle w:val="ListParagraph"/>
              <w:numPr>
                <w:ilvl w:val="0"/>
                <w:numId w:val="2"/>
              </w:numPr>
            </w:pPr>
            <w:r w:rsidRPr="00D236E3">
              <w:t xml:space="preserve">Criteria </w:t>
            </w:r>
            <w:r w:rsidR="006C41C9" w:rsidRPr="00D236E3">
              <w:t>3</w:t>
            </w:r>
            <w:r w:rsidRPr="006C41C9">
              <w:t xml:space="preserve"> </w:t>
            </w:r>
            <w:r w:rsidR="00DC705D">
              <w:t xml:space="preserve">Research experience and demonstration of writing and analytical skills </w:t>
            </w:r>
            <w:r w:rsidRPr="00534A6C">
              <w:t xml:space="preserve">– </w:t>
            </w:r>
            <w:r w:rsidR="007D4EE8">
              <w:t>2</w:t>
            </w:r>
            <w:r w:rsidR="00534A6C" w:rsidRPr="00534A6C">
              <w:t>0</w:t>
            </w:r>
            <w:r w:rsidRPr="00534A6C">
              <w:t xml:space="preserve"> </w:t>
            </w:r>
            <w:r w:rsidRPr="00D236E3">
              <w:t>points</w:t>
            </w:r>
            <w:r w:rsidRPr="00534A6C">
              <w:t xml:space="preserve"> </w:t>
            </w:r>
          </w:p>
          <w:p w14:paraId="62B9FB2E" w14:textId="6655EFAA" w:rsidR="00D236E3" w:rsidRPr="00534A6C" w:rsidRDefault="00D236E3" w:rsidP="00C25F1B">
            <w:pPr>
              <w:pStyle w:val="ListParagraph"/>
              <w:numPr>
                <w:ilvl w:val="0"/>
                <w:numId w:val="2"/>
              </w:numPr>
            </w:pPr>
            <w:r w:rsidRPr="00D236E3">
              <w:t>Criteria 4</w:t>
            </w:r>
            <w:r w:rsidR="00920512">
              <w:t>.</w:t>
            </w:r>
            <w:r w:rsidR="00534A6C" w:rsidRPr="00534A6C">
              <w:t xml:space="preserve"> </w:t>
            </w:r>
            <w:r w:rsidR="007D4EE8">
              <w:t>Prior assignments of similar nature, complexity and scope</w:t>
            </w:r>
            <w:r w:rsidR="00534A6C" w:rsidRPr="00534A6C">
              <w:t xml:space="preserve"> </w:t>
            </w:r>
            <w:r w:rsidRPr="00534A6C">
              <w:t xml:space="preserve">– </w:t>
            </w:r>
            <w:r w:rsidR="00920512" w:rsidRPr="00534A6C">
              <w:t>20</w:t>
            </w:r>
            <w:r w:rsidRPr="00534A6C">
              <w:t xml:space="preserve"> </w:t>
            </w:r>
            <w:r w:rsidRPr="00D236E3">
              <w:t>points</w:t>
            </w:r>
          </w:p>
          <w:p w14:paraId="13E60D8C" w14:textId="1A2ED748" w:rsidR="002165F8" w:rsidRPr="006C41C9" w:rsidRDefault="002165F8" w:rsidP="00C25F1B">
            <w:pPr>
              <w:pStyle w:val="ListParagraph"/>
              <w:numPr>
                <w:ilvl w:val="0"/>
                <w:numId w:val="2"/>
              </w:numPr>
              <w:rPr>
                <w:b/>
              </w:rPr>
            </w:pPr>
            <w:r w:rsidRPr="006C41C9">
              <w:t xml:space="preserve">Criteria </w:t>
            </w:r>
            <w:r w:rsidR="00D236E3">
              <w:t>5</w:t>
            </w:r>
            <w:r w:rsidR="00920512">
              <w:t xml:space="preserve">. </w:t>
            </w:r>
            <w:r w:rsidR="00D236E3" w:rsidRPr="00534A6C">
              <w:t>Assessment</w:t>
            </w:r>
            <w:r w:rsidRPr="00534A6C">
              <w:t xml:space="preserve"> of</w:t>
            </w:r>
            <w:r w:rsidR="0077533C" w:rsidRPr="00534A6C">
              <w:t xml:space="preserve"> suitability to assignment and </w:t>
            </w:r>
            <w:r w:rsidRPr="00534A6C">
              <w:t xml:space="preserve">approach/methodology – </w:t>
            </w:r>
            <w:r w:rsidR="00920512" w:rsidRPr="00534A6C">
              <w:t>20</w:t>
            </w:r>
            <w:r w:rsidRPr="00534A6C">
              <w:t xml:space="preserve"> </w:t>
            </w:r>
            <w:r w:rsidRPr="00D236E3">
              <w:t>Points</w:t>
            </w:r>
          </w:p>
          <w:p w14:paraId="7BA274AB" w14:textId="77777777" w:rsidR="006C41C9" w:rsidRDefault="006C41C9" w:rsidP="00C25F1B">
            <w:pPr>
              <w:rPr>
                <w:b/>
              </w:rPr>
            </w:pPr>
          </w:p>
          <w:p w14:paraId="104F6437" w14:textId="77777777" w:rsidR="00BC1EF2" w:rsidRDefault="00BC1EF2" w:rsidP="00BC1EF2">
            <w:r>
              <w:t>The</w:t>
            </w:r>
            <w:r w:rsidRPr="009F4488">
              <w:t xml:space="preserve"> candidates obtaining a minimum of 70% of the total technical point</w:t>
            </w:r>
            <w:r>
              <w:t>s</w:t>
            </w:r>
            <w:r w:rsidRPr="009F4488">
              <w:t xml:space="preserve"> would be </w:t>
            </w:r>
            <w:r>
              <w:t>invited for an interview. The total technical points will comprise of desk review of the application (70%) and interview results (30%). The</w:t>
            </w:r>
            <w:r w:rsidRPr="009F4488">
              <w:t xml:space="preserve"> candidates obtaining a minimum of 70% of the total technical point</w:t>
            </w:r>
            <w:r>
              <w:t>s</w:t>
            </w:r>
            <w:r w:rsidRPr="009F4488">
              <w:t xml:space="preserve"> would be considered for the Financial Evaluation</w:t>
            </w:r>
            <w:r>
              <w:t>.</w:t>
            </w:r>
          </w:p>
          <w:p w14:paraId="29140597" w14:textId="77777777" w:rsidR="002165F8" w:rsidRPr="008E6897" w:rsidRDefault="002165F8" w:rsidP="00C25F1B">
            <w:pPr>
              <w:rPr>
                <w:b/>
                <w:sz w:val="10"/>
                <w:szCs w:val="10"/>
                <w:highlight w:val="yellow"/>
              </w:rPr>
            </w:pPr>
          </w:p>
          <w:p w14:paraId="00274CF9" w14:textId="77777777" w:rsidR="002165F8" w:rsidRDefault="006C41C9" w:rsidP="00C25F1B">
            <w:pPr>
              <w:rPr>
                <w:i/>
              </w:rPr>
            </w:pPr>
            <w:r>
              <w:rPr>
                <w:b/>
              </w:rPr>
              <w:t>Documentation required</w:t>
            </w:r>
          </w:p>
          <w:p w14:paraId="7EC09B22" w14:textId="0C8706E7" w:rsidR="002165F8" w:rsidRDefault="002165F8" w:rsidP="00C25F1B">
            <w:pPr>
              <w:rPr>
                <w:b/>
              </w:rPr>
            </w:pPr>
            <w:r>
              <w:t>Interested individual consultants must submit the following documents/information to demonstrate their qualifications</w:t>
            </w:r>
            <w:r w:rsidR="006C41C9" w:rsidRPr="006C41C9">
              <w:t>:</w:t>
            </w:r>
          </w:p>
          <w:p w14:paraId="3E0C6DC6" w14:textId="77777777" w:rsidR="002165F8" w:rsidRDefault="002165F8" w:rsidP="00C25F1B">
            <w:pPr>
              <w:pStyle w:val="ListParagraph"/>
              <w:numPr>
                <w:ilvl w:val="0"/>
                <w:numId w:val="5"/>
              </w:numPr>
              <w:ind w:left="540"/>
            </w:pPr>
            <w:r w:rsidRPr="00EA2915">
              <w:rPr>
                <w:b/>
              </w:rPr>
              <w:t>Letter of Confirmation of Interest and Availability</w:t>
            </w:r>
            <w:r>
              <w:rPr>
                <w:b/>
              </w:rPr>
              <w:t xml:space="preserve"> </w:t>
            </w:r>
            <w:r w:rsidR="009C5FF1">
              <w:t xml:space="preserve">using the template provided in </w:t>
            </w:r>
            <w:r w:rsidR="006C41C9">
              <w:t>Annex II.</w:t>
            </w:r>
          </w:p>
          <w:p w14:paraId="7DDC27E8" w14:textId="77777777" w:rsidR="002165F8" w:rsidRDefault="002165F8" w:rsidP="00C25F1B">
            <w:pPr>
              <w:pStyle w:val="ListParagraph"/>
              <w:numPr>
                <w:ilvl w:val="0"/>
                <w:numId w:val="5"/>
              </w:numPr>
              <w:ind w:left="540"/>
            </w:pPr>
            <w:r w:rsidRPr="00EA2915">
              <w:rPr>
                <w:b/>
              </w:rPr>
              <w:t xml:space="preserve">Personal CV or </w:t>
            </w:r>
            <w:hyperlink r:id="rId14" w:history="1">
              <w:r w:rsidRPr="00F3274E">
                <w:rPr>
                  <w:rStyle w:val="Hyperlink"/>
                  <w:b/>
                </w:rPr>
                <w:t>P11</w:t>
              </w:r>
            </w:hyperlink>
            <w:r w:rsidRPr="00EA2915">
              <w:t>, indicating all past experience from similar projects, as well as the contact details (email and telephone number) of the Candidate and</w:t>
            </w:r>
            <w:r>
              <w:t xml:space="preserve"> </w:t>
            </w:r>
            <w:r w:rsidRPr="00EA2915">
              <w:t>at least three (3) professional references</w:t>
            </w:r>
            <w:r>
              <w:t>.</w:t>
            </w:r>
          </w:p>
          <w:p w14:paraId="01F3ED77" w14:textId="59283D5A" w:rsidR="002165F8" w:rsidRPr="009C5FF1" w:rsidRDefault="009C5FF1" w:rsidP="00C25F1B">
            <w:pPr>
              <w:pStyle w:val="ListParagraph"/>
              <w:numPr>
                <w:ilvl w:val="0"/>
                <w:numId w:val="5"/>
              </w:numPr>
              <w:ind w:left="540"/>
              <w:rPr>
                <w:b/>
              </w:rPr>
            </w:pPr>
            <w:r w:rsidRPr="009C5FF1">
              <w:rPr>
                <w:b/>
              </w:rPr>
              <w:t>Technical proposal</w:t>
            </w:r>
            <w:r w:rsidRPr="009C5FF1">
              <w:t>, including a) a b</w:t>
            </w:r>
            <w:r w:rsidR="002165F8" w:rsidRPr="009C5FF1">
              <w:t>rief description of why the individual considers him/herself as the most suitable for the assignment</w:t>
            </w:r>
            <w:r w:rsidRPr="009C5FF1">
              <w:t>; and b) a</w:t>
            </w:r>
            <w:r w:rsidR="002165F8" w:rsidRPr="009C5FF1">
              <w:t xml:space="preserve"> methodology, on how they will approach and complete the assignment. </w:t>
            </w:r>
          </w:p>
          <w:p w14:paraId="05E99D37" w14:textId="0E2DE78D" w:rsidR="002165F8" w:rsidRPr="009D0092" w:rsidRDefault="002165F8" w:rsidP="00C25F1B">
            <w:pPr>
              <w:pStyle w:val="ListParagraph"/>
              <w:numPr>
                <w:ilvl w:val="0"/>
                <w:numId w:val="5"/>
              </w:numPr>
              <w:ind w:left="540"/>
            </w:pPr>
            <w:r w:rsidRPr="009D0092">
              <w:rPr>
                <w:b/>
              </w:rPr>
              <w:t>Financial proposal</w:t>
            </w:r>
            <w:r w:rsidR="009D0092" w:rsidRPr="009D0092">
              <w:t>, as per template provided in Annex II</w:t>
            </w:r>
            <w:r w:rsidR="00537834">
              <w:t>I</w:t>
            </w:r>
            <w:r w:rsidR="009C5FF1">
              <w:t xml:space="preserve">. </w:t>
            </w:r>
          </w:p>
          <w:p w14:paraId="6E40F62F" w14:textId="77777777" w:rsidR="004D6E73" w:rsidRPr="00E05A57" w:rsidRDefault="004D6E73" w:rsidP="00C25F1B">
            <w:pPr>
              <w:jc w:val="both"/>
              <w:rPr>
                <w:sz w:val="10"/>
                <w:szCs w:val="10"/>
              </w:rPr>
            </w:pPr>
          </w:p>
          <w:p w14:paraId="4D316A8A" w14:textId="21725F80" w:rsidR="002165F8" w:rsidRDefault="004D6E73" w:rsidP="00C25F1B">
            <w:pPr>
              <w:jc w:val="both"/>
              <w:rPr>
                <w:rFonts w:ascii="Calibri" w:hAnsi="Calibri" w:cs="Arial"/>
                <w:sz w:val="20"/>
                <w:szCs w:val="20"/>
              </w:rPr>
            </w:pPr>
            <w:r w:rsidRPr="004D6E73">
              <w:t>Incomplete proposals may not be considered.</w:t>
            </w:r>
            <w:r w:rsidR="00B02ED1">
              <w:t xml:space="preserve"> Only the successful candidate will be notified of contract award.</w:t>
            </w:r>
          </w:p>
          <w:p w14:paraId="7BD11C67" w14:textId="77777777" w:rsidR="004D6E73" w:rsidRPr="00E05A57" w:rsidRDefault="004D6E73" w:rsidP="00C25F1B">
            <w:pPr>
              <w:jc w:val="both"/>
              <w:rPr>
                <w:rFonts w:ascii="Calibri" w:hAnsi="Calibri" w:cs="Arial"/>
                <w:sz w:val="10"/>
                <w:szCs w:val="10"/>
              </w:rPr>
            </w:pPr>
          </w:p>
          <w:p w14:paraId="203B8751" w14:textId="77777777" w:rsidR="002165F8" w:rsidRPr="00EA2915" w:rsidRDefault="006C41C9" w:rsidP="00C25F1B">
            <w:pPr>
              <w:rPr>
                <w:i/>
                <w:color w:val="FF0000"/>
                <w:sz w:val="24"/>
                <w:szCs w:val="24"/>
              </w:rPr>
            </w:pPr>
            <w:r>
              <w:rPr>
                <w:b/>
              </w:rPr>
              <w:t>Annexes</w:t>
            </w:r>
          </w:p>
          <w:p w14:paraId="66DD4A37" w14:textId="77777777" w:rsidR="00443E94" w:rsidRDefault="006C41C9" w:rsidP="00C25F1B">
            <w:pPr>
              <w:pStyle w:val="ListParagraph"/>
              <w:numPr>
                <w:ilvl w:val="0"/>
                <w:numId w:val="1"/>
              </w:numPr>
            </w:pPr>
            <w:r w:rsidRPr="00A71CCD">
              <w:t>Annex</w:t>
            </w:r>
            <w:r w:rsidR="002165F8" w:rsidRPr="00A71CCD">
              <w:t xml:space="preserve"> I </w:t>
            </w:r>
            <w:r w:rsidR="00B547C2">
              <w:t xml:space="preserve">– </w:t>
            </w:r>
            <w:r w:rsidR="00B547C2" w:rsidRPr="0066748C">
              <w:rPr>
                <w:u w:val="single"/>
              </w:rPr>
              <w:t>Technical evaluation scoring guide</w:t>
            </w:r>
          </w:p>
          <w:p w14:paraId="1935E1CC" w14:textId="700BAB65" w:rsidR="003E53FF" w:rsidRPr="00A71CCD" w:rsidRDefault="003E53FF" w:rsidP="00C25F1B">
            <w:pPr>
              <w:pStyle w:val="ListParagraph"/>
              <w:numPr>
                <w:ilvl w:val="0"/>
                <w:numId w:val="1"/>
              </w:numPr>
            </w:pPr>
            <w:r w:rsidRPr="00A71CCD">
              <w:t>Annex I</w:t>
            </w:r>
            <w:r>
              <w:t>I</w:t>
            </w:r>
            <w:r w:rsidRPr="00A71CCD">
              <w:t xml:space="preserve"> - </w:t>
            </w:r>
            <w:hyperlink r:id="rId15" w:history="1">
              <w:r w:rsidRPr="00F3274E">
                <w:rPr>
                  <w:rStyle w:val="Hyperlink"/>
                </w:rPr>
                <w:t>Individual IC General Terms and Conditions</w:t>
              </w:r>
            </w:hyperlink>
          </w:p>
          <w:p w14:paraId="7BA4F78E" w14:textId="3CAECAF4" w:rsidR="00C6393A" w:rsidRPr="00B547C2" w:rsidRDefault="003E53FF" w:rsidP="00C25F1B">
            <w:pPr>
              <w:pStyle w:val="ListParagraph"/>
              <w:numPr>
                <w:ilvl w:val="0"/>
                <w:numId w:val="1"/>
              </w:numPr>
            </w:pPr>
            <w:r w:rsidRPr="00A71CCD">
              <w:t>Annex II</w:t>
            </w:r>
            <w:r>
              <w:t>I</w:t>
            </w:r>
            <w:r w:rsidRPr="00A71CCD">
              <w:t xml:space="preserve"> – </w:t>
            </w:r>
            <w:hyperlink r:id="rId16" w:history="1">
              <w:r w:rsidRPr="00A51602">
                <w:rPr>
                  <w:rStyle w:val="Hyperlink"/>
                </w:rPr>
                <w:t>Offeror’s Letter to UNDP Confirming Interest and Availability for the Individual IC, including Financial Proposal Template</w:t>
              </w:r>
            </w:hyperlink>
            <w:r w:rsidRPr="00A71CCD">
              <w:t xml:space="preserve"> </w:t>
            </w:r>
          </w:p>
        </w:tc>
      </w:tr>
    </w:tbl>
    <w:p w14:paraId="34C1F470" w14:textId="3C406C7B" w:rsidR="00845D55" w:rsidRDefault="00845D55" w:rsidP="00C25F1B">
      <w:pPr>
        <w:spacing w:after="60" w:line="240" w:lineRule="auto"/>
        <w:rPr>
          <w:b/>
        </w:rPr>
      </w:pPr>
    </w:p>
    <w:p w14:paraId="0E8E8F51" w14:textId="0E1CC7BB" w:rsidR="00B547C2" w:rsidRDefault="00B547C2" w:rsidP="00C25F1B">
      <w:pPr>
        <w:spacing w:after="60" w:line="240" w:lineRule="auto"/>
        <w:rPr>
          <w:b/>
        </w:rPr>
      </w:pPr>
    </w:p>
    <w:p w14:paraId="01271858" w14:textId="03796525" w:rsidR="00B547C2" w:rsidRDefault="00B547C2" w:rsidP="002544E1">
      <w:pPr>
        <w:spacing w:line="240" w:lineRule="auto"/>
        <w:rPr>
          <w:b/>
        </w:rPr>
      </w:pPr>
    </w:p>
    <w:p w14:paraId="6329DFE1" w14:textId="587EB7B8" w:rsidR="009025E3" w:rsidRDefault="009025E3" w:rsidP="002544E1">
      <w:pPr>
        <w:spacing w:line="240" w:lineRule="auto"/>
        <w:rPr>
          <w:b/>
        </w:rPr>
      </w:pPr>
    </w:p>
    <w:p w14:paraId="105AE6C9" w14:textId="0A5477CD" w:rsidR="009025E3" w:rsidRDefault="009025E3" w:rsidP="002544E1">
      <w:pPr>
        <w:spacing w:line="240" w:lineRule="auto"/>
        <w:rPr>
          <w:b/>
        </w:rPr>
      </w:pPr>
    </w:p>
    <w:p w14:paraId="6584B196" w14:textId="2E9DB796" w:rsidR="009025E3" w:rsidRDefault="009025E3" w:rsidP="002544E1">
      <w:pPr>
        <w:spacing w:line="240" w:lineRule="auto"/>
        <w:rPr>
          <w:b/>
        </w:rPr>
      </w:pPr>
    </w:p>
    <w:p w14:paraId="7398C523" w14:textId="46CFD324" w:rsidR="009025E3" w:rsidRDefault="009025E3" w:rsidP="002544E1">
      <w:pPr>
        <w:spacing w:line="240" w:lineRule="auto"/>
        <w:rPr>
          <w:b/>
        </w:rPr>
      </w:pPr>
    </w:p>
    <w:p w14:paraId="2DE3D6A2" w14:textId="77777777" w:rsidR="009025E3" w:rsidRDefault="009025E3" w:rsidP="002544E1">
      <w:pPr>
        <w:spacing w:line="240" w:lineRule="auto"/>
        <w:rPr>
          <w:b/>
        </w:rPr>
      </w:pPr>
    </w:p>
    <w:tbl>
      <w:tblPr>
        <w:tblStyle w:val="TableGrid"/>
        <w:tblpPr w:leftFromText="180" w:rightFromText="180" w:vertAnchor="text" w:horzAnchor="margin" w:tblpXSpec="center" w:tblpY="489"/>
        <w:tblW w:w="9168" w:type="dxa"/>
        <w:shd w:val="clear" w:color="auto" w:fill="FFFFFF" w:themeFill="background1"/>
        <w:tblLayout w:type="fixed"/>
        <w:tblLook w:val="04A0" w:firstRow="1" w:lastRow="0" w:firstColumn="1" w:lastColumn="0" w:noHBand="0" w:noVBand="1"/>
      </w:tblPr>
      <w:tblGrid>
        <w:gridCol w:w="6828"/>
        <w:gridCol w:w="990"/>
        <w:gridCol w:w="1350"/>
      </w:tblGrid>
      <w:tr w:rsidR="00B547C2" w:rsidRPr="00A20907" w14:paraId="3D36C880" w14:textId="77777777" w:rsidTr="00A20907">
        <w:trPr>
          <w:trHeight w:val="445"/>
        </w:trPr>
        <w:tc>
          <w:tcPr>
            <w:tcW w:w="6828" w:type="dxa"/>
            <w:vMerge w:val="restart"/>
            <w:shd w:val="clear" w:color="auto" w:fill="B8CCE4" w:themeFill="accent1" w:themeFillTint="66"/>
            <w:vAlign w:val="center"/>
          </w:tcPr>
          <w:p w14:paraId="5338BB0D" w14:textId="77777777" w:rsidR="00B547C2" w:rsidRPr="00A20907" w:rsidRDefault="00B547C2" w:rsidP="00C25F1B">
            <w:pPr>
              <w:jc w:val="center"/>
              <w:rPr>
                <w:rFonts w:cstheme="minorHAnsi"/>
                <w:b/>
                <w:bCs/>
                <w:lang w:val="mn-MN"/>
              </w:rPr>
            </w:pPr>
            <w:r w:rsidRPr="00A20907">
              <w:rPr>
                <w:rFonts w:cstheme="minorHAnsi"/>
                <w:b/>
                <w:bCs/>
                <w:lang w:val="mn-MN"/>
              </w:rPr>
              <w:t>Criteria</w:t>
            </w:r>
          </w:p>
        </w:tc>
        <w:tc>
          <w:tcPr>
            <w:tcW w:w="990" w:type="dxa"/>
            <w:vMerge w:val="restart"/>
            <w:shd w:val="clear" w:color="auto" w:fill="B8CCE4" w:themeFill="accent1" w:themeFillTint="66"/>
            <w:vAlign w:val="center"/>
          </w:tcPr>
          <w:p w14:paraId="426CBBDD" w14:textId="77777777" w:rsidR="00B547C2" w:rsidRPr="00A20907" w:rsidRDefault="00B547C2" w:rsidP="00C25F1B">
            <w:pPr>
              <w:rPr>
                <w:rFonts w:cstheme="minorHAnsi"/>
                <w:b/>
                <w:bCs/>
                <w:lang w:val="mn-MN"/>
              </w:rPr>
            </w:pPr>
            <w:r w:rsidRPr="00A20907">
              <w:rPr>
                <w:rFonts w:cstheme="minorHAnsi"/>
                <w:b/>
                <w:bCs/>
                <w:lang w:val="mn-MN"/>
              </w:rPr>
              <w:t>Weight</w:t>
            </w:r>
          </w:p>
        </w:tc>
        <w:tc>
          <w:tcPr>
            <w:tcW w:w="1350" w:type="dxa"/>
            <w:vMerge w:val="restart"/>
            <w:shd w:val="clear" w:color="auto" w:fill="B8CCE4" w:themeFill="accent1" w:themeFillTint="66"/>
            <w:vAlign w:val="center"/>
          </w:tcPr>
          <w:p w14:paraId="606FD477" w14:textId="77777777" w:rsidR="00B547C2" w:rsidRPr="00A20907" w:rsidRDefault="00B547C2" w:rsidP="00C25F1B">
            <w:pPr>
              <w:rPr>
                <w:rFonts w:cstheme="minorHAnsi"/>
                <w:b/>
                <w:bCs/>
                <w:lang w:val="mn-MN"/>
              </w:rPr>
            </w:pPr>
            <w:r w:rsidRPr="00A20907">
              <w:rPr>
                <w:rFonts w:cstheme="minorHAnsi"/>
                <w:b/>
                <w:bCs/>
                <w:lang w:val="mn-MN"/>
              </w:rPr>
              <w:t>Max. point</w:t>
            </w:r>
          </w:p>
        </w:tc>
      </w:tr>
      <w:tr w:rsidR="00B547C2" w:rsidRPr="00A20907" w14:paraId="1EFC39E0" w14:textId="77777777" w:rsidTr="00A20907">
        <w:trPr>
          <w:trHeight w:val="445"/>
        </w:trPr>
        <w:tc>
          <w:tcPr>
            <w:tcW w:w="6828" w:type="dxa"/>
            <w:vMerge/>
            <w:shd w:val="clear" w:color="auto" w:fill="B8CCE4" w:themeFill="accent1" w:themeFillTint="66"/>
          </w:tcPr>
          <w:p w14:paraId="79B6A638" w14:textId="77777777" w:rsidR="00B547C2" w:rsidRPr="00A20907" w:rsidRDefault="00B547C2" w:rsidP="00C25F1B">
            <w:pPr>
              <w:rPr>
                <w:rFonts w:cstheme="minorHAnsi"/>
                <w:lang w:val="mn-MN"/>
              </w:rPr>
            </w:pPr>
          </w:p>
        </w:tc>
        <w:tc>
          <w:tcPr>
            <w:tcW w:w="990" w:type="dxa"/>
            <w:vMerge/>
            <w:shd w:val="clear" w:color="auto" w:fill="B8CCE4" w:themeFill="accent1" w:themeFillTint="66"/>
          </w:tcPr>
          <w:p w14:paraId="6F13BCBC" w14:textId="77777777" w:rsidR="00B547C2" w:rsidRPr="00A20907" w:rsidRDefault="00B547C2" w:rsidP="00C25F1B">
            <w:pPr>
              <w:rPr>
                <w:rFonts w:cstheme="minorHAnsi"/>
                <w:lang w:val="mn-MN"/>
              </w:rPr>
            </w:pPr>
          </w:p>
        </w:tc>
        <w:tc>
          <w:tcPr>
            <w:tcW w:w="1350" w:type="dxa"/>
            <w:vMerge/>
            <w:shd w:val="clear" w:color="auto" w:fill="B8CCE4" w:themeFill="accent1" w:themeFillTint="66"/>
          </w:tcPr>
          <w:p w14:paraId="633C6504" w14:textId="77777777" w:rsidR="00B547C2" w:rsidRPr="00A20907" w:rsidRDefault="00B547C2" w:rsidP="00C25F1B">
            <w:pPr>
              <w:rPr>
                <w:rFonts w:cstheme="minorHAnsi"/>
                <w:lang w:val="mn-MN"/>
              </w:rPr>
            </w:pPr>
          </w:p>
        </w:tc>
      </w:tr>
      <w:tr w:rsidR="00B547C2" w:rsidRPr="00A20907" w14:paraId="0A9A6734" w14:textId="77777777" w:rsidTr="00A20907">
        <w:trPr>
          <w:trHeight w:val="467"/>
        </w:trPr>
        <w:tc>
          <w:tcPr>
            <w:tcW w:w="6828" w:type="dxa"/>
            <w:shd w:val="clear" w:color="auto" w:fill="FFFFFF" w:themeFill="background1"/>
            <w:vAlign w:val="center"/>
          </w:tcPr>
          <w:p w14:paraId="4D44FDAC" w14:textId="77777777" w:rsidR="00B547C2" w:rsidRPr="00A20907" w:rsidRDefault="00B547C2" w:rsidP="00C25F1B">
            <w:pPr>
              <w:rPr>
                <w:rFonts w:cstheme="minorHAnsi"/>
                <w:b/>
                <w:bCs/>
                <w:lang w:val="mn-MN"/>
              </w:rPr>
            </w:pPr>
            <w:r w:rsidRPr="00A20907">
              <w:rPr>
                <w:rFonts w:cstheme="minorHAnsi"/>
                <w:b/>
                <w:bCs/>
                <w:lang w:val="mn-MN"/>
              </w:rPr>
              <w:t>Technical criteria 1: Education</w:t>
            </w:r>
          </w:p>
        </w:tc>
        <w:tc>
          <w:tcPr>
            <w:tcW w:w="990" w:type="dxa"/>
            <w:shd w:val="clear" w:color="auto" w:fill="FFFFFF" w:themeFill="background1"/>
            <w:vAlign w:val="center"/>
          </w:tcPr>
          <w:p w14:paraId="6AC48B45" w14:textId="77777777" w:rsidR="00B547C2" w:rsidRPr="00A20907" w:rsidRDefault="00B547C2" w:rsidP="00C25F1B">
            <w:pPr>
              <w:rPr>
                <w:rFonts w:cstheme="minorHAnsi"/>
                <w:lang w:val="mn-MN"/>
              </w:rPr>
            </w:pPr>
          </w:p>
        </w:tc>
        <w:tc>
          <w:tcPr>
            <w:tcW w:w="1350" w:type="dxa"/>
            <w:shd w:val="clear" w:color="auto" w:fill="FFFFFF" w:themeFill="background1"/>
            <w:vAlign w:val="center"/>
          </w:tcPr>
          <w:p w14:paraId="111FC377" w14:textId="77777777" w:rsidR="00B547C2" w:rsidRPr="00F744CF" w:rsidRDefault="00B547C2" w:rsidP="00C25F1B">
            <w:pPr>
              <w:rPr>
                <w:rFonts w:cstheme="minorHAnsi"/>
                <w:b/>
                <w:bCs/>
                <w:lang w:val="mn-MN"/>
              </w:rPr>
            </w:pPr>
            <w:r w:rsidRPr="00F744CF">
              <w:rPr>
                <w:rFonts w:cstheme="minorHAnsi"/>
                <w:b/>
                <w:bCs/>
                <w:lang w:val="mn-MN"/>
              </w:rPr>
              <w:t>20</w:t>
            </w:r>
          </w:p>
        </w:tc>
      </w:tr>
      <w:tr w:rsidR="00B547C2" w:rsidRPr="00A20907" w14:paraId="44D2655E" w14:textId="77777777" w:rsidTr="00432560">
        <w:trPr>
          <w:trHeight w:val="308"/>
        </w:trPr>
        <w:tc>
          <w:tcPr>
            <w:tcW w:w="6828" w:type="dxa"/>
            <w:shd w:val="clear" w:color="auto" w:fill="FFFFFF" w:themeFill="background1"/>
          </w:tcPr>
          <w:p w14:paraId="6075E77E" w14:textId="0E89AD48" w:rsidR="00432560" w:rsidRPr="00533CE0" w:rsidRDefault="0077533C" w:rsidP="00C25F1B">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Relevance of education</w:t>
            </w:r>
          </w:p>
        </w:tc>
        <w:tc>
          <w:tcPr>
            <w:tcW w:w="990" w:type="dxa"/>
            <w:shd w:val="clear" w:color="auto" w:fill="FFFFFF" w:themeFill="background1"/>
            <w:vAlign w:val="center"/>
          </w:tcPr>
          <w:p w14:paraId="263EB00E" w14:textId="77777777" w:rsidR="00B547C2" w:rsidRPr="00A20907" w:rsidRDefault="00B547C2" w:rsidP="00C25F1B">
            <w:pPr>
              <w:rPr>
                <w:rFonts w:cstheme="minorHAnsi"/>
                <w:lang w:val="mn-MN"/>
              </w:rPr>
            </w:pPr>
          </w:p>
        </w:tc>
        <w:tc>
          <w:tcPr>
            <w:tcW w:w="1350" w:type="dxa"/>
            <w:shd w:val="clear" w:color="auto" w:fill="FFFFFF" w:themeFill="background1"/>
            <w:vAlign w:val="center"/>
          </w:tcPr>
          <w:p w14:paraId="4DF4D669" w14:textId="77777777" w:rsidR="00B547C2" w:rsidRPr="00F744CF" w:rsidRDefault="00B547C2" w:rsidP="00C25F1B">
            <w:pPr>
              <w:rPr>
                <w:rFonts w:cstheme="minorHAnsi"/>
                <w:i/>
                <w:lang w:val="mn-MN"/>
              </w:rPr>
            </w:pPr>
            <w:r w:rsidRPr="00F744CF">
              <w:rPr>
                <w:rFonts w:cstheme="minorHAnsi"/>
                <w:i/>
                <w:lang w:val="mn-MN"/>
              </w:rPr>
              <w:t>[20]</w:t>
            </w:r>
          </w:p>
        </w:tc>
      </w:tr>
      <w:tr w:rsidR="00B547C2" w:rsidRPr="00A20907" w14:paraId="0F18710B" w14:textId="77777777" w:rsidTr="00A20907">
        <w:trPr>
          <w:trHeight w:val="485"/>
        </w:trPr>
        <w:tc>
          <w:tcPr>
            <w:tcW w:w="6828" w:type="dxa"/>
            <w:shd w:val="clear" w:color="auto" w:fill="FFFFFF" w:themeFill="background1"/>
            <w:vAlign w:val="center"/>
          </w:tcPr>
          <w:p w14:paraId="56879E37" w14:textId="77777777" w:rsidR="00B547C2" w:rsidRPr="00A20907" w:rsidRDefault="00B547C2" w:rsidP="00C25F1B">
            <w:pPr>
              <w:rPr>
                <w:rFonts w:cstheme="minorHAnsi"/>
                <w:b/>
                <w:bCs/>
                <w:lang w:val="mn-MN"/>
              </w:rPr>
            </w:pPr>
            <w:r w:rsidRPr="00A20907">
              <w:rPr>
                <w:rFonts w:cstheme="minorHAnsi"/>
                <w:b/>
                <w:bCs/>
                <w:lang w:val="mn-MN"/>
              </w:rPr>
              <w:t>Technical criteria 2: Professional experience</w:t>
            </w:r>
          </w:p>
        </w:tc>
        <w:tc>
          <w:tcPr>
            <w:tcW w:w="990" w:type="dxa"/>
            <w:shd w:val="clear" w:color="auto" w:fill="FFFFFF" w:themeFill="background1"/>
            <w:vAlign w:val="center"/>
          </w:tcPr>
          <w:p w14:paraId="2BCD805E" w14:textId="77777777" w:rsidR="00B547C2" w:rsidRPr="00A20907" w:rsidRDefault="00B547C2" w:rsidP="00C25F1B">
            <w:pPr>
              <w:rPr>
                <w:rFonts w:cstheme="minorHAnsi"/>
                <w:lang w:val="mn-MN"/>
              </w:rPr>
            </w:pPr>
          </w:p>
        </w:tc>
        <w:tc>
          <w:tcPr>
            <w:tcW w:w="1350" w:type="dxa"/>
            <w:shd w:val="clear" w:color="auto" w:fill="FFFFFF" w:themeFill="background1"/>
            <w:vAlign w:val="center"/>
          </w:tcPr>
          <w:p w14:paraId="05C26E91" w14:textId="77777777" w:rsidR="00B547C2" w:rsidRPr="00F744CF" w:rsidRDefault="00B547C2" w:rsidP="00C25F1B">
            <w:pPr>
              <w:rPr>
                <w:rFonts w:cstheme="minorHAnsi"/>
                <w:b/>
                <w:bCs/>
                <w:lang w:val="mn-MN"/>
              </w:rPr>
            </w:pPr>
            <w:r w:rsidRPr="00F744CF">
              <w:rPr>
                <w:rFonts w:cstheme="minorHAnsi"/>
                <w:b/>
                <w:bCs/>
                <w:lang w:val="mn-MN"/>
              </w:rPr>
              <w:t>60</w:t>
            </w:r>
          </w:p>
        </w:tc>
      </w:tr>
      <w:tr w:rsidR="00B547C2" w:rsidRPr="00A20907" w14:paraId="77FA7700" w14:textId="77777777" w:rsidTr="00432560">
        <w:trPr>
          <w:trHeight w:val="353"/>
        </w:trPr>
        <w:tc>
          <w:tcPr>
            <w:tcW w:w="6828" w:type="dxa"/>
            <w:shd w:val="clear" w:color="auto" w:fill="FFFFFF" w:themeFill="background1"/>
          </w:tcPr>
          <w:p w14:paraId="37B56799" w14:textId="30C53ED7" w:rsidR="00B547C2" w:rsidRPr="00533CE0" w:rsidRDefault="0009241B" w:rsidP="00C25F1B">
            <w:pPr>
              <w:pStyle w:val="Pa10"/>
              <w:spacing w:line="240" w:lineRule="auto"/>
              <w:jc w:val="both"/>
              <w:rPr>
                <w:rFonts w:asciiTheme="minorHAnsi" w:hAnsiTheme="minorHAnsi" w:cstheme="minorHAnsi"/>
                <w:sz w:val="22"/>
                <w:szCs w:val="22"/>
              </w:rPr>
            </w:pPr>
            <w:r w:rsidRPr="00C25F1B">
              <w:rPr>
                <w:rFonts w:asciiTheme="minorHAnsi" w:hAnsiTheme="minorHAnsi" w:cstheme="minorHAnsi"/>
                <w:sz w:val="22"/>
                <w:szCs w:val="22"/>
              </w:rPr>
              <w:t xml:space="preserve">Relevance of experience in key areas (banking, financial industry </w:t>
            </w:r>
            <w:proofErr w:type="spellStart"/>
            <w:r w:rsidRPr="00C25F1B">
              <w:rPr>
                <w:rFonts w:asciiTheme="minorHAnsi" w:hAnsiTheme="minorHAnsi" w:cstheme="minorHAnsi"/>
                <w:sz w:val="22"/>
                <w:szCs w:val="22"/>
              </w:rPr>
              <w:t>etc</w:t>
            </w:r>
            <w:proofErr w:type="spellEnd"/>
            <w:r w:rsidRPr="00C25F1B">
              <w:rPr>
                <w:rFonts w:asciiTheme="minorHAnsi" w:hAnsiTheme="minorHAnsi" w:cstheme="minorHAnsi"/>
                <w:sz w:val="22"/>
                <w:szCs w:val="22"/>
              </w:rPr>
              <w:t>)</w:t>
            </w:r>
          </w:p>
        </w:tc>
        <w:tc>
          <w:tcPr>
            <w:tcW w:w="990" w:type="dxa"/>
            <w:shd w:val="clear" w:color="auto" w:fill="FFFFFF" w:themeFill="background1"/>
            <w:vAlign w:val="center"/>
          </w:tcPr>
          <w:p w14:paraId="45541FB0" w14:textId="77777777" w:rsidR="00B547C2" w:rsidRPr="00A20907" w:rsidRDefault="00B547C2" w:rsidP="00C25F1B">
            <w:pPr>
              <w:rPr>
                <w:rFonts w:cstheme="minorHAnsi"/>
                <w:lang w:val="mn-MN"/>
              </w:rPr>
            </w:pPr>
          </w:p>
        </w:tc>
        <w:tc>
          <w:tcPr>
            <w:tcW w:w="1350" w:type="dxa"/>
            <w:shd w:val="clear" w:color="auto" w:fill="FFFFFF" w:themeFill="background1"/>
            <w:vAlign w:val="center"/>
          </w:tcPr>
          <w:p w14:paraId="47508B3D" w14:textId="77777777" w:rsidR="00B547C2" w:rsidRPr="00F744CF" w:rsidRDefault="00B547C2" w:rsidP="00C25F1B">
            <w:pPr>
              <w:rPr>
                <w:rFonts w:cstheme="minorHAnsi"/>
                <w:i/>
                <w:lang w:val="mn-MN"/>
              </w:rPr>
            </w:pPr>
            <w:r w:rsidRPr="00F744CF">
              <w:rPr>
                <w:rFonts w:cstheme="minorHAnsi"/>
                <w:i/>
                <w:lang w:val="mn-MN"/>
              </w:rPr>
              <w:t>[20]</w:t>
            </w:r>
          </w:p>
        </w:tc>
      </w:tr>
      <w:tr w:rsidR="00B547C2" w:rsidRPr="00A20907" w14:paraId="4668E1F6" w14:textId="77777777" w:rsidTr="00A20907">
        <w:trPr>
          <w:trHeight w:val="354"/>
        </w:trPr>
        <w:tc>
          <w:tcPr>
            <w:tcW w:w="6828" w:type="dxa"/>
            <w:tcBorders>
              <w:bottom w:val="single" w:sz="4" w:space="0" w:color="000000" w:themeColor="text1"/>
            </w:tcBorders>
            <w:shd w:val="clear" w:color="auto" w:fill="FFFFFF" w:themeFill="background1"/>
          </w:tcPr>
          <w:p w14:paraId="5EB44504" w14:textId="23151687" w:rsidR="00B547C2" w:rsidRPr="00533CE0" w:rsidRDefault="003037F6" w:rsidP="00C25F1B">
            <w:pPr>
              <w:pStyle w:val="Pa10"/>
              <w:spacing w:line="240" w:lineRule="auto"/>
              <w:jc w:val="both"/>
              <w:rPr>
                <w:rFonts w:asciiTheme="minorHAnsi" w:hAnsiTheme="minorHAnsi" w:cstheme="minorHAnsi"/>
                <w:sz w:val="22"/>
                <w:szCs w:val="22"/>
              </w:rPr>
            </w:pPr>
            <w:r w:rsidRPr="003037F6">
              <w:rPr>
                <w:rFonts w:asciiTheme="minorHAnsi" w:hAnsiTheme="minorHAnsi" w:cstheme="minorHAnsi"/>
                <w:sz w:val="22"/>
                <w:szCs w:val="22"/>
              </w:rPr>
              <w:t>Research experience and demonstration of writing and analytical skills</w:t>
            </w:r>
          </w:p>
        </w:tc>
        <w:tc>
          <w:tcPr>
            <w:tcW w:w="990" w:type="dxa"/>
            <w:shd w:val="clear" w:color="auto" w:fill="FFFFFF" w:themeFill="background1"/>
            <w:vAlign w:val="center"/>
          </w:tcPr>
          <w:p w14:paraId="44C89AC5" w14:textId="77777777" w:rsidR="00B547C2" w:rsidRPr="00A20907" w:rsidRDefault="00B547C2" w:rsidP="00C25F1B">
            <w:pPr>
              <w:rPr>
                <w:rFonts w:cstheme="minorHAnsi"/>
                <w:lang w:val="mn-MN"/>
              </w:rPr>
            </w:pPr>
          </w:p>
        </w:tc>
        <w:tc>
          <w:tcPr>
            <w:tcW w:w="1350" w:type="dxa"/>
            <w:shd w:val="clear" w:color="auto" w:fill="FFFFFF" w:themeFill="background1"/>
            <w:vAlign w:val="center"/>
          </w:tcPr>
          <w:p w14:paraId="5EE65C1E" w14:textId="77777777" w:rsidR="00B547C2" w:rsidRPr="00F744CF" w:rsidRDefault="00B547C2" w:rsidP="00C25F1B">
            <w:pPr>
              <w:rPr>
                <w:rFonts w:cstheme="minorHAnsi"/>
                <w:i/>
                <w:lang w:val="mn-MN"/>
              </w:rPr>
            </w:pPr>
            <w:r w:rsidRPr="00F744CF">
              <w:rPr>
                <w:rFonts w:cstheme="minorHAnsi"/>
                <w:i/>
                <w:lang w:val="mn-MN"/>
              </w:rPr>
              <w:t>[20]</w:t>
            </w:r>
          </w:p>
        </w:tc>
      </w:tr>
      <w:tr w:rsidR="00B547C2" w:rsidRPr="00A20907" w14:paraId="7E1A913A" w14:textId="77777777" w:rsidTr="00432560">
        <w:trPr>
          <w:trHeight w:val="389"/>
        </w:trPr>
        <w:tc>
          <w:tcPr>
            <w:tcW w:w="6828" w:type="dxa"/>
            <w:tcBorders>
              <w:bottom w:val="single" w:sz="4" w:space="0" w:color="000000" w:themeColor="text1"/>
            </w:tcBorders>
            <w:shd w:val="clear" w:color="auto" w:fill="FFFFFF" w:themeFill="background1"/>
          </w:tcPr>
          <w:p w14:paraId="709EDFA0" w14:textId="3E29D460" w:rsidR="00B547C2" w:rsidRPr="00533CE0" w:rsidRDefault="0009241B" w:rsidP="00C25F1B">
            <w:pPr>
              <w:pStyle w:val="Pa10"/>
              <w:spacing w:line="240" w:lineRule="auto"/>
              <w:jc w:val="both"/>
              <w:rPr>
                <w:rFonts w:asciiTheme="minorHAnsi" w:hAnsiTheme="minorHAnsi" w:cstheme="minorHAnsi"/>
                <w:sz w:val="22"/>
                <w:szCs w:val="22"/>
              </w:rPr>
            </w:pPr>
            <w:r w:rsidRPr="00C25F1B">
              <w:rPr>
                <w:rFonts w:asciiTheme="minorHAnsi" w:hAnsiTheme="minorHAnsi" w:cstheme="minorHAnsi"/>
                <w:sz w:val="22"/>
                <w:szCs w:val="22"/>
              </w:rPr>
              <w:t>Prior assignments of similar nature, complexity and scope</w:t>
            </w:r>
          </w:p>
        </w:tc>
        <w:tc>
          <w:tcPr>
            <w:tcW w:w="990" w:type="dxa"/>
            <w:shd w:val="clear" w:color="auto" w:fill="FFFFFF" w:themeFill="background1"/>
            <w:vAlign w:val="center"/>
          </w:tcPr>
          <w:p w14:paraId="19F5EA60" w14:textId="77777777" w:rsidR="00B547C2" w:rsidRPr="00A20907" w:rsidRDefault="00B547C2" w:rsidP="00C25F1B">
            <w:pPr>
              <w:rPr>
                <w:rFonts w:cstheme="minorHAnsi"/>
                <w:lang w:val="mn-MN"/>
              </w:rPr>
            </w:pPr>
          </w:p>
        </w:tc>
        <w:tc>
          <w:tcPr>
            <w:tcW w:w="1350" w:type="dxa"/>
            <w:shd w:val="clear" w:color="auto" w:fill="FFFFFF" w:themeFill="background1"/>
            <w:vAlign w:val="center"/>
          </w:tcPr>
          <w:p w14:paraId="0A2D120F" w14:textId="77777777" w:rsidR="00B547C2" w:rsidRPr="00F744CF" w:rsidRDefault="00B547C2" w:rsidP="00C25F1B">
            <w:pPr>
              <w:rPr>
                <w:rFonts w:cstheme="minorHAnsi"/>
                <w:i/>
                <w:lang w:val="mn-MN"/>
              </w:rPr>
            </w:pPr>
            <w:r w:rsidRPr="00F744CF">
              <w:rPr>
                <w:rFonts w:cstheme="minorHAnsi"/>
                <w:i/>
                <w:lang w:val="mn-MN"/>
              </w:rPr>
              <w:t>[20]</w:t>
            </w:r>
          </w:p>
        </w:tc>
      </w:tr>
      <w:tr w:rsidR="00B547C2" w:rsidRPr="00A20907" w14:paraId="7AE20E12" w14:textId="77777777" w:rsidTr="00A20907">
        <w:trPr>
          <w:trHeight w:val="596"/>
        </w:trPr>
        <w:tc>
          <w:tcPr>
            <w:tcW w:w="6828" w:type="dxa"/>
            <w:tcBorders>
              <w:top w:val="single" w:sz="4" w:space="0" w:color="000000" w:themeColor="text1"/>
            </w:tcBorders>
            <w:shd w:val="clear" w:color="auto" w:fill="FFFFFF" w:themeFill="background1"/>
            <w:vAlign w:val="center"/>
          </w:tcPr>
          <w:p w14:paraId="5C425EB9" w14:textId="77777777" w:rsidR="00B547C2" w:rsidRPr="00432560" w:rsidRDefault="00B547C2" w:rsidP="00C25F1B">
            <w:pPr>
              <w:rPr>
                <w:rFonts w:cstheme="minorHAnsi"/>
                <w:b/>
                <w:bCs/>
                <w:lang w:val="mn-MN"/>
              </w:rPr>
            </w:pPr>
            <w:r w:rsidRPr="00432560">
              <w:rPr>
                <w:rFonts w:cstheme="minorHAnsi"/>
                <w:b/>
                <w:bCs/>
                <w:lang w:val="mn-MN"/>
              </w:rPr>
              <w:t>Technical criteria 3 - Proposed methodology and approach</w:t>
            </w:r>
          </w:p>
        </w:tc>
        <w:tc>
          <w:tcPr>
            <w:tcW w:w="990" w:type="dxa"/>
            <w:shd w:val="clear" w:color="auto" w:fill="FFFFFF" w:themeFill="background1"/>
            <w:vAlign w:val="center"/>
          </w:tcPr>
          <w:p w14:paraId="7938B466" w14:textId="77777777" w:rsidR="00B547C2" w:rsidRPr="00A20907" w:rsidRDefault="00B547C2" w:rsidP="00C25F1B">
            <w:pPr>
              <w:rPr>
                <w:rFonts w:cstheme="minorHAnsi"/>
                <w:lang w:val="mn-MN"/>
              </w:rPr>
            </w:pPr>
          </w:p>
        </w:tc>
        <w:tc>
          <w:tcPr>
            <w:tcW w:w="1350" w:type="dxa"/>
            <w:shd w:val="clear" w:color="auto" w:fill="FFFFFF" w:themeFill="background1"/>
            <w:vAlign w:val="center"/>
          </w:tcPr>
          <w:p w14:paraId="0F6D9B0D" w14:textId="77777777" w:rsidR="00B547C2" w:rsidRPr="00F744CF" w:rsidRDefault="00B547C2" w:rsidP="00C25F1B">
            <w:pPr>
              <w:rPr>
                <w:rFonts w:cstheme="minorHAnsi"/>
                <w:b/>
                <w:bCs/>
                <w:lang w:val="mn-MN"/>
              </w:rPr>
            </w:pPr>
            <w:r w:rsidRPr="00F744CF">
              <w:rPr>
                <w:rFonts w:cstheme="minorHAnsi"/>
                <w:b/>
                <w:bCs/>
                <w:lang w:val="mn-MN"/>
              </w:rPr>
              <w:t>20</w:t>
            </w:r>
          </w:p>
        </w:tc>
      </w:tr>
      <w:tr w:rsidR="00B547C2" w:rsidRPr="00A20907" w14:paraId="5979249F" w14:textId="77777777" w:rsidTr="00432560">
        <w:trPr>
          <w:trHeight w:val="281"/>
        </w:trPr>
        <w:tc>
          <w:tcPr>
            <w:tcW w:w="6828" w:type="dxa"/>
            <w:shd w:val="clear" w:color="auto" w:fill="FFFFFF" w:themeFill="background1"/>
          </w:tcPr>
          <w:p w14:paraId="4D42CC43" w14:textId="01FC28B9" w:rsidR="00B547C2" w:rsidRPr="00533CE0" w:rsidRDefault="0077533C" w:rsidP="00C25F1B">
            <w:pPr>
              <w:rPr>
                <w:rFonts w:cstheme="minorHAnsi"/>
              </w:rPr>
            </w:pPr>
            <w:r>
              <w:rPr>
                <w:rFonts w:cstheme="minorHAnsi"/>
              </w:rPr>
              <w:t>Brief description of the suitability for the assignment</w:t>
            </w:r>
          </w:p>
        </w:tc>
        <w:tc>
          <w:tcPr>
            <w:tcW w:w="990" w:type="dxa"/>
            <w:shd w:val="clear" w:color="auto" w:fill="FFFFFF" w:themeFill="background1"/>
            <w:vAlign w:val="center"/>
          </w:tcPr>
          <w:p w14:paraId="16A30CC5" w14:textId="77777777" w:rsidR="00B547C2" w:rsidRPr="00A20907" w:rsidRDefault="00B547C2" w:rsidP="00C25F1B">
            <w:pPr>
              <w:rPr>
                <w:rFonts w:cstheme="minorHAnsi"/>
                <w:lang w:val="mn-MN"/>
              </w:rPr>
            </w:pPr>
          </w:p>
        </w:tc>
        <w:tc>
          <w:tcPr>
            <w:tcW w:w="1350" w:type="dxa"/>
            <w:shd w:val="clear" w:color="auto" w:fill="FFFFFF" w:themeFill="background1"/>
            <w:vAlign w:val="center"/>
          </w:tcPr>
          <w:p w14:paraId="082DA0A9" w14:textId="77777777" w:rsidR="00B547C2" w:rsidRPr="00F744CF" w:rsidRDefault="00B547C2" w:rsidP="00C25F1B">
            <w:pPr>
              <w:rPr>
                <w:rFonts w:cstheme="minorHAnsi"/>
                <w:i/>
                <w:lang w:val="mn-MN"/>
              </w:rPr>
            </w:pPr>
            <w:r w:rsidRPr="00F744CF">
              <w:rPr>
                <w:rFonts w:cstheme="minorHAnsi"/>
                <w:i/>
                <w:lang w:val="mn-MN"/>
              </w:rPr>
              <w:t>[10]</w:t>
            </w:r>
          </w:p>
        </w:tc>
      </w:tr>
      <w:tr w:rsidR="00B547C2" w:rsidRPr="00A20907" w14:paraId="576786D6" w14:textId="77777777" w:rsidTr="00432560">
        <w:trPr>
          <w:trHeight w:val="263"/>
        </w:trPr>
        <w:tc>
          <w:tcPr>
            <w:tcW w:w="6828" w:type="dxa"/>
            <w:shd w:val="clear" w:color="auto" w:fill="FFFFFF" w:themeFill="background1"/>
          </w:tcPr>
          <w:p w14:paraId="177ECE91" w14:textId="591FBBF2" w:rsidR="00432560" w:rsidRPr="00533CE0" w:rsidRDefault="0077533C" w:rsidP="00C25F1B">
            <w:pPr>
              <w:rPr>
                <w:rFonts w:cstheme="minorHAnsi"/>
              </w:rPr>
            </w:pPr>
            <w:r>
              <w:rPr>
                <w:rFonts w:cstheme="minorHAnsi"/>
              </w:rPr>
              <w:t>Methodology and work approach</w:t>
            </w:r>
          </w:p>
        </w:tc>
        <w:tc>
          <w:tcPr>
            <w:tcW w:w="990" w:type="dxa"/>
            <w:shd w:val="clear" w:color="auto" w:fill="FFFFFF" w:themeFill="background1"/>
            <w:vAlign w:val="center"/>
          </w:tcPr>
          <w:p w14:paraId="76C74C3E" w14:textId="77777777" w:rsidR="00B547C2" w:rsidRPr="00A20907" w:rsidRDefault="00B547C2" w:rsidP="00C25F1B">
            <w:pPr>
              <w:rPr>
                <w:rFonts w:cstheme="minorHAnsi"/>
                <w:lang w:val="mn-MN"/>
              </w:rPr>
            </w:pPr>
          </w:p>
        </w:tc>
        <w:tc>
          <w:tcPr>
            <w:tcW w:w="1350" w:type="dxa"/>
            <w:shd w:val="clear" w:color="auto" w:fill="FFFFFF" w:themeFill="background1"/>
            <w:vAlign w:val="center"/>
          </w:tcPr>
          <w:p w14:paraId="56C4CFDF" w14:textId="77777777" w:rsidR="00B547C2" w:rsidRPr="00F744CF" w:rsidRDefault="00B547C2" w:rsidP="00C25F1B">
            <w:pPr>
              <w:rPr>
                <w:rFonts w:cstheme="minorHAnsi"/>
                <w:i/>
                <w:lang w:val="mn-MN"/>
              </w:rPr>
            </w:pPr>
            <w:r w:rsidRPr="00F744CF">
              <w:rPr>
                <w:rFonts w:cstheme="minorHAnsi"/>
                <w:i/>
                <w:lang w:val="mn-MN"/>
              </w:rPr>
              <w:t>[10]</w:t>
            </w:r>
          </w:p>
        </w:tc>
      </w:tr>
      <w:tr w:rsidR="00B547C2" w:rsidRPr="00A20907" w14:paraId="22EE1F7A" w14:textId="77777777" w:rsidTr="00A20907">
        <w:trPr>
          <w:trHeight w:val="454"/>
        </w:trPr>
        <w:tc>
          <w:tcPr>
            <w:tcW w:w="6828" w:type="dxa"/>
            <w:shd w:val="clear" w:color="auto" w:fill="FFFFFF" w:themeFill="background1"/>
            <w:vAlign w:val="center"/>
          </w:tcPr>
          <w:p w14:paraId="39AC9E01" w14:textId="77777777" w:rsidR="00B547C2" w:rsidRPr="00432560" w:rsidRDefault="00B547C2" w:rsidP="00C25F1B">
            <w:pPr>
              <w:rPr>
                <w:rFonts w:cstheme="minorHAnsi"/>
                <w:b/>
                <w:bCs/>
                <w:lang w:val="mn-MN"/>
              </w:rPr>
            </w:pPr>
            <w:r w:rsidRPr="00432560">
              <w:rPr>
                <w:rFonts w:cstheme="minorHAnsi"/>
                <w:b/>
                <w:bCs/>
                <w:lang w:val="mn-MN"/>
              </w:rPr>
              <w:t>Technical Score</w:t>
            </w:r>
          </w:p>
        </w:tc>
        <w:tc>
          <w:tcPr>
            <w:tcW w:w="990" w:type="dxa"/>
            <w:shd w:val="clear" w:color="auto" w:fill="FFFFFF" w:themeFill="background1"/>
            <w:vAlign w:val="center"/>
          </w:tcPr>
          <w:p w14:paraId="2E36532C" w14:textId="33207E6C" w:rsidR="00B547C2" w:rsidRPr="00ED49A1" w:rsidRDefault="00B547C2" w:rsidP="00C25F1B">
            <w:pPr>
              <w:rPr>
                <w:rFonts w:cstheme="minorHAnsi"/>
                <w:b/>
                <w:bCs/>
              </w:rPr>
            </w:pPr>
            <w:r w:rsidRPr="00432560">
              <w:rPr>
                <w:rFonts w:cstheme="minorHAnsi"/>
                <w:b/>
                <w:bCs/>
                <w:lang w:val="mn-MN"/>
              </w:rPr>
              <w:t>70</w:t>
            </w:r>
            <w:r w:rsidR="00ED49A1">
              <w:rPr>
                <w:rFonts w:cstheme="minorHAnsi"/>
                <w:b/>
                <w:bCs/>
              </w:rPr>
              <w:t>%</w:t>
            </w:r>
          </w:p>
        </w:tc>
        <w:tc>
          <w:tcPr>
            <w:tcW w:w="1350" w:type="dxa"/>
            <w:shd w:val="clear" w:color="auto" w:fill="FFFFFF" w:themeFill="background1"/>
            <w:vAlign w:val="center"/>
          </w:tcPr>
          <w:p w14:paraId="75218B69" w14:textId="77777777" w:rsidR="00B547C2" w:rsidRPr="00F744CF" w:rsidRDefault="00B547C2" w:rsidP="00C25F1B">
            <w:pPr>
              <w:rPr>
                <w:rFonts w:cstheme="minorHAnsi"/>
                <w:b/>
                <w:bCs/>
                <w:lang w:val="mn-MN"/>
              </w:rPr>
            </w:pPr>
            <w:r w:rsidRPr="00F744CF">
              <w:rPr>
                <w:rFonts w:cstheme="minorHAnsi"/>
                <w:b/>
                <w:bCs/>
                <w:lang w:val="mn-MN"/>
              </w:rPr>
              <w:t>100</w:t>
            </w:r>
          </w:p>
        </w:tc>
      </w:tr>
    </w:tbl>
    <w:p w14:paraId="78398F3B" w14:textId="284215D2" w:rsidR="00B547C2" w:rsidRDefault="00980BD8" w:rsidP="00C25F1B">
      <w:pPr>
        <w:spacing w:after="60" w:line="240" w:lineRule="auto"/>
        <w:rPr>
          <w:b/>
          <w:color w:val="0070C0"/>
        </w:rPr>
      </w:pPr>
      <w:r w:rsidRPr="00980BD8">
        <w:rPr>
          <w:b/>
          <w:color w:val="0070C0"/>
        </w:rPr>
        <w:t>Annex 1. Technical evaluation scoring guide</w:t>
      </w:r>
    </w:p>
    <w:p w14:paraId="246C6AC0" w14:textId="1CBB7BF3" w:rsidR="0009241B" w:rsidRDefault="0009241B" w:rsidP="00C25F1B">
      <w:pPr>
        <w:spacing w:after="60" w:line="240" w:lineRule="auto"/>
        <w:rPr>
          <w:b/>
          <w:color w:val="0070C0"/>
        </w:rPr>
      </w:pPr>
    </w:p>
    <w:p w14:paraId="5F8EE088" w14:textId="0748B7A6" w:rsidR="003037F6" w:rsidRDefault="003037F6" w:rsidP="00C25F1B">
      <w:pPr>
        <w:spacing w:after="60" w:line="240" w:lineRule="auto"/>
        <w:rPr>
          <w:b/>
          <w:color w:val="0070C0"/>
        </w:rPr>
      </w:pPr>
    </w:p>
    <w:p w14:paraId="0BBA008C" w14:textId="47AF8D24" w:rsidR="003037F6" w:rsidRPr="00980BD8" w:rsidRDefault="003037F6" w:rsidP="003037F6">
      <w:pPr>
        <w:spacing w:after="60" w:line="240" w:lineRule="auto"/>
        <w:rPr>
          <w:b/>
          <w:color w:val="0070C0"/>
        </w:rPr>
      </w:pPr>
    </w:p>
    <w:sectPr w:rsidR="003037F6" w:rsidRPr="00980BD8" w:rsidSect="00443E94">
      <w:footerReference w:type="default" r:id="rId1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02A2A" w14:textId="77777777" w:rsidR="006C7470" w:rsidRDefault="006C7470" w:rsidP="00A24134">
      <w:pPr>
        <w:spacing w:after="0" w:line="240" w:lineRule="auto"/>
      </w:pPr>
      <w:r>
        <w:separator/>
      </w:r>
    </w:p>
  </w:endnote>
  <w:endnote w:type="continuationSeparator" w:id="0">
    <w:p w14:paraId="0B3833BD" w14:textId="77777777" w:rsidR="006C7470" w:rsidRDefault="006C7470"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007" w:usb1="00000000" w:usb2="00000000" w:usb3="00000000" w:csb0="00000093" w:csb1="00000000"/>
  </w:font>
  <w:font w:name="Now">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750509"/>
      <w:docPartObj>
        <w:docPartGallery w:val="Page Numbers (Bottom of Page)"/>
        <w:docPartUnique/>
      </w:docPartObj>
    </w:sdtPr>
    <w:sdtEndPr>
      <w:rPr>
        <w:noProof/>
      </w:rPr>
    </w:sdtEndPr>
    <w:sdtContent>
      <w:p w14:paraId="110474E2" w14:textId="77777777" w:rsidR="00200F94" w:rsidRDefault="00200F9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304ADA2" w14:textId="77777777" w:rsidR="00200F94" w:rsidRDefault="00200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7C272" w14:textId="77777777" w:rsidR="006C7470" w:rsidRDefault="006C7470" w:rsidP="00A24134">
      <w:pPr>
        <w:spacing w:after="0" w:line="240" w:lineRule="auto"/>
      </w:pPr>
      <w:r>
        <w:separator/>
      </w:r>
    </w:p>
  </w:footnote>
  <w:footnote w:type="continuationSeparator" w:id="0">
    <w:p w14:paraId="66647933" w14:textId="77777777" w:rsidR="006C7470" w:rsidRDefault="006C7470" w:rsidP="00A24134">
      <w:pPr>
        <w:spacing w:after="0" w:line="240" w:lineRule="auto"/>
      </w:pPr>
      <w:r>
        <w:continuationSeparator/>
      </w:r>
    </w:p>
  </w:footnote>
  <w:footnote w:id="1">
    <w:p w14:paraId="59CB2964" w14:textId="77777777" w:rsidR="002F6DC5" w:rsidRPr="007F20F3" w:rsidRDefault="002F6DC5" w:rsidP="002F6DC5">
      <w:pPr>
        <w:pStyle w:val="FootnoteText"/>
        <w:rPr>
          <w:sz w:val="20"/>
          <w:szCs w:val="16"/>
        </w:rPr>
      </w:pPr>
      <w:r w:rsidRPr="007F20F3">
        <w:rPr>
          <w:rStyle w:val="FootnoteReference"/>
          <w:sz w:val="20"/>
          <w:szCs w:val="16"/>
        </w:rPr>
        <w:footnoteRef/>
      </w:r>
      <w:r w:rsidRPr="007F20F3">
        <w:rPr>
          <w:sz w:val="20"/>
          <w:szCs w:val="16"/>
        </w:rPr>
        <w:t xml:space="preserve"> UNDP, Integrated Financing Solutions: How countries around the world are innovating to finance the SDGs, </w:t>
      </w:r>
      <w:hyperlink r:id="rId1" w:history="1">
        <w:r w:rsidRPr="007F20F3">
          <w:rPr>
            <w:rStyle w:val="Hyperlink"/>
            <w:sz w:val="20"/>
            <w:szCs w:val="16"/>
          </w:rPr>
          <w:t>https://v2.sdgfin.org/knowledge-hub/publications/</w:t>
        </w:r>
      </w:hyperlink>
    </w:p>
  </w:footnote>
  <w:footnote w:id="2">
    <w:p w14:paraId="61FFC7D4" w14:textId="77777777" w:rsidR="002F6DC5" w:rsidRPr="00630B13" w:rsidRDefault="002F6DC5" w:rsidP="002F6DC5">
      <w:pPr>
        <w:pStyle w:val="FootnoteText"/>
      </w:pPr>
      <w:r w:rsidRPr="007F20F3">
        <w:rPr>
          <w:rStyle w:val="FootnoteReference"/>
          <w:sz w:val="20"/>
          <w:szCs w:val="16"/>
        </w:rPr>
        <w:footnoteRef/>
      </w:r>
      <w:r w:rsidRPr="007F20F3">
        <w:rPr>
          <w:sz w:val="20"/>
          <w:szCs w:val="16"/>
        </w:rPr>
        <w:t xml:space="preserve"> </w:t>
      </w:r>
      <w:hyperlink r:id="rId2" w:history="1">
        <w:r w:rsidRPr="007F20F3">
          <w:rPr>
            <w:rStyle w:val="Hyperlink"/>
            <w:sz w:val="20"/>
            <w:szCs w:val="16"/>
          </w:rPr>
          <w:t>https://developmentfinance.un.org/sites/developmentfinance.un.org/files/INFF%20Guidance_ Inception%20Phase%20Module_Working%20Draft_20-January-2020.pdf</w:t>
        </w:r>
      </w:hyperlink>
      <w:r w:rsidRPr="007F20F3">
        <w:rPr>
          <w:sz w:val="20"/>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6CF1"/>
    <w:multiLevelType w:val="multilevel"/>
    <w:tmpl w:val="4C20E680"/>
    <w:lvl w:ilvl="0">
      <w:start w:val="1"/>
      <w:numFmt w:val="lowerLetter"/>
      <w:lvlText w:val="%1)"/>
      <w:lvlJc w:val="left"/>
      <w:pPr>
        <w:tabs>
          <w:tab w:val="num" w:pos="360"/>
        </w:tabs>
        <w:ind w:left="360" w:hanging="360"/>
      </w:pPr>
      <w:rPr>
        <w:rFonts w:hint="default"/>
        <w:sz w:val="22"/>
      </w:rPr>
    </w:lvl>
    <w:lvl w:ilvl="1">
      <w:start w:val="50"/>
      <w:numFmt w:val="bullet"/>
      <w:lvlText w:val="-"/>
      <w:lvlJc w:val="left"/>
      <w:pPr>
        <w:ind w:left="1080" w:hanging="360"/>
      </w:pPr>
      <w:rPr>
        <w:rFonts w:ascii="Calibri" w:eastAsiaTheme="minorHAnsi" w:hAnsi="Calibri" w:cs="Calibri" w:hint="default"/>
      </w:rPr>
    </w:lvl>
    <w:lvl w:ilvl="2">
      <w:start w:val="1"/>
      <w:numFmt w:val="decimal"/>
      <w:lvlText w:val="%3."/>
      <w:lvlJc w:val="left"/>
      <w:pPr>
        <w:ind w:left="1800" w:hanging="360"/>
      </w:pPr>
      <w:rPr>
        <w:rFonts w:eastAsiaTheme="minorHAnsi" w:cs="Arial"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A527FA5"/>
    <w:multiLevelType w:val="hybridMultilevel"/>
    <w:tmpl w:val="58A8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477F9"/>
    <w:multiLevelType w:val="hybridMultilevel"/>
    <w:tmpl w:val="A844BF84"/>
    <w:lvl w:ilvl="0" w:tplc="083A1786">
      <w:start w:val="100"/>
      <w:numFmt w:val="bullet"/>
      <w:lvlText w:val="-"/>
      <w:lvlJc w:val="left"/>
      <w:pPr>
        <w:ind w:left="360" w:hanging="360"/>
      </w:pPr>
      <w:rPr>
        <w:rFonts w:ascii="Calibri" w:eastAsiaTheme="minorHAnsi" w:hAnsi="Calibri" w:cs="Calibri"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E916346"/>
    <w:multiLevelType w:val="hybridMultilevel"/>
    <w:tmpl w:val="7AFA4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C4229E"/>
    <w:multiLevelType w:val="hybridMultilevel"/>
    <w:tmpl w:val="92F4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93751"/>
    <w:multiLevelType w:val="hybridMultilevel"/>
    <w:tmpl w:val="E47284AC"/>
    <w:lvl w:ilvl="0" w:tplc="6C1E2C2C">
      <w:start w:val="1"/>
      <w:numFmt w:val="decimal"/>
      <w:lvlText w:val="%1."/>
      <w:lvlJc w:val="left"/>
      <w:pPr>
        <w:ind w:left="360" w:hanging="360"/>
      </w:pPr>
      <w:rPr>
        <w:rFonts w:hint="default"/>
        <w:b/>
      </w:rPr>
    </w:lvl>
    <w:lvl w:ilvl="1" w:tplc="F2125A46">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221631"/>
    <w:multiLevelType w:val="hybridMultilevel"/>
    <w:tmpl w:val="66F4FFC4"/>
    <w:lvl w:ilvl="0" w:tplc="04500001">
      <w:start w:val="1"/>
      <w:numFmt w:val="bullet"/>
      <w:lvlText w:val=""/>
      <w:lvlJc w:val="left"/>
      <w:pPr>
        <w:ind w:left="720" w:hanging="360"/>
      </w:pPr>
      <w:rPr>
        <w:rFonts w:ascii="Symbol" w:hAnsi="Symbol"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7" w15:restartNumberingAfterBreak="0">
    <w:nsid w:val="2BDC5209"/>
    <w:multiLevelType w:val="hybridMultilevel"/>
    <w:tmpl w:val="C832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80FDC"/>
    <w:multiLevelType w:val="multilevel"/>
    <w:tmpl w:val="3DC89DDC"/>
    <w:lvl w:ilvl="0">
      <w:start w:val="100"/>
      <w:numFmt w:val="bullet"/>
      <w:lvlText w:val="-"/>
      <w:lvlJc w:val="left"/>
      <w:pPr>
        <w:tabs>
          <w:tab w:val="num" w:pos="360"/>
        </w:tabs>
        <w:ind w:left="360" w:hanging="360"/>
      </w:pPr>
      <w:rPr>
        <w:rFonts w:ascii="Calibri" w:eastAsiaTheme="minorHAnsi" w:hAnsi="Calibri" w:cs="Calibri" w:hint="default"/>
        <w:sz w:val="22"/>
      </w:rPr>
    </w:lvl>
    <w:lvl w:ilvl="1">
      <w:start w:val="50"/>
      <w:numFmt w:val="bullet"/>
      <w:lvlText w:val="-"/>
      <w:lvlJc w:val="left"/>
      <w:pPr>
        <w:ind w:left="1080" w:hanging="360"/>
      </w:pPr>
      <w:rPr>
        <w:rFonts w:ascii="Calibri" w:eastAsiaTheme="minorHAnsi" w:hAnsi="Calibri" w:cs="Calibri" w:hint="default"/>
      </w:rPr>
    </w:lvl>
    <w:lvl w:ilvl="2">
      <w:start w:val="1"/>
      <w:numFmt w:val="decimal"/>
      <w:lvlText w:val="%3."/>
      <w:lvlJc w:val="left"/>
      <w:pPr>
        <w:ind w:left="1800" w:hanging="360"/>
      </w:pPr>
      <w:rPr>
        <w:rFonts w:eastAsiaTheme="minorHAnsi" w:cs="Arial"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419333C"/>
    <w:multiLevelType w:val="hybridMultilevel"/>
    <w:tmpl w:val="99CC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23E81"/>
    <w:multiLevelType w:val="hybridMultilevel"/>
    <w:tmpl w:val="1B1A07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FF4862"/>
    <w:multiLevelType w:val="hybridMultilevel"/>
    <w:tmpl w:val="EFE82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9147DD"/>
    <w:multiLevelType w:val="hybridMultilevel"/>
    <w:tmpl w:val="763691F0"/>
    <w:lvl w:ilvl="0" w:tplc="8F08CF8A">
      <w:start w:val="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F724CF"/>
    <w:multiLevelType w:val="hybridMultilevel"/>
    <w:tmpl w:val="E446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3A4161"/>
    <w:multiLevelType w:val="hybridMultilevel"/>
    <w:tmpl w:val="E17838AE"/>
    <w:lvl w:ilvl="0" w:tplc="083A1786">
      <w:start w:val="100"/>
      <w:numFmt w:val="bullet"/>
      <w:lvlText w:val="-"/>
      <w:lvlJc w:val="left"/>
      <w:pPr>
        <w:ind w:left="720" w:hanging="360"/>
      </w:pPr>
      <w:rPr>
        <w:rFonts w:ascii="Calibri" w:eastAsiaTheme="minorHAnsi" w:hAnsi="Calibri"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1124E"/>
    <w:multiLevelType w:val="hybridMultilevel"/>
    <w:tmpl w:val="3704F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6713A8"/>
    <w:multiLevelType w:val="hybridMultilevel"/>
    <w:tmpl w:val="26F4B7A6"/>
    <w:lvl w:ilvl="0" w:tplc="B93CC6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E18F8"/>
    <w:multiLevelType w:val="hybridMultilevel"/>
    <w:tmpl w:val="0A969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C866480"/>
    <w:multiLevelType w:val="hybridMultilevel"/>
    <w:tmpl w:val="68421776"/>
    <w:lvl w:ilvl="0" w:tplc="746E3614">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num w:numId="1">
    <w:abstractNumId w:val="11"/>
  </w:num>
  <w:num w:numId="2">
    <w:abstractNumId w:val="3"/>
  </w:num>
  <w:num w:numId="3">
    <w:abstractNumId w:val="19"/>
  </w:num>
  <w:num w:numId="4">
    <w:abstractNumId w:val="7"/>
  </w:num>
  <w:num w:numId="5">
    <w:abstractNumId w:val="9"/>
  </w:num>
  <w:num w:numId="6">
    <w:abstractNumId w:val="18"/>
  </w:num>
  <w:num w:numId="7">
    <w:abstractNumId w:val="12"/>
  </w:num>
  <w:num w:numId="8">
    <w:abstractNumId w:val="16"/>
  </w:num>
  <w:num w:numId="9">
    <w:abstractNumId w:val="8"/>
  </w:num>
  <w:num w:numId="10">
    <w:abstractNumId w:val="1"/>
  </w:num>
  <w:num w:numId="11">
    <w:abstractNumId w:val="13"/>
  </w:num>
  <w:num w:numId="12">
    <w:abstractNumId w:val="0"/>
  </w:num>
  <w:num w:numId="13">
    <w:abstractNumId w:val="15"/>
  </w:num>
  <w:num w:numId="14">
    <w:abstractNumId w:val="2"/>
  </w:num>
  <w:num w:numId="15">
    <w:abstractNumId w:val="5"/>
  </w:num>
  <w:num w:numId="16">
    <w:abstractNumId w:val="4"/>
  </w:num>
  <w:num w:numId="17">
    <w:abstractNumId w:val="6"/>
  </w:num>
  <w:num w:numId="18">
    <w:abstractNumId w:val="10"/>
  </w:num>
  <w:num w:numId="19">
    <w:abstractNumId w:val="14"/>
  </w:num>
  <w:num w:numId="2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22"/>
    <w:rsid w:val="00007149"/>
    <w:rsid w:val="0001012F"/>
    <w:rsid w:val="00044305"/>
    <w:rsid w:val="00057DA8"/>
    <w:rsid w:val="00086485"/>
    <w:rsid w:val="0009241B"/>
    <w:rsid w:val="00093C0F"/>
    <w:rsid w:val="000964DE"/>
    <w:rsid w:val="000A36AD"/>
    <w:rsid w:val="000B1806"/>
    <w:rsid w:val="000C5E11"/>
    <w:rsid w:val="000E2C6B"/>
    <w:rsid w:val="000E45E5"/>
    <w:rsid w:val="000F13D6"/>
    <w:rsid w:val="00103276"/>
    <w:rsid w:val="00110E35"/>
    <w:rsid w:val="00134A66"/>
    <w:rsid w:val="001473B3"/>
    <w:rsid w:val="00160B1C"/>
    <w:rsid w:val="0016713D"/>
    <w:rsid w:val="001734A9"/>
    <w:rsid w:val="00180DF8"/>
    <w:rsid w:val="001A0DCE"/>
    <w:rsid w:val="001A7DD4"/>
    <w:rsid w:val="001B6EFA"/>
    <w:rsid w:val="001C3CD7"/>
    <w:rsid w:val="001C7F34"/>
    <w:rsid w:val="001D5750"/>
    <w:rsid w:val="001D755F"/>
    <w:rsid w:val="001E12C7"/>
    <w:rsid w:val="001E30BA"/>
    <w:rsid w:val="001F66FB"/>
    <w:rsid w:val="00200F94"/>
    <w:rsid w:val="00204FE3"/>
    <w:rsid w:val="00205862"/>
    <w:rsid w:val="00207BDB"/>
    <w:rsid w:val="00215866"/>
    <w:rsid w:val="002165F8"/>
    <w:rsid w:val="002223E0"/>
    <w:rsid w:val="00237A1D"/>
    <w:rsid w:val="00244896"/>
    <w:rsid w:val="002544E1"/>
    <w:rsid w:val="0025483C"/>
    <w:rsid w:val="00262B62"/>
    <w:rsid w:val="002A1486"/>
    <w:rsid w:val="002A5FB9"/>
    <w:rsid w:val="002B1236"/>
    <w:rsid w:val="002B197A"/>
    <w:rsid w:val="002B1F49"/>
    <w:rsid w:val="002C18C1"/>
    <w:rsid w:val="002D6250"/>
    <w:rsid w:val="002F6DC5"/>
    <w:rsid w:val="002F799A"/>
    <w:rsid w:val="003037F6"/>
    <w:rsid w:val="00306053"/>
    <w:rsid w:val="00313905"/>
    <w:rsid w:val="00326216"/>
    <w:rsid w:val="0033411B"/>
    <w:rsid w:val="00344746"/>
    <w:rsid w:val="00352A9E"/>
    <w:rsid w:val="00353778"/>
    <w:rsid w:val="00355544"/>
    <w:rsid w:val="00375461"/>
    <w:rsid w:val="003754C3"/>
    <w:rsid w:val="00380014"/>
    <w:rsid w:val="003812A9"/>
    <w:rsid w:val="00382220"/>
    <w:rsid w:val="003836C0"/>
    <w:rsid w:val="003870B3"/>
    <w:rsid w:val="0039261A"/>
    <w:rsid w:val="003A22D4"/>
    <w:rsid w:val="003B0C3C"/>
    <w:rsid w:val="003E46DE"/>
    <w:rsid w:val="003E53FF"/>
    <w:rsid w:val="003E7545"/>
    <w:rsid w:val="003F0258"/>
    <w:rsid w:val="00424870"/>
    <w:rsid w:val="00432027"/>
    <w:rsid w:val="00432560"/>
    <w:rsid w:val="00436C30"/>
    <w:rsid w:val="00440ECE"/>
    <w:rsid w:val="00443E94"/>
    <w:rsid w:val="00462CB5"/>
    <w:rsid w:val="004758AA"/>
    <w:rsid w:val="004A2B79"/>
    <w:rsid w:val="004D3F24"/>
    <w:rsid w:val="004D6E73"/>
    <w:rsid w:val="004E4D64"/>
    <w:rsid w:val="004F74DD"/>
    <w:rsid w:val="005011FB"/>
    <w:rsid w:val="0050135D"/>
    <w:rsid w:val="00505747"/>
    <w:rsid w:val="00507755"/>
    <w:rsid w:val="00515A37"/>
    <w:rsid w:val="00533CE0"/>
    <w:rsid w:val="00534A6C"/>
    <w:rsid w:val="00537834"/>
    <w:rsid w:val="00553D88"/>
    <w:rsid w:val="0055590F"/>
    <w:rsid w:val="00561D24"/>
    <w:rsid w:val="00573303"/>
    <w:rsid w:val="005844A9"/>
    <w:rsid w:val="005849A9"/>
    <w:rsid w:val="005A6F3E"/>
    <w:rsid w:val="005B038A"/>
    <w:rsid w:val="005F1B65"/>
    <w:rsid w:val="005F61A1"/>
    <w:rsid w:val="00602280"/>
    <w:rsid w:val="00623392"/>
    <w:rsid w:val="00627610"/>
    <w:rsid w:val="00633FB4"/>
    <w:rsid w:val="0063524A"/>
    <w:rsid w:val="00635665"/>
    <w:rsid w:val="0064790D"/>
    <w:rsid w:val="0065710B"/>
    <w:rsid w:val="0066748C"/>
    <w:rsid w:val="00676AD5"/>
    <w:rsid w:val="00681654"/>
    <w:rsid w:val="0069373F"/>
    <w:rsid w:val="006B5074"/>
    <w:rsid w:val="006C41C9"/>
    <w:rsid w:val="006C491D"/>
    <w:rsid w:val="006C560E"/>
    <w:rsid w:val="006C7470"/>
    <w:rsid w:val="006E1090"/>
    <w:rsid w:val="0070125A"/>
    <w:rsid w:val="00707600"/>
    <w:rsid w:val="0071544A"/>
    <w:rsid w:val="00721950"/>
    <w:rsid w:val="00722F8B"/>
    <w:rsid w:val="007354EA"/>
    <w:rsid w:val="00736AF2"/>
    <w:rsid w:val="007650C2"/>
    <w:rsid w:val="007703AA"/>
    <w:rsid w:val="0077533C"/>
    <w:rsid w:val="00784C8D"/>
    <w:rsid w:val="007879FD"/>
    <w:rsid w:val="00795508"/>
    <w:rsid w:val="0079690F"/>
    <w:rsid w:val="007A22F4"/>
    <w:rsid w:val="007C17BF"/>
    <w:rsid w:val="007C3987"/>
    <w:rsid w:val="007C4235"/>
    <w:rsid w:val="007C5D61"/>
    <w:rsid w:val="007D382E"/>
    <w:rsid w:val="007D4EE8"/>
    <w:rsid w:val="007E4F76"/>
    <w:rsid w:val="007F20F3"/>
    <w:rsid w:val="00810FC3"/>
    <w:rsid w:val="00816B78"/>
    <w:rsid w:val="00834D1A"/>
    <w:rsid w:val="0083711D"/>
    <w:rsid w:val="00837F09"/>
    <w:rsid w:val="008423D2"/>
    <w:rsid w:val="00845D55"/>
    <w:rsid w:val="008505C2"/>
    <w:rsid w:val="00860402"/>
    <w:rsid w:val="00870D96"/>
    <w:rsid w:val="00872452"/>
    <w:rsid w:val="0088263E"/>
    <w:rsid w:val="00882780"/>
    <w:rsid w:val="008A0260"/>
    <w:rsid w:val="008A3723"/>
    <w:rsid w:val="008A4E69"/>
    <w:rsid w:val="008A6F73"/>
    <w:rsid w:val="008B33D2"/>
    <w:rsid w:val="008C2A6B"/>
    <w:rsid w:val="008C4A62"/>
    <w:rsid w:val="008C5A62"/>
    <w:rsid w:val="008E21EC"/>
    <w:rsid w:val="008E6897"/>
    <w:rsid w:val="009025E3"/>
    <w:rsid w:val="00920512"/>
    <w:rsid w:val="00920683"/>
    <w:rsid w:val="009220A0"/>
    <w:rsid w:val="009249BC"/>
    <w:rsid w:val="009353F0"/>
    <w:rsid w:val="00944F40"/>
    <w:rsid w:val="0094779C"/>
    <w:rsid w:val="009723CE"/>
    <w:rsid w:val="0097300D"/>
    <w:rsid w:val="00975404"/>
    <w:rsid w:val="00980BD8"/>
    <w:rsid w:val="009912B9"/>
    <w:rsid w:val="00993991"/>
    <w:rsid w:val="00993E07"/>
    <w:rsid w:val="009B0847"/>
    <w:rsid w:val="009B4815"/>
    <w:rsid w:val="009C0FB8"/>
    <w:rsid w:val="009C5FF1"/>
    <w:rsid w:val="009D0092"/>
    <w:rsid w:val="009E2B22"/>
    <w:rsid w:val="009F0CB6"/>
    <w:rsid w:val="009F4488"/>
    <w:rsid w:val="00A030A0"/>
    <w:rsid w:val="00A058E0"/>
    <w:rsid w:val="00A20907"/>
    <w:rsid w:val="00A24134"/>
    <w:rsid w:val="00A359AD"/>
    <w:rsid w:val="00A51602"/>
    <w:rsid w:val="00A6378C"/>
    <w:rsid w:val="00A6756E"/>
    <w:rsid w:val="00A71CCD"/>
    <w:rsid w:val="00A83454"/>
    <w:rsid w:val="00A84AEE"/>
    <w:rsid w:val="00A93862"/>
    <w:rsid w:val="00A93E21"/>
    <w:rsid w:val="00AA4872"/>
    <w:rsid w:val="00AA76B6"/>
    <w:rsid w:val="00AC6F4C"/>
    <w:rsid w:val="00AC74BD"/>
    <w:rsid w:val="00AC7B26"/>
    <w:rsid w:val="00AD1E74"/>
    <w:rsid w:val="00AD59BB"/>
    <w:rsid w:val="00AE452B"/>
    <w:rsid w:val="00AE57C9"/>
    <w:rsid w:val="00AF3C0C"/>
    <w:rsid w:val="00AF4ACF"/>
    <w:rsid w:val="00AF6929"/>
    <w:rsid w:val="00AF75FB"/>
    <w:rsid w:val="00B02ED1"/>
    <w:rsid w:val="00B036DD"/>
    <w:rsid w:val="00B2445F"/>
    <w:rsid w:val="00B422D4"/>
    <w:rsid w:val="00B438A3"/>
    <w:rsid w:val="00B446B4"/>
    <w:rsid w:val="00B547C2"/>
    <w:rsid w:val="00B60FD8"/>
    <w:rsid w:val="00B63865"/>
    <w:rsid w:val="00B6513C"/>
    <w:rsid w:val="00B8792F"/>
    <w:rsid w:val="00B879BD"/>
    <w:rsid w:val="00BC1EF2"/>
    <w:rsid w:val="00BD4B55"/>
    <w:rsid w:val="00C06337"/>
    <w:rsid w:val="00C22E07"/>
    <w:rsid w:val="00C25F1B"/>
    <w:rsid w:val="00C303B6"/>
    <w:rsid w:val="00C34025"/>
    <w:rsid w:val="00C54DBD"/>
    <w:rsid w:val="00C62F49"/>
    <w:rsid w:val="00C6393A"/>
    <w:rsid w:val="00C64099"/>
    <w:rsid w:val="00C93D5C"/>
    <w:rsid w:val="00CB20F6"/>
    <w:rsid w:val="00CB61D3"/>
    <w:rsid w:val="00CC416D"/>
    <w:rsid w:val="00CC740F"/>
    <w:rsid w:val="00CD1F90"/>
    <w:rsid w:val="00CD7A0B"/>
    <w:rsid w:val="00CF4708"/>
    <w:rsid w:val="00CF522C"/>
    <w:rsid w:val="00D01367"/>
    <w:rsid w:val="00D076A2"/>
    <w:rsid w:val="00D124AB"/>
    <w:rsid w:val="00D166B1"/>
    <w:rsid w:val="00D17475"/>
    <w:rsid w:val="00D236E3"/>
    <w:rsid w:val="00D23FE6"/>
    <w:rsid w:val="00D2659A"/>
    <w:rsid w:val="00D26DC2"/>
    <w:rsid w:val="00D32236"/>
    <w:rsid w:val="00D63B6C"/>
    <w:rsid w:val="00D83313"/>
    <w:rsid w:val="00D92FCE"/>
    <w:rsid w:val="00D944E4"/>
    <w:rsid w:val="00DA646F"/>
    <w:rsid w:val="00DB0EB6"/>
    <w:rsid w:val="00DB77DD"/>
    <w:rsid w:val="00DB7F57"/>
    <w:rsid w:val="00DC1C05"/>
    <w:rsid w:val="00DC4FAA"/>
    <w:rsid w:val="00DC705D"/>
    <w:rsid w:val="00DD3BA3"/>
    <w:rsid w:val="00DE1432"/>
    <w:rsid w:val="00DE7857"/>
    <w:rsid w:val="00DF6E8F"/>
    <w:rsid w:val="00DF73B6"/>
    <w:rsid w:val="00E05A57"/>
    <w:rsid w:val="00E1795F"/>
    <w:rsid w:val="00E21DD0"/>
    <w:rsid w:val="00E220A1"/>
    <w:rsid w:val="00E26221"/>
    <w:rsid w:val="00E2763D"/>
    <w:rsid w:val="00E37BBA"/>
    <w:rsid w:val="00E430E5"/>
    <w:rsid w:val="00E47A83"/>
    <w:rsid w:val="00E515CB"/>
    <w:rsid w:val="00E56341"/>
    <w:rsid w:val="00E662CA"/>
    <w:rsid w:val="00E71B41"/>
    <w:rsid w:val="00E83024"/>
    <w:rsid w:val="00E8310E"/>
    <w:rsid w:val="00E90323"/>
    <w:rsid w:val="00E94857"/>
    <w:rsid w:val="00E9620E"/>
    <w:rsid w:val="00EA2915"/>
    <w:rsid w:val="00EA50D0"/>
    <w:rsid w:val="00EA697D"/>
    <w:rsid w:val="00EC70F7"/>
    <w:rsid w:val="00ED49A1"/>
    <w:rsid w:val="00ED649B"/>
    <w:rsid w:val="00EE3A88"/>
    <w:rsid w:val="00EE71CF"/>
    <w:rsid w:val="00F043FE"/>
    <w:rsid w:val="00F13F5F"/>
    <w:rsid w:val="00F23553"/>
    <w:rsid w:val="00F3274E"/>
    <w:rsid w:val="00F40EEB"/>
    <w:rsid w:val="00F53128"/>
    <w:rsid w:val="00F63F70"/>
    <w:rsid w:val="00F662A3"/>
    <w:rsid w:val="00F744CF"/>
    <w:rsid w:val="00F7753E"/>
    <w:rsid w:val="00F85F0B"/>
    <w:rsid w:val="00F9130D"/>
    <w:rsid w:val="00F918E6"/>
    <w:rsid w:val="00F92521"/>
    <w:rsid w:val="00F93118"/>
    <w:rsid w:val="00F957FF"/>
    <w:rsid w:val="00FB0B83"/>
    <w:rsid w:val="00FC0641"/>
    <w:rsid w:val="00FD222D"/>
    <w:rsid w:val="00FE7C9D"/>
    <w:rsid w:val="00FF06FE"/>
    <w:rsid w:val="00FF0CD6"/>
    <w:rsid w:val="00FF2D1B"/>
    <w:rsid w:val="00FF327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1EB6B"/>
  <w15:docId w15:val="{87720A65-AF69-4342-BBE9-CFBE28C7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 Paragraph (numbered (a)),References,WB List Paragraph,Dot pt,F5 List Paragraph,List Paragraph1,No Spacing1,List Paragraph Char Char Char,Indicator Text,Numbered Para 1,Colorful List - Accent 11,Bullet 1,Bullet Points,Párrafo de lista"/>
    <w:basedOn w:val="Normal"/>
    <w:link w:val="ListParagraphChar"/>
    <w:uiPriority w:val="34"/>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4_G,Footnotes refss,Footnote Refernece"/>
    <w:basedOn w:val="DefaultParagraphFont"/>
    <w:uiPriority w:val="99"/>
    <w:rsid w:val="000A36AD"/>
    <w:rPr>
      <w:vertAlign w:val="superscript"/>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5_G"/>
    <w:basedOn w:val="Normal"/>
    <w:link w:val="FootnoteTextChar"/>
    <w:uiPriority w:val="99"/>
    <w:qFormat/>
    <w:rsid w:val="000A36A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0A36AD"/>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F3274E"/>
    <w:rPr>
      <w:color w:val="800080" w:themeColor="followedHyperlink"/>
      <w:u w:val="single"/>
    </w:rPr>
  </w:style>
  <w:style w:type="paragraph" w:customStyle="1" w:styleId="Default">
    <w:name w:val="Default"/>
    <w:rsid w:val="00B547C2"/>
    <w:pPr>
      <w:autoSpaceDE w:val="0"/>
      <w:autoSpaceDN w:val="0"/>
      <w:adjustRightInd w:val="0"/>
      <w:spacing w:after="0" w:line="240" w:lineRule="auto"/>
    </w:pPr>
    <w:rPr>
      <w:rFonts w:ascii="Now" w:hAnsi="Now" w:cs="Now"/>
      <w:color w:val="000000"/>
      <w:sz w:val="24"/>
      <w:szCs w:val="24"/>
    </w:rPr>
  </w:style>
  <w:style w:type="paragraph" w:customStyle="1" w:styleId="Pa10">
    <w:name w:val="Pa10"/>
    <w:basedOn w:val="Default"/>
    <w:next w:val="Default"/>
    <w:uiPriority w:val="99"/>
    <w:rsid w:val="00B547C2"/>
    <w:pPr>
      <w:spacing w:line="201" w:lineRule="atLeast"/>
    </w:pPr>
    <w:rPr>
      <w:rFonts w:cstheme="minorBidi"/>
      <w:color w:val="auto"/>
    </w:rPr>
  </w:style>
  <w:style w:type="character" w:styleId="UnresolvedMention">
    <w:name w:val="Unresolved Mention"/>
    <w:basedOn w:val="DefaultParagraphFont"/>
    <w:uiPriority w:val="99"/>
    <w:semiHidden/>
    <w:unhideWhenUsed/>
    <w:rsid w:val="0066748C"/>
    <w:rPr>
      <w:color w:val="605E5C"/>
      <w:shd w:val="clear" w:color="auto" w:fill="E1DFDD"/>
    </w:rPr>
  </w:style>
  <w:style w:type="character" w:customStyle="1" w:styleId="ListParagraphChar">
    <w:name w:val="List Paragraph Char"/>
    <w:aliases w:val="List Paragraph (numbered (a)) Char,References Char,WB List Paragraph Char,Dot pt Char,F5 List Paragraph Char,List Paragraph1 Char,No Spacing1 Char,List Paragraph Char Char Char Char,Indicator Text Char,Numbered Para 1 Char"/>
    <w:link w:val="ListParagraph"/>
    <w:uiPriority w:val="34"/>
    <w:qFormat/>
    <w:rsid w:val="00D32236"/>
  </w:style>
  <w:style w:type="paragraph" w:styleId="NoSpacing">
    <w:name w:val="No Spacing"/>
    <w:link w:val="NoSpacingChar"/>
    <w:uiPriority w:val="1"/>
    <w:qFormat/>
    <w:rsid w:val="00D124AB"/>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rsid w:val="00D124AB"/>
    <w:rPr>
      <w:rFonts w:ascii="Times New Roman" w:eastAsia="Times New Roman" w:hAnsi="Times New Roman" w:cs="Times New Roman"/>
      <w:sz w:val="20"/>
      <w:szCs w:val="20"/>
    </w:rPr>
  </w:style>
  <w:style w:type="table" w:styleId="GridTable1Light">
    <w:name w:val="Grid Table 1 Light"/>
    <w:basedOn w:val="TableNormal"/>
    <w:uiPriority w:val="46"/>
    <w:rsid w:val="00C303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3360">
      <w:bodyDiv w:val="1"/>
      <w:marLeft w:val="0"/>
      <w:marRight w:val="0"/>
      <w:marTop w:val="0"/>
      <w:marBottom w:val="0"/>
      <w:divBdr>
        <w:top w:val="none" w:sz="0" w:space="0" w:color="auto"/>
        <w:left w:val="none" w:sz="0" w:space="0" w:color="auto"/>
        <w:bottom w:val="none" w:sz="0" w:space="0" w:color="auto"/>
        <w:right w:val="none" w:sz="0" w:space="0" w:color="auto"/>
      </w:divBdr>
    </w:div>
    <w:div w:id="390076983">
      <w:bodyDiv w:val="1"/>
      <w:marLeft w:val="0"/>
      <w:marRight w:val="0"/>
      <w:marTop w:val="0"/>
      <w:marBottom w:val="0"/>
      <w:divBdr>
        <w:top w:val="none" w:sz="0" w:space="0" w:color="auto"/>
        <w:left w:val="none" w:sz="0" w:space="0" w:color="auto"/>
        <w:bottom w:val="none" w:sz="0" w:space="0" w:color="auto"/>
        <w:right w:val="none" w:sz="0" w:space="0" w:color="auto"/>
      </w:divBdr>
      <w:divsChild>
        <w:div w:id="193616700">
          <w:marLeft w:val="0"/>
          <w:marRight w:val="0"/>
          <w:marTop w:val="0"/>
          <w:marBottom w:val="0"/>
          <w:divBdr>
            <w:top w:val="none" w:sz="0" w:space="0" w:color="auto"/>
            <w:left w:val="none" w:sz="0" w:space="0" w:color="auto"/>
            <w:bottom w:val="none" w:sz="0" w:space="0" w:color="auto"/>
            <w:right w:val="none" w:sz="0" w:space="0" w:color="auto"/>
          </w:divBdr>
        </w:div>
      </w:divsChild>
    </w:div>
    <w:div w:id="651257829">
      <w:bodyDiv w:val="1"/>
      <w:marLeft w:val="0"/>
      <w:marRight w:val="0"/>
      <w:marTop w:val="0"/>
      <w:marBottom w:val="0"/>
      <w:divBdr>
        <w:top w:val="none" w:sz="0" w:space="0" w:color="auto"/>
        <w:left w:val="none" w:sz="0" w:space="0" w:color="auto"/>
        <w:bottom w:val="none" w:sz="0" w:space="0" w:color="auto"/>
        <w:right w:val="none" w:sz="0" w:space="0" w:color="auto"/>
      </w:divBdr>
    </w:div>
    <w:div w:id="816263343">
      <w:bodyDiv w:val="1"/>
      <w:marLeft w:val="0"/>
      <w:marRight w:val="0"/>
      <w:marTop w:val="0"/>
      <w:marBottom w:val="0"/>
      <w:divBdr>
        <w:top w:val="none" w:sz="0" w:space="0" w:color="auto"/>
        <w:left w:val="none" w:sz="0" w:space="0" w:color="auto"/>
        <w:bottom w:val="none" w:sz="0" w:space="0" w:color="auto"/>
        <w:right w:val="none" w:sz="0" w:space="0" w:color="auto"/>
      </w:divBdr>
      <w:divsChild>
        <w:div w:id="1630864192">
          <w:marLeft w:val="0"/>
          <w:marRight w:val="0"/>
          <w:marTop w:val="0"/>
          <w:marBottom w:val="0"/>
          <w:divBdr>
            <w:top w:val="none" w:sz="0" w:space="0" w:color="auto"/>
            <w:left w:val="none" w:sz="0" w:space="0" w:color="auto"/>
            <w:bottom w:val="none" w:sz="0" w:space="0" w:color="auto"/>
            <w:right w:val="none" w:sz="0" w:space="0" w:color="auto"/>
          </w:divBdr>
        </w:div>
      </w:divsChild>
    </w:div>
    <w:div w:id="1188786200">
      <w:bodyDiv w:val="1"/>
      <w:marLeft w:val="0"/>
      <w:marRight w:val="0"/>
      <w:marTop w:val="0"/>
      <w:marBottom w:val="0"/>
      <w:divBdr>
        <w:top w:val="none" w:sz="0" w:space="0" w:color="auto"/>
        <w:left w:val="none" w:sz="0" w:space="0" w:color="auto"/>
        <w:bottom w:val="none" w:sz="0" w:space="0" w:color="auto"/>
        <w:right w:val="none" w:sz="0" w:space="0" w:color="auto"/>
      </w:divBdr>
    </w:div>
    <w:div w:id="13526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epinquiry.org/wp-content/uploads/2018/11/National_Sustainable_Finance_Roadmap_of_Mongolia.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n.undp.org/content/mongolia/en/home/library/mongolia-voluntary-national-review-report-2019.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fo.undp.org/global/documents/cap/Template%20for%20Confirmation%20of%20Interest%20and%20Submission%20of%20Financial%20Proposal.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dp.org/content/dam/rbap/docs/dg/dev-effectiveness/RBAP-DG-2018-Development-Finance-Assessment-Mongolia.pdf" TargetMode="External"/><Relationship Id="rId5" Type="http://schemas.openxmlformats.org/officeDocument/2006/relationships/numbering" Target="numbering.xml"/><Relationship Id="rId15" Type="http://schemas.openxmlformats.org/officeDocument/2006/relationships/hyperlink" Target="http://www.undp.org/content/dam/undp/documents/procurement/documents/IC%20-%20General%20Condi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undp.org/global/documents/cap/P11%20modified%20for%20SCs%20and%20ICs.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evelopmentfinance.un.org/sites/developmentfinance.un.org/files/INFF%20Guidance_%20Inception%20Phase%20Module_Working%20Draft_20-January-2020.pdf" TargetMode="External"/><Relationship Id="rId1" Type="http://schemas.openxmlformats.org/officeDocument/2006/relationships/hyperlink" Target="https://v2.sdgfin.org/knowledge-hub/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FD6C27D20FF4F9CDCAA8BAEA8FE06" ma:contentTypeVersion="13" ma:contentTypeDescription="Create a new document." ma:contentTypeScope="" ma:versionID="c3a3efa38a612d028d6b4402769954e2">
  <xsd:schema xmlns:xsd="http://www.w3.org/2001/XMLSchema" xmlns:xs="http://www.w3.org/2001/XMLSchema" xmlns:p="http://schemas.microsoft.com/office/2006/metadata/properties" xmlns:ns3="bedb1a51-d117-4a51-80f7-b6b2ff413238" xmlns:ns4="fa1b7d6e-5c77-4b63-9eea-98ec72b72d7f" targetNamespace="http://schemas.microsoft.com/office/2006/metadata/properties" ma:root="true" ma:fieldsID="30a3573aa9b6feb0103a8c7caa04c7d8" ns3:_="" ns4:_="">
    <xsd:import namespace="bedb1a51-d117-4a51-80f7-b6b2ff413238"/>
    <xsd:import namespace="fa1b7d6e-5c77-4b63-9eea-98ec72b72d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b1a51-d117-4a51-80f7-b6b2ff413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b7d6e-5c77-4b63-9eea-98ec72b72d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B1BA-F85E-4302-8BFB-3581EA698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b1a51-d117-4a51-80f7-b6b2ff413238"/>
    <ds:schemaRef ds:uri="fa1b7d6e-5c77-4b63-9eea-98ec72b72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8ACB1B-2E0C-4965-B37A-715137BE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Manager/>
  <Company>UNDP</Company>
  <LinksUpToDate>false</LinksUpToDate>
  <CharactersWithSpaces>16649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Ram Iyer</dc:creator>
  <cp:keywords/>
  <dc:description/>
  <cp:lastModifiedBy>Enkhsanaa Sonin</cp:lastModifiedBy>
  <cp:revision>3</cp:revision>
  <cp:lastPrinted>2020-10-28T05:08:00Z</cp:lastPrinted>
  <dcterms:created xsi:type="dcterms:W3CDTF">2020-10-28T09:07:00Z</dcterms:created>
  <dcterms:modified xsi:type="dcterms:W3CDTF">2020-10-30T02:08:00Z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0x010100C0DFD6C27D20FF4F9CDCAA8BAEA8FE06</vt:lpwstr>
  </property>
  <property fmtid="{D5CDD505-2E9C-101B-9397-08002B2CF9AE}" pid="3" name="_dlc_DocIdItemGuid">
    <vt:lpwstr>f33bece7-c656-43f6-b20e-7510aac5aa65</vt:lpwstr>
  </property>
</Properties>
</file>