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22A03" w14:textId="77777777" w:rsidR="0048587B" w:rsidRPr="0048587B" w:rsidRDefault="00CC2AB7" w:rsidP="004858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69029D9" wp14:editId="23A24698">
            <wp:simplePos x="0" y="0"/>
            <wp:positionH relativeFrom="margin">
              <wp:posOffset>6602730</wp:posOffset>
            </wp:positionH>
            <wp:positionV relativeFrom="paragraph">
              <wp:posOffset>0</wp:posOffset>
            </wp:positionV>
            <wp:extent cx="450850" cy="895350"/>
            <wp:effectExtent l="0" t="0" r="6350" b="0"/>
            <wp:wrapTopAndBottom/>
            <wp:docPr id="1" name="Picture 1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6069352"/>
      <w:bookmarkEnd w:id="0"/>
      <w:r w:rsidR="008D69F2" w:rsidRPr="00485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ПРЕДСТАВЛЕНИЯ ПРЕДЛОЖЕНИЯ ПОСТАВЩИКА</w:t>
      </w:r>
    </w:p>
    <w:p w14:paraId="51F2B212" w14:textId="77777777" w:rsidR="008D69F2" w:rsidRPr="00A96961" w:rsidRDefault="008D69F2" w:rsidP="0048587B">
      <w:pPr>
        <w:pStyle w:val="Default"/>
        <w:widowControl w:val="0"/>
        <w:pBdr>
          <w:bottom w:val="single" w:sz="4" w:space="1" w:color="auto"/>
        </w:pBdr>
        <w:jc w:val="center"/>
        <w:rPr>
          <w:sz w:val="22"/>
          <w:szCs w:val="22"/>
          <w:lang w:val="ru-RU"/>
        </w:rPr>
      </w:pPr>
      <w:r w:rsidRPr="00A96961">
        <w:rPr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Поставщика)</w:t>
      </w:r>
    </w:p>
    <w:p w14:paraId="115E7A77" w14:textId="49B67ACF" w:rsidR="008877B6" w:rsidRDefault="008D69F2" w:rsidP="004858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настоящим предлагаем поставку перечисленных ниже товаров и услуг, соответствующих спецификациям и требованиям ПРООН согласно Запросу на предложение</w:t>
      </w:r>
      <w:r w:rsidR="00D7393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858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4E2" w:rsidRPr="00E244E2">
        <w:rPr>
          <w:rFonts w:ascii="Times New Roman" w:hAnsi="Times New Roman" w:cs="Times New Roman"/>
          <w:b/>
          <w:bCs/>
          <w:sz w:val="24"/>
          <w:szCs w:val="24"/>
          <w:lang w:val="ru-RU"/>
        </w:rPr>
        <w:t>RFQ/085/20 - Поставка сеянцев черного саксаула и посадка саксаула на осушенном дне Аральского моря</w:t>
      </w:r>
    </w:p>
    <w:p w14:paraId="1FA5FFFD" w14:textId="23BB6696" w:rsidR="006E6777" w:rsidRDefault="006E6777" w:rsidP="006E6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43840031"/>
    </w:p>
    <w:p w14:paraId="016DE709" w14:textId="77777777" w:rsidR="007D56DB" w:rsidRPr="00491C7D" w:rsidRDefault="007D56DB" w:rsidP="007D56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75"/>
        <w:gridCol w:w="1170"/>
        <w:gridCol w:w="1170"/>
        <w:gridCol w:w="1530"/>
        <w:gridCol w:w="1860"/>
      </w:tblGrid>
      <w:tr w:rsidR="007D56DB" w:rsidRPr="00E50D22" w14:paraId="61A67A44" w14:textId="77777777" w:rsidTr="007D56DB">
        <w:trPr>
          <w:trHeight w:val="681"/>
        </w:trPr>
        <w:tc>
          <w:tcPr>
            <w:tcW w:w="466" w:type="dxa"/>
            <w:vMerge w:val="restart"/>
            <w:vAlign w:val="center"/>
          </w:tcPr>
          <w:p w14:paraId="7044F87E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№</w:t>
            </w:r>
          </w:p>
        </w:tc>
        <w:tc>
          <w:tcPr>
            <w:tcW w:w="4675" w:type="dxa"/>
            <w:vMerge w:val="restart"/>
            <w:vAlign w:val="center"/>
          </w:tcPr>
          <w:p w14:paraId="20FDEAC5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ОПИСАНИЯ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ТОВАРОВ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УСЛУГ</w:t>
            </w:r>
          </w:p>
        </w:tc>
        <w:tc>
          <w:tcPr>
            <w:tcW w:w="1170" w:type="dxa"/>
            <w:vMerge w:val="restart"/>
            <w:vAlign w:val="center"/>
          </w:tcPr>
          <w:p w14:paraId="4824434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ЕД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.</w:t>
            </w: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.</w:t>
            </w:r>
          </w:p>
        </w:tc>
        <w:tc>
          <w:tcPr>
            <w:tcW w:w="1170" w:type="dxa"/>
            <w:vMerge w:val="restart"/>
            <w:vAlign w:val="center"/>
          </w:tcPr>
          <w:p w14:paraId="32361871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-</w:t>
            </w: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ВО</w:t>
            </w:r>
          </w:p>
        </w:tc>
        <w:tc>
          <w:tcPr>
            <w:tcW w:w="3390" w:type="dxa"/>
            <w:gridSpan w:val="2"/>
            <w:vAlign w:val="center"/>
          </w:tcPr>
          <w:p w14:paraId="6054877B" w14:textId="77777777" w:rsidR="007D56DB" w:rsidRDefault="007D56DB" w:rsidP="00CA2A16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Пож</w:t>
            </w:r>
            <w:proofErr w:type="spellEnd"/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-ста, укажите</w:t>
            </w:r>
            <w:r w:rsidRPr="005D2E30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валюту Предложения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Узб.сум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Долл.США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/ЕВРО)</w:t>
            </w:r>
          </w:p>
          <w:p w14:paraId="25DE711F" w14:textId="77777777" w:rsidR="007D56DB" w:rsidRPr="00491C7D" w:rsidRDefault="007D56DB" w:rsidP="00CA2A1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БЕЗ НДС</w:t>
            </w:r>
          </w:p>
        </w:tc>
      </w:tr>
      <w:tr w:rsidR="007D56DB" w:rsidRPr="00E903C9" w14:paraId="2521F823" w14:textId="77777777" w:rsidTr="007D56DB">
        <w:trPr>
          <w:trHeight w:val="449"/>
        </w:trPr>
        <w:tc>
          <w:tcPr>
            <w:tcW w:w="466" w:type="dxa"/>
            <w:vMerge/>
          </w:tcPr>
          <w:p w14:paraId="4AAD71E5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4675" w:type="dxa"/>
            <w:vMerge/>
          </w:tcPr>
          <w:p w14:paraId="7AF74D4F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1170" w:type="dxa"/>
            <w:vMerge/>
          </w:tcPr>
          <w:p w14:paraId="7C5DB7D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1170" w:type="dxa"/>
            <w:vMerge/>
          </w:tcPr>
          <w:p w14:paraId="3262EC41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</w:p>
        </w:tc>
        <w:tc>
          <w:tcPr>
            <w:tcW w:w="1530" w:type="dxa"/>
          </w:tcPr>
          <w:p w14:paraId="180E4D2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Цена за единицу</w:t>
            </w:r>
          </w:p>
        </w:tc>
        <w:tc>
          <w:tcPr>
            <w:tcW w:w="1860" w:type="dxa"/>
          </w:tcPr>
          <w:p w14:paraId="77B2E5AC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Итоговая цена</w:t>
            </w:r>
          </w:p>
        </w:tc>
      </w:tr>
      <w:tr w:rsidR="007D56DB" w:rsidRPr="00F207AC" w14:paraId="63565146" w14:textId="77777777" w:rsidTr="007D56DB">
        <w:trPr>
          <w:trHeight w:val="678"/>
        </w:trPr>
        <w:tc>
          <w:tcPr>
            <w:tcW w:w="10871" w:type="dxa"/>
            <w:gridSpan w:val="6"/>
            <w:shd w:val="clear" w:color="auto" w:fill="EDEDED" w:themeFill="accent3" w:themeFillTint="33"/>
          </w:tcPr>
          <w:p w14:paraId="23392BE9" w14:textId="77777777" w:rsidR="007D56DB" w:rsidRPr="00664A07" w:rsidRDefault="007D56DB" w:rsidP="00CA2A1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ЛОТ №1. </w:t>
            </w:r>
            <w:r w:rsidRPr="00EE6BCE">
              <w:rPr>
                <w:rFonts w:ascii="Times New Roman" w:hAnsi="Times New Roman" w:cs="Times New Roman"/>
                <w:b/>
                <w:lang w:val="ru-RU"/>
              </w:rPr>
              <w:t>ПОСТАВКА СЕЯНЦЕВ ЧЕРНОГО САКСАУЛА</w:t>
            </w:r>
          </w:p>
        </w:tc>
      </w:tr>
      <w:tr w:rsidR="007D56DB" w:rsidRPr="00E903C9" w14:paraId="6E9B89AB" w14:textId="77777777" w:rsidTr="007D56DB">
        <w:trPr>
          <w:trHeight w:val="678"/>
        </w:trPr>
        <w:tc>
          <w:tcPr>
            <w:tcW w:w="466" w:type="dxa"/>
          </w:tcPr>
          <w:p w14:paraId="0178DD26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675" w:type="dxa"/>
          </w:tcPr>
          <w:p w14:paraId="14C8B1CE" w14:textId="77777777" w:rsidR="007D56DB" w:rsidRPr="008B7EBE" w:rsidRDefault="007D56DB" w:rsidP="00CA2A16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bidi="en-US"/>
              </w:rPr>
              <w:t xml:space="preserve">Поставка сеянцев черного саксаула. </w:t>
            </w:r>
          </w:p>
          <w:p w14:paraId="7259EBC0" w14:textId="77777777" w:rsidR="007D56DB" w:rsidRPr="00E903C9" w:rsidRDefault="007D56DB" w:rsidP="00CA2A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E6BC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Требуется: однолетние сеянцы местных видов черного саксаула не менее 25 см высоты, неповреждённая система ствола, целостная и влажная корневая система длиной не менее 30 см, сорт сеянцев и отсутствие болезни, подтвержденное письмом поставщика.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 </w:t>
            </w:r>
          </w:p>
        </w:tc>
        <w:tc>
          <w:tcPr>
            <w:tcW w:w="1170" w:type="dxa"/>
          </w:tcPr>
          <w:p w14:paraId="7EB607C4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сеянцы</w:t>
            </w:r>
          </w:p>
        </w:tc>
        <w:tc>
          <w:tcPr>
            <w:tcW w:w="1170" w:type="dxa"/>
          </w:tcPr>
          <w:p w14:paraId="2854D8B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260 000</w:t>
            </w:r>
          </w:p>
        </w:tc>
        <w:tc>
          <w:tcPr>
            <w:tcW w:w="1530" w:type="dxa"/>
          </w:tcPr>
          <w:p w14:paraId="5A0B080C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860" w:type="dxa"/>
          </w:tcPr>
          <w:p w14:paraId="7440A234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73719054" w14:textId="77777777" w:rsidTr="007D56DB">
        <w:trPr>
          <w:trHeight w:val="301"/>
        </w:trPr>
        <w:tc>
          <w:tcPr>
            <w:tcW w:w="466" w:type="dxa"/>
          </w:tcPr>
          <w:p w14:paraId="5FFD4ACC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132B60AF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Стоимость транспортировки по Лоту 1</w:t>
            </w:r>
            <w:r w:rsidRPr="00491C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14AC0">
              <w:rPr>
                <w:rFonts w:ascii="Times New Roman" w:hAnsi="Times New Roman" w:cs="Times New Roman"/>
                <w:lang w:val="ru-RU"/>
              </w:rPr>
              <w:t>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 xml:space="preserve">конечный адрес доставки: </w:t>
            </w:r>
            <w:r w:rsidRPr="00491C7D">
              <w:rPr>
                <w:rFonts w:ascii="Times New Roman" w:hAnsi="Times New Roman" w:cs="Times New Roman"/>
                <w:lang w:val="ru-RU"/>
              </w:rPr>
              <w:t xml:space="preserve">Республика </w:t>
            </w:r>
            <w:r>
              <w:rPr>
                <w:rFonts w:ascii="Times New Roman" w:hAnsi="Times New Roman" w:cs="Times New Roman"/>
                <w:lang w:val="ru-RU"/>
              </w:rPr>
              <w:t>Каракалпакстан</w:t>
            </w:r>
            <w:r w:rsidRPr="00491C7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Муйнакский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Pr="00491C7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862EE">
              <w:rPr>
                <w:rFonts w:ascii="Times New Roman" w:hAnsi="Times New Roman" w:cs="Times New Roman"/>
                <w:lang w:val="ru-RU"/>
              </w:rPr>
              <w:t>Осушенное дно Аральского моря</w:t>
            </w:r>
            <w:r w:rsidRPr="00E14A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60" w:type="dxa"/>
          </w:tcPr>
          <w:p w14:paraId="0228D49F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3C9D21EA" w14:textId="77777777" w:rsidTr="007D56DB">
        <w:trPr>
          <w:trHeight w:val="301"/>
        </w:trPr>
        <w:tc>
          <w:tcPr>
            <w:tcW w:w="466" w:type="dxa"/>
          </w:tcPr>
          <w:p w14:paraId="66BAEC0A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2BFE206A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Другие расходы 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укажите если имеются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1</w:t>
            </w:r>
          </w:p>
        </w:tc>
        <w:tc>
          <w:tcPr>
            <w:tcW w:w="1860" w:type="dxa"/>
          </w:tcPr>
          <w:p w14:paraId="4F2E41BF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2ECAE77C" w14:textId="77777777" w:rsidTr="007D56DB">
        <w:trPr>
          <w:trHeight w:val="301"/>
        </w:trPr>
        <w:tc>
          <w:tcPr>
            <w:tcW w:w="466" w:type="dxa"/>
          </w:tcPr>
          <w:p w14:paraId="732AEC91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50C2595B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 xml:space="preserve">НДС (если применимо 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к местным поставщикам</w:t>
            </w:r>
            <w:r w:rsidRPr="00E14AC0">
              <w:rPr>
                <w:rFonts w:ascii="Times New Roman" w:hAnsi="Times New Roman" w:cs="Times New Roman"/>
                <w:lang w:val="ru-RU"/>
              </w:rPr>
              <w:t>) по Лоту 1</w:t>
            </w:r>
          </w:p>
        </w:tc>
        <w:tc>
          <w:tcPr>
            <w:tcW w:w="1860" w:type="dxa"/>
          </w:tcPr>
          <w:p w14:paraId="4AEADA70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78C2FA44" w14:textId="77777777" w:rsidTr="007D56DB">
        <w:trPr>
          <w:trHeight w:val="521"/>
        </w:trPr>
        <w:tc>
          <w:tcPr>
            <w:tcW w:w="466" w:type="dxa"/>
          </w:tcPr>
          <w:p w14:paraId="391F4FFF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014CBC36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34BD7">
              <w:rPr>
                <w:rFonts w:ascii="Times New Roman" w:hAnsi="Times New Roman" w:cs="Times New Roman"/>
                <w:b/>
                <w:lang w:val="ru-RU"/>
              </w:rPr>
              <w:t>Итоговая цена предложения, включающая все расходы по Лоту 1</w:t>
            </w:r>
          </w:p>
        </w:tc>
        <w:tc>
          <w:tcPr>
            <w:tcW w:w="1860" w:type="dxa"/>
          </w:tcPr>
          <w:p w14:paraId="77DD1D8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2DAF0CAB" w14:textId="77777777" w:rsidTr="007D56DB">
        <w:trPr>
          <w:trHeight w:val="678"/>
        </w:trPr>
        <w:tc>
          <w:tcPr>
            <w:tcW w:w="10871" w:type="dxa"/>
            <w:gridSpan w:val="6"/>
            <w:shd w:val="clear" w:color="auto" w:fill="EDEDED" w:themeFill="accent3" w:themeFillTint="33"/>
          </w:tcPr>
          <w:p w14:paraId="6B0804DA" w14:textId="77777777" w:rsidR="007D56DB" w:rsidRPr="00CD0565" w:rsidRDefault="007D56DB" w:rsidP="00CA2A1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ЛОТ №2. </w:t>
            </w:r>
            <w:r w:rsidRPr="00664A07">
              <w:rPr>
                <w:rFonts w:ascii="Times New Roman" w:hAnsi="Times New Roman" w:cs="Times New Roman"/>
                <w:b/>
                <w:lang w:val="ru-RU"/>
              </w:rPr>
              <w:t xml:space="preserve">ПОСАДКА </w:t>
            </w:r>
            <w:r w:rsidRPr="000862EE">
              <w:rPr>
                <w:rFonts w:ascii="Times New Roman" w:hAnsi="Times New Roman" w:cs="Times New Roman"/>
                <w:b/>
                <w:lang w:val="ru-RU"/>
              </w:rPr>
              <w:t>СЕЯНЦЕВ ЧЕРНОГО САКСАУЛА</w:t>
            </w:r>
            <w:r w:rsidRPr="00664A07">
              <w:rPr>
                <w:rFonts w:ascii="Times New Roman" w:hAnsi="Times New Roman" w:cs="Times New Roman"/>
                <w:b/>
                <w:lang w:val="ru-RU"/>
              </w:rPr>
              <w:t xml:space="preserve"> НА ОСУШЕННОМ ДНЕ АРАЛЬСКОГО МОРЯ </w:t>
            </w:r>
          </w:p>
        </w:tc>
      </w:tr>
      <w:tr w:rsidR="007D56DB" w:rsidRPr="00E903C9" w14:paraId="5AC41C26" w14:textId="77777777" w:rsidTr="007D56DB">
        <w:trPr>
          <w:trHeight w:val="159"/>
        </w:trPr>
        <w:tc>
          <w:tcPr>
            <w:tcW w:w="466" w:type="dxa"/>
            <w:vMerge w:val="restart"/>
            <w:vAlign w:val="center"/>
          </w:tcPr>
          <w:p w14:paraId="2F85BE22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№</w:t>
            </w:r>
          </w:p>
        </w:tc>
        <w:tc>
          <w:tcPr>
            <w:tcW w:w="4675" w:type="dxa"/>
            <w:vMerge w:val="restart"/>
            <w:vAlign w:val="center"/>
          </w:tcPr>
          <w:p w14:paraId="38DBF92A" w14:textId="77777777" w:rsidR="007D56DB" w:rsidRPr="000862EE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ОПИСАНИЯ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ТОВАРОВ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УСЛУГ</w:t>
            </w:r>
          </w:p>
        </w:tc>
        <w:tc>
          <w:tcPr>
            <w:tcW w:w="1170" w:type="dxa"/>
            <w:vMerge w:val="restart"/>
            <w:vAlign w:val="center"/>
          </w:tcPr>
          <w:p w14:paraId="69F29FCA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>ЕД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.</w:t>
            </w: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.</w:t>
            </w:r>
          </w:p>
        </w:tc>
        <w:tc>
          <w:tcPr>
            <w:tcW w:w="1170" w:type="dxa"/>
            <w:vMerge w:val="restart"/>
            <w:vAlign w:val="center"/>
          </w:tcPr>
          <w:p w14:paraId="1BE8F8ED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КОЛ</w:t>
            </w:r>
            <w:r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-</w:t>
            </w:r>
            <w:r w:rsidRPr="00E903C9">
              <w:rPr>
                <w:rFonts w:ascii="Times New Roman" w:hAnsi="Times New Roman" w:cs="Times New Roman"/>
                <w:b/>
                <w:caps/>
                <w:sz w:val="21"/>
                <w:szCs w:val="21"/>
                <w:lang w:val="ru-RU"/>
              </w:rPr>
              <w:t>ВО</w:t>
            </w:r>
          </w:p>
        </w:tc>
        <w:tc>
          <w:tcPr>
            <w:tcW w:w="3390" w:type="dxa"/>
            <w:gridSpan w:val="2"/>
            <w:vAlign w:val="center"/>
          </w:tcPr>
          <w:p w14:paraId="53A26F31" w14:textId="77777777" w:rsidR="007D56DB" w:rsidRDefault="007D56DB" w:rsidP="00CA2A16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Пож</w:t>
            </w:r>
            <w:proofErr w:type="spellEnd"/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-ста, укажите</w:t>
            </w:r>
            <w:r w:rsidRPr="005D2E30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  <w:r w:rsidRPr="005D2E30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валюту Предложения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Узб.сум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Долл.США</w:t>
            </w:r>
            <w:proofErr w:type="spellEnd"/>
            <w:r>
              <w:rPr>
                <w:rFonts w:ascii="Times New Roman" w:hAnsi="Times New Roman" w:cs="Times New Roman"/>
                <w:i/>
                <w:highlight w:val="green"/>
                <w:lang w:val="ru-RU"/>
              </w:rPr>
              <w:t>/ЕВРО)</w:t>
            </w:r>
          </w:p>
          <w:p w14:paraId="19909580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БЕЗ НДС</w:t>
            </w:r>
          </w:p>
        </w:tc>
      </w:tr>
      <w:tr w:rsidR="007D56DB" w:rsidRPr="00E903C9" w14:paraId="54828813" w14:textId="77777777" w:rsidTr="007D56DB">
        <w:trPr>
          <w:trHeight w:val="159"/>
        </w:trPr>
        <w:tc>
          <w:tcPr>
            <w:tcW w:w="466" w:type="dxa"/>
            <w:vMerge/>
          </w:tcPr>
          <w:p w14:paraId="3078D70A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4675" w:type="dxa"/>
            <w:vMerge/>
          </w:tcPr>
          <w:p w14:paraId="26DE706D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170" w:type="dxa"/>
            <w:vMerge/>
          </w:tcPr>
          <w:p w14:paraId="3E8BDE9D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170" w:type="dxa"/>
            <w:vMerge/>
          </w:tcPr>
          <w:p w14:paraId="16E7FEC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30" w:type="dxa"/>
          </w:tcPr>
          <w:p w14:paraId="5D261F03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Цена за единицу</w:t>
            </w:r>
          </w:p>
        </w:tc>
        <w:tc>
          <w:tcPr>
            <w:tcW w:w="1860" w:type="dxa"/>
          </w:tcPr>
          <w:p w14:paraId="1A80A68F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Итоговая цена</w:t>
            </w:r>
          </w:p>
        </w:tc>
      </w:tr>
      <w:tr w:rsidR="007D56DB" w:rsidRPr="00E903C9" w14:paraId="1EB1F1FE" w14:textId="77777777" w:rsidTr="007D56DB">
        <w:trPr>
          <w:trHeight w:val="288"/>
        </w:trPr>
        <w:tc>
          <w:tcPr>
            <w:tcW w:w="466" w:type="dxa"/>
          </w:tcPr>
          <w:p w14:paraId="2EAB2FB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903C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4675" w:type="dxa"/>
          </w:tcPr>
          <w:p w14:paraId="7852987B" w14:textId="77777777" w:rsidR="007D56DB" w:rsidRPr="000862EE" w:rsidRDefault="007D56DB" w:rsidP="00CA2A16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Ручная посадка </w:t>
            </w:r>
            <w:r w:rsidRPr="009726F2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260 000 </w:t>
            </w: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сеянцев черного саксаула (Схема посадка сеянцев 5 х 1) на площади 130 га (с охватом территории на 164 га) с внесением минеральных удобрений.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Должно включать все расходы связанной с посадкой сеянцев, в том числе: п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огрузка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, р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азгрузка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, п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еревозка</w:t>
            </w:r>
            <w:r w:rsidRPr="000862EE">
              <w:rPr>
                <w:lang w:val="ru-RU"/>
              </w:rPr>
              <w:t xml:space="preserve"> 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сеянцев саксаула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,</w:t>
            </w:r>
            <w:r w:rsidRPr="000862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к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ратковременная </w:t>
            </w:r>
            <w:proofErr w:type="spellStart"/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прикопка</w:t>
            </w:r>
            <w:proofErr w:type="spellEnd"/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 xml:space="preserve"> и подготовка сеянцев к посадке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,</w:t>
            </w:r>
            <w:r w:rsidRPr="000862E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з</w:t>
            </w:r>
            <w:r w:rsidRPr="000862E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атраты труда на посадку сеянцев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.</w:t>
            </w:r>
          </w:p>
          <w:p w14:paraId="13B0A371" w14:textId="77777777" w:rsidR="007D56DB" w:rsidRPr="000862EE" w:rsidRDefault="007D56DB" w:rsidP="00CA2A16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bidi="en-US"/>
              </w:rPr>
            </w:pPr>
            <w:r w:rsidRPr="000862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 w:bidi="en-US"/>
              </w:rPr>
              <w:t>Адрес выполнения работ</w:t>
            </w:r>
          </w:p>
          <w:p w14:paraId="7A7AEA28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Осушенное дно Аральского моря:</w:t>
            </w:r>
          </w:p>
          <w:p w14:paraId="58760501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lastRenderedPageBreak/>
              <w:t>GPS координаты участка (164 га)</w:t>
            </w:r>
          </w:p>
          <w:p w14:paraId="42AAD699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</w:p>
          <w:p w14:paraId="2EF78041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44°31'46.5"N 58°54'69.6"E</w:t>
            </w:r>
          </w:p>
          <w:p w14:paraId="67FFFAD4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высота 44 м</w:t>
            </w:r>
          </w:p>
          <w:p w14:paraId="62468037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44°32'57.1"N 58°54'76.5"E</w:t>
            </w:r>
          </w:p>
          <w:p w14:paraId="45B198B8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Высота 41 м</w:t>
            </w:r>
          </w:p>
          <w:p w14:paraId="493CA369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44°32'49.0"N 58°55'23.6"E</w:t>
            </w:r>
          </w:p>
          <w:p w14:paraId="3655C172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Высота 40 м</w:t>
            </w:r>
          </w:p>
          <w:p w14:paraId="12EB0523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44°31'39.7"N 58°55'07.3"E</w:t>
            </w:r>
          </w:p>
          <w:p w14:paraId="5D30D792" w14:textId="77777777" w:rsidR="007D56DB" w:rsidRPr="008B7EBE" w:rsidRDefault="007D56DB" w:rsidP="00CA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  <w:r w:rsidRPr="008B7EBE"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  <w:t>Высота 42м</w:t>
            </w:r>
          </w:p>
          <w:p w14:paraId="35CADD4C" w14:textId="77777777" w:rsidR="007D56DB" w:rsidRPr="008B7EBE" w:rsidRDefault="007D56DB" w:rsidP="00CA2A16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bidi="en-US"/>
              </w:rPr>
            </w:pPr>
          </w:p>
        </w:tc>
        <w:tc>
          <w:tcPr>
            <w:tcW w:w="1170" w:type="dxa"/>
          </w:tcPr>
          <w:p w14:paraId="42987D9B" w14:textId="77777777" w:rsidR="007D56DB" w:rsidRPr="009228B8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сеянцы</w:t>
            </w:r>
          </w:p>
        </w:tc>
        <w:tc>
          <w:tcPr>
            <w:tcW w:w="1170" w:type="dxa"/>
          </w:tcPr>
          <w:p w14:paraId="6F178AB5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260 000</w:t>
            </w:r>
          </w:p>
        </w:tc>
        <w:tc>
          <w:tcPr>
            <w:tcW w:w="1530" w:type="dxa"/>
          </w:tcPr>
          <w:p w14:paraId="75313511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860" w:type="dxa"/>
          </w:tcPr>
          <w:p w14:paraId="7BCDBBFE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43E4D915" w14:textId="77777777" w:rsidTr="007D56DB">
        <w:trPr>
          <w:trHeight w:val="301"/>
        </w:trPr>
        <w:tc>
          <w:tcPr>
            <w:tcW w:w="466" w:type="dxa"/>
          </w:tcPr>
          <w:p w14:paraId="2B9D545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4DB9A137" w14:textId="77777777" w:rsidR="007D56DB" w:rsidRPr="00EE6BCE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>Другие расходы (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укажите если имеются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>по Лоту 2</w:t>
            </w:r>
          </w:p>
        </w:tc>
        <w:tc>
          <w:tcPr>
            <w:tcW w:w="1860" w:type="dxa"/>
          </w:tcPr>
          <w:p w14:paraId="656A8E60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2CB3798B" w14:textId="77777777" w:rsidTr="007D56DB">
        <w:trPr>
          <w:trHeight w:val="301"/>
        </w:trPr>
        <w:tc>
          <w:tcPr>
            <w:tcW w:w="466" w:type="dxa"/>
          </w:tcPr>
          <w:p w14:paraId="3D68DD2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7AF94243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14AC0">
              <w:rPr>
                <w:rFonts w:ascii="Times New Roman" w:hAnsi="Times New Roman" w:cs="Times New Roman"/>
                <w:lang w:val="ru-RU"/>
              </w:rPr>
              <w:t xml:space="preserve">НДС (если применимо </w:t>
            </w:r>
            <w:r w:rsidRPr="00E14AC0">
              <w:rPr>
                <w:rFonts w:ascii="Times New Roman" w:hAnsi="Times New Roman" w:cs="Times New Roman"/>
                <w:i/>
                <w:lang w:val="ru-RU"/>
              </w:rPr>
              <w:t>к местным поставщикам</w:t>
            </w:r>
            <w:r w:rsidRPr="00E14AC0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>по Лоту 2</w:t>
            </w:r>
          </w:p>
        </w:tc>
        <w:tc>
          <w:tcPr>
            <w:tcW w:w="1860" w:type="dxa"/>
          </w:tcPr>
          <w:p w14:paraId="476FF26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  <w:tr w:rsidR="007D56DB" w:rsidRPr="00F207AC" w14:paraId="3AD8B592" w14:textId="77777777" w:rsidTr="007D56DB">
        <w:trPr>
          <w:trHeight w:val="301"/>
        </w:trPr>
        <w:tc>
          <w:tcPr>
            <w:tcW w:w="466" w:type="dxa"/>
          </w:tcPr>
          <w:p w14:paraId="7C4A8356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8545" w:type="dxa"/>
            <w:gridSpan w:val="4"/>
          </w:tcPr>
          <w:p w14:paraId="519D8323" w14:textId="77777777" w:rsidR="007D56DB" w:rsidRPr="00491C7D" w:rsidRDefault="007D56DB" w:rsidP="00CA2A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34BD7">
              <w:rPr>
                <w:rFonts w:ascii="Times New Roman" w:hAnsi="Times New Roman" w:cs="Times New Roman"/>
                <w:b/>
                <w:lang w:val="ru-RU"/>
              </w:rPr>
              <w:t xml:space="preserve">Итоговая цена предложения, включающая все расходы </w:t>
            </w:r>
            <w:r>
              <w:rPr>
                <w:rFonts w:ascii="Times New Roman" w:hAnsi="Times New Roman" w:cs="Times New Roman"/>
                <w:b/>
                <w:lang w:val="ru-RU"/>
              </w:rPr>
              <w:t>по Лоту 2</w:t>
            </w:r>
          </w:p>
        </w:tc>
        <w:tc>
          <w:tcPr>
            <w:tcW w:w="1860" w:type="dxa"/>
          </w:tcPr>
          <w:p w14:paraId="22BCAA29" w14:textId="77777777" w:rsidR="007D56DB" w:rsidRPr="00E903C9" w:rsidRDefault="007D56DB" w:rsidP="00CA2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</w:tr>
    </w:tbl>
    <w:p w14:paraId="26BA713D" w14:textId="77777777" w:rsidR="007D56DB" w:rsidRDefault="007D56DB" w:rsidP="007D56DB">
      <w:pPr>
        <w:pStyle w:val="Default"/>
        <w:widowControl w:val="0"/>
        <w:ind w:left="-426"/>
        <w:rPr>
          <w:color w:val="auto"/>
          <w:lang w:val="ru-RU"/>
        </w:rPr>
      </w:pPr>
    </w:p>
    <w:p w14:paraId="59970AC6" w14:textId="77777777" w:rsidR="007D56DB" w:rsidRPr="00A756B1" w:rsidRDefault="007D56DB" w:rsidP="007D56DB">
      <w:pPr>
        <w:pStyle w:val="Default"/>
        <w:widowControl w:val="0"/>
        <w:rPr>
          <w:b/>
          <w:bCs/>
          <w:color w:val="auto"/>
          <w:lang w:val="ru-RU"/>
        </w:rPr>
      </w:pPr>
      <w:r w:rsidRPr="00A756B1">
        <w:rPr>
          <w:b/>
          <w:bCs/>
          <w:color w:val="auto"/>
          <w:lang w:val="ru-RU"/>
        </w:rPr>
        <w:t>Примечания:</w:t>
      </w:r>
    </w:p>
    <w:p w14:paraId="12853110" w14:textId="77777777" w:rsidR="007D56DB" w:rsidRPr="00A756B1" w:rsidRDefault="007D56DB" w:rsidP="007D56DB">
      <w:pPr>
        <w:pStyle w:val="Default"/>
        <w:widowControl w:val="0"/>
        <w:jc w:val="both"/>
        <w:rPr>
          <w:b/>
          <w:bCs/>
          <w:color w:val="auto"/>
          <w:lang w:val="ru-RU"/>
        </w:rPr>
      </w:pPr>
      <w:r w:rsidRPr="00A756B1">
        <w:rPr>
          <w:b/>
          <w:bCs/>
          <w:lang w:val="ru-RU"/>
        </w:rPr>
        <w:t>Частичное предложение принимается</w:t>
      </w:r>
      <w:r>
        <w:rPr>
          <w:b/>
          <w:bCs/>
          <w:lang w:val="ru-RU"/>
        </w:rPr>
        <w:t xml:space="preserve"> по Лотам</w:t>
      </w:r>
      <w:r w:rsidRPr="00A756B1">
        <w:rPr>
          <w:b/>
          <w:bCs/>
          <w:lang w:val="ru-RU"/>
        </w:rPr>
        <w:t>, каждый Лот оценивается отдельно. Контракт будет присуждаться по Лотам.</w:t>
      </w:r>
      <w:r w:rsidRPr="00A756B1">
        <w:rPr>
          <w:lang w:val="ru-RU"/>
        </w:rPr>
        <w:t xml:space="preserve"> </w:t>
      </w:r>
      <w:r w:rsidRPr="00A756B1">
        <w:rPr>
          <w:b/>
          <w:bCs/>
          <w:lang w:val="ru-RU"/>
        </w:rPr>
        <w:t>Участники могут подать заявку на один или на все лоты. Дальнейшее разделение лотов не допускается. Коммерческие предложения будут рассматриваться по лотам, и ПРООН оставляет за собой право присуждения контракта по каждому лоту отдельно либо по комбинации лотов</w:t>
      </w:r>
    </w:p>
    <w:p w14:paraId="1AB7F234" w14:textId="77777777" w:rsidR="007D56DB" w:rsidRDefault="007D56DB" w:rsidP="007D56DB">
      <w:pPr>
        <w:pStyle w:val="Default"/>
        <w:widowControl w:val="0"/>
        <w:jc w:val="both"/>
        <w:rPr>
          <w:rFonts w:eastAsia="Arial"/>
          <w:b/>
          <w:bCs/>
          <w:color w:val="auto"/>
          <w:lang w:val="ru-RU"/>
        </w:rPr>
      </w:pPr>
    </w:p>
    <w:p w14:paraId="1DD381FF" w14:textId="77777777" w:rsidR="007D56DB" w:rsidRPr="00EB4674" w:rsidRDefault="007D56DB" w:rsidP="007D56DB">
      <w:pPr>
        <w:pStyle w:val="Default"/>
        <w:widowControl w:val="0"/>
        <w:jc w:val="both"/>
        <w:rPr>
          <w:rStyle w:val="Hyperlink"/>
          <w:lang w:val="ru-RU"/>
        </w:rPr>
      </w:pPr>
      <w:r>
        <w:rPr>
          <w:color w:val="auto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заявителями:</w:t>
      </w:r>
      <w:r>
        <w:rPr>
          <w:lang w:val="ru-RU"/>
        </w:rPr>
        <w:t xml:space="preserve"> </w:t>
      </w:r>
      <w:hyperlink r:id="rId9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proofErr w:type="spellStart"/>
        <w:r>
          <w:rPr>
            <w:rStyle w:val="Hyperlink"/>
          </w:rPr>
          <w:t>undp</w:t>
        </w:r>
        <w:proofErr w:type="spellEnd"/>
        <w:r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content</w:t>
        </w:r>
        <w:r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undp</w:t>
        </w:r>
        <w:proofErr w:type="spellEnd"/>
        <w:r>
          <w:rPr>
            <w:rStyle w:val="Hyperlink"/>
            <w:lang w:val="ru-RU"/>
          </w:rPr>
          <w:t>/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  <w:lang w:val="ru-RU"/>
          </w:rPr>
          <w:t>/</w:t>
        </w:r>
        <w:r>
          <w:rPr>
            <w:rStyle w:val="Hyperlink"/>
          </w:rPr>
          <w:t>home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procurement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business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how</w:t>
        </w:r>
      </w:hyperlink>
      <w:hyperlink r:id="rId10" w:history="1">
        <w:r>
          <w:rPr>
            <w:rStyle w:val="Hyperlink"/>
            <w:lang w:val="ru-RU"/>
          </w:rPr>
          <w:t>-</w:t>
        </w:r>
      </w:hyperlink>
      <w:hyperlink r:id="rId11" w:history="1">
        <w:r>
          <w:rPr>
            <w:rStyle w:val="Hyperlink"/>
          </w:rPr>
          <w:t>we</w:t>
        </w:r>
      </w:hyperlink>
      <w:hyperlink r:id="rId12" w:history="1">
        <w:r>
          <w:rPr>
            <w:rStyle w:val="Hyperlink"/>
            <w:lang w:val="ru-RU"/>
          </w:rPr>
          <w:t>-</w:t>
        </w:r>
      </w:hyperlink>
      <w:hyperlink r:id="rId13" w:history="1">
        <w:r>
          <w:rPr>
            <w:rStyle w:val="Hyperlink"/>
          </w:rPr>
          <w:t>buy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</w:p>
    <w:p w14:paraId="562EC397" w14:textId="77777777" w:rsidR="007D56DB" w:rsidRPr="00EB4674" w:rsidRDefault="007D56DB" w:rsidP="007D56DB">
      <w:pPr>
        <w:pStyle w:val="Default"/>
        <w:widowControl w:val="0"/>
        <w:jc w:val="both"/>
        <w:rPr>
          <w:rStyle w:val="Hyperlink"/>
          <w:lang w:val="ru-RU"/>
        </w:rPr>
      </w:pPr>
    </w:p>
    <w:p w14:paraId="5B125B49" w14:textId="77777777" w:rsidR="007D56DB" w:rsidRDefault="007D56DB" w:rsidP="007D56DB">
      <w:pPr>
        <w:pStyle w:val="Default"/>
        <w:widowControl w:val="0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При подаче предложения участники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объеме:</w:t>
      </w:r>
    </w:p>
    <w:p w14:paraId="6A44DAC8" w14:textId="77777777" w:rsidR="007D56DB" w:rsidRDefault="007D56DB" w:rsidP="007D56DB">
      <w:pPr>
        <w:pStyle w:val="Default"/>
        <w:widowControl w:val="0"/>
        <w:rPr>
          <w:color w:val="auto"/>
          <w:lang w:val="ru-RU"/>
        </w:rPr>
      </w:pPr>
    </w:p>
    <w:p w14:paraId="6E8A0DA2" w14:textId="77777777" w:rsidR="007D56DB" w:rsidRDefault="007D56DB" w:rsidP="007D56DB">
      <w:pPr>
        <w:pStyle w:val="Default"/>
        <w:widowControl w:val="0"/>
        <w:rPr>
          <w:color w:val="auto"/>
          <w:lang w:val="ru-RU"/>
        </w:rPr>
      </w:pPr>
      <w:r>
        <w:rPr>
          <w:color w:val="auto"/>
          <w:lang w:val="ru-RU"/>
        </w:rPr>
        <w:t>Пожалуйста, отправьте свое</w:t>
      </w:r>
      <w:bookmarkStart w:id="2" w:name="_GoBack"/>
      <w:bookmarkEnd w:id="2"/>
      <w:r>
        <w:rPr>
          <w:color w:val="auto"/>
          <w:lang w:val="ru-RU"/>
        </w:rPr>
        <w:t xml:space="preserve"> предложение, заполнив </w:t>
      </w:r>
      <w:r>
        <w:rPr>
          <w:b/>
          <w:color w:val="auto"/>
          <w:lang w:val="ru-RU"/>
        </w:rPr>
        <w:t>ПРАВУЮ</w:t>
      </w:r>
      <w:r>
        <w:rPr>
          <w:color w:val="auto"/>
          <w:lang w:val="ru-RU"/>
        </w:rPr>
        <w:t xml:space="preserve"> колонку приведённой ниже формы:</w:t>
      </w:r>
    </w:p>
    <w:p w14:paraId="4139FE08" w14:textId="77777777" w:rsidR="007D56DB" w:rsidRDefault="007D56DB" w:rsidP="007D56DB">
      <w:pPr>
        <w:pStyle w:val="Default"/>
        <w:widowControl w:val="0"/>
        <w:rPr>
          <w:color w:val="auto"/>
          <w:lang w:val="ru-RU"/>
        </w:rPr>
      </w:pPr>
    </w:p>
    <w:tbl>
      <w:tblPr>
        <w:tblStyle w:val="TableGrid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6659"/>
        <w:gridCol w:w="4111"/>
      </w:tblGrid>
      <w:tr w:rsidR="007D56DB" w14:paraId="4CD33B7E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E3F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 ПРООН</w:t>
            </w:r>
          </w:p>
          <w:p w14:paraId="0D6DC2D2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666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участника</w:t>
            </w:r>
          </w:p>
          <w:p w14:paraId="5C7D452A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6DB" w:rsidRPr="00F207AC" w14:paraId="5FEA1E67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571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предложения:</w:t>
            </w:r>
          </w:p>
          <w:p w14:paraId="740F43A1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A260B1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60 календарных дней с даты вскрытия Предложений.</w:t>
            </w:r>
          </w:p>
          <w:p w14:paraId="58641AAD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В исключительных случаях ПРООН может запросить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</w:t>
            </w:r>
          </w:p>
          <w:p w14:paraId="1360376A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BCE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7EDDF6EB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24568398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26031930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:rsidRPr="00F207AC" w14:paraId="29B1F3DE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8B3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Условия оплаты:</w:t>
            </w:r>
          </w:p>
          <w:p w14:paraId="3194F85B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  <w:p w14:paraId="3B087FEB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Оплата местным участникам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color w:val="auto"/>
                <w:lang w:val="ru-RU"/>
              </w:rPr>
              <w:t>зарегистрированные в Узбекистане:</w:t>
            </w:r>
          </w:p>
          <w:p w14:paraId="50203170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rFonts w:ascii="Segoe UI Symbol" w:hAnsi="Segoe UI Symbol" w:cs="Segoe UI Symbol"/>
                <w:color w:val="auto"/>
                <w:lang w:val="ru-RU"/>
              </w:rPr>
              <w:t>☒</w:t>
            </w:r>
            <w:r>
              <w:rPr>
                <w:color w:val="auto"/>
                <w:lang w:val="ru-RU"/>
              </w:rPr>
              <w:t xml:space="preserve"> Производится в Узбекских сумах посредством банковского перевода: 100% пост-оплата после поставки товара до точного адреса доставки</w:t>
            </w:r>
            <w:r>
              <w:rPr>
                <w:lang w:val="ru-RU"/>
              </w:rPr>
              <w:t xml:space="preserve"> и принятия со стороны ПРООН.</w:t>
            </w:r>
          </w:p>
          <w:p w14:paraId="7E157212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Оплата зарубежным участникам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color w:val="auto"/>
                <w:lang w:val="ru-RU"/>
              </w:rPr>
              <w:t>зарегистрированные за пределами Узбекистана:</w:t>
            </w:r>
          </w:p>
          <w:p w14:paraId="17C61B52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  <w:r>
              <w:rPr>
                <w:rFonts w:ascii="Segoe UI Symbol" w:hAnsi="Segoe UI Symbol" w:cs="Segoe UI Symbol"/>
                <w:color w:val="auto"/>
                <w:lang w:val="ru-RU"/>
              </w:rPr>
              <w:t>☒</w:t>
            </w:r>
            <w:r>
              <w:rPr>
                <w:color w:val="auto"/>
                <w:lang w:val="ru-RU"/>
              </w:rPr>
              <w:t xml:space="preserve"> Производится в Долларах США или Евро посредством </w:t>
            </w:r>
            <w:r>
              <w:rPr>
                <w:color w:val="auto"/>
                <w:lang w:val="ru-RU"/>
              </w:rPr>
              <w:lastRenderedPageBreak/>
              <w:t xml:space="preserve">банковского перевода: 100% пост-оплата после поставки продукции до точного адреса доставки </w:t>
            </w:r>
            <w:r>
              <w:rPr>
                <w:lang w:val="ru-RU"/>
              </w:rPr>
              <w:t>и принятия со стороны ПРООН.</w:t>
            </w:r>
          </w:p>
          <w:p w14:paraId="2612D928" w14:textId="77777777" w:rsidR="007D56DB" w:rsidRDefault="007D56DB" w:rsidP="00CA2A16">
            <w:pPr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822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lastRenderedPageBreak/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6D704775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07723BCF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446D21AE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:rsidRPr="00F207AC" w14:paraId="20857B86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574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Налога на Добавленную Стоимость (НДС):</w:t>
            </w:r>
          </w:p>
          <w:p w14:paraId="3B0C19C2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45006A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Применимо к местным участникам, зарегистрированные в Узбекистане: 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включать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НДС* отдельной строкой (если компания зарегистрирована в качестве плательщика НДС);</w:t>
            </w:r>
          </w:p>
          <w:p w14:paraId="242DD3A7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☒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Применимо к зарубежным участникам, зарегистрированные за пределами Узбекистана: предложение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включать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НДС.</w:t>
            </w:r>
          </w:p>
          <w:p w14:paraId="0D1D6BC9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BCC7C0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*Сугубо в целях оценки предложений, сравнение цен будет осуществляться за вычетом суммы НДС!</w:t>
            </w:r>
          </w:p>
          <w:p w14:paraId="3147E066" w14:textId="77777777" w:rsidR="007D56DB" w:rsidRDefault="007D56DB" w:rsidP="00CA2A16">
            <w:pPr>
              <w:pStyle w:val="Default"/>
              <w:widowControl w:val="0"/>
              <w:ind w:left="-57" w:right="-57"/>
              <w:rPr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61E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03BDF74E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29C52CFA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0C5B2ACC" w14:textId="77777777" w:rsidR="007D56DB" w:rsidRDefault="007D56DB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:rsidRPr="00F207AC" w14:paraId="2D711D39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BFC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Крайний срок работ:</w:t>
            </w:r>
          </w:p>
          <w:p w14:paraId="30672740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1:</w:t>
            </w:r>
          </w:p>
          <w:p w14:paraId="0059A0E3" w14:textId="77777777" w:rsidR="007D56DB" w:rsidRPr="00F207AC" w:rsidRDefault="007D56DB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  <w:r w:rsidRPr="00F207AC">
              <w:rPr>
                <w:color w:val="auto"/>
                <w:lang w:val="ru-RU"/>
              </w:rPr>
              <w:t xml:space="preserve">Не более 20 календарных дней с момента подписания контракта обоими сторонами </w:t>
            </w:r>
          </w:p>
          <w:p w14:paraId="097DE7C1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2:</w:t>
            </w:r>
          </w:p>
          <w:p w14:paraId="3E308EF0" w14:textId="77777777" w:rsidR="007D56DB" w:rsidRPr="00F207AC" w:rsidRDefault="007D56DB" w:rsidP="00CA2A16">
            <w:pPr>
              <w:pStyle w:val="Default"/>
              <w:widowControl w:val="0"/>
              <w:ind w:left="-57" w:right="-57"/>
              <w:jc w:val="both"/>
              <w:rPr>
                <w:color w:val="auto"/>
                <w:lang w:val="ru-RU"/>
              </w:rPr>
            </w:pPr>
            <w:r w:rsidRPr="00F207AC">
              <w:rPr>
                <w:color w:val="auto"/>
                <w:lang w:val="ru-RU"/>
              </w:rPr>
              <w:t>Не более 30 календарных дней со дня поставки сеянцев саксаула со стороны ПРООН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B67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5807613F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2E2A9E21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34013593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:rsidRPr="00F207AC" w14:paraId="71BFDFD7" w14:textId="77777777" w:rsidTr="007D56DB">
        <w:tblPrEx>
          <w:jc w:val="left"/>
        </w:tblPrEx>
        <w:tc>
          <w:tcPr>
            <w:tcW w:w="6659" w:type="dxa"/>
          </w:tcPr>
          <w:p w14:paraId="677ADEDC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2: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опыта посадки саксаулов в зоне Приаралья: не менее 3 сезонов</w:t>
            </w:r>
          </w:p>
        </w:tc>
        <w:tc>
          <w:tcPr>
            <w:tcW w:w="4111" w:type="dxa"/>
          </w:tcPr>
          <w:p w14:paraId="6FC47EE0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60445939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391FD7AB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15A18D8C" w14:textId="77777777" w:rsidR="007D56DB" w:rsidRPr="00F207AC" w:rsidRDefault="007D56DB" w:rsidP="00CA2A16">
            <w:pPr>
              <w:widowControl w:val="0"/>
              <w:ind w:left="-57" w:right="-57"/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</w:pPr>
          </w:p>
        </w:tc>
      </w:tr>
      <w:tr w:rsidR="007D56DB" w:rsidRPr="00F207AC" w14:paraId="645B1EEF" w14:textId="77777777" w:rsidTr="007D56DB">
        <w:tblPrEx>
          <w:jc w:val="left"/>
        </w:tblPrEx>
        <w:tc>
          <w:tcPr>
            <w:tcW w:w="6659" w:type="dxa"/>
          </w:tcPr>
          <w:p w14:paraId="68FB2CD8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2: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персонала: не менее 25 человек</w:t>
            </w:r>
          </w:p>
        </w:tc>
        <w:tc>
          <w:tcPr>
            <w:tcW w:w="4111" w:type="dxa"/>
          </w:tcPr>
          <w:p w14:paraId="06F4507C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65C05BBE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1F8C78CB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6B02C562" w14:textId="77777777" w:rsidR="007D56DB" w:rsidRPr="00F207AC" w:rsidRDefault="007D56DB" w:rsidP="00CA2A16">
            <w:pPr>
              <w:widowControl w:val="0"/>
              <w:ind w:left="-57" w:right="-57"/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</w:pPr>
          </w:p>
        </w:tc>
      </w:tr>
      <w:tr w:rsidR="007D56DB" w:rsidRPr="00F207AC" w14:paraId="682CB974" w14:textId="77777777" w:rsidTr="007D56DB">
        <w:tblPrEx>
          <w:jc w:val="left"/>
        </w:tblPrEx>
        <w:tc>
          <w:tcPr>
            <w:tcW w:w="6659" w:type="dxa"/>
          </w:tcPr>
          <w:p w14:paraId="16BEAB0A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2: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штаба / станции на месте проведения посевных работ</w:t>
            </w:r>
          </w:p>
        </w:tc>
        <w:tc>
          <w:tcPr>
            <w:tcW w:w="4111" w:type="dxa"/>
          </w:tcPr>
          <w:p w14:paraId="2BB46DE9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43E93DDD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65F7264B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5584F15F" w14:textId="77777777" w:rsidR="007D56DB" w:rsidRPr="00F207AC" w:rsidRDefault="007D56DB" w:rsidP="00CA2A16">
            <w:pPr>
              <w:widowControl w:val="0"/>
              <w:ind w:left="-57" w:right="-57"/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</w:pPr>
          </w:p>
        </w:tc>
      </w:tr>
      <w:tr w:rsidR="007D56DB" w:rsidRPr="00F207AC" w14:paraId="0793899A" w14:textId="77777777" w:rsidTr="007D56DB">
        <w:tblPrEx>
          <w:jc w:val="left"/>
        </w:tblPrEx>
        <w:tc>
          <w:tcPr>
            <w:tcW w:w="6659" w:type="dxa"/>
          </w:tcPr>
          <w:p w14:paraId="16D37F38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Лот 2: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Наличие техники для проведения ручных посадочных работ</w:t>
            </w:r>
          </w:p>
        </w:tc>
        <w:tc>
          <w:tcPr>
            <w:tcW w:w="4111" w:type="dxa"/>
          </w:tcPr>
          <w:p w14:paraId="4AC44648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66C9282C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4E170F07" w14:textId="77777777" w:rsidR="007D56DB" w:rsidRPr="00F207AC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7AC"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 w:rsidRPr="00F207AC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07A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 w:rsidRPr="00F20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«Нет»: _____________________</w:t>
            </w:r>
          </w:p>
          <w:p w14:paraId="65A860B9" w14:textId="77777777" w:rsidR="007D56DB" w:rsidRPr="00F207AC" w:rsidRDefault="007D56DB" w:rsidP="00CA2A16">
            <w:pPr>
              <w:widowControl w:val="0"/>
              <w:ind w:left="-57" w:right="-57"/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</w:pPr>
          </w:p>
        </w:tc>
      </w:tr>
      <w:tr w:rsidR="007D56DB" w14:paraId="72D59431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E1B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Ликвидированные убытки:</w:t>
            </w:r>
          </w:p>
          <w:p w14:paraId="5F483E62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8E27DD" w14:textId="77777777" w:rsidR="007D56DB" w:rsidRDefault="007D56DB" w:rsidP="00CA2A16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rFonts w:ascii="Segoe UI Symbol" w:hAnsi="Segoe UI Symbol" w:cs="Segoe UI Symbol"/>
                <w:lang w:val="ru-RU"/>
              </w:rPr>
              <w:t>☒</w:t>
            </w:r>
            <w:r>
              <w:rPr>
                <w:lang w:val="ru-RU"/>
              </w:rPr>
              <w:t xml:space="preserve"> Будут применены в случае просрочки в оказании услуг.</w:t>
            </w:r>
          </w:p>
          <w:p w14:paraId="759C498F" w14:textId="77777777" w:rsidR="007D56DB" w:rsidRDefault="007D56DB" w:rsidP="00CA2A16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Процент от стоимости контракта за каждый день просрочки: 0,1%.</w:t>
            </w:r>
          </w:p>
          <w:p w14:paraId="07BEF1F5" w14:textId="77777777" w:rsidR="007D56DB" w:rsidRDefault="007D56DB" w:rsidP="00CA2A16">
            <w:pPr>
              <w:pStyle w:val="Default"/>
              <w:ind w:left="-57" w:right="-57"/>
              <w:rPr>
                <w:lang w:val="ru-RU"/>
              </w:rPr>
            </w:pPr>
            <w:r>
              <w:rPr>
                <w:lang w:val="ru-RU"/>
              </w:rPr>
              <w:t>Максимальное количество дней задержки: 15 календарных дней.</w:t>
            </w:r>
          </w:p>
          <w:p w14:paraId="4354F2FC" w14:textId="77777777" w:rsidR="007D56DB" w:rsidRDefault="007D56DB" w:rsidP="00CA2A16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чего ПРООН имеет право расторгнуть контракт в одностороннем порядке.</w:t>
            </w:r>
          </w:p>
          <w:p w14:paraId="2CFA831E" w14:textId="77777777" w:rsidR="007D56DB" w:rsidRDefault="007D56DB" w:rsidP="00CA2A16">
            <w:pPr>
              <w:pStyle w:val="BankNormal"/>
              <w:widowControl w:val="0"/>
              <w:tabs>
                <w:tab w:val="right" w:pos="7218"/>
              </w:tabs>
              <w:spacing w:after="0"/>
              <w:ind w:left="-57" w:right="-57"/>
              <w:rPr>
                <w:snapToGrid w:val="0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A03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Принимается</w:t>
            </w:r>
          </w:p>
          <w:p w14:paraId="00AC5CD7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</w:t>
            </w:r>
          </w:p>
          <w:p w14:paraId="6F725CF9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“Не принимается”:</w:t>
            </w:r>
          </w:p>
          <w:p w14:paraId="1165B77E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063D2588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14:paraId="6140DB18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813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ООН.</w:t>
            </w:r>
          </w:p>
          <w:p w14:paraId="37798683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F9D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включена</w:t>
            </w:r>
          </w:p>
          <w:p w14:paraId="070BA394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Включена</w:t>
            </w:r>
          </w:p>
          <w:p w14:paraId="648F1A90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“Включена”:</w:t>
            </w:r>
          </w:p>
          <w:p w14:paraId="60FAF02F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15DD2E2B" w14:textId="77777777" w:rsidR="007D56DB" w:rsidRDefault="007D56DB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6DB" w14:paraId="7AB327E1" w14:textId="77777777" w:rsidTr="007D56DB">
        <w:trPr>
          <w:jc w:val="center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FC2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</w:p>
          <w:p w14:paraId="08290882" w14:textId="77777777" w:rsidR="007D56DB" w:rsidRDefault="007D56DB" w:rsidP="00CA2A16">
            <w:pPr>
              <w:pStyle w:val="Default"/>
              <w:ind w:left="-57" w:right="-57"/>
              <w:rPr>
                <w:lang w:val="ru-RU"/>
              </w:rPr>
            </w:pPr>
            <w:hyperlink r:id="rId14" w:history="1">
              <w:r>
                <w:rPr>
                  <w:rStyle w:val="Hyperlink"/>
                </w:rPr>
                <w:t>https</w:t>
              </w:r>
              <w:r>
                <w:rPr>
                  <w:rStyle w:val="Hyperlink"/>
                  <w:lang w:val="ru-RU"/>
                </w:rPr>
                <w:t>://</w:t>
              </w:r>
              <w:r>
                <w:rPr>
                  <w:rStyle w:val="Hyperlink"/>
                </w:rPr>
                <w:t>www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un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</w:rPr>
                <w:t>org</w:t>
              </w:r>
              <w:r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Depts</w:t>
              </w:r>
              <w:r>
                <w:rPr>
                  <w:rStyle w:val="Hyperlink"/>
                  <w:lang w:val="ru-RU"/>
                </w:rPr>
                <w:t>/</w:t>
              </w:r>
              <w:proofErr w:type="spellStart"/>
              <w:r>
                <w:rPr>
                  <w:rStyle w:val="Hyperlink"/>
                </w:rPr>
                <w:t>ptd</w:t>
              </w:r>
              <w:proofErr w:type="spellEnd"/>
              <w:r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about</w:t>
              </w:r>
              <w:r>
                <w:rPr>
                  <w:rStyle w:val="Hyperlink"/>
                  <w:lang w:val="ru-RU"/>
                </w:rPr>
                <w:t>-</w:t>
              </w:r>
              <w:r>
                <w:rPr>
                  <w:rStyle w:val="Hyperlink"/>
                </w:rPr>
                <w:t>us</w:t>
              </w:r>
              <w:r>
                <w:rPr>
                  <w:rStyle w:val="Hyperlink"/>
                  <w:lang w:val="ru-RU"/>
                </w:rPr>
                <w:t>/</w:t>
              </w:r>
              <w:r>
                <w:rPr>
                  <w:rStyle w:val="Hyperlink"/>
                </w:rPr>
                <w:t>un</w:t>
              </w:r>
              <w:r>
                <w:rPr>
                  <w:rStyle w:val="Hyperlink"/>
                  <w:lang w:val="ru-RU"/>
                </w:rPr>
                <w:t>-</w:t>
              </w:r>
              <w:r>
                <w:rPr>
                  <w:rStyle w:val="Hyperlink"/>
                </w:rPr>
                <w:t>supplier</w:t>
              </w:r>
              <w:r>
                <w:rPr>
                  <w:rStyle w:val="Hyperlink"/>
                  <w:lang w:val="ru-RU"/>
                </w:rPr>
                <w:t>-</w:t>
              </w:r>
              <w:r>
                <w:rPr>
                  <w:rStyle w:val="Hyperlink"/>
                </w:rPr>
                <w:t>code</w:t>
              </w:r>
              <w:r>
                <w:rPr>
                  <w:rStyle w:val="Hyperlink"/>
                  <w:lang w:val="ru-RU"/>
                </w:rPr>
                <w:t>-</w:t>
              </w:r>
              <w:r>
                <w:rPr>
                  <w:rStyle w:val="Hyperlink"/>
                </w:rPr>
                <w:t>conduct</w:t>
              </w:r>
            </w:hyperlink>
          </w:p>
          <w:p w14:paraId="29380B17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D1B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Принимается</w:t>
            </w:r>
          </w:p>
          <w:p w14:paraId="4B4B2726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</w:t>
            </w:r>
          </w:p>
          <w:p w14:paraId="1D29BDB0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  <w:lang w:val="ru-RU"/>
              </w:rPr>
              <w:t>☐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Пожалуйста, объясните если выбрали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“Не принимается”:</w:t>
            </w:r>
          </w:p>
          <w:p w14:paraId="655EDD74" w14:textId="77777777" w:rsidR="007D56DB" w:rsidRDefault="007D56DB" w:rsidP="00CA2A16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</w:p>
          <w:p w14:paraId="0362A727" w14:textId="77777777" w:rsidR="007D56DB" w:rsidRDefault="007D56DB" w:rsidP="00CA2A16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  <w:tr w:rsidR="00787969" w:rsidRPr="00E244E2" w14:paraId="2BECF920" w14:textId="77777777" w:rsidTr="007D56DB">
        <w:trPr>
          <w:jc w:val="center"/>
        </w:trPr>
        <w:tc>
          <w:tcPr>
            <w:tcW w:w="10768" w:type="dxa"/>
            <w:gridSpan w:val="2"/>
          </w:tcPr>
          <w:p w14:paraId="6008D6C8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Юридическое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>название</w:t>
            </w:r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 Участника: </w:t>
            </w:r>
            <w:r w:rsidRPr="00787969"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>[укажите юридическое название участника]</w:t>
            </w:r>
          </w:p>
          <w:p w14:paraId="4E24919E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6BF347DE" w14:textId="77777777" w:rsid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</w:pPr>
            <w:r w:rsidRPr="00787969"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  <w:t xml:space="preserve">Юридический адрес в стране регистрации: </w:t>
            </w:r>
            <w:r w:rsidRPr="00787969">
              <w:rPr>
                <w:rFonts w:ascii="Times New Roman" w:eastAsia="MS Gothic" w:hAnsi="Times New Roman" w:cs="Times New Roman"/>
                <w:i/>
                <w:sz w:val="24"/>
                <w:szCs w:val="24"/>
                <w:lang w:val="ru-RU"/>
              </w:rPr>
              <w:t>[укажите юридический адрес участника в стране регистрации]</w:t>
            </w:r>
          </w:p>
          <w:p w14:paraId="6F18F7F2" w14:textId="77777777" w:rsidR="00787969" w:rsidRPr="00787969" w:rsidRDefault="00787969" w:rsidP="00787969">
            <w:pPr>
              <w:widowControl w:val="0"/>
              <w:ind w:left="-57" w:righ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41ED" w:rsidRPr="00E244E2" w14:paraId="02597ED6" w14:textId="77777777" w:rsidTr="007D56DB">
        <w:trPr>
          <w:jc w:val="center"/>
        </w:trPr>
        <w:tc>
          <w:tcPr>
            <w:tcW w:w="10768" w:type="dxa"/>
            <w:gridSpan w:val="2"/>
          </w:tcPr>
          <w:p w14:paraId="3D1DFDFE" w14:textId="77777777" w:rsidR="008341ED" w:rsidRPr="00B911A8" w:rsidRDefault="00787969" w:rsidP="008341ED">
            <w:pPr>
              <w:widowControl w:val="0"/>
              <w:ind w:left="-57"/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Контактная информация 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уполномоченно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го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я</w:t>
            </w:r>
            <w:r w:rsidR="008341ED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Участника</w:t>
            </w:r>
            <w:r w:rsidR="004B48FA" w:rsidRPr="00B911A8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:</w:t>
            </w:r>
          </w:p>
          <w:p w14:paraId="42A5CA0C" w14:textId="77777777" w:rsidR="004B48FA" w:rsidRPr="004B48FA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6D4500DA" w14:textId="77777777" w:rsidR="008341ED" w:rsidRDefault="008341ED" w:rsidP="008341ED">
            <w:pPr>
              <w:widowControl w:val="0"/>
              <w:ind w:left="-57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ФИО: </w:t>
            </w:r>
            <w:r w:rsidRPr="008341ED"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ФИО уполномоченного представителя]</w:t>
            </w:r>
          </w:p>
          <w:p w14:paraId="0B3EAAE0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  <w:p w14:paraId="7E2E1AA1" w14:textId="77777777" w:rsidR="008341ED" w:rsidRDefault="008341ED" w:rsidP="008341ED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уполномоченного представителя]</w:t>
            </w:r>
          </w:p>
          <w:p w14:paraId="49C088BA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7A4A1352" w14:textId="77777777" w:rsidR="008341ED" w:rsidRDefault="008341ED" w:rsidP="008341ED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Номер </w:t>
            </w:r>
            <w:r w:rsidRPr="008341ED">
              <w:rPr>
                <w:rFonts w:ascii="Times New Roman" w:hAnsi="Times New Roman" w:cs="Times New Roman"/>
                <w:color w:val="000000"/>
                <w:spacing w:val="-2"/>
                <w:kern w:val="28"/>
                <w:sz w:val="24"/>
                <w:szCs w:val="24"/>
                <w:lang w:val="ru-RU"/>
              </w:rPr>
              <w:t>телефона</w:t>
            </w: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номера телефона уполномоченного представителя]</w:t>
            </w:r>
          </w:p>
          <w:p w14:paraId="06D42322" w14:textId="77777777" w:rsidR="004B48FA" w:rsidRPr="008341ED" w:rsidRDefault="004B48FA" w:rsidP="008341ED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  <w:p w14:paraId="13548A06" w14:textId="77777777" w:rsidR="008341ED" w:rsidRDefault="008341ED" w:rsidP="00787969">
            <w:pPr>
              <w:widowControl w:val="0"/>
              <w:ind w:left="-57"/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8341ED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 эл. почты: 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электронной почты упол</w:t>
            </w:r>
            <w:r w:rsidR="00787969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номоченного представителя</w:t>
            </w:r>
            <w:r w:rsidRPr="008341ED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]</w:t>
            </w:r>
          </w:p>
          <w:p w14:paraId="2D3FC446" w14:textId="77777777" w:rsidR="00787969" w:rsidRPr="00787969" w:rsidRDefault="00787969" w:rsidP="00787969">
            <w:pPr>
              <w:widowControl w:val="0"/>
              <w:ind w:left="-57"/>
              <w:rPr>
                <w:rFonts w:ascii="Times New Roman" w:eastAsia="MS Gothic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637D35" w14:textId="77777777" w:rsidR="00F70FDB" w:rsidRPr="0048587B" w:rsidRDefault="00F70FDB" w:rsidP="006809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9C72D35" w14:textId="77777777" w:rsidR="00F70FDB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391DF14B" w14:textId="77777777" w:rsidR="00F70FDB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[Должность]</w:t>
      </w:r>
    </w:p>
    <w:p w14:paraId="4CBE9613" w14:textId="77777777" w:rsidR="006D328E" w:rsidRPr="0048587B" w:rsidRDefault="00F70FDB" w:rsidP="0062289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i/>
          <w:iCs/>
          <w:sz w:val="24"/>
          <w:szCs w:val="24"/>
          <w:lang w:val="ru-RU"/>
        </w:rPr>
        <w:t>[Дата]</w:t>
      </w:r>
    </w:p>
    <w:sectPr w:rsidR="006D328E" w:rsidRPr="0048587B" w:rsidSect="0048587B">
      <w:footerReference w:type="default" r:id="rId15"/>
      <w:pgSz w:w="12240" w:h="15840" w:code="1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9DA7" w14:textId="77777777" w:rsidR="00AD3498" w:rsidRDefault="00AD3498" w:rsidP="00D24C18">
      <w:pPr>
        <w:spacing w:after="0" w:line="240" w:lineRule="auto"/>
      </w:pPr>
      <w:r>
        <w:separator/>
      </w:r>
    </w:p>
  </w:endnote>
  <w:endnote w:type="continuationSeparator" w:id="0">
    <w:p w14:paraId="5B167BBA" w14:textId="77777777" w:rsidR="00AD3498" w:rsidRDefault="00AD3498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7695850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9057E" w14:textId="77777777" w:rsidR="00213D58" w:rsidRPr="005B01BF" w:rsidRDefault="005B01BF" w:rsidP="00767DB3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Страница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7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</w:t>
            </w:r>
            <w:r w:rsidR="00767DB3" w:rsidRPr="005B01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77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="00767DB3" w:rsidRPr="005B01B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60717" w14:textId="77777777" w:rsidR="00AD3498" w:rsidRDefault="00AD3498" w:rsidP="00D24C18">
      <w:pPr>
        <w:spacing w:after="0" w:line="240" w:lineRule="auto"/>
      </w:pPr>
      <w:r>
        <w:separator/>
      </w:r>
    </w:p>
  </w:footnote>
  <w:footnote w:type="continuationSeparator" w:id="0">
    <w:p w14:paraId="3584098C" w14:textId="77777777" w:rsidR="00AD3498" w:rsidRDefault="00AD3498" w:rsidP="00D2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D76"/>
    <w:multiLevelType w:val="hybridMultilevel"/>
    <w:tmpl w:val="C6AA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0749"/>
    <w:multiLevelType w:val="hybridMultilevel"/>
    <w:tmpl w:val="2894A0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6D51CE"/>
    <w:multiLevelType w:val="hybridMultilevel"/>
    <w:tmpl w:val="A04087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63299B"/>
    <w:multiLevelType w:val="hybridMultilevel"/>
    <w:tmpl w:val="576C396A"/>
    <w:lvl w:ilvl="0" w:tplc="47E4792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5E27478C"/>
    <w:multiLevelType w:val="hybridMultilevel"/>
    <w:tmpl w:val="0E008CE6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622D"/>
    <w:multiLevelType w:val="hybridMultilevel"/>
    <w:tmpl w:val="7C7A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4FEA"/>
    <w:multiLevelType w:val="hybridMultilevel"/>
    <w:tmpl w:val="0116DFA2"/>
    <w:lvl w:ilvl="0" w:tplc="CF72D300">
      <w:start w:val="1"/>
      <w:numFmt w:val="bullet"/>
      <w:lvlText w:val="-"/>
      <w:lvlJc w:val="left"/>
      <w:pPr>
        <w:ind w:left="663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46"/>
    <w:rsid w:val="0000247F"/>
    <w:rsid w:val="000048D1"/>
    <w:rsid w:val="00040DB1"/>
    <w:rsid w:val="00054371"/>
    <w:rsid w:val="00060524"/>
    <w:rsid w:val="0007114B"/>
    <w:rsid w:val="000A2519"/>
    <w:rsid w:val="000A5966"/>
    <w:rsid w:val="000B1EE1"/>
    <w:rsid w:val="000B3032"/>
    <w:rsid w:val="000C79AC"/>
    <w:rsid w:val="000E0BE5"/>
    <w:rsid w:val="000E562F"/>
    <w:rsid w:val="00101B42"/>
    <w:rsid w:val="0010245B"/>
    <w:rsid w:val="0011375D"/>
    <w:rsid w:val="0012494F"/>
    <w:rsid w:val="00126208"/>
    <w:rsid w:val="00147066"/>
    <w:rsid w:val="001613D6"/>
    <w:rsid w:val="00164522"/>
    <w:rsid w:val="001654C1"/>
    <w:rsid w:val="001836E0"/>
    <w:rsid w:val="00184DD5"/>
    <w:rsid w:val="001A10E1"/>
    <w:rsid w:val="001A15C6"/>
    <w:rsid w:val="001A5425"/>
    <w:rsid w:val="001B1ADE"/>
    <w:rsid w:val="001D3A8C"/>
    <w:rsid w:val="001D3B92"/>
    <w:rsid w:val="001F5B5C"/>
    <w:rsid w:val="00204D16"/>
    <w:rsid w:val="00206D71"/>
    <w:rsid w:val="00213D58"/>
    <w:rsid w:val="00222327"/>
    <w:rsid w:val="0022426B"/>
    <w:rsid w:val="002258DC"/>
    <w:rsid w:val="00241A01"/>
    <w:rsid w:val="0026103B"/>
    <w:rsid w:val="002671BD"/>
    <w:rsid w:val="00283161"/>
    <w:rsid w:val="00286760"/>
    <w:rsid w:val="002A4015"/>
    <w:rsid w:val="002C5D56"/>
    <w:rsid w:val="002D308A"/>
    <w:rsid w:val="002E5B7A"/>
    <w:rsid w:val="003026CE"/>
    <w:rsid w:val="00303B5B"/>
    <w:rsid w:val="00305E91"/>
    <w:rsid w:val="003138B2"/>
    <w:rsid w:val="00331ED7"/>
    <w:rsid w:val="003616A8"/>
    <w:rsid w:val="003856CA"/>
    <w:rsid w:val="0039106B"/>
    <w:rsid w:val="00391F2E"/>
    <w:rsid w:val="003B50EE"/>
    <w:rsid w:val="003B64E9"/>
    <w:rsid w:val="003D37E4"/>
    <w:rsid w:val="003D6799"/>
    <w:rsid w:val="003D77A6"/>
    <w:rsid w:val="003E13E8"/>
    <w:rsid w:val="00402307"/>
    <w:rsid w:val="004039C2"/>
    <w:rsid w:val="00417E77"/>
    <w:rsid w:val="00424B74"/>
    <w:rsid w:val="0045119F"/>
    <w:rsid w:val="004758F1"/>
    <w:rsid w:val="004779B3"/>
    <w:rsid w:val="0048587B"/>
    <w:rsid w:val="004908BA"/>
    <w:rsid w:val="004936D6"/>
    <w:rsid w:val="004B401B"/>
    <w:rsid w:val="004B48FA"/>
    <w:rsid w:val="004C388D"/>
    <w:rsid w:val="004D0042"/>
    <w:rsid w:val="00524CC1"/>
    <w:rsid w:val="00533C21"/>
    <w:rsid w:val="005647D6"/>
    <w:rsid w:val="00577802"/>
    <w:rsid w:val="00590296"/>
    <w:rsid w:val="0059336D"/>
    <w:rsid w:val="005A19E0"/>
    <w:rsid w:val="005A2BE7"/>
    <w:rsid w:val="005A465B"/>
    <w:rsid w:val="005B01BF"/>
    <w:rsid w:val="005B3E0A"/>
    <w:rsid w:val="005C2453"/>
    <w:rsid w:val="005F10A5"/>
    <w:rsid w:val="006004FB"/>
    <w:rsid w:val="00600D14"/>
    <w:rsid w:val="00614DBD"/>
    <w:rsid w:val="00622893"/>
    <w:rsid w:val="006259E5"/>
    <w:rsid w:val="00630738"/>
    <w:rsid w:val="006543E3"/>
    <w:rsid w:val="00656389"/>
    <w:rsid w:val="00656DB3"/>
    <w:rsid w:val="006618D9"/>
    <w:rsid w:val="00664037"/>
    <w:rsid w:val="0066410F"/>
    <w:rsid w:val="00665AC0"/>
    <w:rsid w:val="00680926"/>
    <w:rsid w:val="006A1D5A"/>
    <w:rsid w:val="006B1238"/>
    <w:rsid w:val="006B49B4"/>
    <w:rsid w:val="006D328E"/>
    <w:rsid w:val="006E6777"/>
    <w:rsid w:val="00701830"/>
    <w:rsid w:val="00702194"/>
    <w:rsid w:val="0073342B"/>
    <w:rsid w:val="0073387D"/>
    <w:rsid w:val="00741DCB"/>
    <w:rsid w:val="00742FD1"/>
    <w:rsid w:val="00760883"/>
    <w:rsid w:val="00767DB3"/>
    <w:rsid w:val="00771FED"/>
    <w:rsid w:val="00787969"/>
    <w:rsid w:val="00790597"/>
    <w:rsid w:val="00797C4B"/>
    <w:rsid w:val="007A60A7"/>
    <w:rsid w:val="007A7265"/>
    <w:rsid w:val="007D56DB"/>
    <w:rsid w:val="007E5D62"/>
    <w:rsid w:val="007F61A5"/>
    <w:rsid w:val="007F7117"/>
    <w:rsid w:val="00804A16"/>
    <w:rsid w:val="00811E9D"/>
    <w:rsid w:val="0081376E"/>
    <w:rsid w:val="0082023C"/>
    <w:rsid w:val="00827B23"/>
    <w:rsid w:val="008341ED"/>
    <w:rsid w:val="00836443"/>
    <w:rsid w:val="0086749F"/>
    <w:rsid w:val="008877B6"/>
    <w:rsid w:val="008D56FF"/>
    <w:rsid w:val="008D611C"/>
    <w:rsid w:val="008D69F2"/>
    <w:rsid w:val="008E71BD"/>
    <w:rsid w:val="008E7AA0"/>
    <w:rsid w:val="00906BC9"/>
    <w:rsid w:val="00940A21"/>
    <w:rsid w:val="009518B7"/>
    <w:rsid w:val="00951DD7"/>
    <w:rsid w:val="0095311B"/>
    <w:rsid w:val="0098575C"/>
    <w:rsid w:val="00987438"/>
    <w:rsid w:val="00993F32"/>
    <w:rsid w:val="009A24FB"/>
    <w:rsid w:val="009C1F7A"/>
    <w:rsid w:val="009C779C"/>
    <w:rsid w:val="009D0A23"/>
    <w:rsid w:val="009D4B43"/>
    <w:rsid w:val="009E070A"/>
    <w:rsid w:val="009E1C29"/>
    <w:rsid w:val="009E27CE"/>
    <w:rsid w:val="009E759C"/>
    <w:rsid w:val="00A00112"/>
    <w:rsid w:val="00A17E83"/>
    <w:rsid w:val="00A21060"/>
    <w:rsid w:val="00A34D4C"/>
    <w:rsid w:val="00A3628B"/>
    <w:rsid w:val="00A40AAB"/>
    <w:rsid w:val="00A52922"/>
    <w:rsid w:val="00A54329"/>
    <w:rsid w:val="00A55E57"/>
    <w:rsid w:val="00A61F46"/>
    <w:rsid w:val="00A733BB"/>
    <w:rsid w:val="00A80DB5"/>
    <w:rsid w:val="00A86D18"/>
    <w:rsid w:val="00A96961"/>
    <w:rsid w:val="00AC1397"/>
    <w:rsid w:val="00AD3498"/>
    <w:rsid w:val="00AE523A"/>
    <w:rsid w:val="00AF1A6D"/>
    <w:rsid w:val="00B15887"/>
    <w:rsid w:val="00B20977"/>
    <w:rsid w:val="00B343A6"/>
    <w:rsid w:val="00B402C5"/>
    <w:rsid w:val="00B446BC"/>
    <w:rsid w:val="00B7101F"/>
    <w:rsid w:val="00B753C1"/>
    <w:rsid w:val="00B77472"/>
    <w:rsid w:val="00B82F4D"/>
    <w:rsid w:val="00B911A8"/>
    <w:rsid w:val="00B974E2"/>
    <w:rsid w:val="00BA1EE7"/>
    <w:rsid w:val="00BA5D07"/>
    <w:rsid w:val="00BB0925"/>
    <w:rsid w:val="00BC5403"/>
    <w:rsid w:val="00BD4A7A"/>
    <w:rsid w:val="00BE0FC5"/>
    <w:rsid w:val="00BF340E"/>
    <w:rsid w:val="00BF3ADE"/>
    <w:rsid w:val="00C036BB"/>
    <w:rsid w:val="00C16C53"/>
    <w:rsid w:val="00C22FE8"/>
    <w:rsid w:val="00C252BD"/>
    <w:rsid w:val="00C55B72"/>
    <w:rsid w:val="00C5653E"/>
    <w:rsid w:val="00C57D1B"/>
    <w:rsid w:val="00C64E16"/>
    <w:rsid w:val="00CC2AB7"/>
    <w:rsid w:val="00CC59F6"/>
    <w:rsid w:val="00CD2079"/>
    <w:rsid w:val="00CE1207"/>
    <w:rsid w:val="00CE2C2F"/>
    <w:rsid w:val="00CE2C99"/>
    <w:rsid w:val="00CE37BD"/>
    <w:rsid w:val="00CF3C39"/>
    <w:rsid w:val="00D07813"/>
    <w:rsid w:val="00D16746"/>
    <w:rsid w:val="00D24C18"/>
    <w:rsid w:val="00D26913"/>
    <w:rsid w:val="00D30974"/>
    <w:rsid w:val="00D33365"/>
    <w:rsid w:val="00D43433"/>
    <w:rsid w:val="00D556C7"/>
    <w:rsid w:val="00D61417"/>
    <w:rsid w:val="00D724DB"/>
    <w:rsid w:val="00D73939"/>
    <w:rsid w:val="00D75785"/>
    <w:rsid w:val="00D83C2E"/>
    <w:rsid w:val="00D93349"/>
    <w:rsid w:val="00DA1E87"/>
    <w:rsid w:val="00DB29BA"/>
    <w:rsid w:val="00DB754E"/>
    <w:rsid w:val="00DB7E85"/>
    <w:rsid w:val="00DD6E32"/>
    <w:rsid w:val="00DE1C03"/>
    <w:rsid w:val="00DE34AF"/>
    <w:rsid w:val="00DF7D4A"/>
    <w:rsid w:val="00E051BB"/>
    <w:rsid w:val="00E068B3"/>
    <w:rsid w:val="00E12B4D"/>
    <w:rsid w:val="00E21305"/>
    <w:rsid w:val="00E244E2"/>
    <w:rsid w:val="00E32BEB"/>
    <w:rsid w:val="00E40FC6"/>
    <w:rsid w:val="00E51BD2"/>
    <w:rsid w:val="00E9272B"/>
    <w:rsid w:val="00EA7309"/>
    <w:rsid w:val="00EC02DA"/>
    <w:rsid w:val="00EC08C6"/>
    <w:rsid w:val="00ED4B0E"/>
    <w:rsid w:val="00EE24BA"/>
    <w:rsid w:val="00EE61BE"/>
    <w:rsid w:val="00F07A87"/>
    <w:rsid w:val="00F11213"/>
    <w:rsid w:val="00F12D8D"/>
    <w:rsid w:val="00F1725E"/>
    <w:rsid w:val="00F260CC"/>
    <w:rsid w:val="00F40FEE"/>
    <w:rsid w:val="00F526DE"/>
    <w:rsid w:val="00F67D4A"/>
    <w:rsid w:val="00F70FDB"/>
    <w:rsid w:val="00F7776C"/>
    <w:rsid w:val="00F8028E"/>
    <w:rsid w:val="00F9052D"/>
    <w:rsid w:val="00F932BE"/>
    <w:rsid w:val="00F970B2"/>
    <w:rsid w:val="00FA41DC"/>
    <w:rsid w:val="00FD1BBC"/>
    <w:rsid w:val="00FE6B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1DAD"/>
  <w15:chartTrackingRefBased/>
  <w15:docId w15:val="{A45D12E2-6133-4157-914B-337AA4F1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3B92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laceholderText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Normal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FootnoteReference">
    <w:name w:val="footnote reference"/>
    <w:rsid w:val="00D24C18"/>
    <w:rPr>
      <w:vertAlign w:val="superscript"/>
    </w:rPr>
  </w:style>
  <w:style w:type="paragraph" w:styleId="FootnoteText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Normal"/>
    <w:link w:val="FootnoteTextChar"/>
    <w:uiPriority w:val="99"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Testo nota a piè di pagina Carattere Carattere Char,Testo nota a piè di pagina Carattere Char,Testo nota a piè di pagina Carattere1 Carattere Char,ft Char"/>
    <w:basedOn w:val="DefaultParagraphFont"/>
    <w:link w:val="FootnoteText"/>
    <w:uiPriority w:val="99"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5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34D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3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2B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9D"/>
  </w:style>
  <w:style w:type="paragraph" w:styleId="Footer">
    <w:name w:val="footer"/>
    <w:basedOn w:val="Normal"/>
    <w:link w:val="FooterChar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9D"/>
  </w:style>
  <w:style w:type="paragraph" w:styleId="NormalWeb">
    <w:name w:val="Normal (Web)"/>
    <w:aliases w:val=" webb,webb"/>
    <w:basedOn w:val="Normal"/>
    <w:rsid w:val="00286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notedescription">
    <w:name w:val="footnote description"/>
    <w:next w:val="Normal"/>
    <w:link w:val="footnotedescriptionChar"/>
    <w:hidden/>
    <w:rsid w:val="006259E5"/>
    <w:pPr>
      <w:spacing w:after="0" w:line="268" w:lineRule="auto"/>
    </w:pPr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259E5"/>
    <w:rPr>
      <w:rFonts w:ascii="Calibri" w:eastAsia="Calibri" w:hAnsi="Calibri" w:cs="Calibri"/>
      <w:i/>
      <w:color w:val="000000"/>
      <w:sz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858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Grid"/>
    <w:rsid w:val="006E6777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dp.org/content/undp/en/home/procurement/business/how-we-bu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dp.org/content/undp/en/home/procurement/business/how-we-bu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dp.org/content/undp/en/home/procurement/business/how-we-bu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dp.org/content/undp/en/home/procurement/business/how-we-buy.html" TargetMode="External"/><Relationship Id="rId14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DA58-B4B3-4744-8529-8EEE7543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Oybek Khayitov</cp:lastModifiedBy>
  <cp:revision>2</cp:revision>
  <dcterms:created xsi:type="dcterms:W3CDTF">2020-11-19T10:20:00Z</dcterms:created>
  <dcterms:modified xsi:type="dcterms:W3CDTF">2020-11-19T10:20:00Z</dcterms:modified>
</cp:coreProperties>
</file>