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C20" w:rsidRDefault="008F4C20" w:rsidP="00834190">
      <w:pPr>
        <w:rPr>
          <w:b/>
        </w:rPr>
      </w:pPr>
    </w:p>
    <w:p w:rsidR="008F4C20" w:rsidRPr="008F4C20" w:rsidRDefault="008F4C20" w:rsidP="00823BEA">
      <w:pPr>
        <w:pStyle w:val="Paragraphedeliste"/>
        <w:pBdr>
          <w:top w:val="single" w:sz="4" w:space="1" w:color="auto"/>
          <w:left w:val="single" w:sz="4" w:space="4" w:color="auto"/>
          <w:bottom w:val="single" w:sz="4" w:space="1" w:color="auto"/>
          <w:right w:val="single" w:sz="4" w:space="4" w:color="auto"/>
        </w:pBdr>
        <w:jc w:val="center"/>
        <w:rPr>
          <w:b/>
          <w:sz w:val="24"/>
          <w:szCs w:val="24"/>
        </w:rPr>
      </w:pPr>
      <w:r w:rsidRPr="008F4C20">
        <w:rPr>
          <w:b/>
          <w:sz w:val="24"/>
          <w:szCs w:val="24"/>
        </w:rPr>
        <w:t xml:space="preserve">Termes de référence pour le recrutement d’un </w:t>
      </w:r>
      <w:r w:rsidR="007D1D03">
        <w:rPr>
          <w:b/>
          <w:sz w:val="24"/>
          <w:szCs w:val="24"/>
        </w:rPr>
        <w:t xml:space="preserve">consultant national </w:t>
      </w:r>
      <w:r w:rsidRPr="008F4C20">
        <w:rPr>
          <w:b/>
          <w:sz w:val="24"/>
          <w:szCs w:val="24"/>
        </w:rPr>
        <w:t xml:space="preserve">pour </w:t>
      </w:r>
      <w:r w:rsidR="00823BEA">
        <w:rPr>
          <w:b/>
          <w:sz w:val="24"/>
          <w:szCs w:val="24"/>
        </w:rPr>
        <w:t xml:space="preserve">la répartition, </w:t>
      </w:r>
      <w:r w:rsidRPr="008F4C20">
        <w:rPr>
          <w:b/>
          <w:sz w:val="24"/>
          <w:szCs w:val="24"/>
        </w:rPr>
        <w:t xml:space="preserve">l’installation et </w:t>
      </w:r>
      <w:r>
        <w:rPr>
          <w:b/>
          <w:sz w:val="24"/>
          <w:szCs w:val="24"/>
        </w:rPr>
        <w:t xml:space="preserve">la </w:t>
      </w:r>
      <w:r w:rsidRPr="008F4C20">
        <w:rPr>
          <w:b/>
          <w:sz w:val="24"/>
          <w:szCs w:val="24"/>
        </w:rPr>
        <w:t xml:space="preserve">mise en </w:t>
      </w:r>
      <w:r>
        <w:rPr>
          <w:b/>
          <w:sz w:val="24"/>
          <w:szCs w:val="24"/>
        </w:rPr>
        <w:t>place du réseau d</w:t>
      </w:r>
      <w:r w:rsidR="00823BEA">
        <w:rPr>
          <w:b/>
          <w:sz w:val="24"/>
          <w:szCs w:val="24"/>
        </w:rPr>
        <w:t>es</w:t>
      </w:r>
      <w:r w:rsidRPr="008F4C20">
        <w:rPr>
          <w:b/>
          <w:sz w:val="24"/>
          <w:szCs w:val="24"/>
        </w:rPr>
        <w:t xml:space="preserve"> Centre</w:t>
      </w:r>
      <w:r w:rsidR="00823BEA">
        <w:rPr>
          <w:b/>
          <w:sz w:val="24"/>
          <w:szCs w:val="24"/>
        </w:rPr>
        <w:t>s</w:t>
      </w:r>
      <w:r w:rsidRPr="008F4C20">
        <w:rPr>
          <w:b/>
          <w:sz w:val="24"/>
          <w:szCs w:val="24"/>
        </w:rPr>
        <w:t xml:space="preserve"> d</w:t>
      </w:r>
      <w:r w:rsidR="00823BEA">
        <w:rPr>
          <w:b/>
          <w:sz w:val="24"/>
          <w:szCs w:val="24"/>
        </w:rPr>
        <w:t>’</w:t>
      </w:r>
      <w:r w:rsidR="00823BEA" w:rsidRPr="008F4C20">
        <w:rPr>
          <w:b/>
          <w:sz w:val="24"/>
          <w:szCs w:val="24"/>
        </w:rPr>
        <w:t>écoute</w:t>
      </w:r>
      <w:r w:rsidRPr="008F4C20">
        <w:rPr>
          <w:b/>
          <w:sz w:val="24"/>
          <w:szCs w:val="24"/>
        </w:rPr>
        <w:t xml:space="preserve"> de </w:t>
      </w:r>
      <w:r w:rsidR="00823BEA">
        <w:rPr>
          <w:b/>
          <w:sz w:val="24"/>
          <w:szCs w:val="24"/>
        </w:rPr>
        <w:t>Boutilimit, Kankoussa et Bassikounou</w:t>
      </w:r>
    </w:p>
    <w:p w:rsidR="008F4C20" w:rsidRDefault="008F4C20" w:rsidP="008F4C20">
      <w:pPr>
        <w:pStyle w:val="Paragraphedeliste"/>
        <w:rPr>
          <w:b/>
        </w:rPr>
      </w:pPr>
    </w:p>
    <w:p w:rsidR="008F4C20" w:rsidRDefault="008F4C20" w:rsidP="008F4C20">
      <w:pPr>
        <w:pStyle w:val="Paragraphedeliste"/>
        <w:rPr>
          <w:b/>
        </w:rPr>
      </w:pPr>
    </w:p>
    <w:p w:rsidR="003F7AC8" w:rsidRPr="009C4314" w:rsidRDefault="00C51224" w:rsidP="00834190">
      <w:pPr>
        <w:pStyle w:val="Paragraphedeliste"/>
        <w:numPr>
          <w:ilvl w:val="0"/>
          <w:numId w:val="1"/>
        </w:numPr>
        <w:rPr>
          <w:b/>
        </w:rPr>
      </w:pPr>
      <w:r w:rsidRPr="009C4314">
        <w:rPr>
          <w:b/>
        </w:rPr>
        <w:t>Contexte</w:t>
      </w:r>
    </w:p>
    <w:p w:rsidR="003F7AC8" w:rsidRPr="003F7AC8" w:rsidRDefault="003F7AC8" w:rsidP="00C51224">
      <w:pPr>
        <w:jc w:val="both"/>
        <w:rPr>
          <w:lang w:bidi="fr-FR"/>
        </w:rPr>
      </w:pPr>
      <w:r w:rsidRPr="003F7AC8">
        <w:rPr>
          <w:lang w:bidi="fr-FR"/>
        </w:rPr>
        <w:t xml:space="preserve">La Mauritanie, à l'instar d'autres pays sahéliens, doit relever le défi d'une radicalisation et d'un </w:t>
      </w:r>
      <w:r w:rsidR="00C51224" w:rsidRPr="003F7AC8">
        <w:rPr>
          <w:lang w:bidi="fr-FR"/>
        </w:rPr>
        <w:t>terrorisme croissants</w:t>
      </w:r>
      <w:r w:rsidRPr="003F7AC8">
        <w:rPr>
          <w:lang w:bidi="fr-FR"/>
        </w:rPr>
        <w:t>. Ses vastes frontières (plus de 5 000 km) avec plusieurs pays et territoires (le Mali, le Sénégal, l'Algérie et le Sahara occidental) la rendent vulnérable à des activités illicites liées au trafic d'armes, de drogue et d'êtres humains, qui constituent une menace à la paix et à la sécurité et un désastre pour les collectivités locales.</w:t>
      </w:r>
    </w:p>
    <w:p w:rsidR="003F7AC8" w:rsidRPr="003F7AC8" w:rsidRDefault="003F7AC8" w:rsidP="00C51224">
      <w:pPr>
        <w:jc w:val="both"/>
        <w:rPr>
          <w:lang w:bidi="fr-FR"/>
        </w:rPr>
      </w:pPr>
      <w:r w:rsidRPr="003F7AC8">
        <w:rPr>
          <w:lang w:bidi="fr-FR"/>
        </w:rPr>
        <w:t>En Mauritanie, les jeunes sont confrontés à une multitude de défis, dont notamment le chômage, la radicalisation, le recrutement des jeunes défavorisés par les terroristes ou les groupes du crime organisé, les défis de l'instabilité sociale, les risques subséquents dans le domaine de la sécurité avec une sous-région fragile et interconnectée et l'extrémisme croissant dans les zones frontalières.</w:t>
      </w:r>
    </w:p>
    <w:p w:rsidR="00834190" w:rsidRDefault="003F7AC8" w:rsidP="00F56B8A">
      <w:pPr>
        <w:jc w:val="both"/>
        <w:rPr>
          <w:lang w:bidi="fr-FR"/>
        </w:rPr>
      </w:pPr>
      <w:r w:rsidRPr="003F7AC8">
        <w:rPr>
          <w:lang w:bidi="fr-FR"/>
        </w:rPr>
        <w:t xml:space="preserve">Pour faire face à ces défis, le gouvernement a </w:t>
      </w:r>
      <w:r w:rsidR="00834190">
        <w:rPr>
          <w:lang w:bidi="fr-FR"/>
        </w:rPr>
        <w:t xml:space="preserve">signé le projet intitulé </w:t>
      </w:r>
      <w:r w:rsidR="00FA549E">
        <w:rPr>
          <w:b/>
          <w:lang w:bidi="fr-FR"/>
        </w:rPr>
        <w:t>«A</w:t>
      </w:r>
      <w:r w:rsidR="00F56B8A">
        <w:rPr>
          <w:b/>
          <w:lang w:bidi="fr-FR"/>
        </w:rPr>
        <w:t>ppui aux institutions démocratiques</w:t>
      </w:r>
      <w:r w:rsidR="00834190">
        <w:rPr>
          <w:lang w:bidi="fr-FR"/>
        </w:rPr>
        <w:t xml:space="preserve">» </w:t>
      </w:r>
      <w:r w:rsidR="00834190" w:rsidRPr="00F56B8A">
        <w:rPr>
          <w:color w:val="C00000"/>
          <w:lang w:bidi="fr-FR"/>
        </w:rPr>
        <w:t xml:space="preserve"> </w:t>
      </w:r>
      <w:r w:rsidR="00FA549E">
        <w:rPr>
          <w:lang w:bidi="fr-FR"/>
        </w:rPr>
        <w:t>financé par le Japon et</w:t>
      </w:r>
      <w:r w:rsidR="00834190">
        <w:rPr>
          <w:lang w:bidi="fr-FR"/>
        </w:rPr>
        <w:t xml:space="preserve"> mis en œuvre par le PNUD. </w:t>
      </w:r>
    </w:p>
    <w:p w:rsidR="00834190" w:rsidRDefault="00834190" w:rsidP="00C51224">
      <w:pPr>
        <w:jc w:val="both"/>
        <w:rPr>
          <w:lang w:bidi="fr-FR"/>
        </w:rPr>
      </w:pPr>
      <w:r>
        <w:rPr>
          <w:lang w:bidi="fr-FR"/>
        </w:rPr>
        <w:t xml:space="preserve">Une des activités de ce projet est la mise en œuvre des centres d’écouté dotés de moyens informatiques modernes afin de permettre aux jeunes de se former dans le domaine des nouvelles technologies et de prendre conscience des dangers de la cybercriminalité. </w:t>
      </w:r>
    </w:p>
    <w:p w:rsidR="00834190" w:rsidRDefault="00834190" w:rsidP="00C51224">
      <w:pPr>
        <w:jc w:val="both"/>
        <w:rPr>
          <w:lang w:bidi="fr-FR"/>
        </w:rPr>
      </w:pPr>
      <w:r>
        <w:rPr>
          <w:lang w:bidi="fr-FR"/>
        </w:rPr>
        <w:t>Les présents TDR visent à recruter un consultant national pour l’insta</w:t>
      </w:r>
      <w:r w:rsidR="00FA549E">
        <w:rPr>
          <w:lang w:bidi="fr-FR"/>
        </w:rPr>
        <w:t>llation du centre d’écoute de Boutilimit, Kankoussa et Bassikounou</w:t>
      </w:r>
      <w:r>
        <w:rPr>
          <w:lang w:bidi="fr-FR"/>
        </w:rPr>
        <w:t>.</w:t>
      </w:r>
    </w:p>
    <w:p w:rsidR="009C4314" w:rsidRPr="009C4314" w:rsidRDefault="00834190" w:rsidP="009C4314">
      <w:pPr>
        <w:pStyle w:val="Paragraphedeliste"/>
        <w:numPr>
          <w:ilvl w:val="0"/>
          <w:numId w:val="1"/>
        </w:numPr>
        <w:jc w:val="both"/>
        <w:rPr>
          <w:b/>
          <w:lang w:bidi="fr-FR"/>
        </w:rPr>
      </w:pPr>
      <w:r w:rsidRPr="009C4314">
        <w:rPr>
          <w:b/>
          <w:lang w:bidi="fr-FR"/>
        </w:rPr>
        <w:t>Objectif général</w:t>
      </w:r>
    </w:p>
    <w:p w:rsidR="009C4314" w:rsidRDefault="009C4314" w:rsidP="00F56B8A">
      <w:pPr>
        <w:jc w:val="both"/>
        <w:rPr>
          <w:lang w:bidi="fr-FR"/>
        </w:rPr>
      </w:pPr>
      <w:r>
        <w:rPr>
          <w:lang w:bidi="fr-FR"/>
        </w:rPr>
        <w:t>L’objectif général de la consultation est</w:t>
      </w:r>
      <w:r w:rsidR="00F56B8A">
        <w:rPr>
          <w:lang w:bidi="fr-FR"/>
        </w:rPr>
        <w:t xml:space="preserve"> la répartition, </w:t>
      </w:r>
      <w:r>
        <w:rPr>
          <w:lang w:bidi="fr-FR"/>
        </w:rPr>
        <w:t xml:space="preserve">l’installation et la mise en </w:t>
      </w:r>
      <w:r w:rsidR="00F56B8A">
        <w:rPr>
          <w:lang w:bidi="fr-FR"/>
        </w:rPr>
        <w:t>fonctionnement des équipements informatiques au niveau des centres</w:t>
      </w:r>
      <w:r w:rsidR="00312729">
        <w:rPr>
          <w:lang w:bidi="fr-FR"/>
        </w:rPr>
        <w:t xml:space="preserve"> d’écoute de </w:t>
      </w:r>
      <w:r w:rsidR="00F56B8A">
        <w:rPr>
          <w:lang w:bidi="fr-FR"/>
        </w:rPr>
        <w:t>de Boutilimit, Kankoussa et Bassikounou</w:t>
      </w:r>
      <w:r w:rsidR="00312729">
        <w:rPr>
          <w:lang w:bidi="fr-FR"/>
        </w:rPr>
        <w:t>.</w:t>
      </w:r>
    </w:p>
    <w:p w:rsidR="00834190" w:rsidRPr="009C4314" w:rsidRDefault="00E5001F" w:rsidP="009C4314">
      <w:pPr>
        <w:pStyle w:val="Paragraphedeliste"/>
        <w:numPr>
          <w:ilvl w:val="0"/>
          <w:numId w:val="1"/>
        </w:numPr>
        <w:jc w:val="both"/>
        <w:rPr>
          <w:b/>
          <w:lang w:bidi="fr-FR"/>
        </w:rPr>
      </w:pPr>
      <w:r>
        <w:rPr>
          <w:b/>
          <w:lang w:bidi="fr-FR"/>
        </w:rPr>
        <w:t>Tâches du consultant</w:t>
      </w:r>
    </w:p>
    <w:p w:rsidR="009C4314" w:rsidRDefault="009C4314" w:rsidP="009C4314">
      <w:pPr>
        <w:jc w:val="both"/>
        <w:rPr>
          <w:lang w:bidi="fr-FR"/>
        </w:rPr>
      </w:pPr>
      <w:r>
        <w:rPr>
          <w:lang w:bidi="fr-FR"/>
        </w:rPr>
        <w:t xml:space="preserve">Les </w:t>
      </w:r>
      <w:r w:rsidR="00E5001F">
        <w:rPr>
          <w:lang w:bidi="fr-FR"/>
        </w:rPr>
        <w:t>tâches à réaliser sont</w:t>
      </w:r>
      <w:r>
        <w:rPr>
          <w:lang w:bidi="fr-FR"/>
        </w:rPr>
        <w:t> :</w:t>
      </w:r>
    </w:p>
    <w:p w:rsidR="00F56B8A" w:rsidRDefault="00F56B8A" w:rsidP="009C4314">
      <w:pPr>
        <w:pStyle w:val="Paragraphedeliste"/>
        <w:numPr>
          <w:ilvl w:val="0"/>
          <w:numId w:val="2"/>
        </w:numPr>
        <w:jc w:val="both"/>
        <w:rPr>
          <w:lang w:bidi="fr-FR"/>
        </w:rPr>
      </w:pPr>
      <w:r>
        <w:rPr>
          <w:lang w:bidi="fr-FR"/>
        </w:rPr>
        <w:t xml:space="preserve">La répartition des équipements informatiques entre les centres d’écoute </w:t>
      </w:r>
    </w:p>
    <w:p w:rsidR="009C4314" w:rsidRDefault="009C4314" w:rsidP="00F56B8A">
      <w:pPr>
        <w:pStyle w:val="Paragraphedeliste"/>
        <w:numPr>
          <w:ilvl w:val="0"/>
          <w:numId w:val="2"/>
        </w:numPr>
        <w:jc w:val="both"/>
        <w:rPr>
          <w:lang w:bidi="fr-FR"/>
        </w:rPr>
      </w:pPr>
      <w:r>
        <w:rPr>
          <w:lang w:bidi="fr-FR"/>
        </w:rPr>
        <w:t xml:space="preserve">La vérification de l’adéquation </w:t>
      </w:r>
      <w:r w:rsidR="00F56B8A">
        <w:rPr>
          <w:lang w:bidi="fr-FR"/>
        </w:rPr>
        <w:t>des</w:t>
      </w:r>
      <w:r>
        <w:rPr>
          <w:lang w:bidi="fr-FR"/>
        </w:rPr>
        <w:t xml:space="preserve"> loca</w:t>
      </w:r>
      <w:r w:rsidR="00F56B8A">
        <w:rPr>
          <w:lang w:bidi="fr-FR"/>
        </w:rPr>
        <w:t>ux</w:t>
      </w:r>
      <w:r>
        <w:rPr>
          <w:lang w:bidi="fr-FR"/>
        </w:rPr>
        <w:t xml:space="preserve"> pour l’installation des équipements (environnement, installation électrique, etc.)</w:t>
      </w:r>
    </w:p>
    <w:p w:rsidR="009C4314" w:rsidRDefault="009C4314" w:rsidP="009C4314">
      <w:pPr>
        <w:pStyle w:val="Paragraphedeliste"/>
        <w:numPr>
          <w:ilvl w:val="0"/>
          <w:numId w:val="2"/>
        </w:numPr>
        <w:jc w:val="both"/>
        <w:rPr>
          <w:lang w:bidi="fr-FR"/>
        </w:rPr>
      </w:pPr>
      <w:r>
        <w:rPr>
          <w:lang w:bidi="fr-FR"/>
        </w:rPr>
        <w:t>L’installation d’un réseau local dans la salle avec au moins 10 prises réseau conformément aux standards et normes en la matière.</w:t>
      </w:r>
    </w:p>
    <w:p w:rsidR="009C4314" w:rsidRDefault="009C4314" w:rsidP="009C4314">
      <w:pPr>
        <w:pStyle w:val="Paragraphedeliste"/>
        <w:numPr>
          <w:ilvl w:val="0"/>
          <w:numId w:val="2"/>
        </w:numPr>
        <w:jc w:val="both"/>
        <w:rPr>
          <w:lang w:bidi="fr-FR"/>
        </w:rPr>
      </w:pPr>
      <w:r>
        <w:rPr>
          <w:lang w:bidi="fr-FR"/>
        </w:rPr>
        <w:t>L’installation des équipements informatiques, audio et vidéo.</w:t>
      </w:r>
    </w:p>
    <w:p w:rsidR="00933A1C" w:rsidRDefault="00720549" w:rsidP="009C4314">
      <w:pPr>
        <w:pStyle w:val="Paragraphedeliste"/>
        <w:numPr>
          <w:ilvl w:val="0"/>
          <w:numId w:val="2"/>
        </w:numPr>
        <w:jc w:val="both"/>
        <w:rPr>
          <w:lang w:bidi="fr-FR"/>
        </w:rPr>
      </w:pPr>
      <w:r>
        <w:rPr>
          <w:lang w:bidi="fr-FR"/>
        </w:rPr>
        <w:t>Le t</w:t>
      </w:r>
      <w:r w:rsidR="00933A1C">
        <w:rPr>
          <w:lang w:bidi="fr-FR"/>
        </w:rPr>
        <w:t xml:space="preserve">éléchargement des différentes applications (office, AV, </w:t>
      </w:r>
      <w:r w:rsidR="00312729">
        <w:rPr>
          <w:lang w:bidi="fr-FR"/>
        </w:rPr>
        <w:t>etc.</w:t>
      </w:r>
      <w:r w:rsidR="00933A1C">
        <w:rPr>
          <w:lang w:bidi="fr-FR"/>
        </w:rPr>
        <w:t>).</w:t>
      </w:r>
    </w:p>
    <w:p w:rsidR="009C4314" w:rsidRDefault="009C4314" w:rsidP="009C4314">
      <w:pPr>
        <w:pStyle w:val="Paragraphedeliste"/>
        <w:numPr>
          <w:ilvl w:val="0"/>
          <w:numId w:val="2"/>
        </w:numPr>
        <w:jc w:val="both"/>
        <w:rPr>
          <w:lang w:bidi="fr-FR"/>
        </w:rPr>
      </w:pPr>
      <w:r>
        <w:rPr>
          <w:lang w:bidi="fr-FR"/>
        </w:rPr>
        <w:t>La configuration des logiciels sur les différents postes de travail (Office, Antivirus, etc.)</w:t>
      </w:r>
      <w:r w:rsidR="00933A1C">
        <w:rPr>
          <w:lang w:bidi="fr-FR"/>
        </w:rPr>
        <w:t xml:space="preserve"> et leur activation le cas échéant.</w:t>
      </w:r>
    </w:p>
    <w:p w:rsidR="009C4314" w:rsidRDefault="009C4314" w:rsidP="009C4314">
      <w:pPr>
        <w:pStyle w:val="Paragraphedeliste"/>
        <w:numPr>
          <w:ilvl w:val="0"/>
          <w:numId w:val="2"/>
        </w:numPr>
        <w:jc w:val="both"/>
        <w:rPr>
          <w:lang w:bidi="fr-FR"/>
        </w:rPr>
      </w:pPr>
      <w:r>
        <w:rPr>
          <w:lang w:bidi="fr-FR"/>
        </w:rPr>
        <w:t>La mise en réseau en local et partage des ressources (imprimante et accès internet).</w:t>
      </w:r>
    </w:p>
    <w:p w:rsidR="00787325" w:rsidRDefault="00312729" w:rsidP="009C4314">
      <w:pPr>
        <w:pStyle w:val="Paragraphedeliste"/>
        <w:numPr>
          <w:ilvl w:val="0"/>
          <w:numId w:val="2"/>
        </w:numPr>
        <w:jc w:val="both"/>
        <w:rPr>
          <w:lang w:bidi="fr-FR"/>
        </w:rPr>
      </w:pPr>
      <w:r>
        <w:rPr>
          <w:lang w:bidi="fr-FR"/>
        </w:rPr>
        <w:t xml:space="preserve">La formation des responsables sur l’utilisation et la maintenance de base des équipements installés. </w:t>
      </w:r>
    </w:p>
    <w:p w:rsidR="00135F48" w:rsidRDefault="00135F48" w:rsidP="00135F48">
      <w:pPr>
        <w:pStyle w:val="Paragraphedeliste"/>
        <w:jc w:val="both"/>
        <w:rPr>
          <w:lang w:bidi="fr-FR"/>
        </w:rPr>
      </w:pPr>
    </w:p>
    <w:p w:rsidR="00135F48" w:rsidRPr="00135F48" w:rsidRDefault="00135F48" w:rsidP="00135F48">
      <w:pPr>
        <w:pStyle w:val="Paragraphedeliste"/>
        <w:numPr>
          <w:ilvl w:val="0"/>
          <w:numId w:val="1"/>
        </w:numPr>
        <w:jc w:val="both"/>
        <w:rPr>
          <w:b/>
          <w:lang w:bidi="fr-FR"/>
        </w:rPr>
      </w:pPr>
      <w:r w:rsidRPr="00135F48">
        <w:rPr>
          <w:b/>
          <w:lang w:bidi="fr-FR"/>
        </w:rPr>
        <w:t xml:space="preserve">Durée de la consultation </w:t>
      </w:r>
    </w:p>
    <w:p w:rsidR="009C4314" w:rsidRDefault="00135F48" w:rsidP="00834190">
      <w:pPr>
        <w:jc w:val="both"/>
        <w:rPr>
          <w:rFonts w:eastAsia="Arial Unicode MS" w:cstheme="majorBidi"/>
          <w:bdr w:val="none" w:sz="0" w:space="0" w:color="auto" w:frame="1"/>
          <w:lang w:eastAsia="fr-FR"/>
        </w:rPr>
      </w:pPr>
      <w:r>
        <w:rPr>
          <w:rFonts w:eastAsia="Arial Unicode MS" w:cstheme="majorBidi"/>
          <w:bdr w:val="none" w:sz="0" w:space="0" w:color="auto" w:frame="1"/>
          <w:lang w:eastAsia="fr-FR"/>
        </w:rPr>
        <w:t>La mission de consultation</w:t>
      </w:r>
      <w:r w:rsidR="00720549">
        <w:rPr>
          <w:rFonts w:eastAsia="Arial Unicode MS" w:cstheme="majorBidi"/>
          <w:bdr w:val="none" w:sz="0" w:space="0" w:color="auto" w:frame="1"/>
          <w:lang w:eastAsia="fr-FR"/>
        </w:rPr>
        <w:t>,</w:t>
      </w:r>
      <w:r>
        <w:rPr>
          <w:rFonts w:eastAsia="Arial Unicode MS" w:cstheme="majorBidi"/>
          <w:bdr w:val="none" w:sz="0" w:space="0" w:color="auto" w:frame="1"/>
          <w:lang w:eastAsia="fr-FR"/>
        </w:rPr>
        <w:t xml:space="preserve"> </w:t>
      </w:r>
      <w:r w:rsidR="00720549">
        <w:rPr>
          <w:rFonts w:eastAsia="Arial Unicode MS" w:cstheme="majorBidi"/>
          <w:bdr w:val="none" w:sz="0" w:space="0" w:color="auto" w:frame="1"/>
          <w:lang w:eastAsia="fr-FR"/>
        </w:rPr>
        <w:t xml:space="preserve">pour les trois sites, </w:t>
      </w:r>
      <w:r>
        <w:rPr>
          <w:rFonts w:eastAsia="Arial Unicode MS" w:cstheme="majorBidi"/>
          <w:bdr w:val="none" w:sz="0" w:space="0" w:color="auto" w:frame="1"/>
          <w:lang w:eastAsia="fr-FR"/>
        </w:rPr>
        <w:t xml:space="preserve">s’étendra sur une durée de </w:t>
      </w:r>
      <w:r w:rsidR="00720549">
        <w:rPr>
          <w:rFonts w:eastAsia="Arial Unicode MS" w:cstheme="majorBidi"/>
          <w:bdr w:val="none" w:sz="0" w:space="0" w:color="auto" w:frame="1"/>
          <w:lang w:eastAsia="fr-FR"/>
        </w:rPr>
        <w:t>45</w:t>
      </w:r>
      <w:r w:rsidR="008F4C20">
        <w:rPr>
          <w:rFonts w:eastAsia="Arial Unicode MS" w:cstheme="majorBidi"/>
          <w:bdr w:val="none" w:sz="0" w:space="0" w:color="auto" w:frame="1"/>
          <w:lang w:eastAsia="fr-FR"/>
        </w:rPr>
        <w:t xml:space="preserve"> ouvrables</w:t>
      </w:r>
      <w:r w:rsidR="00D70C61">
        <w:rPr>
          <w:rFonts w:eastAsia="Arial Unicode MS" w:cstheme="majorBidi"/>
          <w:bdr w:val="none" w:sz="0" w:space="0" w:color="auto" w:frame="1"/>
          <w:lang w:eastAsia="fr-FR"/>
        </w:rPr>
        <w:t xml:space="preserve"> </w:t>
      </w:r>
      <w:r>
        <w:rPr>
          <w:rFonts w:eastAsia="Arial Unicode MS" w:cstheme="majorBidi"/>
          <w:bdr w:val="none" w:sz="0" w:space="0" w:color="auto" w:frame="1"/>
          <w:lang w:eastAsia="fr-FR"/>
        </w:rPr>
        <w:t xml:space="preserve">à compter de la date de signature. </w:t>
      </w:r>
    </w:p>
    <w:p w:rsidR="00135F48" w:rsidRPr="00135F48" w:rsidRDefault="00135F48" w:rsidP="00135F48">
      <w:pPr>
        <w:pStyle w:val="Paragraphedeliste"/>
        <w:numPr>
          <w:ilvl w:val="0"/>
          <w:numId w:val="1"/>
        </w:numPr>
        <w:jc w:val="both"/>
        <w:rPr>
          <w:rFonts w:eastAsia="Arial Unicode MS" w:cstheme="majorBidi"/>
          <w:b/>
          <w:bdr w:val="none" w:sz="0" w:space="0" w:color="auto" w:frame="1"/>
          <w:lang w:eastAsia="fr-FR"/>
        </w:rPr>
      </w:pPr>
      <w:r w:rsidRPr="00135F48">
        <w:rPr>
          <w:rFonts w:eastAsia="Arial Unicode MS" w:cstheme="majorBidi"/>
          <w:b/>
          <w:bdr w:val="none" w:sz="0" w:space="0" w:color="auto" w:frame="1"/>
          <w:lang w:eastAsia="fr-FR"/>
        </w:rPr>
        <w:t xml:space="preserve">Livrables </w:t>
      </w:r>
    </w:p>
    <w:p w:rsidR="00135F48" w:rsidRDefault="00135F48" w:rsidP="00135F48">
      <w:pPr>
        <w:jc w:val="both"/>
        <w:rPr>
          <w:rFonts w:eastAsia="Arial Unicode MS" w:cstheme="majorBidi"/>
          <w:bdr w:val="none" w:sz="0" w:space="0" w:color="auto" w:frame="1"/>
          <w:lang w:eastAsia="fr-FR"/>
        </w:rPr>
      </w:pPr>
      <w:r>
        <w:rPr>
          <w:rFonts w:eastAsia="Arial Unicode MS" w:cstheme="majorBidi"/>
          <w:bdr w:val="none" w:sz="0" w:space="0" w:color="auto" w:frame="1"/>
          <w:lang w:eastAsia="fr-FR"/>
        </w:rPr>
        <w:t>Les livrables pour la consultation sont :</w:t>
      </w:r>
    </w:p>
    <w:p w:rsidR="00F56B8A" w:rsidRDefault="00F56B8A" w:rsidP="00135F48">
      <w:pPr>
        <w:pStyle w:val="Paragraphedeliste"/>
        <w:numPr>
          <w:ilvl w:val="0"/>
          <w:numId w:val="2"/>
        </w:numPr>
        <w:jc w:val="both"/>
        <w:rPr>
          <w:rFonts w:eastAsia="Arial Unicode MS" w:cstheme="majorBidi"/>
          <w:bdr w:val="none" w:sz="0" w:space="0" w:color="auto" w:frame="1"/>
          <w:lang w:eastAsia="fr-FR"/>
        </w:rPr>
      </w:pPr>
      <w:r>
        <w:rPr>
          <w:rFonts w:eastAsia="Arial Unicode MS" w:cstheme="majorBidi"/>
          <w:bdr w:val="none" w:sz="0" w:space="0" w:color="auto" w:frame="1"/>
          <w:lang w:eastAsia="fr-FR"/>
        </w:rPr>
        <w:t>Equipements repartis entre les centres</w:t>
      </w:r>
    </w:p>
    <w:p w:rsidR="00135F48" w:rsidRDefault="00135F48" w:rsidP="00135F48">
      <w:pPr>
        <w:pStyle w:val="Paragraphedeliste"/>
        <w:numPr>
          <w:ilvl w:val="0"/>
          <w:numId w:val="2"/>
        </w:numPr>
        <w:jc w:val="both"/>
        <w:rPr>
          <w:rFonts w:eastAsia="Arial Unicode MS" w:cstheme="majorBidi"/>
          <w:bdr w:val="none" w:sz="0" w:space="0" w:color="auto" w:frame="1"/>
          <w:lang w:eastAsia="fr-FR"/>
        </w:rPr>
      </w:pPr>
      <w:r>
        <w:rPr>
          <w:rFonts w:eastAsia="Arial Unicode MS" w:cstheme="majorBidi"/>
          <w:bdr w:val="none" w:sz="0" w:space="0" w:color="auto" w:frame="1"/>
          <w:lang w:eastAsia="fr-FR"/>
        </w:rPr>
        <w:t>Réseau</w:t>
      </w:r>
      <w:r w:rsidR="00720549">
        <w:rPr>
          <w:rFonts w:eastAsia="Arial Unicode MS" w:cstheme="majorBidi"/>
          <w:bdr w:val="none" w:sz="0" w:space="0" w:color="auto" w:frame="1"/>
          <w:lang w:eastAsia="fr-FR"/>
        </w:rPr>
        <w:t>x</w:t>
      </w:r>
      <w:r>
        <w:rPr>
          <w:rFonts w:eastAsia="Arial Unicode MS" w:cstheme="majorBidi"/>
          <w:bdr w:val="none" w:sz="0" w:space="0" w:color="auto" w:frame="1"/>
          <w:lang w:eastAsia="fr-FR"/>
        </w:rPr>
        <w:t xml:space="preserve"> installé</w:t>
      </w:r>
      <w:r w:rsidR="00720549">
        <w:rPr>
          <w:rFonts w:eastAsia="Arial Unicode MS" w:cstheme="majorBidi"/>
          <w:bdr w:val="none" w:sz="0" w:space="0" w:color="auto" w:frame="1"/>
          <w:lang w:eastAsia="fr-FR"/>
        </w:rPr>
        <w:t>s</w:t>
      </w:r>
      <w:r>
        <w:rPr>
          <w:rFonts w:eastAsia="Arial Unicode MS" w:cstheme="majorBidi"/>
          <w:bdr w:val="none" w:sz="0" w:space="0" w:color="auto" w:frame="1"/>
          <w:lang w:eastAsia="fr-FR"/>
        </w:rPr>
        <w:t xml:space="preserve"> </w:t>
      </w:r>
    </w:p>
    <w:p w:rsidR="00135F48" w:rsidRDefault="00135F48" w:rsidP="00135F48">
      <w:pPr>
        <w:pStyle w:val="Paragraphedeliste"/>
        <w:numPr>
          <w:ilvl w:val="0"/>
          <w:numId w:val="2"/>
        </w:numPr>
        <w:jc w:val="both"/>
        <w:rPr>
          <w:rFonts w:eastAsia="Arial Unicode MS" w:cstheme="majorBidi"/>
          <w:bdr w:val="none" w:sz="0" w:space="0" w:color="auto" w:frame="1"/>
          <w:lang w:eastAsia="fr-FR"/>
        </w:rPr>
      </w:pPr>
      <w:r>
        <w:rPr>
          <w:rFonts w:eastAsia="Arial Unicode MS" w:cstheme="majorBidi"/>
          <w:bdr w:val="none" w:sz="0" w:space="0" w:color="auto" w:frame="1"/>
          <w:lang w:eastAsia="fr-FR"/>
        </w:rPr>
        <w:t>Equipements configurés et opérationnels</w:t>
      </w:r>
    </w:p>
    <w:p w:rsidR="00312729" w:rsidRDefault="00312729" w:rsidP="00135F48">
      <w:pPr>
        <w:pStyle w:val="Paragraphedeliste"/>
        <w:numPr>
          <w:ilvl w:val="0"/>
          <w:numId w:val="2"/>
        </w:numPr>
        <w:jc w:val="both"/>
        <w:rPr>
          <w:rFonts w:eastAsia="Arial Unicode MS" w:cstheme="majorBidi"/>
          <w:bdr w:val="none" w:sz="0" w:space="0" w:color="auto" w:frame="1"/>
          <w:lang w:eastAsia="fr-FR"/>
        </w:rPr>
      </w:pPr>
      <w:r>
        <w:rPr>
          <w:rFonts w:eastAsia="Arial Unicode MS" w:cstheme="majorBidi"/>
          <w:bdr w:val="none" w:sz="0" w:space="0" w:color="auto" w:frame="1"/>
          <w:lang w:eastAsia="fr-FR"/>
        </w:rPr>
        <w:t xml:space="preserve">Rapport </w:t>
      </w:r>
    </w:p>
    <w:p w:rsidR="00135F48" w:rsidRDefault="00135F48" w:rsidP="00135F48">
      <w:pPr>
        <w:pStyle w:val="Paragraphedeliste"/>
        <w:jc w:val="both"/>
        <w:rPr>
          <w:rFonts w:eastAsia="Arial Unicode MS" w:cstheme="majorBidi"/>
          <w:bdr w:val="none" w:sz="0" w:space="0" w:color="auto" w:frame="1"/>
          <w:lang w:eastAsia="fr-FR"/>
        </w:rPr>
      </w:pPr>
    </w:p>
    <w:p w:rsidR="00135F48" w:rsidRPr="00135F48" w:rsidRDefault="00E5001F" w:rsidP="00135F48">
      <w:pPr>
        <w:pStyle w:val="Paragraphedeliste"/>
        <w:numPr>
          <w:ilvl w:val="0"/>
          <w:numId w:val="1"/>
        </w:numPr>
        <w:spacing w:after="0" w:line="240" w:lineRule="auto"/>
        <w:jc w:val="both"/>
        <w:rPr>
          <w:rFonts w:ascii="Calibri" w:eastAsia="Arial Unicode MS" w:hAnsi="Calibri" w:cs="Times New Roman"/>
          <w:b/>
          <w:bdr w:val="none" w:sz="0" w:space="0" w:color="auto" w:frame="1"/>
          <w:lang w:eastAsia="fr-FR"/>
        </w:rPr>
      </w:pPr>
      <w:r>
        <w:rPr>
          <w:rFonts w:ascii="Calibri" w:eastAsia="Arial Unicode MS" w:hAnsi="Calibri" w:cs="Times New Roman"/>
          <w:b/>
          <w:bdr w:val="none" w:sz="0" w:space="0" w:color="auto" w:frame="1"/>
          <w:lang w:eastAsia="fr-FR"/>
        </w:rPr>
        <w:t>Profil</w:t>
      </w:r>
      <w:r w:rsidR="00135F48" w:rsidRPr="00135F48">
        <w:rPr>
          <w:rFonts w:ascii="Calibri" w:eastAsia="Arial Unicode MS" w:hAnsi="Calibri" w:cs="Times New Roman"/>
          <w:b/>
          <w:bdr w:val="none" w:sz="0" w:space="0" w:color="auto" w:frame="1"/>
          <w:lang w:eastAsia="fr-FR"/>
        </w:rPr>
        <w:t xml:space="preserve"> du consultant </w:t>
      </w:r>
    </w:p>
    <w:p w:rsidR="00135F48" w:rsidRPr="00135F48" w:rsidRDefault="00135F48" w:rsidP="00135F48">
      <w:pPr>
        <w:spacing w:after="0" w:line="240" w:lineRule="auto"/>
        <w:ind w:left="786"/>
        <w:contextualSpacing/>
        <w:jc w:val="both"/>
        <w:rPr>
          <w:rFonts w:ascii="Calibri" w:eastAsia="Arial Unicode MS" w:hAnsi="Calibri" w:cs="Times New Roman"/>
          <w:b/>
          <w:bdr w:val="none" w:sz="0" w:space="0" w:color="auto" w:frame="1"/>
          <w:lang w:eastAsia="fr-FR"/>
        </w:rPr>
      </w:pPr>
    </w:p>
    <w:p w:rsidR="00135F48" w:rsidRPr="00135F48" w:rsidRDefault="00135F48" w:rsidP="00E5001F">
      <w:pPr>
        <w:spacing w:after="0" w:line="240" w:lineRule="auto"/>
        <w:ind w:left="720"/>
        <w:jc w:val="both"/>
        <w:rPr>
          <w:rFonts w:ascii="Calibri" w:eastAsia="Arial Unicode MS" w:hAnsi="Calibri" w:cs="Times New Roman"/>
          <w:b/>
          <w:bdr w:val="none" w:sz="0" w:space="0" w:color="auto" w:frame="1"/>
          <w:lang w:eastAsia="fr-FR"/>
        </w:rPr>
      </w:pPr>
      <w:r w:rsidRPr="00135F48">
        <w:rPr>
          <w:rFonts w:ascii="Calibri" w:eastAsia="Arial Unicode MS" w:hAnsi="Calibri" w:cs="Times New Roman"/>
          <w:b/>
          <w:bdr w:val="none" w:sz="0" w:space="0" w:color="auto" w:frame="1"/>
          <w:lang w:eastAsia="fr-FR"/>
        </w:rPr>
        <w:t>Qualifications</w:t>
      </w:r>
      <w:r w:rsidR="00E5001F">
        <w:rPr>
          <w:rFonts w:ascii="Calibri" w:eastAsia="Arial Unicode MS" w:hAnsi="Calibri" w:cs="Times New Roman"/>
          <w:b/>
          <w:bdr w:val="none" w:sz="0" w:space="0" w:color="auto" w:frame="1"/>
          <w:lang w:eastAsia="fr-FR"/>
        </w:rPr>
        <w:t xml:space="preserve"> et compétences</w:t>
      </w:r>
    </w:p>
    <w:p w:rsidR="00135F48" w:rsidRPr="00135F48" w:rsidRDefault="00135F48" w:rsidP="00135F48">
      <w:pPr>
        <w:spacing w:after="0" w:line="240" w:lineRule="auto"/>
        <w:ind w:left="66" w:firstLine="720"/>
        <w:jc w:val="both"/>
        <w:rPr>
          <w:rFonts w:ascii="Calibri" w:eastAsia="Arial Unicode MS" w:hAnsi="Calibri" w:cs="Times New Roman"/>
          <w:b/>
          <w:bdr w:val="none" w:sz="0" w:space="0" w:color="auto" w:frame="1"/>
          <w:lang w:eastAsia="fr-FR"/>
        </w:rPr>
      </w:pPr>
      <w:bookmarkStart w:id="0" w:name="_GoBack"/>
      <w:bookmarkEnd w:id="0"/>
    </w:p>
    <w:p w:rsidR="00135F48" w:rsidRPr="00135F48" w:rsidRDefault="00135F48" w:rsidP="00135F48">
      <w:pPr>
        <w:spacing w:after="0" w:line="240" w:lineRule="auto"/>
        <w:jc w:val="both"/>
        <w:rPr>
          <w:rFonts w:ascii="Calibri" w:eastAsia="Arial Unicode MS" w:hAnsi="Calibri" w:cs="Times New Roman"/>
          <w:bdr w:val="none" w:sz="0" w:space="0" w:color="auto" w:frame="1"/>
          <w:lang w:eastAsia="fr-FR"/>
        </w:rPr>
      </w:pPr>
      <w:r w:rsidRPr="00135F48">
        <w:rPr>
          <w:rFonts w:ascii="Calibri" w:eastAsia="Arial Unicode MS" w:hAnsi="Calibri" w:cs="Times New Roman"/>
          <w:bdr w:val="none" w:sz="0" w:space="0" w:color="auto" w:frame="1"/>
          <w:lang w:eastAsia="fr-FR"/>
        </w:rPr>
        <w:t>Le consultant doit être titulaire d’un :</w:t>
      </w:r>
    </w:p>
    <w:p w:rsidR="00135F48" w:rsidRPr="00135F48" w:rsidRDefault="00135F48" w:rsidP="00135F48">
      <w:pPr>
        <w:spacing w:after="0" w:line="240" w:lineRule="auto"/>
        <w:jc w:val="both"/>
        <w:rPr>
          <w:rFonts w:ascii="Calibri" w:eastAsia="Arial Unicode MS" w:hAnsi="Calibri" w:cs="Times New Roman"/>
          <w:bdr w:val="none" w:sz="0" w:space="0" w:color="auto" w:frame="1"/>
          <w:lang w:eastAsia="fr-FR"/>
        </w:rPr>
      </w:pPr>
    </w:p>
    <w:p w:rsidR="00135F48" w:rsidRPr="00135F48" w:rsidRDefault="00135F48" w:rsidP="00135F48">
      <w:pPr>
        <w:numPr>
          <w:ilvl w:val="0"/>
          <w:numId w:val="4"/>
        </w:numPr>
        <w:spacing w:after="0" w:line="240" w:lineRule="auto"/>
        <w:contextualSpacing/>
        <w:jc w:val="both"/>
        <w:rPr>
          <w:rFonts w:ascii="Calibri" w:eastAsia="Arial Unicode MS" w:hAnsi="Calibri" w:cs="Times New Roman"/>
          <w:color w:val="FF0000"/>
          <w:bdr w:val="none" w:sz="0" w:space="0" w:color="auto" w:frame="1"/>
          <w:lang w:eastAsia="fr-FR"/>
        </w:rPr>
      </w:pPr>
      <w:r w:rsidRPr="00135F48">
        <w:rPr>
          <w:rFonts w:ascii="Calibri" w:eastAsia="Arial Unicode MS" w:hAnsi="Calibri" w:cs="Times New Roman"/>
          <w:bdr w:val="none" w:sz="0" w:space="0" w:color="auto" w:frame="1"/>
          <w:lang w:eastAsia="fr-FR"/>
        </w:rPr>
        <w:t xml:space="preserve">Diplôme d’études supérieures en informatique, avec au moins 5 années d’expérience professionnelle dans </w:t>
      </w:r>
      <w:r w:rsidR="00542345">
        <w:rPr>
          <w:rFonts w:ascii="Calibri" w:eastAsia="Arial Unicode MS" w:hAnsi="Calibri" w:cs="Times New Roman"/>
          <w:bdr w:val="none" w:sz="0" w:space="0" w:color="auto" w:frame="1"/>
          <w:lang w:eastAsia="fr-FR"/>
        </w:rPr>
        <w:t xml:space="preserve">la gestion des systèmes d’information </w:t>
      </w:r>
      <w:r w:rsidRPr="00135F48">
        <w:rPr>
          <w:rFonts w:ascii="Calibri" w:eastAsia="Arial Unicode MS" w:hAnsi="Calibri" w:cs="Times New Roman"/>
          <w:bdr w:val="none" w:sz="0" w:space="0" w:color="auto" w:frame="1"/>
          <w:lang w:eastAsia="fr-FR"/>
        </w:rPr>
        <w:t xml:space="preserve"> </w:t>
      </w:r>
    </w:p>
    <w:p w:rsidR="00216E61" w:rsidRPr="00216E61" w:rsidRDefault="00135F48" w:rsidP="00216E61">
      <w:pPr>
        <w:numPr>
          <w:ilvl w:val="0"/>
          <w:numId w:val="4"/>
        </w:numPr>
        <w:spacing w:after="0" w:line="240" w:lineRule="auto"/>
        <w:contextualSpacing/>
        <w:jc w:val="both"/>
        <w:rPr>
          <w:rFonts w:ascii="Calibri" w:eastAsia="Arial Unicode MS" w:hAnsi="Calibri" w:cs="Times New Roman"/>
          <w:bdr w:val="none" w:sz="0" w:space="0" w:color="auto" w:frame="1"/>
          <w:lang w:eastAsia="fr-FR"/>
        </w:rPr>
      </w:pPr>
      <w:r w:rsidRPr="00135F48">
        <w:rPr>
          <w:rFonts w:ascii="Calibri" w:eastAsia="Arial Unicode MS" w:hAnsi="Calibri" w:cs="Times New Roman"/>
          <w:bdr w:val="none" w:sz="0" w:space="0" w:color="auto" w:frame="1"/>
          <w:lang w:eastAsia="fr-FR"/>
        </w:rPr>
        <w:t xml:space="preserve">Bonnes </w:t>
      </w:r>
      <w:r w:rsidR="00542345">
        <w:rPr>
          <w:rFonts w:ascii="Calibri" w:eastAsia="Arial Unicode MS" w:hAnsi="Calibri" w:cs="Times New Roman"/>
          <w:bdr w:val="none" w:sz="0" w:space="0" w:color="auto" w:frame="1"/>
          <w:lang w:eastAsia="fr-FR"/>
        </w:rPr>
        <w:t>connaissances dans le déploiement et l’installation du matériel informatique</w:t>
      </w:r>
    </w:p>
    <w:p w:rsidR="00E5001F" w:rsidRDefault="00E5001F" w:rsidP="00E5001F">
      <w:pPr>
        <w:spacing w:after="0" w:line="240" w:lineRule="auto"/>
        <w:contextualSpacing/>
        <w:jc w:val="both"/>
        <w:rPr>
          <w:rFonts w:ascii="Calibri" w:eastAsia="Arial Unicode MS" w:hAnsi="Calibri" w:cs="Times New Roman"/>
          <w:bdr w:val="none" w:sz="0" w:space="0" w:color="auto" w:frame="1"/>
          <w:lang w:eastAsia="fr-FR"/>
        </w:rPr>
      </w:pPr>
    </w:p>
    <w:p w:rsidR="00E5001F" w:rsidRDefault="00E5001F" w:rsidP="00E5001F">
      <w:pPr>
        <w:spacing w:after="0" w:line="240" w:lineRule="auto"/>
        <w:contextualSpacing/>
        <w:jc w:val="both"/>
        <w:rPr>
          <w:rFonts w:ascii="Calibri" w:eastAsia="Arial Unicode MS" w:hAnsi="Calibri" w:cs="Times New Roman"/>
          <w:bdr w:val="none" w:sz="0" w:space="0" w:color="auto" w:frame="1"/>
          <w:lang w:eastAsia="fr-FR"/>
        </w:rPr>
      </w:pPr>
      <w:r>
        <w:rPr>
          <w:rFonts w:ascii="Calibri" w:eastAsia="Arial Unicode MS" w:hAnsi="Calibri" w:cs="Times New Roman"/>
          <w:bdr w:val="none" w:sz="0" w:space="0" w:color="auto" w:frame="1"/>
          <w:lang w:eastAsia="fr-FR"/>
        </w:rPr>
        <w:t xml:space="preserve">Il doit disposer des compétences suivantes : </w:t>
      </w:r>
    </w:p>
    <w:p w:rsidR="00312729" w:rsidRDefault="00312729" w:rsidP="00E5001F">
      <w:pPr>
        <w:spacing w:after="0" w:line="240" w:lineRule="auto"/>
        <w:contextualSpacing/>
        <w:jc w:val="both"/>
        <w:rPr>
          <w:rFonts w:ascii="Calibri" w:eastAsia="Arial Unicode MS" w:hAnsi="Calibri" w:cs="Times New Roman"/>
          <w:bdr w:val="none" w:sz="0" w:space="0" w:color="auto" w:frame="1"/>
          <w:lang w:eastAsia="fr-FR"/>
        </w:rPr>
      </w:pPr>
    </w:p>
    <w:p w:rsidR="00542345" w:rsidRDefault="00E5001F" w:rsidP="00135F48">
      <w:pPr>
        <w:numPr>
          <w:ilvl w:val="0"/>
          <w:numId w:val="4"/>
        </w:numPr>
        <w:spacing w:after="0" w:line="240" w:lineRule="auto"/>
        <w:contextualSpacing/>
        <w:jc w:val="both"/>
        <w:rPr>
          <w:rFonts w:ascii="Calibri" w:eastAsia="Arial Unicode MS" w:hAnsi="Calibri" w:cs="Times New Roman"/>
          <w:bdr w:val="none" w:sz="0" w:space="0" w:color="auto" w:frame="1"/>
          <w:lang w:eastAsia="fr-FR"/>
        </w:rPr>
      </w:pPr>
      <w:r>
        <w:rPr>
          <w:rFonts w:ascii="Calibri" w:eastAsia="Arial Unicode MS" w:hAnsi="Calibri" w:cs="Times New Roman"/>
          <w:bdr w:val="none" w:sz="0" w:space="0" w:color="auto" w:frame="1"/>
          <w:lang w:eastAsia="fr-FR"/>
        </w:rPr>
        <w:t xml:space="preserve">Très bonne </w:t>
      </w:r>
      <w:r w:rsidR="00216E61">
        <w:rPr>
          <w:rFonts w:ascii="Calibri" w:eastAsia="Arial Unicode MS" w:hAnsi="Calibri" w:cs="Times New Roman"/>
          <w:bdr w:val="none" w:sz="0" w:space="0" w:color="auto" w:frame="1"/>
          <w:lang w:eastAsia="fr-FR"/>
        </w:rPr>
        <w:t>connaissance</w:t>
      </w:r>
      <w:r w:rsidR="00542345">
        <w:rPr>
          <w:rFonts w:ascii="Calibri" w:eastAsia="Arial Unicode MS" w:hAnsi="Calibri" w:cs="Times New Roman"/>
          <w:bdr w:val="none" w:sz="0" w:space="0" w:color="auto" w:frame="1"/>
          <w:lang w:eastAsia="fr-FR"/>
        </w:rPr>
        <w:t xml:space="preserve"> en installation réseau</w:t>
      </w:r>
      <w:r w:rsidR="00216E61">
        <w:rPr>
          <w:rFonts w:ascii="Calibri" w:eastAsia="Arial Unicode MS" w:hAnsi="Calibri" w:cs="Times New Roman"/>
          <w:bdr w:val="none" w:sz="0" w:space="0" w:color="auto" w:frame="1"/>
          <w:lang w:eastAsia="fr-FR"/>
        </w:rPr>
        <w:t xml:space="preserve"> </w:t>
      </w:r>
    </w:p>
    <w:p w:rsidR="00E5001F" w:rsidRDefault="00216E61" w:rsidP="00135F48">
      <w:pPr>
        <w:numPr>
          <w:ilvl w:val="0"/>
          <w:numId w:val="4"/>
        </w:numPr>
        <w:spacing w:after="0" w:line="240" w:lineRule="auto"/>
        <w:contextualSpacing/>
        <w:jc w:val="both"/>
        <w:rPr>
          <w:rFonts w:ascii="Calibri" w:eastAsia="Arial Unicode MS" w:hAnsi="Calibri" w:cs="Times New Roman"/>
          <w:bdr w:val="none" w:sz="0" w:space="0" w:color="auto" w:frame="1"/>
          <w:lang w:eastAsia="fr-FR"/>
        </w:rPr>
      </w:pPr>
      <w:r>
        <w:rPr>
          <w:rFonts w:ascii="Calibri" w:eastAsia="Arial Unicode MS" w:hAnsi="Calibri" w:cs="Times New Roman"/>
          <w:bdr w:val="none" w:sz="0" w:space="0" w:color="auto" w:frame="1"/>
          <w:lang w:eastAsia="fr-FR"/>
        </w:rPr>
        <w:t>E</w:t>
      </w:r>
      <w:r w:rsidR="00E5001F">
        <w:rPr>
          <w:rFonts w:ascii="Calibri" w:eastAsia="Arial Unicode MS" w:hAnsi="Calibri" w:cs="Times New Roman"/>
          <w:bdr w:val="none" w:sz="0" w:space="0" w:color="auto" w:frame="1"/>
          <w:lang w:eastAsia="fr-FR"/>
        </w:rPr>
        <w:t>xpérience</w:t>
      </w:r>
      <w:r>
        <w:rPr>
          <w:rFonts w:ascii="Calibri" w:eastAsia="Arial Unicode MS" w:hAnsi="Calibri" w:cs="Times New Roman"/>
          <w:bdr w:val="none" w:sz="0" w:space="0" w:color="auto" w:frame="1"/>
          <w:lang w:eastAsia="fr-FR"/>
        </w:rPr>
        <w:t xml:space="preserve"> avérée</w:t>
      </w:r>
      <w:r w:rsidR="00E5001F">
        <w:rPr>
          <w:rFonts w:ascii="Calibri" w:eastAsia="Arial Unicode MS" w:hAnsi="Calibri" w:cs="Times New Roman"/>
          <w:bdr w:val="none" w:sz="0" w:space="0" w:color="auto" w:frame="1"/>
          <w:lang w:eastAsia="fr-FR"/>
        </w:rPr>
        <w:t xml:space="preserve"> dans la gestion de parc informatique de PC en réseau</w:t>
      </w:r>
    </w:p>
    <w:p w:rsidR="00E5001F" w:rsidRDefault="00E5001F" w:rsidP="00135F48">
      <w:pPr>
        <w:numPr>
          <w:ilvl w:val="0"/>
          <w:numId w:val="4"/>
        </w:numPr>
        <w:spacing w:after="0" w:line="240" w:lineRule="auto"/>
        <w:contextualSpacing/>
        <w:jc w:val="both"/>
        <w:rPr>
          <w:rFonts w:ascii="Calibri" w:eastAsia="Arial Unicode MS" w:hAnsi="Calibri" w:cs="Times New Roman"/>
          <w:bdr w:val="none" w:sz="0" w:space="0" w:color="auto" w:frame="1"/>
          <w:lang w:eastAsia="fr-FR"/>
        </w:rPr>
      </w:pPr>
      <w:r>
        <w:rPr>
          <w:rFonts w:ascii="Calibri" w:eastAsia="Arial Unicode MS" w:hAnsi="Calibri" w:cs="Times New Roman"/>
          <w:bdr w:val="none" w:sz="0" w:space="0" w:color="auto" w:frame="1"/>
          <w:lang w:eastAsia="fr-FR"/>
        </w:rPr>
        <w:t>Très bonne connaissance des systèmes d’exploitation Microsoft MS Windows 7,</w:t>
      </w:r>
      <w:r w:rsidR="00720549">
        <w:rPr>
          <w:rFonts w:ascii="Calibri" w:eastAsia="Arial Unicode MS" w:hAnsi="Calibri" w:cs="Times New Roman"/>
          <w:bdr w:val="none" w:sz="0" w:space="0" w:color="auto" w:frame="1"/>
          <w:lang w:eastAsia="fr-FR"/>
        </w:rPr>
        <w:t xml:space="preserve"> </w:t>
      </w:r>
      <w:r>
        <w:rPr>
          <w:rFonts w:ascii="Calibri" w:eastAsia="Arial Unicode MS" w:hAnsi="Calibri" w:cs="Times New Roman"/>
          <w:bdr w:val="none" w:sz="0" w:space="0" w:color="auto" w:frame="1"/>
          <w:lang w:eastAsia="fr-FR"/>
        </w:rPr>
        <w:t>8.x et 10</w:t>
      </w:r>
    </w:p>
    <w:p w:rsidR="00E5001F" w:rsidRDefault="005829F5" w:rsidP="00135F48">
      <w:pPr>
        <w:numPr>
          <w:ilvl w:val="0"/>
          <w:numId w:val="4"/>
        </w:numPr>
        <w:spacing w:after="0" w:line="240" w:lineRule="auto"/>
        <w:contextualSpacing/>
        <w:jc w:val="both"/>
        <w:rPr>
          <w:rFonts w:ascii="Calibri" w:eastAsia="Arial Unicode MS" w:hAnsi="Calibri" w:cs="Times New Roman"/>
          <w:bdr w:val="none" w:sz="0" w:space="0" w:color="auto" w:frame="1"/>
          <w:lang w:eastAsia="fr-FR"/>
        </w:rPr>
      </w:pPr>
      <w:r>
        <w:rPr>
          <w:rFonts w:ascii="Calibri" w:eastAsia="Arial Unicode MS" w:hAnsi="Calibri" w:cs="Times New Roman"/>
          <w:bdr w:val="none" w:sz="0" w:space="0" w:color="auto" w:frame="1"/>
          <w:lang w:eastAsia="fr-FR"/>
        </w:rPr>
        <w:t>Bonne maitrise de diagnostic et de dépannage</w:t>
      </w:r>
      <w:r w:rsidR="00E5001F">
        <w:rPr>
          <w:rFonts w:ascii="Calibri" w:eastAsia="Arial Unicode MS" w:hAnsi="Calibri" w:cs="Times New Roman"/>
          <w:bdr w:val="none" w:sz="0" w:space="0" w:color="auto" w:frame="1"/>
          <w:lang w:eastAsia="fr-FR"/>
        </w:rPr>
        <w:t xml:space="preserve"> </w:t>
      </w:r>
      <w:r w:rsidR="005D4479">
        <w:rPr>
          <w:rFonts w:ascii="Calibri" w:eastAsia="Arial Unicode MS" w:hAnsi="Calibri" w:cs="Times New Roman"/>
          <w:bdr w:val="none" w:sz="0" w:space="0" w:color="auto" w:frame="1"/>
          <w:lang w:eastAsia="fr-FR"/>
        </w:rPr>
        <w:t xml:space="preserve">de premier niveau </w:t>
      </w:r>
      <w:r w:rsidR="00E5001F">
        <w:rPr>
          <w:rFonts w:ascii="Calibri" w:eastAsia="Arial Unicode MS" w:hAnsi="Calibri" w:cs="Times New Roman"/>
          <w:bdr w:val="none" w:sz="0" w:space="0" w:color="auto" w:frame="1"/>
          <w:lang w:eastAsia="fr-FR"/>
        </w:rPr>
        <w:t>de PC</w:t>
      </w:r>
      <w:r w:rsidR="00720549">
        <w:rPr>
          <w:rFonts w:ascii="Calibri" w:eastAsia="Arial Unicode MS" w:hAnsi="Calibri" w:cs="Times New Roman"/>
          <w:bdr w:val="none" w:sz="0" w:space="0" w:color="auto" w:frame="1"/>
          <w:lang w:eastAsia="fr-FR"/>
        </w:rPr>
        <w:t>.</w:t>
      </w:r>
    </w:p>
    <w:p w:rsidR="00312729" w:rsidRPr="00135F48" w:rsidRDefault="00312729" w:rsidP="00312729">
      <w:pPr>
        <w:spacing w:after="0" w:line="240" w:lineRule="auto"/>
        <w:ind w:left="720"/>
        <w:contextualSpacing/>
        <w:jc w:val="both"/>
        <w:rPr>
          <w:rFonts w:ascii="Calibri" w:eastAsia="Arial Unicode MS" w:hAnsi="Calibri" w:cs="Times New Roman"/>
          <w:bdr w:val="none" w:sz="0" w:space="0" w:color="auto" w:frame="1"/>
          <w:lang w:eastAsia="fr-FR"/>
        </w:rPr>
      </w:pPr>
    </w:p>
    <w:p w:rsidR="007D1D03" w:rsidRPr="006065AD" w:rsidRDefault="007D1D03" w:rsidP="007D1D03">
      <w:pPr>
        <w:rPr>
          <w:b/>
          <w:bCs/>
        </w:rPr>
      </w:pPr>
      <w:r w:rsidRPr="006065AD">
        <w:rPr>
          <w:b/>
          <w:bCs/>
        </w:rPr>
        <w:t>Critères d’évaluation 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2937"/>
      </w:tblGrid>
      <w:tr w:rsidR="007D1D03" w:rsidRPr="00A144F2" w:rsidTr="007F6CC8">
        <w:trPr>
          <w:jc w:val="center"/>
        </w:trPr>
        <w:tc>
          <w:tcPr>
            <w:tcW w:w="7230" w:type="dxa"/>
            <w:shd w:val="clear" w:color="auto" w:fill="BFBFBF"/>
          </w:tcPr>
          <w:p w:rsidR="007D1D03" w:rsidRPr="00A144F2" w:rsidRDefault="007D1D03" w:rsidP="007F6CC8">
            <w:pPr>
              <w:rPr>
                <w:b/>
                <w:lang w:val="en-US"/>
              </w:rPr>
            </w:pPr>
            <w:r w:rsidRPr="00A144F2">
              <w:rPr>
                <w:b/>
                <w:lang w:val="en-US"/>
              </w:rPr>
              <w:t>Designation</w:t>
            </w:r>
          </w:p>
        </w:tc>
        <w:tc>
          <w:tcPr>
            <w:tcW w:w="3460" w:type="dxa"/>
            <w:shd w:val="clear" w:color="auto" w:fill="BFBFBF"/>
          </w:tcPr>
          <w:p w:rsidR="007D1D03" w:rsidRPr="00A144F2" w:rsidRDefault="007D1D03" w:rsidP="007F6CC8">
            <w:pPr>
              <w:rPr>
                <w:b/>
                <w:lang w:val="en-US"/>
              </w:rPr>
            </w:pPr>
            <w:r w:rsidRPr="00A144F2">
              <w:rPr>
                <w:b/>
                <w:lang w:val="en-US"/>
              </w:rPr>
              <w:t>Points</w:t>
            </w:r>
          </w:p>
        </w:tc>
      </w:tr>
      <w:tr w:rsidR="007D1D03" w:rsidRPr="00A144F2" w:rsidTr="007F6CC8">
        <w:trPr>
          <w:jc w:val="center"/>
        </w:trPr>
        <w:tc>
          <w:tcPr>
            <w:tcW w:w="7230" w:type="dxa"/>
          </w:tcPr>
          <w:p w:rsidR="007D1D03" w:rsidRPr="0019724A" w:rsidRDefault="007D1D03" w:rsidP="007F6CC8">
            <w:pPr>
              <w:rPr>
                <w:rFonts w:ascii="Calibri" w:eastAsia="Arial Unicode MS" w:hAnsi="Calibri" w:cs="Times New Roman"/>
                <w:bdr w:val="none" w:sz="0" w:space="0" w:color="auto" w:frame="1"/>
                <w:lang w:eastAsia="fr-FR"/>
              </w:rPr>
            </w:pPr>
            <w:r w:rsidRPr="00135F48">
              <w:rPr>
                <w:rFonts w:ascii="Calibri" w:eastAsia="Arial Unicode MS" w:hAnsi="Calibri" w:cs="Times New Roman"/>
                <w:bdr w:val="none" w:sz="0" w:space="0" w:color="auto" w:frame="1"/>
                <w:lang w:eastAsia="fr-FR"/>
              </w:rPr>
              <w:t>Diplôme d’étud</w:t>
            </w:r>
            <w:r>
              <w:rPr>
                <w:rFonts w:ascii="Calibri" w:eastAsia="Arial Unicode MS" w:hAnsi="Calibri" w:cs="Times New Roman"/>
                <w:bdr w:val="none" w:sz="0" w:space="0" w:color="auto" w:frame="1"/>
                <w:lang w:eastAsia="fr-FR"/>
              </w:rPr>
              <w:t>es supérieures en informatique</w:t>
            </w:r>
            <w:r w:rsidRPr="00DB3BA1">
              <w:t xml:space="preserve"> </w:t>
            </w:r>
          </w:p>
        </w:tc>
        <w:tc>
          <w:tcPr>
            <w:tcW w:w="3460" w:type="dxa"/>
          </w:tcPr>
          <w:p w:rsidR="007D1D03" w:rsidRPr="00A144F2" w:rsidRDefault="007D1D03" w:rsidP="007F6CC8">
            <w:pPr>
              <w:rPr>
                <w:lang w:val="en-US"/>
              </w:rPr>
            </w:pPr>
            <w:r>
              <w:rPr>
                <w:lang w:val="en-US"/>
              </w:rPr>
              <w:t>20</w:t>
            </w:r>
          </w:p>
        </w:tc>
      </w:tr>
      <w:tr w:rsidR="007D1D03" w:rsidRPr="00A144F2" w:rsidTr="007F6CC8">
        <w:trPr>
          <w:jc w:val="center"/>
        </w:trPr>
        <w:tc>
          <w:tcPr>
            <w:tcW w:w="7230" w:type="dxa"/>
          </w:tcPr>
          <w:p w:rsidR="007D1D03" w:rsidRPr="00A144F2" w:rsidRDefault="007D1D03" w:rsidP="007F6CC8">
            <w:r w:rsidRPr="00A144F2">
              <w:t>Expérience professionnelle</w:t>
            </w:r>
            <w:r>
              <w:t xml:space="preserve"> générale avec</w:t>
            </w:r>
            <w:r w:rsidRPr="00135F48">
              <w:rPr>
                <w:rFonts w:ascii="Calibri" w:eastAsia="Arial Unicode MS" w:hAnsi="Calibri" w:cs="Times New Roman"/>
                <w:bdr w:val="none" w:sz="0" w:space="0" w:color="auto" w:frame="1"/>
                <w:lang w:eastAsia="fr-FR"/>
              </w:rPr>
              <w:t xml:space="preserve"> au moins 5 années d’expérience professionnelle dans </w:t>
            </w:r>
            <w:r>
              <w:rPr>
                <w:rFonts w:ascii="Calibri" w:eastAsia="Arial Unicode MS" w:hAnsi="Calibri" w:cs="Times New Roman"/>
                <w:bdr w:val="none" w:sz="0" w:space="0" w:color="auto" w:frame="1"/>
                <w:lang w:eastAsia="fr-FR"/>
              </w:rPr>
              <w:t>la gestion des systèmes d’information</w:t>
            </w:r>
          </w:p>
        </w:tc>
        <w:tc>
          <w:tcPr>
            <w:tcW w:w="3460" w:type="dxa"/>
          </w:tcPr>
          <w:p w:rsidR="007D1D03" w:rsidRPr="00A144F2" w:rsidRDefault="007D1D03" w:rsidP="007F6CC8">
            <w:pPr>
              <w:rPr>
                <w:lang w:val="en-US"/>
              </w:rPr>
            </w:pPr>
            <w:r>
              <w:rPr>
                <w:lang w:val="en-US"/>
              </w:rPr>
              <w:t>20</w:t>
            </w:r>
          </w:p>
        </w:tc>
      </w:tr>
      <w:tr w:rsidR="007D1D03" w:rsidRPr="00A144F2" w:rsidTr="007F6CC8">
        <w:trPr>
          <w:jc w:val="center"/>
        </w:trPr>
        <w:tc>
          <w:tcPr>
            <w:tcW w:w="7230" w:type="dxa"/>
          </w:tcPr>
          <w:p w:rsidR="007D1D03" w:rsidRPr="00A144F2" w:rsidRDefault="007D1D03" w:rsidP="007F6CC8">
            <w:r w:rsidRPr="00A144F2">
              <w:t>Expérience professionnelle</w:t>
            </w:r>
            <w:r>
              <w:t xml:space="preserve"> spécifique </w:t>
            </w:r>
            <w:r w:rsidRPr="00A144F2">
              <w:t>dans des missions similaires</w:t>
            </w:r>
            <w:r>
              <w:t xml:space="preserve"> avec b</w:t>
            </w:r>
            <w:r w:rsidRPr="00135F48">
              <w:rPr>
                <w:rFonts w:ascii="Calibri" w:eastAsia="Arial Unicode MS" w:hAnsi="Calibri" w:cs="Times New Roman"/>
                <w:bdr w:val="none" w:sz="0" w:space="0" w:color="auto" w:frame="1"/>
                <w:lang w:eastAsia="fr-FR"/>
              </w:rPr>
              <w:t xml:space="preserve">onnes </w:t>
            </w:r>
            <w:r>
              <w:rPr>
                <w:rFonts w:ascii="Calibri" w:eastAsia="Arial Unicode MS" w:hAnsi="Calibri" w:cs="Times New Roman"/>
                <w:bdr w:val="none" w:sz="0" w:space="0" w:color="auto" w:frame="1"/>
                <w:lang w:eastAsia="fr-FR"/>
              </w:rPr>
              <w:t>connaissances dans le déploiement et l’installation du matériel informatique</w:t>
            </w:r>
          </w:p>
        </w:tc>
        <w:tc>
          <w:tcPr>
            <w:tcW w:w="3460" w:type="dxa"/>
          </w:tcPr>
          <w:p w:rsidR="007D1D03" w:rsidRPr="00A144F2" w:rsidRDefault="007D1D03" w:rsidP="007F6CC8">
            <w:pPr>
              <w:rPr>
                <w:lang w:val="en-US"/>
              </w:rPr>
            </w:pPr>
            <w:r w:rsidRPr="00A144F2">
              <w:rPr>
                <w:lang w:val="en-US"/>
              </w:rPr>
              <w:t>3</w:t>
            </w:r>
            <w:r>
              <w:rPr>
                <w:lang w:val="en-US"/>
              </w:rPr>
              <w:t>5</w:t>
            </w:r>
          </w:p>
        </w:tc>
      </w:tr>
      <w:tr w:rsidR="007D1D03" w:rsidRPr="00A144F2" w:rsidTr="007F6CC8">
        <w:trPr>
          <w:jc w:val="center"/>
        </w:trPr>
        <w:tc>
          <w:tcPr>
            <w:tcW w:w="7230" w:type="dxa"/>
          </w:tcPr>
          <w:p w:rsidR="007D1D03" w:rsidRPr="00A144F2" w:rsidRDefault="007D1D03" w:rsidP="007F6CC8">
            <w:pPr>
              <w:rPr>
                <w:lang w:val="en-US"/>
              </w:rPr>
            </w:pPr>
            <w:proofErr w:type="spellStart"/>
            <w:r w:rsidRPr="00A144F2">
              <w:rPr>
                <w:lang w:val="en-US"/>
              </w:rPr>
              <w:t>Adéquation</w:t>
            </w:r>
            <w:proofErr w:type="spellEnd"/>
            <w:r w:rsidRPr="00A144F2">
              <w:rPr>
                <w:lang w:val="en-US"/>
              </w:rPr>
              <w:t xml:space="preserve"> des competences</w:t>
            </w:r>
          </w:p>
        </w:tc>
        <w:tc>
          <w:tcPr>
            <w:tcW w:w="3460" w:type="dxa"/>
          </w:tcPr>
          <w:p w:rsidR="007D1D03" w:rsidRPr="00A144F2" w:rsidRDefault="007D1D03" w:rsidP="007F6CC8">
            <w:pPr>
              <w:rPr>
                <w:lang w:val="en-US"/>
              </w:rPr>
            </w:pPr>
            <w:r>
              <w:rPr>
                <w:lang w:val="en-US"/>
              </w:rPr>
              <w:t>25</w:t>
            </w:r>
          </w:p>
        </w:tc>
      </w:tr>
      <w:tr w:rsidR="007D1D03" w:rsidRPr="00A144F2" w:rsidTr="007F6CC8">
        <w:trPr>
          <w:jc w:val="center"/>
        </w:trPr>
        <w:tc>
          <w:tcPr>
            <w:tcW w:w="7230" w:type="dxa"/>
          </w:tcPr>
          <w:p w:rsidR="007D1D03" w:rsidRPr="00A144F2" w:rsidRDefault="007D1D03" w:rsidP="007F6CC8">
            <w:pPr>
              <w:rPr>
                <w:lang w:val="en-US"/>
              </w:rPr>
            </w:pPr>
          </w:p>
        </w:tc>
        <w:tc>
          <w:tcPr>
            <w:tcW w:w="3460" w:type="dxa"/>
          </w:tcPr>
          <w:p w:rsidR="007D1D03" w:rsidRDefault="007D1D03" w:rsidP="007F6CC8">
            <w:pPr>
              <w:rPr>
                <w:lang w:val="en-US"/>
              </w:rPr>
            </w:pPr>
          </w:p>
        </w:tc>
      </w:tr>
    </w:tbl>
    <w:p w:rsidR="007D1D03" w:rsidRDefault="007D1D03" w:rsidP="007D1D03">
      <w:r>
        <w:tab/>
      </w:r>
    </w:p>
    <w:p w:rsidR="00834190" w:rsidRDefault="00834190" w:rsidP="00834190">
      <w:pPr>
        <w:jc w:val="both"/>
        <w:rPr>
          <w:lang w:bidi="fr-FR"/>
        </w:rPr>
      </w:pPr>
    </w:p>
    <w:p w:rsidR="00C51224" w:rsidRDefault="00834190" w:rsidP="00834190">
      <w:pPr>
        <w:jc w:val="both"/>
        <w:rPr>
          <w:lang w:bidi="fr-FR"/>
        </w:rPr>
      </w:pPr>
      <w:r>
        <w:rPr>
          <w:lang w:bidi="fr-FR"/>
        </w:rPr>
        <w:t xml:space="preserve">  </w:t>
      </w:r>
    </w:p>
    <w:p w:rsidR="00C51224" w:rsidRPr="003F7AC8" w:rsidRDefault="00C51224" w:rsidP="003F7AC8">
      <w:pPr>
        <w:rPr>
          <w:lang w:bidi="fr-FR"/>
        </w:rPr>
      </w:pPr>
    </w:p>
    <w:p w:rsidR="003F7AC8" w:rsidRDefault="003F7AC8"/>
    <w:sectPr w:rsidR="003F7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3781"/>
    <w:multiLevelType w:val="multilevel"/>
    <w:tmpl w:val="0E4CC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87C40"/>
    <w:multiLevelType w:val="multilevel"/>
    <w:tmpl w:val="EEEA281C"/>
    <w:lvl w:ilvl="0">
      <w:start w:val="7"/>
      <w:numFmt w:val="decimal"/>
      <w:lvlText w:val="%1."/>
      <w:lvlJc w:val="left"/>
      <w:pPr>
        <w:ind w:left="786" w:hanging="360"/>
      </w:pPr>
    </w:lvl>
    <w:lvl w:ilvl="1">
      <w:start w:val="3"/>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abstractNum w:abstractNumId="2" w15:restartNumberingAfterBreak="0">
    <w:nsid w:val="54DA7957"/>
    <w:multiLevelType w:val="hybridMultilevel"/>
    <w:tmpl w:val="A588E97E"/>
    <w:lvl w:ilvl="0" w:tplc="B52248D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2B23DF"/>
    <w:multiLevelType w:val="hybridMultilevel"/>
    <w:tmpl w:val="B680D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D91BF5"/>
    <w:multiLevelType w:val="hybridMultilevel"/>
    <w:tmpl w:val="6A9698A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15420D"/>
    <w:multiLevelType w:val="hybridMultilevel"/>
    <w:tmpl w:val="C22CCEB8"/>
    <w:lvl w:ilvl="0" w:tplc="EB9A07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DB6F5A"/>
    <w:multiLevelType w:val="hybridMultilevel"/>
    <w:tmpl w:val="BCF2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C8"/>
    <w:rsid w:val="00135F48"/>
    <w:rsid w:val="00216E61"/>
    <w:rsid w:val="00312729"/>
    <w:rsid w:val="003F7AC8"/>
    <w:rsid w:val="00527BD4"/>
    <w:rsid w:val="00542345"/>
    <w:rsid w:val="005705A8"/>
    <w:rsid w:val="005829F5"/>
    <w:rsid w:val="005D4479"/>
    <w:rsid w:val="00720549"/>
    <w:rsid w:val="00787325"/>
    <w:rsid w:val="007D1D03"/>
    <w:rsid w:val="00823BEA"/>
    <w:rsid w:val="00834190"/>
    <w:rsid w:val="008F4C20"/>
    <w:rsid w:val="00933A1C"/>
    <w:rsid w:val="009C4314"/>
    <w:rsid w:val="00B8733B"/>
    <w:rsid w:val="00C51224"/>
    <w:rsid w:val="00C54632"/>
    <w:rsid w:val="00D70C61"/>
    <w:rsid w:val="00DA7A94"/>
    <w:rsid w:val="00E5001F"/>
    <w:rsid w:val="00F31482"/>
    <w:rsid w:val="00F56B8A"/>
    <w:rsid w:val="00FA15E1"/>
    <w:rsid w:val="00FA54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52AF"/>
  <w15:chartTrackingRefBased/>
  <w15:docId w15:val="{4133448E-ECFF-4A4C-BA47-3A6AF67E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625</Words>
  <Characters>3440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 Samba Sow</dc:creator>
  <cp:keywords/>
  <dc:description/>
  <cp:lastModifiedBy>Michel Abedi</cp:lastModifiedBy>
  <cp:revision>2</cp:revision>
  <dcterms:created xsi:type="dcterms:W3CDTF">2020-11-26T16:56:00Z</dcterms:created>
  <dcterms:modified xsi:type="dcterms:W3CDTF">2020-11-26T16:56:00Z</dcterms:modified>
</cp:coreProperties>
</file>