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593F" w14:textId="24DA155A" w:rsidR="00B84A68" w:rsidRPr="00D45445" w:rsidRDefault="00B84A68">
      <w:pPr>
        <w:rPr>
          <w:strike/>
        </w:rPr>
      </w:pPr>
    </w:p>
    <w:p w14:paraId="5B3FF520" w14:textId="5BFFEF89" w:rsidR="002679A5" w:rsidRPr="00B96775" w:rsidRDefault="006E4322" w:rsidP="006E4322">
      <w:pPr>
        <w:jc w:val="center"/>
        <w:rPr>
          <w:b/>
          <w:bCs/>
          <w:color w:val="002060"/>
          <w:sz w:val="32"/>
          <w:szCs w:val="32"/>
          <w:lang w:val="fr-FR"/>
        </w:rPr>
      </w:pPr>
      <w:r w:rsidRPr="00B96775">
        <w:rPr>
          <w:b/>
          <w:bCs/>
          <w:color w:val="002060"/>
          <w:sz w:val="32"/>
          <w:szCs w:val="32"/>
          <w:lang w:val="fr-FR"/>
        </w:rPr>
        <w:t>Note conceptuelle</w:t>
      </w:r>
      <w:r w:rsidR="002679A5" w:rsidRPr="00B96775">
        <w:rPr>
          <w:b/>
          <w:bCs/>
          <w:color w:val="002060"/>
          <w:sz w:val="32"/>
          <w:szCs w:val="32"/>
          <w:lang w:val="fr-FR"/>
        </w:rPr>
        <w:t xml:space="preserve"> </w:t>
      </w:r>
      <w:r w:rsidR="00127AE7" w:rsidRPr="00B96775">
        <w:rPr>
          <w:b/>
          <w:bCs/>
          <w:color w:val="002060"/>
          <w:sz w:val="32"/>
          <w:szCs w:val="32"/>
          <w:lang w:val="fr-FR"/>
        </w:rPr>
        <w:t xml:space="preserve">- </w:t>
      </w:r>
      <w:r w:rsidRPr="00B96775">
        <w:rPr>
          <w:b/>
          <w:bCs/>
          <w:color w:val="002060"/>
          <w:sz w:val="32"/>
          <w:szCs w:val="32"/>
          <w:lang w:val="fr-FR"/>
        </w:rPr>
        <w:t xml:space="preserve">Compétition d’innovation à destination des jeunes </w:t>
      </w:r>
    </w:p>
    <w:p w14:paraId="6B253371" w14:textId="77777777" w:rsidR="00B96775" w:rsidRPr="0052450F" w:rsidRDefault="00B96775" w:rsidP="006E4322">
      <w:pPr>
        <w:jc w:val="center"/>
        <w:rPr>
          <w:color w:val="002060"/>
          <w:sz w:val="32"/>
          <w:szCs w:val="32"/>
          <w:lang w:val="fr-FR"/>
        </w:rPr>
      </w:pPr>
    </w:p>
    <w:p w14:paraId="50D18CC6" w14:textId="21267414" w:rsidR="006E4322" w:rsidRPr="0052450F" w:rsidRDefault="006E4322" w:rsidP="006E4322">
      <w:pPr>
        <w:jc w:val="center"/>
        <w:rPr>
          <w:color w:val="002060"/>
          <w:sz w:val="32"/>
          <w:szCs w:val="32"/>
          <w:lang w:val="fr-FR"/>
        </w:rPr>
      </w:pPr>
      <w:r w:rsidRPr="0052450F">
        <w:rPr>
          <w:color w:val="002060"/>
          <w:sz w:val="32"/>
          <w:szCs w:val="32"/>
          <w:lang w:val="fr-FR"/>
        </w:rPr>
        <w:t>Signalement des inégalités basées sur le genre et</w:t>
      </w:r>
      <w:r w:rsidR="00CF5DF8" w:rsidRPr="0052450F">
        <w:rPr>
          <w:color w:val="002060"/>
          <w:sz w:val="32"/>
          <w:szCs w:val="32"/>
          <w:lang w:val="fr-FR"/>
        </w:rPr>
        <w:t>/ou</w:t>
      </w:r>
      <w:r w:rsidRPr="0052450F">
        <w:rPr>
          <w:color w:val="002060"/>
          <w:sz w:val="32"/>
          <w:szCs w:val="32"/>
          <w:lang w:val="fr-FR"/>
        </w:rPr>
        <w:t xml:space="preserve"> les orientations sexuelles en Tunisie</w:t>
      </w:r>
    </w:p>
    <w:sdt>
      <w:sdtPr>
        <w:rPr>
          <w:rFonts w:asciiTheme="minorHAnsi" w:eastAsiaTheme="minorHAnsi" w:hAnsiTheme="minorHAnsi" w:cstheme="minorBidi"/>
          <w:color w:val="auto"/>
          <w:sz w:val="36"/>
          <w:szCs w:val="36"/>
          <w:lang w:val="en-GB"/>
        </w:rPr>
        <w:id w:val="-1501884604"/>
        <w:docPartObj>
          <w:docPartGallery w:val="Table of Contents"/>
          <w:docPartUnique/>
        </w:docPartObj>
      </w:sdtPr>
      <w:sdtEndPr>
        <w:rPr>
          <w:b/>
          <w:sz w:val="24"/>
          <w:szCs w:val="24"/>
          <w:shd w:val="clear" w:color="auto" w:fill="E6E6E6"/>
        </w:rPr>
      </w:sdtEndPr>
      <w:sdtContent>
        <w:p w14:paraId="2C0A8766" w14:textId="74AB231E" w:rsidR="0026221A" w:rsidRPr="00A35B9D" w:rsidRDefault="0026221A">
          <w:pPr>
            <w:pStyle w:val="TOCHeading"/>
            <w:rPr>
              <w:sz w:val="36"/>
              <w:szCs w:val="36"/>
            </w:rPr>
          </w:pPr>
          <w:r w:rsidRPr="00A35B9D">
            <w:rPr>
              <w:sz w:val="36"/>
              <w:szCs w:val="36"/>
            </w:rPr>
            <w:t>Table des matières</w:t>
          </w:r>
        </w:p>
        <w:p w14:paraId="2D78A208" w14:textId="3EDA49C1" w:rsidR="00B90612" w:rsidRDefault="0026221A">
          <w:pPr>
            <w:pStyle w:val="TOC1"/>
            <w:tabs>
              <w:tab w:val="right" w:leader="dot" w:pos="9016"/>
            </w:tabs>
            <w:rPr>
              <w:rFonts w:eastAsiaTheme="minorEastAsia"/>
              <w:noProof/>
              <w:lang w:eastAsia="en-GB"/>
            </w:rPr>
          </w:pPr>
          <w:r w:rsidRPr="00A35B9D">
            <w:rPr>
              <w:color w:val="2B579A"/>
              <w:sz w:val="24"/>
              <w:szCs w:val="24"/>
              <w:shd w:val="clear" w:color="auto" w:fill="E6E6E6"/>
            </w:rPr>
            <w:fldChar w:fldCharType="begin"/>
          </w:r>
          <w:r w:rsidRPr="00A35B9D">
            <w:rPr>
              <w:sz w:val="24"/>
              <w:szCs w:val="24"/>
            </w:rPr>
            <w:instrText xml:space="preserve"> TOC \o "1-3" \h \z \u </w:instrText>
          </w:r>
          <w:r w:rsidRPr="00A35B9D">
            <w:rPr>
              <w:color w:val="2B579A"/>
              <w:sz w:val="24"/>
              <w:szCs w:val="24"/>
              <w:shd w:val="clear" w:color="auto" w:fill="E6E6E6"/>
            </w:rPr>
            <w:fldChar w:fldCharType="separate"/>
          </w:r>
          <w:hyperlink w:anchor="_Toc58419032" w:history="1">
            <w:r w:rsidR="00B90612" w:rsidRPr="004C1DAC">
              <w:rPr>
                <w:rStyle w:val="Hyperlink"/>
                <w:noProof/>
                <w:lang w:val="fr-FR"/>
              </w:rPr>
              <w:t>I- Contexte</w:t>
            </w:r>
            <w:r w:rsidR="00B90612">
              <w:rPr>
                <w:noProof/>
                <w:webHidden/>
              </w:rPr>
              <w:tab/>
            </w:r>
            <w:r w:rsidR="00B90612">
              <w:rPr>
                <w:noProof/>
                <w:webHidden/>
              </w:rPr>
              <w:fldChar w:fldCharType="begin"/>
            </w:r>
            <w:r w:rsidR="00B90612">
              <w:rPr>
                <w:noProof/>
                <w:webHidden/>
              </w:rPr>
              <w:instrText xml:space="preserve"> PAGEREF _Toc58419032 \h </w:instrText>
            </w:r>
            <w:r w:rsidR="00B90612">
              <w:rPr>
                <w:noProof/>
                <w:webHidden/>
              </w:rPr>
            </w:r>
            <w:r w:rsidR="00B90612">
              <w:rPr>
                <w:noProof/>
                <w:webHidden/>
              </w:rPr>
              <w:fldChar w:fldCharType="separate"/>
            </w:r>
            <w:r w:rsidR="00B90612">
              <w:rPr>
                <w:noProof/>
                <w:webHidden/>
              </w:rPr>
              <w:t>1</w:t>
            </w:r>
            <w:r w:rsidR="00B90612">
              <w:rPr>
                <w:noProof/>
                <w:webHidden/>
              </w:rPr>
              <w:fldChar w:fldCharType="end"/>
            </w:r>
          </w:hyperlink>
        </w:p>
        <w:p w14:paraId="07ECCF26" w14:textId="2B723A7B" w:rsidR="00B90612" w:rsidRDefault="00B90612">
          <w:pPr>
            <w:pStyle w:val="TOC1"/>
            <w:tabs>
              <w:tab w:val="right" w:leader="dot" w:pos="9016"/>
            </w:tabs>
            <w:rPr>
              <w:rFonts w:eastAsiaTheme="minorEastAsia"/>
              <w:noProof/>
              <w:lang w:eastAsia="en-GB"/>
            </w:rPr>
          </w:pPr>
          <w:hyperlink w:anchor="_Toc58419033" w:history="1">
            <w:r w:rsidRPr="004C1DAC">
              <w:rPr>
                <w:rStyle w:val="Hyperlink"/>
                <w:noProof/>
                <w:lang w:val="fr-FR"/>
              </w:rPr>
              <w:t>II- Justificatif de recours à une compétition d’innovation</w:t>
            </w:r>
            <w:r>
              <w:rPr>
                <w:noProof/>
                <w:webHidden/>
              </w:rPr>
              <w:tab/>
            </w:r>
            <w:r>
              <w:rPr>
                <w:noProof/>
                <w:webHidden/>
              </w:rPr>
              <w:fldChar w:fldCharType="begin"/>
            </w:r>
            <w:r>
              <w:rPr>
                <w:noProof/>
                <w:webHidden/>
              </w:rPr>
              <w:instrText xml:space="preserve"> PAGEREF _Toc58419033 \h </w:instrText>
            </w:r>
            <w:r>
              <w:rPr>
                <w:noProof/>
                <w:webHidden/>
              </w:rPr>
            </w:r>
            <w:r>
              <w:rPr>
                <w:noProof/>
                <w:webHidden/>
              </w:rPr>
              <w:fldChar w:fldCharType="separate"/>
            </w:r>
            <w:r>
              <w:rPr>
                <w:noProof/>
                <w:webHidden/>
              </w:rPr>
              <w:t>2</w:t>
            </w:r>
            <w:r>
              <w:rPr>
                <w:noProof/>
                <w:webHidden/>
              </w:rPr>
              <w:fldChar w:fldCharType="end"/>
            </w:r>
          </w:hyperlink>
        </w:p>
        <w:p w14:paraId="22D387CC" w14:textId="1D7D7D15" w:rsidR="00B90612" w:rsidRDefault="00B90612">
          <w:pPr>
            <w:pStyle w:val="TOC1"/>
            <w:tabs>
              <w:tab w:val="right" w:leader="dot" w:pos="9016"/>
            </w:tabs>
            <w:rPr>
              <w:rFonts w:eastAsiaTheme="minorEastAsia"/>
              <w:noProof/>
              <w:lang w:eastAsia="en-GB"/>
            </w:rPr>
          </w:pPr>
          <w:hyperlink w:anchor="_Toc58419034" w:history="1">
            <w:r w:rsidRPr="004C1DAC">
              <w:rPr>
                <w:rStyle w:val="Hyperlink"/>
                <w:noProof/>
                <w:lang w:val="fr-FR"/>
              </w:rPr>
              <w:t>III- Modalités de fonctionnement de la compétition d’innovation</w:t>
            </w:r>
            <w:r>
              <w:rPr>
                <w:noProof/>
                <w:webHidden/>
              </w:rPr>
              <w:tab/>
            </w:r>
            <w:r>
              <w:rPr>
                <w:noProof/>
                <w:webHidden/>
              </w:rPr>
              <w:fldChar w:fldCharType="begin"/>
            </w:r>
            <w:r>
              <w:rPr>
                <w:noProof/>
                <w:webHidden/>
              </w:rPr>
              <w:instrText xml:space="preserve"> PAGEREF _Toc58419034 \h </w:instrText>
            </w:r>
            <w:r>
              <w:rPr>
                <w:noProof/>
                <w:webHidden/>
              </w:rPr>
            </w:r>
            <w:r>
              <w:rPr>
                <w:noProof/>
                <w:webHidden/>
              </w:rPr>
              <w:fldChar w:fldCharType="separate"/>
            </w:r>
            <w:r>
              <w:rPr>
                <w:noProof/>
                <w:webHidden/>
              </w:rPr>
              <w:t>3</w:t>
            </w:r>
            <w:r>
              <w:rPr>
                <w:noProof/>
                <w:webHidden/>
              </w:rPr>
              <w:fldChar w:fldCharType="end"/>
            </w:r>
          </w:hyperlink>
        </w:p>
        <w:p w14:paraId="280D7048" w14:textId="767F7D9F" w:rsidR="00B90612" w:rsidRDefault="00B90612">
          <w:pPr>
            <w:pStyle w:val="TOC1"/>
            <w:tabs>
              <w:tab w:val="right" w:leader="dot" w:pos="9016"/>
            </w:tabs>
            <w:rPr>
              <w:rFonts w:eastAsiaTheme="minorEastAsia"/>
              <w:noProof/>
              <w:lang w:eastAsia="en-GB"/>
            </w:rPr>
          </w:pPr>
          <w:hyperlink w:anchor="_Toc58419035" w:history="1">
            <w:r w:rsidRPr="004C1DAC">
              <w:rPr>
                <w:rStyle w:val="Hyperlink"/>
                <w:noProof/>
                <w:lang w:val="fr-FR"/>
              </w:rPr>
              <w:t>IV- Objectif</w:t>
            </w:r>
            <w:r>
              <w:rPr>
                <w:noProof/>
                <w:webHidden/>
              </w:rPr>
              <w:tab/>
            </w:r>
            <w:r>
              <w:rPr>
                <w:noProof/>
                <w:webHidden/>
              </w:rPr>
              <w:fldChar w:fldCharType="begin"/>
            </w:r>
            <w:r>
              <w:rPr>
                <w:noProof/>
                <w:webHidden/>
              </w:rPr>
              <w:instrText xml:space="preserve"> PAGEREF _Toc58419035 \h </w:instrText>
            </w:r>
            <w:r>
              <w:rPr>
                <w:noProof/>
                <w:webHidden/>
              </w:rPr>
            </w:r>
            <w:r>
              <w:rPr>
                <w:noProof/>
                <w:webHidden/>
              </w:rPr>
              <w:fldChar w:fldCharType="separate"/>
            </w:r>
            <w:r>
              <w:rPr>
                <w:noProof/>
                <w:webHidden/>
              </w:rPr>
              <w:t>3</w:t>
            </w:r>
            <w:r>
              <w:rPr>
                <w:noProof/>
                <w:webHidden/>
              </w:rPr>
              <w:fldChar w:fldCharType="end"/>
            </w:r>
          </w:hyperlink>
        </w:p>
        <w:p w14:paraId="26994576" w14:textId="0A877B0B" w:rsidR="00B90612" w:rsidRDefault="00B90612">
          <w:pPr>
            <w:pStyle w:val="TOC1"/>
            <w:tabs>
              <w:tab w:val="right" w:leader="dot" w:pos="9016"/>
            </w:tabs>
            <w:rPr>
              <w:rFonts w:eastAsiaTheme="minorEastAsia"/>
              <w:noProof/>
              <w:lang w:eastAsia="en-GB"/>
            </w:rPr>
          </w:pPr>
          <w:hyperlink w:anchor="_Toc58419036" w:history="1">
            <w:r w:rsidRPr="004C1DAC">
              <w:rPr>
                <w:rStyle w:val="Hyperlink"/>
                <w:noProof/>
                <w:lang w:val="fr-FR"/>
              </w:rPr>
              <w:t>V- Public cible</w:t>
            </w:r>
            <w:r>
              <w:rPr>
                <w:noProof/>
                <w:webHidden/>
              </w:rPr>
              <w:tab/>
            </w:r>
            <w:r>
              <w:rPr>
                <w:noProof/>
                <w:webHidden/>
              </w:rPr>
              <w:fldChar w:fldCharType="begin"/>
            </w:r>
            <w:r>
              <w:rPr>
                <w:noProof/>
                <w:webHidden/>
              </w:rPr>
              <w:instrText xml:space="preserve"> PAGEREF _Toc58419036 \h </w:instrText>
            </w:r>
            <w:r>
              <w:rPr>
                <w:noProof/>
                <w:webHidden/>
              </w:rPr>
            </w:r>
            <w:r>
              <w:rPr>
                <w:noProof/>
                <w:webHidden/>
              </w:rPr>
              <w:fldChar w:fldCharType="separate"/>
            </w:r>
            <w:r>
              <w:rPr>
                <w:noProof/>
                <w:webHidden/>
              </w:rPr>
              <w:t>3</w:t>
            </w:r>
            <w:r>
              <w:rPr>
                <w:noProof/>
                <w:webHidden/>
              </w:rPr>
              <w:fldChar w:fldCharType="end"/>
            </w:r>
          </w:hyperlink>
        </w:p>
        <w:p w14:paraId="610A8865" w14:textId="199A55AC" w:rsidR="00B90612" w:rsidRDefault="00B90612">
          <w:pPr>
            <w:pStyle w:val="TOC1"/>
            <w:tabs>
              <w:tab w:val="right" w:leader="dot" w:pos="9016"/>
            </w:tabs>
            <w:rPr>
              <w:rFonts w:eastAsiaTheme="minorEastAsia"/>
              <w:noProof/>
              <w:lang w:eastAsia="en-GB"/>
            </w:rPr>
          </w:pPr>
          <w:hyperlink w:anchor="_Toc58419037" w:history="1">
            <w:r w:rsidRPr="004C1DAC">
              <w:rPr>
                <w:rStyle w:val="Hyperlink"/>
                <w:noProof/>
                <w:lang w:val="fr-FR"/>
              </w:rPr>
              <w:t>VI- Type de projets souhaités</w:t>
            </w:r>
            <w:r>
              <w:rPr>
                <w:noProof/>
                <w:webHidden/>
              </w:rPr>
              <w:tab/>
            </w:r>
            <w:r>
              <w:rPr>
                <w:noProof/>
                <w:webHidden/>
              </w:rPr>
              <w:fldChar w:fldCharType="begin"/>
            </w:r>
            <w:r>
              <w:rPr>
                <w:noProof/>
                <w:webHidden/>
              </w:rPr>
              <w:instrText xml:space="preserve"> PAGEREF _Toc58419037 \h </w:instrText>
            </w:r>
            <w:r>
              <w:rPr>
                <w:noProof/>
                <w:webHidden/>
              </w:rPr>
            </w:r>
            <w:r>
              <w:rPr>
                <w:noProof/>
                <w:webHidden/>
              </w:rPr>
              <w:fldChar w:fldCharType="separate"/>
            </w:r>
            <w:r>
              <w:rPr>
                <w:noProof/>
                <w:webHidden/>
              </w:rPr>
              <w:t>4</w:t>
            </w:r>
            <w:r>
              <w:rPr>
                <w:noProof/>
                <w:webHidden/>
              </w:rPr>
              <w:fldChar w:fldCharType="end"/>
            </w:r>
          </w:hyperlink>
        </w:p>
        <w:p w14:paraId="6C1F844C" w14:textId="579C7B94" w:rsidR="00B90612" w:rsidRDefault="00B90612">
          <w:pPr>
            <w:pStyle w:val="TOC1"/>
            <w:tabs>
              <w:tab w:val="right" w:leader="dot" w:pos="9016"/>
            </w:tabs>
            <w:rPr>
              <w:rFonts w:eastAsiaTheme="minorEastAsia"/>
              <w:noProof/>
              <w:lang w:eastAsia="en-GB"/>
            </w:rPr>
          </w:pPr>
          <w:hyperlink w:anchor="_Toc58419038" w:history="1">
            <w:r w:rsidRPr="004C1DAC">
              <w:rPr>
                <w:rStyle w:val="Hyperlink"/>
                <w:noProof/>
                <w:lang w:val="fr-FR"/>
              </w:rPr>
              <w:t>VII- Déroulement de la compétition</w:t>
            </w:r>
            <w:r>
              <w:rPr>
                <w:noProof/>
                <w:webHidden/>
              </w:rPr>
              <w:tab/>
            </w:r>
            <w:r>
              <w:rPr>
                <w:noProof/>
                <w:webHidden/>
              </w:rPr>
              <w:fldChar w:fldCharType="begin"/>
            </w:r>
            <w:r>
              <w:rPr>
                <w:noProof/>
                <w:webHidden/>
              </w:rPr>
              <w:instrText xml:space="preserve"> PAGEREF _Toc58419038 \h </w:instrText>
            </w:r>
            <w:r>
              <w:rPr>
                <w:noProof/>
                <w:webHidden/>
              </w:rPr>
            </w:r>
            <w:r>
              <w:rPr>
                <w:noProof/>
                <w:webHidden/>
              </w:rPr>
              <w:fldChar w:fldCharType="separate"/>
            </w:r>
            <w:r>
              <w:rPr>
                <w:noProof/>
                <w:webHidden/>
              </w:rPr>
              <w:t>4</w:t>
            </w:r>
            <w:r>
              <w:rPr>
                <w:noProof/>
                <w:webHidden/>
              </w:rPr>
              <w:fldChar w:fldCharType="end"/>
            </w:r>
          </w:hyperlink>
        </w:p>
        <w:p w14:paraId="43C5B5AE" w14:textId="1023503F" w:rsidR="0074287A" w:rsidRDefault="0026221A" w:rsidP="0074287A">
          <w:pPr>
            <w:rPr>
              <w:b/>
              <w:sz w:val="24"/>
              <w:szCs w:val="24"/>
              <w:shd w:val="clear" w:color="auto" w:fill="E6E6E6"/>
            </w:rPr>
          </w:pPr>
          <w:r w:rsidRPr="00A35B9D">
            <w:rPr>
              <w:b/>
              <w:color w:val="2B579A"/>
              <w:sz w:val="24"/>
              <w:szCs w:val="24"/>
              <w:shd w:val="clear" w:color="auto" w:fill="E6E6E6"/>
            </w:rPr>
            <w:fldChar w:fldCharType="end"/>
          </w:r>
        </w:p>
      </w:sdtContent>
    </w:sdt>
    <w:bookmarkStart w:id="0" w:name="_Toc55389034" w:displacedByCustomXml="prev"/>
    <w:p w14:paraId="3672B167" w14:textId="3F30875C" w:rsidR="0026221A" w:rsidRPr="0074287A" w:rsidRDefault="006E4322" w:rsidP="0074287A">
      <w:pPr>
        <w:pStyle w:val="Heading1"/>
        <w:jc w:val="both"/>
        <w:rPr>
          <w:lang w:val="fr-FR"/>
        </w:rPr>
      </w:pPr>
      <w:bookmarkStart w:id="1" w:name="_Toc58419032"/>
      <w:r>
        <w:rPr>
          <w:lang w:val="fr-FR"/>
        </w:rPr>
        <w:t>I</w:t>
      </w:r>
      <w:r w:rsidR="00C75A65">
        <w:rPr>
          <w:lang w:val="fr-FR"/>
        </w:rPr>
        <w:t>-</w:t>
      </w:r>
      <w:r>
        <w:rPr>
          <w:lang w:val="fr-FR"/>
        </w:rPr>
        <w:t xml:space="preserve"> Contexte</w:t>
      </w:r>
      <w:bookmarkEnd w:id="0"/>
      <w:bookmarkEnd w:id="1"/>
    </w:p>
    <w:p w14:paraId="1113AA5B" w14:textId="751D00D6" w:rsidR="006E4322" w:rsidRDefault="00A91B5C" w:rsidP="00CF5DF8">
      <w:pPr>
        <w:jc w:val="both"/>
        <w:rPr>
          <w:lang w:val="fr-FR"/>
        </w:rPr>
      </w:pPr>
      <w:r>
        <w:rPr>
          <w:lang w:val="fr-FR"/>
        </w:rPr>
        <w:t xml:space="preserve">Le projet </w:t>
      </w:r>
      <w:r w:rsidRPr="00CF5DF8">
        <w:rPr>
          <w:b/>
          <w:bCs/>
          <w:lang w:val="fr-FR"/>
        </w:rPr>
        <w:t>« Amélioration de l’accès à la justice pour les personnes victimes de d</w:t>
      </w:r>
      <w:bookmarkStart w:id="2" w:name="_GoBack"/>
      <w:bookmarkEnd w:id="2"/>
      <w:r w:rsidRPr="00CF5DF8">
        <w:rPr>
          <w:b/>
          <w:bCs/>
          <w:lang w:val="fr-FR"/>
        </w:rPr>
        <w:t xml:space="preserve">iscriminations liées au genre et aux orientations </w:t>
      </w:r>
      <w:r w:rsidR="00F022B6">
        <w:rPr>
          <w:b/>
          <w:bCs/>
          <w:lang w:val="fr-FR"/>
        </w:rPr>
        <w:t xml:space="preserve">sexuelles </w:t>
      </w:r>
      <w:r w:rsidRPr="00CF5DF8">
        <w:rPr>
          <w:b/>
          <w:bCs/>
          <w:lang w:val="fr-FR"/>
        </w:rPr>
        <w:t>en Tunisie »</w:t>
      </w:r>
      <w:r>
        <w:rPr>
          <w:lang w:val="fr-FR"/>
        </w:rPr>
        <w:t xml:space="preserve"> </w:t>
      </w:r>
      <w:r w:rsidR="00BD7E3E">
        <w:rPr>
          <w:lang w:val="fr-FR"/>
        </w:rPr>
        <w:t>(ci-après « </w:t>
      </w:r>
      <w:r w:rsidR="79456CA5" w:rsidRPr="62949D6C">
        <w:rPr>
          <w:lang w:val="fr-FR"/>
        </w:rPr>
        <w:t>G</w:t>
      </w:r>
      <w:r w:rsidR="00BD7E3E" w:rsidRPr="62949D6C">
        <w:rPr>
          <w:lang w:val="fr-FR"/>
        </w:rPr>
        <w:t xml:space="preserve">ender </w:t>
      </w:r>
      <w:r w:rsidR="7151EBBC" w:rsidRPr="62949D6C">
        <w:rPr>
          <w:lang w:val="fr-FR"/>
        </w:rPr>
        <w:t>J</w:t>
      </w:r>
      <w:r w:rsidR="00BD7E3E" w:rsidRPr="62949D6C">
        <w:rPr>
          <w:lang w:val="fr-FR"/>
        </w:rPr>
        <w:t>ustice</w:t>
      </w:r>
      <w:r w:rsidR="00BD7E3E">
        <w:rPr>
          <w:lang w:val="fr-FR"/>
        </w:rPr>
        <w:t xml:space="preserve"> ») </w:t>
      </w:r>
      <w:r>
        <w:rPr>
          <w:lang w:val="fr-FR"/>
        </w:rPr>
        <w:t>vise à ce que les personnes victimes de discriminations fondées sur le genre et sur les orientations sexuelles, principalement les plus exposées aux risques de violence, d’exploitation et d’exclusion, soient mieux protégées et revendiquent leurs droits dans la dignité au sein d’un système institutionnel, juridique et juridictionnel plus égalitaire.</w:t>
      </w:r>
    </w:p>
    <w:p w14:paraId="4C159FDA" w14:textId="5B1A206B" w:rsidR="00CF5DF8" w:rsidRDefault="00CF5DF8" w:rsidP="00CF5DF8">
      <w:pPr>
        <w:jc w:val="both"/>
        <w:rPr>
          <w:lang w:val="fr-FR"/>
        </w:rPr>
      </w:pPr>
      <w:r w:rsidRPr="507A1551">
        <w:rPr>
          <w:lang w:val="fr-FR"/>
        </w:rPr>
        <w:t xml:space="preserve">Pour ce faire, le projet va d’une part appuyer les institutions comme détentrices d’obligations à fournir un service </w:t>
      </w:r>
      <w:r w:rsidR="2912C402" w:rsidRPr="507A1551">
        <w:rPr>
          <w:lang w:val="fr-FR"/>
        </w:rPr>
        <w:t xml:space="preserve">de </w:t>
      </w:r>
      <w:r w:rsidRPr="507A1551">
        <w:rPr>
          <w:lang w:val="fr-FR"/>
        </w:rPr>
        <w:t>qualité conformément aux standards internationaux ; et d’autre part, le projet va renforcer les capacités des détenteurs de droits, c’est à dire les victimes de discriminations fondées sur le genre et les orientations sexuelles, afin qu’elles soient suffisamment informées pour faire valoir leurs droits devant les juridictions, et ainsi garantir le respect de leur dignité.</w:t>
      </w:r>
    </w:p>
    <w:p w14:paraId="5D5ABD70" w14:textId="0E44311D" w:rsidR="002A2D8B" w:rsidRDefault="00510E7F" w:rsidP="00510E7F">
      <w:pPr>
        <w:jc w:val="both"/>
        <w:rPr>
          <w:lang w:val="fr-FR"/>
        </w:rPr>
      </w:pPr>
      <w:r w:rsidRPr="507A1551">
        <w:rPr>
          <w:lang w:val="fr-FR"/>
        </w:rPr>
        <w:t xml:space="preserve">Dans un premier temps, il convient d’approfondir l’identification </w:t>
      </w:r>
      <w:r w:rsidR="0090319B">
        <w:rPr>
          <w:lang w:val="fr-FR"/>
        </w:rPr>
        <w:t xml:space="preserve">et l’analyse </w:t>
      </w:r>
      <w:r w:rsidRPr="507A1551">
        <w:rPr>
          <w:lang w:val="fr-FR"/>
        </w:rPr>
        <w:t xml:space="preserve">des situations d’inégalités et </w:t>
      </w:r>
      <w:r>
        <w:rPr>
          <w:lang w:val="fr-FR"/>
        </w:rPr>
        <w:t>d</w:t>
      </w:r>
      <w:r w:rsidRPr="507A1551">
        <w:rPr>
          <w:lang w:val="fr-FR"/>
        </w:rPr>
        <w:t>es barrières relatives à l’accès aux droits liées au genre et aux orientations sexuelles</w:t>
      </w:r>
      <w:r>
        <w:rPr>
          <w:lang w:val="fr-FR"/>
        </w:rPr>
        <w:t xml:space="preserve">, qui peuvent se manifester aussi bien sous la forme de législation que de pratiques discriminatoires. En effet, si la Tunisie a été pionnière dans l’instauration de l’égalité entre les femmes et les hommes, et dispose d’acquis législatifs importants dans la lutte contre les discriminations et les violences basées sur le genre en comparaison avec la majorité des pays d’Afrique du Nord et du Moyen-Orient, des inégalités subsistent en matière juridique. Ainsi, selon le </w:t>
      </w:r>
      <w:proofErr w:type="spellStart"/>
      <w:r>
        <w:rPr>
          <w:lang w:val="fr-FR"/>
        </w:rPr>
        <w:t>Women</w:t>
      </w:r>
      <w:proofErr w:type="spellEnd"/>
      <w:r>
        <w:rPr>
          <w:lang w:val="fr-FR"/>
        </w:rPr>
        <w:t xml:space="preserve">, </w:t>
      </w:r>
      <w:proofErr w:type="spellStart"/>
      <w:r>
        <w:rPr>
          <w:lang w:val="fr-FR"/>
        </w:rPr>
        <w:t>Peace</w:t>
      </w:r>
      <w:proofErr w:type="spellEnd"/>
      <w:r>
        <w:rPr>
          <w:lang w:val="fr-FR"/>
        </w:rPr>
        <w:t xml:space="preserve"> and Security Index, la Tunisie </w:t>
      </w:r>
      <w:r>
        <w:rPr>
          <w:lang w:val="fr-FR"/>
        </w:rPr>
        <w:lastRenderedPageBreak/>
        <w:t>est 12</w:t>
      </w:r>
      <w:r w:rsidR="00D51951">
        <w:rPr>
          <w:lang w:val="fr-FR"/>
        </w:rPr>
        <w:t>4</w:t>
      </w:r>
      <w:r w:rsidRPr="00122DBC">
        <w:rPr>
          <w:vertAlign w:val="superscript"/>
          <w:lang w:val="fr-FR"/>
        </w:rPr>
        <w:t>ème</w:t>
      </w:r>
      <w:r>
        <w:rPr>
          <w:lang w:val="fr-FR"/>
        </w:rPr>
        <w:t xml:space="preserve"> (sur 167 pays) en matière de discrimination légale</w:t>
      </w:r>
      <w:r>
        <w:rPr>
          <w:rStyle w:val="FootnoteReference"/>
          <w:lang w:val="fr-FR"/>
        </w:rPr>
        <w:footnoteReference w:id="2"/>
      </w:r>
      <w:r>
        <w:rPr>
          <w:lang w:val="fr-FR"/>
        </w:rPr>
        <w:t>. De plus, des inégalités basées sur le genre et l’orientation sexuelle persistent également en raison de l’existence de normes, d’attitudes et de pratiques discriminantes.</w:t>
      </w:r>
      <w:r w:rsidR="008812B0">
        <w:rPr>
          <w:lang w:val="fr-FR"/>
        </w:rPr>
        <w:t xml:space="preserve"> Par exemple, </w:t>
      </w:r>
      <w:r w:rsidR="000954C6">
        <w:rPr>
          <w:lang w:val="fr-FR"/>
        </w:rPr>
        <w:t xml:space="preserve">1 homme de plus de 15 ans sur 4 </w:t>
      </w:r>
      <w:proofErr w:type="gramStart"/>
      <w:r w:rsidR="00020A25">
        <w:rPr>
          <w:lang w:val="fr-FR"/>
        </w:rPr>
        <w:t>estime</w:t>
      </w:r>
      <w:proofErr w:type="gramEnd"/>
      <w:r w:rsidR="00020A25">
        <w:rPr>
          <w:lang w:val="fr-FR"/>
        </w:rPr>
        <w:t xml:space="preserve"> qu’il n’est pas acceptable pour une femme de </w:t>
      </w:r>
      <w:r w:rsidR="00827C6B">
        <w:rPr>
          <w:lang w:val="fr-FR"/>
        </w:rPr>
        <w:t>sa</w:t>
      </w:r>
      <w:r w:rsidR="00020A25">
        <w:rPr>
          <w:lang w:val="fr-FR"/>
        </w:rPr>
        <w:t xml:space="preserve"> famille d’exercer un emploi payé en dehors de la maison</w:t>
      </w:r>
      <w:r w:rsidR="00020A25">
        <w:rPr>
          <w:rStyle w:val="FootnoteReference"/>
          <w:lang w:val="fr-FR"/>
        </w:rPr>
        <w:footnoteReference w:id="3"/>
      </w:r>
      <w:r w:rsidR="00020A25">
        <w:rPr>
          <w:lang w:val="fr-FR"/>
        </w:rPr>
        <w:t xml:space="preserve">, et </w:t>
      </w:r>
      <w:r w:rsidR="00C71C58">
        <w:rPr>
          <w:lang w:val="fr-FR"/>
        </w:rPr>
        <w:t xml:space="preserve">près de 30% des tunisiens et tunisiennes </w:t>
      </w:r>
      <w:r w:rsidR="00E50626">
        <w:rPr>
          <w:lang w:val="fr-FR"/>
        </w:rPr>
        <w:t>considèrent que les hommes sont de meilleurs dirigeants politiques que les femmes et devraient être les seuls à être élus à ces postes</w:t>
      </w:r>
      <w:r w:rsidR="00E50626">
        <w:rPr>
          <w:rStyle w:val="FootnoteReference"/>
          <w:lang w:val="fr-FR"/>
        </w:rPr>
        <w:footnoteReference w:id="4"/>
      </w:r>
      <w:r w:rsidR="00E50626">
        <w:rPr>
          <w:lang w:val="fr-FR"/>
        </w:rPr>
        <w:t xml:space="preserve">. </w:t>
      </w:r>
    </w:p>
    <w:p w14:paraId="2C64687B" w14:textId="384889CE" w:rsidR="00F544B3" w:rsidRDefault="004B10AD" w:rsidP="00F544B3">
      <w:pPr>
        <w:jc w:val="both"/>
        <w:rPr>
          <w:lang w:val="fr-FR"/>
        </w:rPr>
      </w:pPr>
      <w:r>
        <w:rPr>
          <w:lang w:val="fr-FR"/>
        </w:rPr>
        <w:t>L’identification et l’analyse</w:t>
      </w:r>
      <w:r w:rsidR="00510E7F" w:rsidRPr="507A1551">
        <w:rPr>
          <w:lang w:val="fr-FR"/>
        </w:rPr>
        <w:t xml:space="preserve"> des inégalités </w:t>
      </w:r>
      <w:r w:rsidR="000F32D2">
        <w:rPr>
          <w:lang w:val="fr-FR"/>
        </w:rPr>
        <w:t>liées au genre et à l’orientation sexuelle est</w:t>
      </w:r>
      <w:r w:rsidR="00510E7F" w:rsidRPr="507A1551">
        <w:rPr>
          <w:lang w:val="fr-FR"/>
        </w:rPr>
        <w:t xml:space="preserve"> un élément fondamental du projet</w:t>
      </w:r>
      <w:r w:rsidR="00425B35">
        <w:rPr>
          <w:lang w:val="fr-FR"/>
        </w:rPr>
        <w:t>.</w:t>
      </w:r>
      <w:r w:rsidR="001F44C3">
        <w:rPr>
          <w:lang w:val="fr-FR"/>
        </w:rPr>
        <w:t xml:space="preserve"> Bien que </w:t>
      </w:r>
      <w:r w:rsidR="00197AA7">
        <w:rPr>
          <w:lang w:val="fr-FR"/>
        </w:rPr>
        <w:t>cet exercice ait été réalisé</w:t>
      </w:r>
      <w:r w:rsidR="001F44C3">
        <w:rPr>
          <w:lang w:val="fr-FR"/>
        </w:rPr>
        <w:t xml:space="preserve"> dans de multiples </w:t>
      </w:r>
      <w:r w:rsidR="00C15D8E">
        <w:rPr>
          <w:lang w:val="fr-FR"/>
        </w:rPr>
        <w:t>documents</w:t>
      </w:r>
      <w:r w:rsidR="00C15D8E">
        <w:rPr>
          <w:rStyle w:val="FootnoteReference"/>
          <w:lang w:val="fr-FR"/>
        </w:rPr>
        <w:footnoteReference w:id="5"/>
      </w:r>
      <w:r w:rsidR="001F44C3">
        <w:rPr>
          <w:lang w:val="fr-FR"/>
        </w:rPr>
        <w:t xml:space="preserve">, le projet </w:t>
      </w:r>
      <w:r w:rsidR="004C042A">
        <w:rPr>
          <w:lang w:val="fr-FR"/>
        </w:rPr>
        <w:t xml:space="preserve">compte élaborer deux rapports </w:t>
      </w:r>
      <w:r w:rsidR="0003131F">
        <w:rPr>
          <w:lang w:val="fr-FR"/>
        </w:rPr>
        <w:t xml:space="preserve">portant sur </w:t>
      </w:r>
      <w:r w:rsidR="00484D7A">
        <w:rPr>
          <w:lang w:val="fr-FR"/>
        </w:rPr>
        <w:t>1)</w:t>
      </w:r>
      <w:r w:rsidR="004C042A">
        <w:rPr>
          <w:lang w:val="fr-FR"/>
        </w:rPr>
        <w:t xml:space="preserve"> l’état </w:t>
      </w:r>
      <w:r w:rsidR="00484D7A" w:rsidRPr="00484D7A">
        <w:rPr>
          <w:lang w:val="fr-FR"/>
        </w:rPr>
        <w:t xml:space="preserve">des lieux et </w:t>
      </w:r>
      <w:r w:rsidR="00484D7A">
        <w:rPr>
          <w:lang w:val="fr-FR"/>
        </w:rPr>
        <w:t>l’</w:t>
      </w:r>
      <w:r w:rsidR="00484D7A" w:rsidRPr="00484D7A">
        <w:rPr>
          <w:lang w:val="fr-FR"/>
        </w:rPr>
        <w:t>analyse des études, évaluations, rapport et données publiées sur les inégalités de genre et celles basées sur l’orientation sexuelle</w:t>
      </w:r>
      <w:r w:rsidR="00C15D8E">
        <w:rPr>
          <w:lang w:val="fr-FR"/>
        </w:rPr>
        <w:t xml:space="preserve"> ; </w:t>
      </w:r>
      <w:r w:rsidR="00484D7A">
        <w:rPr>
          <w:lang w:val="fr-FR"/>
        </w:rPr>
        <w:t>et 2)</w:t>
      </w:r>
      <w:r w:rsidR="00D530B5">
        <w:rPr>
          <w:lang w:val="fr-FR"/>
        </w:rPr>
        <w:t xml:space="preserve"> l’i</w:t>
      </w:r>
      <w:r w:rsidR="00D530B5" w:rsidRPr="00D530B5">
        <w:rPr>
          <w:lang w:val="fr-FR"/>
        </w:rPr>
        <w:t>dentification et analyse des performances des mécanismes existants de veille, d’observation et de signalement</w:t>
      </w:r>
      <w:r w:rsidR="00D530B5">
        <w:rPr>
          <w:lang w:val="fr-FR"/>
        </w:rPr>
        <w:t xml:space="preserve">. </w:t>
      </w:r>
      <w:r w:rsidR="00F544B3">
        <w:rPr>
          <w:lang w:val="fr-FR"/>
        </w:rPr>
        <w:t xml:space="preserve">Ces rapports diffèrent de ceux existants dans la mesure où ils comptent </w:t>
      </w:r>
      <w:r w:rsidR="001414E0">
        <w:rPr>
          <w:lang w:val="fr-FR"/>
        </w:rPr>
        <w:t>évaluer</w:t>
      </w:r>
      <w:r w:rsidR="00F544B3">
        <w:rPr>
          <w:lang w:val="fr-FR"/>
        </w:rPr>
        <w:t xml:space="preserve"> les écarts entre le cadre juridique et la pratique, notamment au regard du pouvoir prétorien du Juge</w:t>
      </w:r>
      <w:r w:rsidR="00B617B8">
        <w:rPr>
          <w:lang w:val="fr-FR"/>
        </w:rPr>
        <w:t xml:space="preserve">, mais également dans la mesure </w:t>
      </w:r>
      <w:r w:rsidR="00F570C6">
        <w:rPr>
          <w:lang w:val="fr-FR"/>
        </w:rPr>
        <w:t>où leur but principal est la production de recommandations</w:t>
      </w:r>
      <w:r w:rsidR="00943DE4">
        <w:rPr>
          <w:lang w:val="fr-FR"/>
        </w:rPr>
        <w:t>. En effet</w:t>
      </w:r>
      <w:r w:rsidR="001414E0">
        <w:rPr>
          <w:lang w:val="fr-FR"/>
        </w:rPr>
        <w:t>,</w:t>
      </w:r>
      <w:r w:rsidR="00943DE4">
        <w:rPr>
          <w:lang w:val="fr-FR"/>
        </w:rPr>
        <w:t xml:space="preserve"> les rapports n’ont pas vocation à rester lettre morte, mais à permettre l’élaboration d’un plan d’action pour </w:t>
      </w:r>
      <w:r w:rsidR="000A33A3">
        <w:rPr>
          <w:lang w:val="fr-FR"/>
        </w:rPr>
        <w:t>remédier aux inégalités mises en lumières.</w:t>
      </w:r>
    </w:p>
    <w:p w14:paraId="055953FC" w14:textId="3FA00CC6" w:rsidR="000D40BC" w:rsidRPr="006E4322" w:rsidRDefault="3161968E" w:rsidP="35DE1300">
      <w:pPr>
        <w:jc w:val="both"/>
        <w:rPr>
          <w:lang w:val="fr-FR"/>
        </w:rPr>
      </w:pPr>
      <w:r w:rsidRPr="35DE1300">
        <w:rPr>
          <w:lang w:val="fr-FR"/>
        </w:rPr>
        <w:t>Pour ce faire, le projet entend mettre en œuvre des stratégies de lutte contre ces discriminations</w:t>
      </w:r>
      <w:r w:rsidR="003B0DC8">
        <w:rPr>
          <w:lang w:val="fr-FR"/>
        </w:rPr>
        <w:t>. Cela</w:t>
      </w:r>
      <w:r w:rsidRPr="35DE1300">
        <w:rPr>
          <w:lang w:val="fr-FR"/>
        </w:rPr>
        <w:t xml:space="preserve"> </w:t>
      </w:r>
      <w:r w:rsidR="410EFA29" w:rsidRPr="35DE1300">
        <w:rPr>
          <w:lang w:val="fr-FR"/>
        </w:rPr>
        <w:t>passe</w:t>
      </w:r>
      <w:r w:rsidR="00E52C45">
        <w:rPr>
          <w:lang w:val="fr-FR"/>
        </w:rPr>
        <w:t xml:space="preserve"> </w:t>
      </w:r>
      <w:r w:rsidR="410EFA29" w:rsidRPr="35DE1300">
        <w:rPr>
          <w:lang w:val="fr-FR"/>
        </w:rPr>
        <w:t>notamment</w:t>
      </w:r>
      <w:r w:rsidRPr="35DE1300">
        <w:rPr>
          <w:lang w:val="fr-FR"/>
        </w:rPr>
        <w:t xml:space="preserve"> par le développement de méthodes plus innovantes de signalement de ces situations. C’est dans cette optique que se place cette compétition d’innovation, qui a pour objectif de solliciter, tester et accompagner des idées de projets innovants de signalement, de mise en lumière ou encore de dénonciation des inégalités liées au genre et/ou aux orientations sexuelles en Tunisie.</w:t>
      </w:r>
    </w:p>
    <w:p w14:paraId="22AC3BFB" w14:textId="3A7882C1" w:rsidR="000D40BC" w:rsidRPr="006E4322" w:rsidRDefault="00257B1E" w:rsidP="2CFC03C3">
      <w:pPr>
        <w:pStyle w:val="Heading1"/>
        <w:jc w:val="both"/>
        <w:rPr>
          <w:lang w:val="fr-FR"/>
        </w:rPr>
      </w:pPr>
      <w:bookmarkStart w:id="3" w:name="_Toc58419033"/>
      <w:r w:rsidRPr="2CFC03C3">
        <w:rPr>
          <w:lang w:val="fr-FR"/>
        </w:rPr>
        <w:t>II</w:t>
      </w:r>
      <w:r w:rsidR="00C75A65" w:rsidRPr="2CFC03C3">
        <w:rPr>
          <w:lang w:val="fr-FR"/>
        </w:rPr>
        <w:t>-</w:t>
      </w:r>
      <w:r w:rsidRPr="2CFC03C3">
        <w:rPr>
          <w:lang w:val="fr-FR"/>
        </w:rPr>
        <w:t xml:space="preserve"> Justificatif de recours à une compétition d’innovation</w:t>
      </w:r>
      <w:bookmarkEnd w:id="3"/>
    </w:p>
    <w:p w14:paraId="1CBC2B56" w14:textId="77777777" w:rsidR="00AA51F8" w:rsidRDefault="006B2F2F" w:rsidP="2CD629DA">
      <w:pPr>
        <w:jc w:val="both"/>
        <w:rPr>
          <w:lang w:val="fr-FR"/>
        </w:rPr>
      </w:pPr>
      <w:r w:rsidRPr="2CD629DA">
        <w:rPr>
          <w:lang w:val="fr-FR"/>
        </w:rPr>
        <w:t xml:space="preserve">Le recours au mécanisme de la compétition d’innovation, plutôt qu’à un appel </w:t>
      </w:r>
      <w:r w:rsidR="00987D0E">
        <w:rPr>
          <w:lang w:val="fr-FR"/>
        </w:rPr>
        <w:t>à proposition de projet</w:t>
      </w:r>
      <w:r w:rsidRPr="2CD629DA">
        <w:rPr>
          <w:lang w:val="fr-FR"/>
        </w:rPr>
        <w:t xml:space="preserve"> traditionnel, se justifie à au moins deux niveaux. </w:t>
      </w:r>
    </w:p>
    <w:p w14:paraId="51EF5199" w14:textId="1520D5C5" w:rsidR="00AA51F8" w:rsidRPr="00BE3B2B" w:rsidRDefault="006B2F2F" w:rsidP="2CD629DA">
      <w:pPr>
        <w:jc w:val="both"/>
        <w:rPr>
          <w:vertAlign w:val="superscript"/>
          <w:lang w:val="fr-FR"/>
        </w:rPr>
      </w:pPr>
      <w:r w:rsidRPr="2CD629DA">
        <w:rPr>
          <w:lang w:val="fr-FR"/>
        </w:rPr>
        <w:t>D’une part, faisant écho à la résolution 2250 du Conseil de Sécurité des Nations Unies sur la Jeunesse, la Paix et la Sécurité</w:t>
      </w:r>
      <w:r w:rsidR="002A61FF">
        <w:rPr>
          <w:rStyle w:val="FootnoteReference"/>
          <w:lang w:val="fr-FR"/>
        </w:rPr>
        <w:footnoteReference w:id="6"/>
      </w:r>
      <w:r w:rsidR="00894A86">
        <w:rPr>
          <w:lang w:val="fr-FR"/>
        </w:rPr>
        <w:t>,</w:t>
      </w:r>
      <w:r w:rsidR="00BE3B2B">
        <w:rPr>
          <w:lang w:val="fr-FR"/>
        </w:rPr>
        <w:t xml:space="preserve"> </w:t>
      </w:r>
      <w:r w:rsidRPr="2CD629DA">
        <w:rPr>
          <w:lang w:val="fr-FR"/>
        </w:rPr>
        <w:t>cette compétition est justifiée par la volonté de reconnaître et mettre à profit le rôle important joué par les jeunes dans la promotion d’une société pacifique et inclusive, et plus particulièrement dans la lutte contre les discriminations basées sur le genre et l</w:t>
      </w:r>
      <w:r w:rsidR="00894A86">
        <w:rPr>
          <w:lang w:val="fr-FR"/>
        </w:rPr>
        <w:t xml:space="preserve">es </w:t>
      </w:r>
      <w:r w:rsidRPr="2CD629DA">
        <w:rPr>
          <w:lang w:val="fr-FR"/>
        </w:rPr>
        <w:t>orientation</w:t>
      </w:r>
      <w:r w:rsidR="00894A86">
        <w:rPr>
          <w:lang w:val="fr-FR"/>
        </w:rPr>
        <w:t>s</w:t>
      </w:r>
      <w:r w:rsidRPr="2CD629DA">
        <w:rPr>
          <w:lang w:val="fr-FR"/>
        </w:rPr>
        <w:t xml:space="preserve"> sexuelle</w:t>
      </w:r>
      <w:r w:rsidR="00894A86">
        <w:rPr>
          <w:lang w:val="fr-FR"/>
        </w:rPr>
        <w:t>s</w:t>
      </w:r>
      <w:r w:rsidRPr="2CD629DA">
        <w:rPr>
          <w:lang w:val="fr-FR"/>
        </w:rPr>
        <w:t>. La dynamique d’accompagnement dans la génération et l’expérimentation des solutions</w:t>
      </w:r>
      <w:r w:rsidR="289EC74E" w:rsidRPr="2CD629DA">
        <w:rPr>
          <w:lang w:val="fr-FR"/>
        </w:rPr>
        <w:t>, qui est</w:t>
      </w:r>
      <w:r w:rsidRPr="2CD629DA">
        <w:rPr>
          <w:lang w:val="fr-FR"/>
        </w:rPr>
        <w:t xml:space="preserve"> inhérente au mécanisme de la compétition d’innovation</w:t>
      </w:r>
      <w:r w:rsidR="431E2CCC" w:rsidRPr="2CD629DA">
        <w:rPr>
          <w:lang w:val="fr-FR"/>
        </w:rPr>
        <w:t>,</w:t>
      </w:r>
      <w:r w:rsidR="4984C330" w:rsidRPr="2CD629DA">
        <w:rPr>
          <w:lang w:val="fr-FR"/>
        </w:rPr>
        <w:t xml:space="preserve"> </w:t>
      </w:r>
      <w:r w:rsidRPr="2CD629DA">
        <w:rPr>
          <w:lang w:val="fr-FR"/>
        </w:rPr>
        <w:t>permet en effet de garantir une participation facilitée pour les jeunes</w:t>
      </w:r>
      <w:r w:rsidR="073F0F46" w:rsidRPr="2CD629DA">
        <w:rPr>
          <w:lang w:val="fr-FR"/>
        </w:rPr>
        <w:t xml:space="preserve"> </w:t>
      </w:r>
      <w:r w:rsidR="5782BF8D" w:rsidRPr="2CD629DA">
        <w:rPr>
          <w:lang w:val="fr-FR"/>
        </w:rPr>
        <w:t>par rap</w:t>
      </w:r>
      <w:r w:rsidR="001872B6">
        <w:rPr>
          <w:lang w:val="fr-FR"/>
        </w:rPr>
        <w:t>p</w:t>
      </w:r>
      <w:r w:rsidR="5782BF8D" w:rsidRPr="2CD629DA">
        <w:rPr>
          <w:lang w:val="fr-FR"/>
        </w:rPr>
        <w:t xml:space="preserve">ort à </w:t>
      </w:r>
      <w:r w:rsidRPr="2CD629DA">
        <w:rPr>
          <w:lang w:val="fr-FR"/>
        </w:rPr>
        <w:t xml:space="preserve">un appel </w:t>
      </w:r>
      <w:r w:rsidR="007F3CC6">
        <w:rPr>
          <w:lang w:val="fr-FR"/>
        </w:rPr>
        <w:t>à proposition de projet</w:t>
      </w:r>
      <w:r w:rsidRPr="2CD629DA">
        <w:rPr>
          <w:lang w:val="fr-FR"/>
        </w:rPr>
        <w:t xml:space="preserve"> traditionnel</w:t>
      </w:r>
      <w:r w:rsidR="5C433249" w:rsidRPr="2CD629DA">
        <w:rPr>
          <w:lang w:val="fr-FR"/>
        </w:rPr>
        <w:t>, qui peut nécessiter</w:t>
      </w:r>
      <w:r w:rsidR="442AB99B" w:rsidRPr="2CD629DA">
        <w:rPr>
          <w:lang w:val="fr-FR"/>
        </w:rPr>
        <w:t xml:space="preserve"> de mobiliser</w:t>
      </w:r>
      <w:r w:rsidR="5C433249" w:rsidRPr="2CD629DA">
        <w:rPr>
          <w:lang w:val="fr-FR"/>
        </w:rPr>
        <w:t xml:space="preserve"> des réseaux et ressources dont ils ne disposent pas forcément. </w:t>
      </w:r>
    </w:p>
    <w:p w14:paraId="6AACA7DE" w14:textId="3A8E6920" w:rsidR="00C03EC5" w:rsidRPr="006B2F2F" w:rsidRDefault="006B2F2F" w:rsidP="2CFC03C3">
      <w:pPr>
        <w:jc w:val="both"/>
        <w:rPr>
          <w:rFonts w:ascii="Calibri" w:eastAsia="Calibri" w:hAnsi="Calibri" w:cs="Calibri"/>
          <w:color w:val="000000" w:themeColor="text1"/>
          <w:lang w:val="fr-FR"/>
        </w:rPr>
      </w:pPr>
      <w:r w:rsidRPr="2CFC03C3">
        <w:rPr>
          <w:lang w:val="fr-FR"/>
        </w:rPr>
        <w:t xml:space="preserve">D’autre part, </w:t>
      </w:r>
      <w:r w:rsidR="002F4525" w:rsidRPr="2CFC03C3">
        <w:rPr>
          <w:lang w:val="fr-FR"/>
        </w:rPr>
        <w:t xml:space="preserve">l’organisation de cette compétition d’innovation s’inscrit </w:t>
      </w:r>
      <w:r w:rsidRPr="2CFC03C3">
        <w:rPr>
          <w:lang w:val="fr-FR"/>
        </w:rPr>
        <w:t xml:space="preserve">dans </w:t>
      </w:r>
      <w:r w:rsidR="00A41E21" w:rsidRPr="2CFC03C3">
        <w:rPr>
          <w:lang w:val="fr-FR"/>
        </w:rPr>
        <w:t>l’</w:t>
      </w:r>
      <w:r w:rsidRPr="2CFC03C3">
        <w:rPr>
          <w:lang w:val="fr-FR"/>
        </w:rPr>
        <w:t>optique de ne laisser personne pour compte</w:t>
      </w:r>
      <w:r w:rsidR="00AA51F8" w:rsidRPr="2CFC03C3">
        <w:rPr>
          <w:lang w:val="fr-FR"/>
        </w:rPr>
        <w:t xml:space="preserve">, notion fondamentale dans la mise en œuvre des projets au </w:t>
      </w:r>
      <w:r w:rsidR="00016953" w:rsidRPr="2CFC03C3">
        <w:rPr>
          <w:lang w:val="fr-FR"/>
        </w:rPr>
        <w:t>sein</w:t>
      </w:r>
      <w:r w:rsidR="00AA51F8" w:rsidRPr="2CFC03C3">
        <w:rPr>
          <w:lang w:val="fr-FR"/>
        </w:rPr>
        <w:t xml:space="preserve"> du PNUD et particulièrement au sein d</w:t>
      </w:r>
      <w:r w:rsidR="008529FA">
        <w:rPr>
          <w:lang w:val="fr-FR"/>
        </w:rPr>
        <w:t xml:space="preserve">es différents projets de l’équipe </w:t>
      </w:r>
      <w:r w:rsidR="00C35D5B">
        <w:rPr>
          <w:lang w:val="fr-FR"/>
        </w:rPr>
        <w:t>J</w:t>
      </w:r>
      <w:r w:rsidR="008529FA">
        <w:rPr>
          <w:lang w:val="fr-FR"/>
        </w:rPr>
        <w:t xml:space="preserve">ustice et </w:t>
      </w:r>
      <w:r w:rsidR="00C35D5B">
        <w:rPr>
          <w:lang w:val="fr-FR"/>
        </w:rPr>
        <w:t>D</w:t>
      </w:r>
      <w:r w:rsidR="008529FA">
        <w:rPr>
          <w:lang w:val="fr-FR"/>
        </w:rPr>
        <w:t xml:space="preserve">roits </w:t>
      </w:r>
      <w:r w:rsidR="00C35D5B">
        <w:rPr>
          <w:lang w:val="fr-FR"/>
        </w:rPr>
        <w:t>H</w:t>
      </w:r>
      <w:r w:rsidR="008529FA">
        <w:rPr>
          <w:lang w:val="fr-FR"/>
        </w:rPr>
        <w:t>umains</w:t>
      </w:r>
      <w:r w:rsidR="00E36903" w:rsidRPr="2CFC03C3">
        <w:rPr>
          <w:lang w:val="fr-FR"/>
        </w:rPr>
        <w:t>, m</w:t>
      </w:r>
      <w:r w:rsidR="002F4525" w:rsidRPr="2CFC03C3">
        <w:rPr>
          <w:lang w:val="fr-FR"/>
        </w:rPr>
        <w:t xml:space="preserve">ais également dans une optique de </w:t>
      </w:r>
      <w:r w:rsidR="00F5533A" w:rsidRPr="2CFC03C3">
        <w:rPr>
          <w:lang w:val="fr-FR"/>
        </w:rPr>
        <w:t>lutter contre la marginalisation</w:t>
      </w:r>
      <w:r w:rsidR="002F4525" w:rsidRPr="2CFC03C3">
        <w:rPr>
          <w:lang w:val="fr-FR"/>
        </w:rPr>
        <w:t xml:space="preserve"> des</w:t>
      </w:r>
      <w:r w:rsidRPr="2CFC03C3">
        <w:rPr>
          <w:lang w:val="fr-FR"/>
        </w:rPr>
        <w:t xml:space="preserve"> régions</w:t>
      </w:r>
      <w:r w:rsidR="009E04E8" w:rsidRPr="2CFC03C3">
        <w:rPr>
          <w:lang w:val="fr-FR"/>
        </w:rPr>
        <w:t>. En effet</w:t>
      </w:r>
      <w:r w:rsidR="00026E5A" w:rsidRPr="2CFC03C3">
        <w:rPr>
          <w:lang w:val="fr-FR"/>
        </w:rPr>
        <w:t>,</w:t>
      </w:r>
      <w:r w:rsidR="009E04E8" w:rsidRPr="2CFC03C3">
        <w:rPr>
          <w:lang w:val="fr-FR"/>
        </w:rPr>
        <w:t xml:space="preserve"> le projet « </w:t>
      </w:r>
      <w:r w:rsidR="7290DF7C" w:rsidRPr="2CFC03C3">
        <w:rPr>
          <w:lang w:val="fr-FR"/>
        </w:rPr>
        <w:t>G</w:t>
      </w:r>
      <w:r w:rsidR="009E04E8" w:rsidRPr="2CFC03C3">
        <w:rPr>
          <w:lang w:val="fr-FR"/>
        </w:rPr>
        <w:t xml:space="preserve">ender </w:t>
      </w:r>
      <w:r w:rsidR="428B5955" w:rsidRPr="2CFC03C3">
        <w:rPr>
          <w:lang w:val="fr-FR"/>
        </w:rPr>
        <w:t>Ju</w:t>
      </w:r>
      <w:r w:rsidR="009E04E8" w:rsidRPr="2CFC03C3">
        <w:rPr>
          <w:lang w:val="fr-FR"/>
        </w:rPr>
        <w:t>stice »</w:t>
      </w:r>
      <w:r w:rsidR="00FF506A" w:rsidRPr="2CFC03C3">
        <w:rPr>
          <w:lang w:val="fr-FR"/>
        </w:rPr>
        <w:t xml:space="preserve"> </w:t>
      </w:r>
      <w:r w:rsidR="000E4952" w:rsidRPr="2CFC03C3">
        <w:rPr>
          <w:lang w:val="fr-FR"/>
        </w:rPr>
        <w:lastRenderedPageBreak/>
        <w:t>souhaite</w:t>
      </w:r>
      <w:r w:rsidR="00FF506A" w:rsidRPr="2CFC03C3">
        <w:rPr>
          <w:lang w:val="fr-FR"/>
        </w:rPr>
        <w:t xml:space="preserve"> bénéficier notamment de l’expérience </w:t>
      </w:r>
      <w:r w:rsidR="00F64CE4" w:rsidRPr="2CFC03C3">
        <w:rPr>
          <w:lang w:val="fr-FR"/>
        </w:rPr>
        <w:t>régionale</w:t>
      </w:r>
      <w:r w:rsidR="000E4952" w:rsidRPr="2CFC03C3">
        <w:rPr>
          <w:lang w:val="fr-FR"/>
        </w:rPr>
        <w:t xml:space="preserve"> à Médenine</w:t>
      </w:r>
      <w:r w:rsidR="00F64CE4" w:rsidRPr="2CFC03C3">
        <w:rPr>
          <w:lang w:val="fr-FR"/>
        </w:rPr>
        <w:t xml:space="preserve"> </w:t>
      </w:r>
      <w:r w:rsidR="00FF506A" w:rsidRPr="2CFC03C3">
        <w:rPr>
          <w:lang w:val="fr-FR"/>
        </w:rPr>
        <w:t>des autres projets du programme</w:t>
      </w:r>
      <w:r w:rsidR="000E4952" w:rsidRPr="2CFC03C3">
        <w:rPr>
          <w:lang w:val="fr-FR"/>
        </w:rPr>
        <w:t>, sans pour autant exclure les autres gouvernorats.</w:t>
      </w:r>
      <w:r w:rsidR="0F67DD9E" w:rsidRPr="5CDB3164">
        <w:rPr>
          <w:lang w:val="fr-FR"/>
        </w:rPr>
        <w:t xml:space="preserve"> </w:t>
      </w:r>
      <w:r w:rsidR="58DF717F" w:rsidRPr="2CFC03C3">
        <w:rPr>
          <w:rFonts w:ascii="Calibri" w:eastAsia="Calibri" w:hAnsi="Calibri" w:cs="Calibri"/>
          <w:color w:val="000000" w:themeColor="text1"/>
          <w:lang w:val="fr-FR"/>
        </w:rPr>
        <w:t xml:space="preserve">À travers l’organisation de </w:t>
      </w:r>
      <w:r w:rsidR="58DF717F" w:rsidRPr="5CDB3164">
        <w:rPr>
          <w:rFonts w:ascii="Calibri" w:eastAsia="Calibri" w:hAnsi="Calibri" w:cs="Calibri"/>
          <w:color w:val="000000" w:themeColor="text1"/>
          <w:lang w:val="fr-FR"/>
        </w:rPr>
        <w:t>sessions de</w:t>
      </w:r>
      <w:r w:rsidR="001872B6" w:rsidRPr="5CDB3164">
        <w:rPr>
          <w:rFonts w:ascii="Calibri" w:eastAsia="Calibri" w:hAnsi="Calibri" w:cs="Calibri"/>
          <w:color w:val="000000" w:themeColor="text1"/>
          <w:lang w:val="fr-FR"/>
        </w:rPr>
        <w:t xml:space="preserve"> la</w:t>
      </w:r>
      <w:r w:rsidR="58DF717F" w:rsidRPr="5CDB3164">
        <w:rPr>
          <w:rFonts w:ascii="Calibri" w:eastAsia="Calibri" w:hAnsi="Calibri" w:cs="Calibri"/>
          <w:color w:val="000000" w:themeColor="text1"/>
          <w:lang w:val="fr-FR"/>
        </w:rPr>
        <w:t xml:space="preserve"> compétition au niveau </w:t>
      </w:r>
      <w:r w:rsidR="00F0694A">
        <w:rPr>
          <w:rFonts w:ascii="Calibri" w:eastAsia="Calibri" w:hAnsi="Calibri" w:cs="Calibri"/>
          <w:color w:val="000000" w:themeColor="text1"/>
          <w:lang w:val="fr-FR"/>
        </w:rPr>
        <w:t>régional</w:t>
      </w:r>
      <w:r w:rsidR="58DF717F" w:rsidRPr="5CDB3164">
        <w:rPr>
          <w:rFonts w:ascii="Calibri" w:eastAsia="Calibri" w:hAnsi="Calibri" w:cs="Calibri"/>
          <w:color w:val="000000" w:themeColor="text1"/>
          <w:lang w:val="fr-FR"/>
        </w:rPr>
        <w:t xml:space="preserve"> et en promouvant le développement de solutions à ce même niveau</w:t>
      </w:r>
      <w:r w:rsidR="58DF717F" w:rsidRPr="2CFC03C3">
        <w:rPr>
          <w:rFonts w:ascii="Calibri" w:eastAsia="Calibri" w:hAnsi="Calibri" w:cs="Calibri"/>
          <w:color w:val="000000" w:themeColor="text1"/>
          <w:lang w:val="fr-FR"/>
        </w:rPr>
        <w:t>, cette compétition d’innovation vise à solliciter des solutions qui tiennent compte des défis locaux et bénéficient d’un accès unique à des publics généralement peu atteints</w:t>
      </w:r>
      <w:r w:rsidR="58DF717F" w:rsidRPr="2CFC03C3">
        <w:rPr>
          <w:rFonts w:ascii="Calibri" w:eastAsia="Calibri" w:hAnsi="Calibri" w:cs="Calibri"/>
          <w:color w:val="000000" w:themeColor="text1"/>
          <w:vertAlign w:val="superscript"/>
          <w:lang w:val="fr-FR"/>
        </w:rPr>
        <w:t>6</w:t>
      </w:r>
      <w:r w:rsidR="58DF717F" w:rsidRPr="2CFC03C3">
        <w:rPr>
          <w:rFonts w:ascii="Calibri" w:eastAsia="Calibri" w:hAnsi="Calibri" w:cs="Calibri"/>
          <w:color w:val="000000" w:themeColor="text1"/>
          <w:lang w:val="fr-FR"/>
        </w:rPr>
        <w:t xml:space="preserve"> par les efforts traditionnels de signalement et de mise en lumière des inégalités basées sur le genre et/ou l’orientation sexuelle.</w:t>
      </w:r>
    </w:p>
    <w:p w14:paraId="2F6CC1C9" w14:textId="17ADFA81" w:rsidR="00C03EC5" w:rsidRPr="006B2F2F" w:rsidRDefault="00C03EC5" w:rsidP="2CFC03C3">
      <w:pPr>
        <w:jc w:val="both"/>
        <w:rPr>
          <w:rFonts w:eastAsiaTheme="minorEastAsia"/>
          <w:lang w:val="fr-FR"/>
        </w:rPr>
      </w:pPr>
      <w:r w:rsidRPr="2CFC03C3">
        <w:rPr>
          <w:lang w:val="fr-FR"/>
        </w:rPr>
        <w:t xml:space="preserve">C’est à travers un mécanisme de ce type que l’on peut faire surgir des idées de projets </w:t>
      </w:r>
      <w:r w:rsidR="0063668F" w:rsidRPr="2CFC03C3">
        <w:rPr>
          <w:lang w:val="fr-FR"/>
        </w:rPr>
        <w:t xml:space="preserve">pertinents </w:t>
      </w:r>
      <w:r w:rsidR="4364D314" w:rsidRPr="0ABD3200">
        <w:rPr>
          <w:lang w:val="fr-FR"/>
        </w:rPr>
        <w:t>vis-à-vis</w:t>
      </w:r>
      <w:r w:rsidR="0063668F" w:rsidRPr="2CFC03C3">
        <w:rPr>
          <w:lang w:val="fr-FR"/>
        </w:rPr>
        <w:t xml:space="preserve"> des défis identifiés lors des sessions des compétition</w:t>
      </w:r>
      <w:r w:rsidR="00D46065" w:rsidRPr="2CFC03C3">
        <w:rPr>
          <w:lang w:val="fr-FR"/>
        </w:rPr>
        <w:t>, notamment au niveau local</w:t>
      </w:r>
      <w:r w:rsidR="004B2E66">
        <w:rPr>
          <w:lang w:val="fr-FR"/>
        </w:rPr>
        <w:t xml:space="preserve"> et régional</w:t>
      </w:r>
      <w:r w:rsidR="00D46065" w:rsidRPr="2CFC03C3">
        <w:rPr>
          <w:lang w:val="fr-FR"/>
        </w:rPr>
        <w:t xml:space="preserve">, et avec une perspective plus jeune et hors du champ </w:t>
      </w:r>
      <w:r w:rsidR="00716720" w:rsidRPr="2CFC03C3">
        <w:rPr>
          <w:lang w:val="fr-FR"/>
        </w:rPr>
        <w:t>institutionnel</w:t>
      </w:r>
      <w:r w:rsidR="00D46065" w:rsidRPr="2CFC03C3">
        <w:rPr>
          <w:lang w:val="fr-FR"/>
        </w:rPr>
        <w:t>.</w:t>
      </w:r>
    </w:p>
    <w:p w14:paraId="429AEED3" w14:textId="69C79E69" w:rsidR="00A76171" w:rsidRDefault="006A786A" w:rsidP="006A786A">
      <w:pPr>
        <w:pStyle w:val="Heading1"/>
        <w:rPr>
          <w:lang w:val="fr-FR"/>
        </w:rPr>
      </w:pPr>
      <w:bookmarkStart w:id="4" w:name="_Toc55389035"/>
      <w:bookmarkStart w:id="5" w:name="_Toc58419034"/>
      <w:r w:rsidRPr="006A786A">
        <w:rPr>
          <w:lang w:val="fr-FR"/>
        </w:rPr>
        <w:t>II</w:t>
      </w:r>
      <w:r w:rsidR="00257B1E">
        <w:rPr>
          <w:lang w:val="fr-FR"/>
        </w:rPr>
        <w:t>I</w:t>
      </w:r>
      <w:r w:rsidR="00C75A65">
        <w:rPr>
          <w:lang w:val="fr-FR"/>
        </w:rPr>
        <w:t>-</w:t>
      </w:r>
      <w:r w:rsidRPr="006A786A">
        <w:rPr>
          <w:lang w:val="fr-FR"/>
        </w:rPr>
        <w:t xml:space="preserve"> Modalités de fonctionnement d</w:t>
      </w:r>
      <w:r>
        <w:rPr>
          <w:lang w:val="fr-FR"/>
        </w:rPr>
        <w:t>e la compétition d’innovation</w:t>
      </w:r>
      <w:bookmarkEnd w:id="4"/>
      <w:bookmarkEnd w:id="5"/>
    </w:p>
    <w:p w14:paraId="6485690B" w14:textId="705E5B21" w:rsidR="00D14CFE" w:rsidRDefault="0095689C" w:rsidP="13432BCF">
      <w:pPr>
        <w:jc w:val="both"/>
        <w:rPr>
          <w:rFonts w:eastAsia="Times New Roman"/>
          <w:lang w:val="fr-FR"/>
        </w:rPr>
      </w:pPr>
      <w:r>
        <w:rPr>
          <w:lang w:val="fr-FR"/>
        </w:rPr>
        <w:t xml:space="preserve">La compétition d’innovation consiste à confronter des idées de projet </w:t>
      </w:r>
      <w:r w:rsidR="00D468A4">
        <w:rPr>
          <w:lang w:val="fr-FR"/>
        </w:rPr>
        <w:t>entre</w:t>
      </w:r>
      <w:r w:rsidR="00AD67FC">
        <w:rPr>
          <w:lang w:val="fr-FR"/>
        </w:rPr>
        <w:t xml:space="preserve"> </w:t>
      </w:r>
      <w:r w:rsidR="00D468A4">
        <w:rPr>
          <w:lang w:val="fr-FR"/>
        </w:rPr>
        <w:t xml:space="preserve">elles devant un jury constitué </w:t>
      </w:r>
      <w:r w:rsidR="00D468A4" w:rsidRPr="419822F3">
        <w:rPr>
          <w:lang w:val="fr-FR"/>
        </w:rPr>
        <w:t>d’expert</w:t>
      </w:r>
      <w:r w:rsidR="4D6E5DB2" w:rsidRPr="419822F3">
        <w:rPr>
          <w:lang w:val="fr-FR"/>
        </w:rPr>
        <w:t>s</w:t>
      </w:r>
      <w:r w:rsidR="00D468A4">
        <w:rPr>
          <w:lang w:val="fr-FR"/>
        </w:rPr>
        <w:t xml:space="preserve"> </w:t>
      </w:r>
      <w:r w:rsidR="00B45A4B">
        <w:rPr>
          <w:lang w:val="fr-FR"/>
        </w:rPr>
        <w:t>en la matière</w:t>
      </w:r>
      <w:r w:rsidR="0081636D">
        <w:rPr>
          <w:lang w:val="fr-FR"/>
        </w:rPr>
        <w:t>,</w:t>
      </w:r>
      <w:r w:rsidR="00B45A4B">
        <w:rPr>
          <w:lang w:val="fr-FR"/>
        </w:rPr>
        <w:t xml:space="preserve"> </w:t>
      </w:r>
      <w:r w:rsidR="002530D0">
        <w:rPr>
          <w:lang w:val="fr-FR"/>
        </w:rPr>
        <w:t xml:space="preserve">afin de sélectionner des projets novateurs permettant </w:t>
      </w:r>
      <w:r w:rsidR="003931A6">
        <w:rPr>
          <w:lang w:val="fr-FR"/>
        </w:rPr>
        <w:t>de contribuer à la lutte contre les inégalités de genre et celles basées sur les orientations sexuelles.</w:t>
      </w:r>
      <w:r w:rsidR="00716720">
        <w:rPr>
          <w:lang w:val="fr-FR"/>
        </w:rPr>
        <w:t xml:space="preserve"> </w:t>
      </w:r>
    </w:p>
    <w:p w14:paraId="6E863755" w14:textId="6EDAFBA5" w:rsidR="00024AB0" w:rsidRDefault="002679A5" w:rsidP="7DA95F48">
      <w:pPr>
        <w:jc w:val="both"/>
        <w:rPr>
          <w:lang w:val="fr-FR"/>
        </w:rPr>
      </w:pPr>
      <w:r>
        <w:rPr>
          <w:rFonts w:eastAsia="Times New Roman"/>
          <w:lang w:val="fr-FR"/>
        </w:rPr>
        <w:t>Il s’agit d’un c</w:t>
      </w:r>
      <w:r w:rsidR="00D14CFE">
        <w:rPr>
          <w:rFonts w:eastAsia="Times New Roman"/>
          <w:lang w:val="fr-FR"/>
        </w:rPr>
        <w:t>oncours organisé</w:t>
      </w:r>
      <w:r w:rsidR="00F5161E">
        <w:rPr>
          <w:rFonts w:eastAsia="Times New Roman"/>
          <w:lang w:val="fr-FR"/>
        </w:rPr>
        <w:t xml:space="preserve"> par le PNUD Tunisie</w:t>
      </w:r>
      <w:r w:rsidR="00D14CFE">
        <w:rPr>
          <w:rFonts w:eastAsia="Times New Roman"/>
          <w:lang w:val="fr-FR"/>
        </w:rPr>
        <w:t xml:space="preserve"> pour solliciter des idées novatrices et des solutions </w:t>
      </w:r>
      <w:r w:rsidR="00F5161E">
        <w:rPr>
          <w:rFonts w:eastAsia="Times New Roman"/>
          <w:lang w:val="fr-FR"/>
        </w:rPr>
        <w:t xml:space="preserve">concrètes permettant </w:t>
      </w:r>
      <w:r w:rsidR="00934080">
        <w:rPr>
          <w:rFonts w:eastAsia="Times New Roman"/>
          <w:lang w:val="fr-FR"/>
        </w:rPr>
        <w:t xml:space="preserve">de tendre </w:t>
      </w:r>
      <w:r w:rsidR="00D14CFE">
        <w:rPr>
          <w:rFonts w:eastAsia="Times New Roman"/>
          <w:lang w:val="fr-FR"/>
        </w:rPr>
        <w:t xml:space="preserve">vers </w:t>
      </w:r>
      <w:r w:rsidR="00716720">
        <w:rPr>
          <w:rFonts w:eastAsia="Times New Roman"/>
          <w:lang w:val="fr-FR"/>
        </w:rPr>
        <w:t>le</w:t>
      </w:r>
      <w:r w:rsidR="00934080">
        <w:rPr>
          <w:rFonts w:eastAsia="Times New Roman"/>
          <w:lang w:val="fr-FR"/>
        </w:rPr>
        <w:t>s</w:t>
      </w:r>
      <w:r w:rsidR="00D14CFE">
        <w:rPr>
          <w:rFonts w:eastAsia="Times New Roman"/>
          <w:lang w:val="fr-FR"/>
        </w:rPr>
        <w:t xml:space="preserve"> objectif</w:t>
      </w:r>
      <w:r w:rsidR="00934080">
        <w:rPr>
          <w:rFonts w:eastAsia="Times New Roman"/>
          <w:lang w:val="fr-FR"/>
        </w:rPr>
        <w:t>s fixés</w:t>
      </w:r>
      <w:r w:rsidR="00D14CFE">
        <w:rPr>
          <w:rFonts w:eastAsia="Times New Roman"/>
          <w:lang w:val="fr-FR"/>
        </w:rPr>
        <w:t>, dans le but de résoudre des défis ne pouvant être résolu par des processus d’appel d’offres traditionnels</w:t>
      </w:r>
      <w:r w:rsidR="006C797C">
        <w:rPr>
          <w:rFonts w:eastAsia="Times New Roman"/>
          <w:lang w:val="fr-FR"/>
        </w:rPr>
        <w:t xml:space="preserve">. </w:t>
      </w:r>
      <w:r w:rsidR="00632711" w:rsidRPr="7DA95F48">
        <w:rPr>
          <w:rFonts w:eastAsia="Times New Roman"/>
          <w:lang w:val="fr-FR"/>
        </w:rPr>
        <w:t>L’objectif est fixé à l’avance, il s’agit</w:t>
      </w:r>
      <w:r w:rsidR="002E49CC" w:rsidRPr="7DA95F48">
        <w:rPr>
          <w:rFonts w:eastAsia="Times New Roman"/>
          <w:lang w:val="fr-FR"/>
        </w:rPr>
        <w:t>,</w:t>
      </w:r>
      <w:r w:rsidR="00632711" w:rsidRPr="7DA95F48">
        <w:rPr>
          <w:rFonts w:eastAsia="Times New Roman"/>
          <w:lang w:val="fr-FR"/>
        </w:rPr>
        <w:t xml:space="preserve"> comme </w:t>
      </w:r>
      <w:r w:rsidR="005E6E2A" w:rsidRPr="7DA95F48">
        <w:rPr>
          <w:rFonts w:eastAsia="Times New Roman"/>
          <w:lang w:val="fr-FR"/>
        </w:rPr>
        <w:t>détaillé ci-dessous</w:t>
      </w:r>
      <w:r w:rsidR="002E49CC" w:rsidRPr="7DA95F48">
        <w:rPr>
          <w:rFonts w:eastAsia="Times New Roman"/>
          <w:lang w:val="fr-FR"/>
        </w:rPr>
        <w:t>,</w:t>
      </w:r>
      <w:r w:rsidR="00632711" w:rsidRPr="7DA95F48">
        <w:rPr>
          <w:rFonts w:eastAsia="Times New Roman"/>
          <w:lang w:val="fr-FR"/>
        </w:rPr>
        <w:t xml:space="preserve"> </w:t>
      </w:r>
      <w:r w:rsidR="00DD179A" w:rsidRPr="7DA95F48">
        <w:rPr>
          <w:rFonts w:eastAsia="Times New Roman"/>
          <w:lang w:val="fr-FR"/>
        </w:rPr>
        <w:t xml:space="preserve">de renforcer </w:t>
      </w:r>
      <w:r w:rsidR="00C80671" w:rsidRPr="7DA95F48">
        <w:rPr>
          <w:rFonts w:eastAsia="Times New Roman"/>
          <w:lang w:val="fr-FR"/>
        </w:rPr>
        <w:t xml:space="preserve">les mécanismes de </w:t>
      </w:r>
      <w:r w:rsidR="00DD179A" w:rsidRPr="7DA95F48">
        <w:rPr>
          <w:rFonts w:eastAsia="Times New Roman"/>
          <w:lang w:val="fr-FR"/>
        </w:rPr>
        <w:t>signalement des inégalités de genre</w:t>
      </w:r>
      <w:r w:rsidR="00C80671" w:rsidRPr="7DA95F48">
        <w:rPr>
          <w:rFonts w:eastAsia="Times New Roman"/>
          <w:lang w:val="fr-FR"/>
        </w:rPr>
        <w:t xml:space="preserve"> et/ou celles basées sur les orientations sexuelles</w:t>
      </w:r>
      <w:r w:rsidR="00AB34E3" w:rsidRPr="7DA95F48">
        <w:rPr>
          <w:rFonts w:eastAsia="Times New Roman"/>
          <w:lang w:val="fr-FR"/>
        </w:rPr>
        <w:t xml:space="preserve"> par le biais </w:t>
      </w:r>
      <w:r w:rsidR="003E38CD" w:rsidRPr="7DA95F48">
        <w:rPr>
          <w:rFonts w:eastAsia="Times New Roman"/>
          <w:lang w:val="fr-FR"/>
        </w:rPr>
        <w:t>de projet novateur</w:t>
      </w:r>
      <w:r w:rsidR="00716720" w:rsidRPr="7DA95F48">
        <w:rPr>
          <w:rFonts w:eastAsia="Times New Roman"/>
          <w:lang w:val="fr-FR"/>
        </w:rPr>
        <w:t xml:space="preserve">. </w:t>
      </w:r>
    </w:p>
    <w:p w14:paraId="23A08029" w14:textId="5CC1A2E6" w:rsidR="0AAE164E" w:rsidRDefault="665ADCDB" w:rsidP="35DE1300">
      <w:pPr>
        <w:jc w:val="both"/>
        <w:rPr>
          <w:lang w:val="fr-FR"/>
        </w:rPr>
      </w:pPr>
      <w:r w:rsidRPr="35DE1300">
        <w:rPr>
          <w:rFonts w:eastAsia="Times New Roman"/>
          <w:lang w:val="fr-FR"/>
        </w:rPr>
        <w:t xml:space="preserve">La compétition s’opèrera </w:t>
      </w:r>
      <w:r w:rsidR="005E27BD">
        <w:rPr>
          <w:rFonts w:eastAsia="Times New Roman"/>
          <w:lang w:val="fr-FR"/>
        </w:rPr>
        <w:t>en deux étapes.</w:t>
      </w:r>
      <w:r w:rsidRPr="35DE1300">
        <w:rPr>
          <w:rFonts w:eastAsia="Times New Roman"/>
          <w:lang w:val="fr-FR"/>
        </w:rPr>
        <w:t xml:space="preserve"> </w:t>
      </w:r>
      <w:r w:rsidR="276767AE" w:rsidRPr="35DE1300">
        <w:rPr>
          <w:rFonts w:eastAsia="Times New Roman"/>
          <w:lang w:val="fr-FR"/>
        </w:rPr>
        <w:t>A chacun</w:t>
      </w:r>
      <w:r w:rsidR="005E27BD">
        <w:rPr>
          <w:rFonts w:eastAsia="Times New Roman"/>
          <w:lang w:val="fr-FR"/>
        </w:rPr>
        <w:t>e</w:t>
      </w:r>
      <w:r w:rsidR="276767AE" w:rsidRPr="35DE1300">
        <w:rPr>
          <w:rFonts w:eastAsia="Times New Roman"/>
          <w:lang w:val="fr-FR"/>
        </w:rPr>
        <w:t xml:space="preserve"> de ces </w:t>
      </w:r>
      <w:r w:rsidR="005E27BD">
        <w:rPr>
          <w:rFonts w:eastAsia="Times New Roman"/>
          <w:lang w:val="fr-FR"/>
        </w:rPr>
        <w:t>étapes</w:t>
      </w:r>
      <w:r w:rsidR="276767AE" w:rsidRPr="35DE1300">
        <w:rPr>
          <w:rFonts w:eastAsia="Times New Roman"/>
          <w:lang w:val="fr-FR"/>
        </w:rPr>
        <w:t>, l</w:t>
      </w:r>
      <w:r w:rsidR="29E9B8E6" w:rsidRPr="35DE1300">
        <w:rPr>
          <w:rFonts w:eastAsia="Times New Roman"/>
          <w:lang w:val="fr-FR"/>
        </w:rPr>
        <w:t>a</w:t>
      </w:r>
      <w:r w:rsidR="0AAE164E" w:rsidRPr="35DE1300">
        <w:rPr>
          <w:rFonts w:eastAsia="Times New Roman"/>
          <w:lang w:val="fr-FR"/>
        </w:rPr>
        <w:t xml:space="preserve"> sélection des idées de projet sera </w:t>
      </w:r>
      <w:r w:rsidR="74D2569E" w:rsidRPr="35DE1300">
        <w:rPr>
          <w:rFonts w:eastAsia="Times New Roman"/>
          <w:lang w:val="fr-FR"/>
        </w:rPr>
        <w:t>effectuée</w:t>
      </w:r>
      <w:r w:rsidR="0AAE164E" w:rsidRPr="35DE1300">
        <w:rPr>
          <w:rFonts w:eastAsia="Times New Roman"/>
          <w:lang w:val="fr-FR"/>
        </w:rPr>
        <w:t xml:space="preserve"> par un comité d’évaluation composé majoritairement d’employés du PNUD, </w:t>
      </w:r>
      <w:r w:rsidR="29E9B8E6" w:rsidRPr="35DE1300">
        <w:rPr>
          <w:lang w:val="fr-FR"/>
        </w:rPr>
        <w:t>avec l’appui d’experts externe</w:t>
      </w:r>
      <w:r w:rsidR="00343A74" w:rsidRPr="35DE1300">
        <w:rPr>
          <w:lang w:val="fr-FR"/>
        </w:rPr>
        <w:t>s</w:t>
      </w:r>
      <w:r w:rsidR="29E9B8E6" w:rsidRPr="35DE1300">
        <w:rPr>
          <w:lang w:val="fr-FR"/>
        </w:rPr>
        <w:t xml:space="preserve"> ayant une expertise en matière d‘innovation ou </w:t>
      </w:r>
      <w:r w:rsidR="0AAE164E" w:rsidRPr="35DE1300">
        <w:rPr>
          <w:lang w:val="fr-FR"/>
        </w:rPr>
        <w:t xml:space="preserve">de </w:t>
      </w:r>
      <w:r w:rsidR="29E9B8E6" w:rsidRPr="35DE1300">
        <w:rPr>
          <w:lang w:val="fr-FR"/>
        </w:rPr>
        <w:t>genre.</w:t>
      </w:r>
      <w:r w:rsidR="0AAE164E" w:rsidRPr="35DE1300">
        <w:rPr>
          <w:lang w:val="fr-FR"/>
        </w:rPr>
        <w:t xml:space="preserve"> </w:t>
      </w:r>
    </w:p>
    <w:p w14:paraId="2D290EF7" w14:textId="79A7BDEB" w:rsidR="00024AB0" w:rsidRPr="00E60AF3" w:rsidRDefault="62EAD2F6" w:rsidP="00024AB0">
      <w:pPr>
        <w:jc w:val="both"/>
        <w:rPr>
          <w:rFonts w:ascii="Calibri" w:eastAsia="Calibri" w:hAnsi="Calibri" w:cs="Calibri"/>
          <w:lang w:val="fr-FR"/>
        </w:rPr>
      </w:pPr>
      <w:r w:rsidRPr="5CDB3164">
        <w:rPr>
          <w:lang w:val="fr-FR"/>
        </w:rPr>
        <w:t>Au terme de la compétition,</w:t>
      </w:r>
      <w:r w:rsidR="67DEA1C2" w:rsidRPr="2CFC03C3">
        <w:rPr>
          <w:lang w:val="fr-FR"/>
        </w:rPr>
        <w:t xml:space="preserve"> </w:t>
      </w:r>
      <w:r w:rsidR="088229B0" w:rsidRPr="034A74DE">
        <w:rPr>
          <w:lang w:val="fr-FR"/>
        </w:rPr>
        <w:t>quatre</w:t>
      </w:r>
      <w:r w:rsidR="67DEA1C2" w:rsidRPr="2CFC03C3">
        <w:rPr>
          <w:lang w:val="fr-FR"/>
        </w:rPr>
        <w:t xml:space="preserve"> </w:t>
      </w:r>
      <w:r w:rsidR="00400D08">
        <w:rPr>
          <w:lang w:val="fr-FR"/>
        </w:rPr>
        <w:t xml:space="preserve">idées de </w:t>
      </w:r>
      <w:r w:rsidR="00704B99" w:rsidRPr="2CFC03C3">
        <w:rPr>
          <w:lang w:val="fr-FR"/>
        </w:rPr>
        <w:t xml:space="preserve">projet </w:t>
      </w:r>
      <w:r w:rsidR="121A8EDD" w:rsidRPr="5CDB3164">
        <w:rPr>
          <w:lang w:val="fr-FR"/>
        </w:rPr>
        <w:t xml:space="preserve">seront </w:t>
      </w:r>
      <w:r w:rsidR="006B2B3C" w:rsidRPr="5CDB3164">
        <w:rPr>
          <w:lang w:val="fr-FR"/>
        </w:rPr>
        <w:t>sélectionnées</w:t>
      </w:r>
      <w:r w:rsidR="00A2314A" w:rsidRPr="2CFC03C3">
        <w:rPr>
          <w:lang w:val="fr-FR"/>
        </w:rPr>
        <w:t xml:space="preserve"> par le jury </w:t>
      </w:r>
      <w:r w:rsidR="34FBA39F" w:rsidRPr="5CDB3164">
        <w:rPr>
          <w:lang w:val="fr-FR"/>
        </w:rPr>
        <w:t xml:space="preserve">pour </w:t>
      </w:r>
      <w:r w:rsidR="00A2314A" w:rsidRPr="5CDB3164">
        <w:rPr>
          <w:lang w:val="fr-FR"/>
        </w:rPr>
        <w:t>bénéficie</w:t>
      </w:r>
      <w:r w:rsidR="5B905D4A" w:rsidRPr="5CDB3164">
        <w:rPr>
          <w:lang w:val="fr-FR"/>
        </w:rPr>
        <w:t>r</w:t>
      </w:r>
      <w:r w:rsidR="00A2314A" w:rsidRPr="2CFC03C3">
        <w:rPr>
          <w:lang w:val="fr-FR"/>
        </w:rPr>
        <w:t xml:space="preserve"> d’un prix</w:t>
      </w:r>
      <w:r w:rsidR="796B500C" w:rsidRPr="2CFC03C3">
        <w:rPr>
          <w:lang w:val="fr-FR"/>
        </w:rPr>
        <w:t xml:space="preserve"> d’un</w:t>
      </w:r>
      <w:r w:rsidR="00A2314A" w:rsidRPr="2CFC03C3">
        <w:rPr>
          <w:lang w:val="fr-FR"/>
        </w:rPr>
        <w:t xml:space="preserve"> montant </w:t>
      </w:r>
      <w:r w:rsidR="0093534C" w:rsidRPr="2CFC03C3">
        <w:rPr>
          <w:lang w:val="fr-FR"/>
        </w:rPr>
        <w:t xml:space="preserve">total </w:t>
      </w:r>
      <w:r w:rsidR="066FFF1C" w:rsidRPr="2CFC03C3">
        <w:rPr>
          <w:lang w:val="fr-FR"/>
        </w:rPr>
        <w:t>de</w:t>
      </w:r>
      <w:r w:rsidR="0093534C" w:rsidRPr="2CFC03C3">
        <w:rPr>
          <w:lang w:val="fr-FR"/>
        </w:rPr>
        <w:t xml:space="preserve"> </w:t>
      </w:r>
      <w:r w:rsidR="1C0AE066" w:rsidRPr="6D580193">
        <w:rPr>
          <w:b/>
          <w:bCs/>
          <w:lang w:val="fr-FR"/>
        </w:rPr>
        <w:t>20</w:t>
      </w:r>
      <w:r w:rsidR="3D214D8E" w:rsidRPr="00343A74">
        <w:rPr>
          <w:b/>
          <w:bCs/>
          <w:lang w:val="fr-FR"/>
        </w:rPr>
        <w:t xml:space="preserve"> </w:t>
      </w:r>
      <w:r w:rsidR="0093534C" w:rsidRPr="00343A74">
        <w:rPr>
          <w:b/>
          <w:bCs/>
          <w:lang w:val="fr-FR"/>
        </w:rPr>
        <w:t xml:space="preserve">000 </w:t>
      </w:r>
      <w:r w:rsidR="00343A74" w:rsidRPr="00343A74">
        <w:rPr>
          <w:b/>
          <w:bCs/>
          <w:lang w:val="fr-FR"/>
        </w:rPr>
        <w:t>TND</w:t>
      </w:r>
      <w:r w:rsidR="3F6FB7B8" w:rsidRPr="00343A74">
        <w:rPr>
          <w:b/>
          <w:bCs/>
          <w:lang w:val="fr-FR"/>
        </w:rPr>
        <w:t xml:space="preserve"> par </w:t>
      </w:r>
      <w:r w:rsidR="0006110B">
        <w:rPr>
          <w:b/>
          <w:bCs/>
          <w:lang w:val="fr-FR"/>
        </w:rPr>
        <w:t>porteur de projet</w:t>
      </w:r>
      <w:r w:rsidR="24F50D51" w:rsidRPr="1F581D0B">
        <w:rPr>
          <w:lang w:val="fr-FR"/>
        </w:rPr>
        <w:t xml:space="preserve">, qui </w:t>
      </w:r>
      <w:r w:rsidR="24F50D51" w:rsidRPr="70D2FB9C">
        <w:rPr>
          <w:lang w:val="fr-FR"/>
        </w:rPr>
        <w:t xml:space="preserve">sera </w:t>
      </w:r>
      <w:r w:rsidR="24F50D51" w:rsidRPr="10A220FF">
        <w:rPr>
          <w:lang w:val="fr-FR"/>
        </w:rPr>
        <w:t>dédié au</w:t>
      </w:r>
      <w:r w:rsidR="24F50D51" w:rsidRPr="10A220FF">
        <w:rPr>
          <w:rFonts w:ascii="Calibri" w:eastAsia="Calibri" w:hAnsi="Calibri" w:cs="Calibri"/>
          <w:lang w:val="fr-FR"/>
        </w:rPr>
        <w:t xml:space="preserve"> test, </w:t>
      </w:r>
      <w:r w:rsidR="00007887">
        <w:rPr>
          <w:rFonts w:ascii="Calibri" w:eastAsia="Calibri" w:hAnsi="Calibri" w:cs="Calibri"/>
          <w:lang w:val="fr-FR"/>
        </w:rPr>
        <w:t xml:space="preserve">au </w:t>
      </w:r>
      <w:r w:rsidR="24F50D51" w:rsidRPr="00E60AF3">
        <w:rPr>
          <w:rFonts w:ascii="Calibri" w:eastAsia="Calibri" w:hAnsi="Calibri" w:cs="Calibri"/>
          <w:lang w:val="fr-FR"/>
        </w:rPr>
        <w:t>développement et à la mise en œuvre de cette idée.</w:t>
      </w:r>
    </w:p>
    <w:p w14:paraId="531C15D5" w14:textId="2A150E91" w:rsidR="00EC64BC" w:rsidRPr="00E60AF3" w:rsidRDefault="00EC64BC" w:rsidP="00EC64BC">
      <w:pPr>
        <w:pStyle w:val="Heading1"/>
        <w:rPr>
          <w:lang w:val="fr-FR"/>
        </w:rPr>
      </w:pPr>
      <w:bookmarkStart w:id="6" w:name="_Toc55389036"/>
      <w:bookmarkStart w:id="7" w:name="_Toc58419035"/>
      <w:r w:rsidRPr="00E60AF3">
        <w:rPr>
          <w:lang w:val="fr-FR"/>
        </w:rPr>
        <w:t>I</w:t>
      </w:r>
      <w:r w:rsidR="00257B1E" w:rsidRPr="00E60AF3">
        <w:rPr>
          <w:lang w:val="fr-FR"/>
        </w:rPr>
        <w:t>V</w:t>
      </w:r>
      <w:r w:rsidR="00C75A65" w:rsidRPr="00E60AF3">
        <w:rPr>
          <w:lang w:val="fr-FR"/>
        </w:rPr>
        <w:t>-</w:t>
      </w:r>
      <w:r w:rsidRPr="00E60AF3">
        <w:rPr>
          <w:lang w:val="fr-FR"/>
        </w:rPr>
        <w:t xml:space="preserve"> Objectif</w:t>
      </w:r>
      <w:bookmarkEnd w:id="6"/>
      <w:bookmarkEnd w:id="7"/>
    </w:p>
    <w:p w14:paraId="020750B6" w14:textId="77777777" w:rsidR="00E60AF3" w:rsidRPr="00E60AF3" w:rsidRDefault="00E60AF3" w:rsidP="00E60AF3">
      <w:pPr>
        <w:spacing w:line="240" w:lineRule="auto"/>
        <w:jc w:val="both"/>
        <w:rPr>
          <w:lang w:val="fr-FR"/>
        </w:rPr>
      </w:pPr>
      <w:bookmarkStart w:id="8" w:name="_Toc55389037"/>
      <w:r w:rsidRPr="00E60AF3">
        <w:rPr>
          <w:lang w:val="fr-FR"/>
        </w:rPr>
        <w:t xml:space="preserve">L’objectif de cette compétition d’innovation est de solliciter, tester et accompagner </w:t>
      </w:r>
      <w:r w:rsidRPr="00007887">
        <w:rPr>
          <w:b/>
          <w:bCs/>
          <w:lang w:val="fr-FR"/>
        </w:rPr>
        <w:t>des idées de projets novateurs de signalement des inégalités basées sur le genre et les orientations sexuelles en Tunisie</w:t>
      </w:r>
      <w:r w:rsidRPr="00E60AF3">
        <w:rPr>
          <w:lang w:val="fr-FR"/>
        </w:rPr>
        <w:t xml:space="preserve">. L’idée est de donner sa chance à des jeunes, en groupe ou seul, pour qu’ils présentent une idée de projet visant à instituer un mécanisme de signalement, à mettre en lumière, voir même à dénoncer les inégalités de genre et celles basées sur les orientations sexuelles en Tunisie. </w:t>
      </w:r>
    </w:p>
    <w:p w14:paraId="24B5BDE7" w14:textId="0E1FE81F" w:rsidR="006E4322" w:rsidRPr="00E60AF3" w:rsidRDefault="00A76171" w:rsidP="006E4322">
      <w:pPr>
        <w:pStyle w:val="Heading1"/>
        <w:rPr>
          <w:lang w:val="fr-FR"/>
        </w:rPr>
      </w:pPr>
      <w:bookmarkStart w:id="9" w:name="_Toc58419036"/>
      <w:r w:rsidRPr="00E60AF3">
        <w:rPr>
          <w:lang w:val="fr-FR"/>
        </w:rPr>
        <w:t>V</w:t>
      </w:r>
      <w:r w:rsidR="00937043" w:rsidRPr="00E60AF3">
        <w:rPr>
          <w:lang w:val="fr-FR"/>
        </w:rPr>
        <w:t>-</w:t>
      </w:r>
      <w:r w:rsidR="006E4322" w:rsidRPr="00E60AF3">
        <w:rPr>
          <w:lang w:val="fr-FR"/>
        </w:rPr>
        <w:t xml:space="preserve"> Public cible</w:t>
      </w:r>
      <w:bookmarkEnd w:id="8"/>
      <w:bookmarkEnd w:id="9"/>
    </w:p>
    <w:p w14:paraId="6822F027" w14:textId="693B1F51" w:rsidR="006E4322" w:rsidRDefault="00B822C6" w:rsidP="3D4A64DE">
      <w:pPr>
        <w:jc w:val="both"/>
        <w:rPr>
          <w:lang w:val="fr-FR"/>
        </w:rPr>
      </w:pPr>
      <w:r w:rsidRPr="00E60AF3">
        <w:rPr>
          <w:lang w:val="fr-FR"/>
        </w:rPr>
        <w:t xml:space="preserve">La </w:t>
      </w:r>
      <w:r w:rsidR="420D0E5C" w:rsidRPr="00E60AF3">
        <w:rPr>
          <w:lang w:val="fr-FR"/>
        </w:rPr>
        <w:t xml:space="preserve">participation à la </w:t>
      </w:r>
      <w:r w:rsidRPr="00E60AF3">
        <w:rPr>
          <w:lang w:val="fr-FR"/>
        </w:rPr>
        <w:t xml:space="preserve">compétition d’innovation est à </w:t>
      </w:r>
      <w:r w:rsidR="611A5570" w:rsidRPr="00E60AF3">
        <w:rPr>
          <w:lang w:val="fr-FR"/>
        </w:rPr>
        <w:t>ouverte</w:t>
      </w:r>
      <w:r w:rsidR="15381452" w:rsidRPr="00E60AF3">
        <w:rPr>
          <w:lang w:val="fr-FR"/>
        </w:rPr>
        <w:t xml:space="preserve"> </w:t>
      </w:r>
      <w:r w:rsidR="15938813" w:rsidRPr="000D66C3">
        <w:rPr>
          <w:b/>
          <w:bCs/>
          <w:lang w:val="fr-FR"/>
        </w:rPr>
        <w:t>tous les jeunes</w:t>
      </w:r>
      <w:r w:rsidR="4873A4C0" w:rsidRPr="000D66C3">
        <w:rPr>
          <w:b/>
          <w:bCs/>
          <w:lang w:val="fr-FR"/>
        </w:rPr>
        <w:t xml:space="preserve"> </w:t>
      </w:r>
      <w:r w:rsidR="00C02C29">
        <w:rPr>
          <w:b/>
          <w:bCs/>
          <w:lang w:val="fr-FR"/>
        </w:rPr>
        <w:t xml:space="preserve">hommes et femmes </w:t>
      </w:r>
      <w:r w:rsidR="4873A4C0" w:rsidRPr="000D66C3">
        <w:rPr>
          <w:b/>
          <w:bCs/>
          <w:lang w:val="fr-FR"/>
        </w:rPr>
        <w:t>âgé</w:t>
      </w:r>
      <w:r w:rsidR="5C43E5F2" w:rsidRPr="000D66C3">
        <w:rPr>
          <w:b/>
          <w:bCs/>
          <w:lang w:val="fr-FR"/>
        </w:rPr>
        <w:t>s</w:t>
      </w:r>
      <w:r w:rsidR="4873A4C0" w:rsidRPr="000D66C3">
        <w:rPr>
          <w:b/>
          <w:bCs/>
          <w:lang w:val="fr-FR"/>
        </w:rPr>
        <w:t xml:space="preserve"> de 18 à 30 ans</w:t>
      </w:r>
      <w:r w:rsidR="6F039669" w:rsidRPr="00E60AF3">
        <w:rPr>
          <w:lang w:val="fr-FR"/>
        </w:rPr>
        <w:t xml:space="preserve"> </w:t>
      </w:r>
      <w:r w:rsidR="7A89CD76" w:rsidRPr="00E60AF3">
        <w:rPr>
          <w:lang w:val="fr-FR"/>
        </w:rPr>
        <w:t>résidant en Tunisie</w:t>
      </w:r>
      <w:r w:rsidR="6F039669" w:rsidRPr="00E60AF3">
        <w:rPr>
          <w:lang w:val="fr-FR"/>
        </w:rPr>
        <w:t xml:space="preserve"> et souhaitant porter une idée</w:t>
      </w:r>
      <w:r w:rsidR="6F039669" w:rsidRPr="3D4A64DE">
        <w:rPr>
          <w:lang w:val="fr-FR"/>
        </w:rPr>
        <w:t xml:space="preserve"> de projet de signalement des inégalités de genre</w:t>
      </w:r>
      <w:r w:rsidR="00E60AF3">
        <w:rPr>
          <w:lang w:val="fr-FR"/>
        </w:rPr>
        <w:t xml:space="preserve"> et celles basées sur les orientations sexuelles en Tunisie.</w:t>
      </w:r>
    </w:p>
    <w:p w14:paraId="34CF86E8" w14:textId="3F9B3743" w:rsidR="006E4322" w:rsidRDefault="00117CC0" w:rsidP="00A063DD">
      <w:pPr>
        <w:jc w:val="both"/>
        <w:rPr>
          <w:lang w:val="fr-FR"/>
        </w:rPr>
      </w:pPr>
      <w:r w:rsidRPr="32AFBFA5">
        <w:rPr>
          <w:lang w:val="fr-FR"/>
        </w:rPr>
        <w:t xml:space="preserve">Les candidats souhaitant postuler peuvent se présenter de </w:t>
      </w:r>
      <w:r w:rsidR="00A063DD" w:rsidRPr="000D66C3">
        <w:rPr>
          <w:b/>
          <w:bCs/>
          <w:lang w:val="fr-FR"/>
        </w:rPr>
        <w:t>façon individuelle</w:t>
      </w:r>
      <w:r w:rsidR="00E60AF3" w:rsidRPr="000D66C3">
        <w:rPr>
          <w:b/>
          <w:bCs/>
          <w:lang w:val="fr-FR"/>
        </w:rPr>
        <w:t xml:space="preserve"> ou collective</w:t>
      </w:r>
      <w:r w:rsidRPr="32AFBFA5">
        <w:rPr>
          <w:lang w:val="fr-FR"/>
        </w:rPr>
        <w:t>, en qualité de personne physique</w:t>
      </w:r>
      <w:r w:rsidR="00276A81" w:rsidRPr="32AFBFA5">
        <w:rPr>
          <w:lang w:val="fr-FR"/>
        </w:rPr>
        <w:t>,</w:t>
      </w:r>
      <w:r w:rsidRPr="32AFBFA5">
        <w:rPr>
          <w:lang w:val="fr-FR"/>
        </w:rPr>
        <w:t xml:space="preserve"> ou par le biais </w:t>
      </w:r>
      <w:r w:rsidRPr="000D66C3">
        <w:rPr>
          <w:b/>
          <w:bCs/>
          <w:lang w:val="fr-FR"/>
        </w:rPr>
        <w:t>d’</w:t>
      </w:r>
      <w:r w:rsidR="00EB292B" w:rsidRPr="000D66C3">
        <w:rPr>
          <w:b/>
          <w:bCs/>
          <w:lang w:val="fr-FR"/>
        </w:rPr>
        <w:t>entités légales</w:t>
      </w:r>
      <w:r w:rsidRPr="32AFBFA5">
        <w:rPr>
          <w:lang w:val="fr-FR"/>
        </w:rPr>
        <w:t xml:space="preserve"> </w:t>
      </w:r>
      <w:r w:rsidR="00A063DD" w:rsidRPr="32AFBFA5">
        <w:rPr>
          <w:lang w:val="fr-FR"/>
        </w:rPr>
        <w:t>(</w:t>
      </w:r>
      <w:r w:rsidR="00EB292B" w:rsidRPr="32AFBFA5">
        <w:rPr>
          <w:lang w:val="fr-FR"/>
        </w:rPr>
        <w:t xml:space="preserve">entreprises, ONG, </w:t>
      </w:r>
      <w:r w:rsidRPr="32AFBFA5">
        <w:rPr>
          <w:lang w:val="fr-FR"/>
        </w:rPr>
        <w:t>association</w:t>
      </w:r>
      <w:r w:rsidR="00E51611" w:rsidRPr="32AFBFA5">
        <w:rPr>
          <w:lang w:val="fr-FR"/>
        </w:rPr>
        <w:t>s</w:t>
      </w:r>
      <w:r w:rsidR="00687F2C">
        <w:rPr>
          <w:lang w:val="fr-FR"/>
        </w:rPr>
        <w:t xml:space="preserve"> </w:t>
      </w:r>
      <w:r w:rsidR="00A063DD" w:rsidRPr="32AFBFA5">
        <w:rPr>
          <w:lang w:val="fr-FR"/>
        </w:rPr>
        <w:t>…)</w:t>
      </w:r>
      <w:r w:rsidR="61AEBAA5" w:rsidRPr="32AFBFA5">
        <w:rPr>
          <w:lang w:val="fr-FR"/>
        </w:rPr>
        <w:t xml:space="preserve">. </w:t>
      </w:r>
    </w:p>
    <w:p w14:paraId="3F32C94C" w14:textId="7918AB13" w:rsidR="006E4322" w:rsidRDefault="00A91B5C" w:rsidP="00A91B5C">
      <w:pPr>
        <w:pStyle w:val="Heading1"/>
        <w:rPr>
          <w:lang w:val="fr-FR"/>
        </w:rPr>
      </w:pPr>
      <w:bookmarkStart w:id="10" w:name="_Toc55389038"/>
      <w:bookmarkStart w:id="11" w:name="_Toc58419037"/>
      <w:r w:rsidRPr="3D4A64DE">
        <w:rPr>
          <w:lang w:val="fr-FR"/>
        </w:rPr>
        <w:lastRenderedPageBreak/>
        <w:t>V</w:t>
      </w:r>
      <w:r w:rsidR="00257B1E" w:rsidRPr="3D4A64DE">
        <w:rPr>
          <w:lang w:val="fr-FR"/>
        </w:rPr>
        <w:t>I</w:t>
      </w:r>
      <w:r w:rsidR="00937043" w:rsidRPr="3D4A64DE">
        <w:rPr>
          <w:lang w:val="fr-FR"/>
        </w:rPr>
        <w:t>-</w:t>
      </w:r>
      <w:r w:rsidRPr="3D4A64DE">
        <w:rPr>
          <w:lang w:val="fr-FR"/>
        </w:rPr>
        <w:t xml:space="preserve"> </w:t>
      </w:r>
      <w:r w:rsidR="0061470D" w:rsidRPr="3D4A64DE">
        <w:rPr>
          <w:lang w:val="fr-FR"/>
        </w:rPr>
        <w:t>T</w:t>
      </w:r>
      <w:r w:rsidRPr="3D4A64DE">
        <w:rPr>
          <w:lang w:val="fr-FR"/>
        </w:rPr>
        <w:t>ype de projet</w:t>
      </w:r>
      <w:r w:rsidR="00F506B4" w:rsidRPr="3D4A64DE">
        <w:rPr>
          <w:lang w:val="fr-FR"/>
        </w:rPr>
        <w:t>s</w:t>
      </w:r>
      <w:r w:rsidR="0021374A" w:rsidRPr="3D4A64DE">
        <w:rPr>
          <w:lang w:val="fr-FR"/>
        </w:rPr>
        <w:t xml:space="preserve"> </w:t>
      </w:r>
      <w:r w:rsidR="007A0C23" w:rsidRPr="3D4A64DE">
        <w:rPr>
          <w:lang w:val="fr-FR"/>
        </w:rPr>
        <w:t>souhaités</w:t>
      </w:r>
      <w:bookmarkEnd w:id="11"/>
      <w:r w:rsidRPr="3D4A64DE">
        <w:rPr>
          <w:lang w:val="fr-FR"/>
        </w:rPr>
        <w:t xml:space="preserve"> </w:t>
      </w:r>
      <w:bookmarkEnd w:id="10"/>
    </w:p>
    <w:p w14:paraId="1E78AF7C" w14:textId="66C1A053" w:rsidR="0026696D" w:rsidRDefault="27152F0A" w:rsidP="3D4A64DE">
      <w:pPr>
        <w:spacing w:line="240" w:lineRule="auto"/>
        <w:jc w:val="both"/>
        <w:rPr>
          <w:rFonts w:eastAsia="Times New Roman"/>
          <w:lang w:val="fr-FR"/>
        </w:rPr>
      </w:pPr>
      <w:bookmarkStart w:id="12" w:name="_Toc55389039"/>
      <w:r w:rsidRPr="35DE1300">
        <w:rPr>
          <w:rFonts w:ascii="Calibri" w:eastAsia="Calibri" w:hAnsi="Calibri" w:cs="Calibri"/>
          <w:lang w:val="fr-FR"/>
        </w:rPr>
        <w:t xml:space="preserve">Il est attendu que les participants à la compétition d’innovation proposent des idées novatrices </w:t>
      </w:r>
      <w:r w:rsidR="23E90065" w:rsidRPr="35DE1300">
        <w:rPr>
          <w:rFonts w:ascii="Calibri" w:eastAsia="Calibri" w:hAnsi="Calibri" w:cs="Calibri"/>
          <w:lang w:val="fr-FR"/>
        </w:rPr>
        <w:t>de projets de</w:t>
      </w:r>
      <w:r w:rsidRPr="35DE1300">
        <w:rPr>
          <w:rFonts w:eastAsia="Times New Roman"/>
          <w:lang w:val="fr-FR"/>
        </w:rPr>
        <w:t xml:space="preserve"> signalement des inégalités de genre et/ou celles basées sur les orientations sexuelles</w:t>
      </w:r>
      <w:r w:rsidR="5A4D014E" w:rsidRPr="35DE1300">
        <w:rPr>
          <w:rFonts w:eastAsia="Times New Roman"/>
          <w:lang w:val="fr-FR"/>
        </w:rPr>
        <w:t xml:space="preserve">, dont la durée de mise </w:t>
      </w:r>
      <w:r w:rsidR="6FFA39DD" w:rsidRPr="35DE1300">
        <w:rPr>
          <w:rFonts w:eastAsia="Times New Roman"/>
          <w:lang w:val="fr-FR"/>
        </w:rPr>
        <w:t>en</w:t>
      </w:r>
      <w:r w:rsidR="5A4D014E" w:rsidRPr="35DE1300">
        <w:rPr>
          <w:rFonts w:eastAsia="Times New Roman"/>
          <w:lang w:val="fr-FR"/>
        </w:rPr>
        <w:t xml:space="preserve"> œuvre ne doit pas excéder</w:t>
      </w:r>
      <w:r w:rsidR="1690ACBA" w:rsidRPr="35DE1300">
        <w:rPr>
          <w:rFonts w:eastAsia="Times New Roman"/>
          <w:lang w:val="fr-FR"/>
        </w:rPr>
        <w:t xml:space="preserve"> </w:t>
      </w:r>
      <w:r w:rsidR="00C05A5A">
        <w:rPr>
          <w:rFonts w:eastAsia="Times New Roman"/>
          <w:lang w:val="fr-FR"/>
        </w:rPr>
        <w:t>3</w:t>
      </w:r>
      <w:r w:rsidR="1690ACBA" w:rsidRPr="35DE1300">
        <w:rPr>
          <w:rFonts w:eastAsia="Times New Roman"/>
          <w:lang w:val="fr-FR"/>
        </w:rPr>
        <w:t xml:space="preserve"> mois. </w:t>
      </w:r>
    </w:p>
    <w:p w14:paraId="78DF5D02" w14:textId="502D8532" w:rsidR="268386F4" w:rsidRDefault="268386F4" w:rsidP="2CFC03C3">
      <w:pPr>
        <w:spacing w:line="240" w:lineRule="auto"/>
        <w:jc w:val="both"/>
        <w:rPr>
          <w:rFonts w:eastAsia="Times New Roman"/>
          <w:lang w:val="fr-FR"/>
        </w:rPr>
      </w:pPr>
      <w:r w:rsidRPr="2CFC03C3">
        <w:rPr>
          <w:rFonts w:ascii="Calibri" w:eastAsia="Calibri" w:hAnsi="Calibri" w:cs="Calibri"/>
          <w:color w:val="000000" w:themeColor="text1"/>
          <w:lang w:val="fr-FR"/>
        </w:rPr>
        <w:t xml:space="preserve">Par </w:t>
      </w:r>
      <w:r w:rsidRPr="2CFC03C3">
        <w:rPr>
          <w:rFonts w:ascii="Calibri" w:eastAsia="Calibri" w:hAnsi="Calibri" w:cs="Calibri"/>
          <w:b/>
          <w:bCs/>
          <w:color w:val="000000" w:themeColor="text1"/>
          <w:lang w:val="fr-FR"/>
        </w:rPr>
        <w:t>« innovation »,</w:t>
      </w:r>
      <w:r w:rsidRPr="2CFC03C3">
        <w:rPr>
          <w:rFonts w:ascii="Calibri" w:eastAsia="Calibri" w:hAnsi="Calibri" w:cs="Calibri"/>
          <w:color w:val="000000" w:themeColor="text1"/>
          <w:lang w:val="fr-FR"/>
        </w:rPr>
        <w:t xml:space="preserve"> on entend : </w:t>
      </w:r>
      <w:r w:rsidRPr="2CFC03C3">
        <w:rPr>
          <w:rFonts w:ascii="Calibri" w:eastAsia="Calibri" w:hAnsi="Calibri" w:cs="Calibri"/>
          <w:b/>
          <w:bCs/>
          <w:color w:val="000000" w:themeColor="text1"/>
          <w:lang w:val="fr-FR"/>
        </w:rPr>
        <w:t>la production, la création d’un nouveau produit, service ou procédé</w:t>
      </w:r>
      <w:r w:rsidRPr="2CFC03C3">
        <w:rPr>
          <w:rFonts w:ascii="Calibri" w:eastAsia="Calibri" w:hAnsi="Calibri" w:cs="Calibri"/>
          <w:color w:val="000000" w:themeColor="text1"/>
          <w:lang w:val="fr-FR"/>
        </w:rPr>
        <w:t xml:space="preserve"> permettant d’apporter de</w:t>
      </w:r>
      <w:r w:rsidRPr="2CFC03C3">
        <w:rPr>
          <w:rFonts w:ascii="Calibri" w:eastAsia="Calibri" w:hAnsi="Calibri" w:cs="Calibri"/>
          <w:b/>
          <w:bCs/>
          <w:color w:val="000000" w:themeColor="text1"/>
          <w:lang w:val="fr-FR"/>
        </w:rPr>
        <w:t xml:space="preserve"> nouvelles réponses ou façons de répondre à des besoins non ou mal satisfaits </w:t>
      </w:r>
      <w:r w:rsidRPr="2CFC03C3">
        <w:rPr>
          <w:rFonts w:ascii="Calibri" w:eastAsia="Calibri" w:hAnsi="Calibri" w:cs="Calibri"/>
          <w:color w:val="000000" w:themeColor="text1"/>
          <w:lang w:val="fr-FR"/>
        </w:rPr>
        <w:t xml:space="preserve">; le caractère novateur passe aussi par le fait de </w:t>
      </w:r>
      <w:r w:rsidRPr="2CFC03C3">
        <w:rPr>
          <w:rFonts w:ascii="Calibri" w:eastAsia="Calibri" w:hAnsi="Calibri" w:cs="Calibri"/>
          <w:b/>
          <w:bCs/>
          <w:color w:val="000000" w:themeColor="text1"/>
          <w:lang w:val="fr-FR"/>
        </w:rPr>
        <w:t>mettre en lumière des défis et des problématiques jusque-là non explorées dans un contexte donné</w:t>
      </w:r>
      <w:r w:rsidRPr="2CFC03C3">
        <w:rPr>
          <w:rFonts w:ascii="Calibri" w:eastAsia="Calibri" w:hAnsi="Calibri" w:cs="Calibri"/>
          <w:color w:val="000000" w:themeColor="text1"/>
          <w:lang w:val="fr-FR"/>
        </w:rPr>
        <w:t>. Le but de cette compétition est donc avant tout de pousser à la créativité et de sortir du champ institutionnel pour élaborer des idées de projets répondant à des défis concrets et locaux, d’une façon qui soit participative et qui réponde directement aux besoins des personnes concernées.</w:t>
      </w:r>
      <w:r w:rsidR="758C2AE6" w:rsidRPr="7DA95F48">
        <w:rPr>
          <w:rFonts w:ascii="Calibri" w:eastAsia="Calibri" w:hAnsi="Calibri" w:cs="Calibri"/>
          <w:color w:val="000000" w:themeColor="text1"/>
          <w:lang w:val="fr-FR"/>
        </w:rPr>
        <w:t xml:space="preserve"> </w:t>
      </w:r>
      <w:r w:rsidR="758C2AE6" w:rsidRPr="7DA95F48">
        <w:rPr>
          <w:rFonts w:eastAsia="Times New Roman"/>
          <w:lang w:val="fr-FR"/>
        </w:rPr>
        <w:t>Ce que l’on entend par projet novateur ne doit par ailleurs pas être interprété de façon restrictive comme uniquement technologique, mais de façon plus large comme la mise en place de nouveaux outils de signalement et de mise en lumière de ces inégalités.</w:t>
      </w:r>
    </w:p>
    <w:p w14:paraId="00351450" w14:textId="7C4877BF" w:rsidR="0026696D" w:rsidRDefault="387A4953" w:rsidP="3D4A64DE">
      <w:pPr>
        <w:spacing w:line="240" w:lineRule="auto"/>
        <w:jc w:val="both"/>
        <w:rPr>
          <w:rFonts w:ascii="Calibri" w:eastAsia="Calibri" w:hAnsi="Calibri" w:cs="Calibri"/>
          <w:lang w:val="fr-FR"/>
        </w:rPr>
      </w:pPr>
      <w:r w:rsidRPr="2CFC03C3">
        <w:rPr>
          <w:rFonts w:ascii="Calibri" w:eastAsia="Calibri" w:hAnsi="Calibri" w:cs="Calibri"/>
          <w:lang w:val="fr-FR"/>
        </w:rPr>
        <w:t>Par « </w:t>
      </w:r>
      <w:r w:rsidRPr="2CFC03C3">
        <w:rPr>
          <w:rFonts w:ascii="Calibri" w:eastAsia="Calibri" w:hAnsi="Calibri" w:cs="Calibri"/>
          <w:b/>
          <w:bCs/>
          <w:lang w:val="fr-FR"/>
        </w:rPr>
        <w:t>signalement </w:t>
      </w:r>
      <w:r w:rsidRPr="2CFC03C3">
        <w:rPr>
          <w:rFonts w:ascii="Calibri" w:eastAsia="Calibri" w:hAnsi="Calibri" w:cs="Calibri"/>
          <w:lang w:val="fr-FR"/>
        </w:rPr>
        <w:t xml:space="preserve">», on entend aussi bien : le fait </w:t>
      </w:r>
      <w:r w:rsidRPr="2CFC03C3">
        <w:rPr>
          <w:rFonts w:ascii="Calibri" w:eastAsia="Calibri" w:hAnsi="Calibri" w:cs="Calibri"/>
          <w:b/>
          <w:bCs/>
          <w:lang w:val="fr-FR"/>
        </w:rPr>
        <w:t>d’annoncer ou d’avertir sur un phénomène donné</w:t>
      </w:r>
      <w:r w:rsidRPr="2CFC03C3">
        <w:rPr>
          <w:rFonts w:ascii="Calibri" w:eastAsia="Calibri" w:hAnsi="Calibri" w:cs="Calibri"/>
          <w:lang w:val="fr-FR"/>
        </w:rPr>
        <w:t xml:space="preserve"> en le faisant connaître par un signe, un signal ou un moyen quelconque ; que le fait de </w:t>
      </w:r>
      <w:r w:rsidRPr="2CFC03C3">
        <w:rPr>
          <w:rFonts w:ascii="Calibri" w:eastAsia="Calibri" w:hAnsi="Calibri" w:cs="Calibri"/>
          <w:b/>
          <w:bCs/>
          <w:lang w:val="fr-FR"/>
        </w:rPr>
        <w:t>faire connaître, de faire remarquer ce phénomène en attirant l’attention</w:t>
      </w:r>
      <w:r w:rsidRPr="2CFC03C3">
        <w:rPr>
          <w:rFonts w:ascii="Calibri" w:eastAsia="Calibri" w:hAnsi="Calibri" w:cs="Calibri"/>
          <w:lang w:val="fr-FR"/>
        </w:rPr>
        <w:t xml:space="preserve"> vers celui-ci. </w:t>
      </w:r>
    </w:p>
    <w:p w14:paraId="6A0FC51E" w14:textId="27A92BAC" w:rsidR="0026696D" w:rsidRDefault="387A4953" w:rsidP="3D4A64DE">
      <w:pPr>
        <w:spacing w:line="240" w:lineRule="auto"/>
        <w:jc w:val="both"/>
        <w:rPr>
          <w:rFonts w:ascii="Calibri" w:eastAsia="Calibri" w:hAnsi="Calibri" w:cs="Calibri"/>
          <w:u w:val="single"/>
          <w:lang w:val="fr-FR"/>
        </w:rPr>
      </w:pPr>
      <w:r w:rsidRPr="32AFBFA5">
        <w:rPr>
          <w:rFonts w:ascii="Calibri" w:eastAsia="Calibri" w:hAnsi="Calibri" w:cs="Calibri"/>
          <w:u w:val="single"/>
          <w:lang w:val="fr-FR"/>
        </w:rPr>
        <w:t xml:space="preserve">Ainsi, les idées </w:t>
      </w:r>
      <w:r w:rsidR="5CF411DA" w:rsidRPr="32AFBFA5">
        <w:rPr>
          <w:rFonts w:ascii="Calibri" w:eastAsia="Calibri" w:hAnsi="Calibri" w:cs="Calibri"/>
          <w:u w:val="single"/>
          <w:lang w:val="fr-FR"/>
        </w:rPr>
        <w:t xml:space="preserve">de </w:t>
      </w:r>
      <w:r w:rsidRPr="32AFBFA5">
        <w:rPr>
          <w:rFonts w:ascii="Calibri" w:eastAsia="Calibri" w:hAnsi="Calibri" w:cs="Calibri"/>
          <w:u w:val="single"/>
          <w:lang w:val="fr-FR"/>
        </w:rPr>
        <w:t xml:space="preserve">projets doivent nécessairement poursuivre l’un des </w:t>
      </w:r>
      <w:r w:rsidR="00CE60BE">
        <w:rPr>
          <w:rFonts w:ascii="Calibri" w:eastAsia="Calibri" w:hAnsi="Calibri" w:cs="Calibri"/>
          <w:u w:val="single"/>
          <w:lang w:val="fr-FR"/>
        </w:rPr>
        <w:t>quatre</w:t>
      </w:r>
      <w:r w:rsidRPr="32AFBFA5">
        <w:rPr>
          <w:rFonts w:ascii="Calibri" w:eastAsia="Calibri" w:hAnsi="Calibri" w:cs="Calibri"/>
          <w:u w:val="single"/>
          <w:lang w:val="fr-FR"/>
        </w:rPr>
        <w:t xml:space="preserve"> objectifs suivants : </w:t>
      </w:r>
    </w:p>
    <w:p w14:paraId="02A85656" w14:textId="77777777" w:rsidR="007B70BE" w:rsidRPr="00E46F00" w:rsidRDefault="007B70BE" w:rsidP="007B70BE">
      <w:pPr>
        <w:pStyle w:val="ListParagraph"/>
        <w:numPr>
          <w:ilvl w:val="0"/>
          <w:numId w:val="12"/>
        </w:numPr>
        <w:spacing w:after="200" w:line="240" w:lineRule="auto"/>
        <w:jc w:val="both"/>
        <w:rPr>
          <w:rFonts w:eastAsiaTheme="minorEastAsia"/>
          <w:u w:val="single"/>
          <w:lang w:val="fr-FR"/>
        </w:rPr>
      </w:pPr>
      <w:r w:rsidRPr="4A33DAC8">
        <w:rPr>
          <w:rFonts w:eastAsiaTheme="minorEastAsia"/>
          <w:lang w:val="fr-FR"/>
        </w:rPr>
        <w:t xml:space="preserve">Développer des mécanismes, dispositifs ou cellules de signalement des situations d’inégalité et de discrimination basées sur le genre et/ou les orientations sexuelles ; </w:t>
      </w:r>
    </w:p>
    <w:p w14:paraId="0F04D013" w14:textId="2F407452" w:rsidR="007B70BE" w:rsidRPr="00743930" w:rsidRDefault="007B70BE" w:rsidP="007B70BE">
      <w:pPr>
        <w:pStyle w:val="ListParagraph"/>
        <w:numPr>
          <w:ilvl w:val="1"/>
          <w:numId w:val="12"/>
        </w:numPr>
        <w:spacing w:after="200" w:line="240" w:lineRule="auto"/>
        <w:jc w:val="both"/>
        <w:rPr>
          <w:rFonts w:eastAsiaTheme="minorEastAsia"/>
          <w:i/>
          <w:iCs/>
          <w:lang w:val="fr-FR"/>
        </w:rPr>
      </w:pPr>
      <w:r w:rsidRPr="00743930">
        <w:rPr>
          <w:rFonts w:eastAsiaTheme="minorEastAsia"/>
          <w:i/>
          <w:iCs/>
          <w:lang w:val="fr-FR"/>
        </w:rPr>
        <w:t xml:space="preserve">Par exemple, mettre en place une cellule de signalement au sein d’une université, ou encore </w:t>
      </w:r>
      <w:r w:rsidR="005E27BD">
        <w:rPr>
          <w:rFonts w:eastAsiaTheme="minorEastAsia"/>
          <w:i/>
          <w:iCs/>
          <w:lang w:val="fr-FR"/>
        </w:rPr>
        <w:t>créer</w:t>
      </w:r>
      <w:r w:rsidRPr="00743930">
        <w:rPr>
          <w:rFonts w:eastAsiaTheme="minorEastAsia"/>
          <w:i/>
          <w:iCs/>
          <w:lang w:val="fr-FR"/>
        </w:rPr>
        <w:t xml:space="preserve"> une plateforme ou application de signalement en ligne. </w:t>
      </w:r>
    </w:p>
    <w:p w14:paraId="46AF3089" w14:textId="77777777" w:rsidR="007B70BE" w:rsidRDefault="007B70BE" w:rsidP="007B70BE">
      <w:pPr>
        <w:pStyle w:val="ListParagraph"/>
        <w:numPr>
          <w:ilvl w:val="0"/>
          <w:numId w:val="12"/>
        </w:numPr>
        <w:spacing w:after="200" w:line="240" w:lineRule="auto"/>
        <w:jc w:val="both"/>
        <w:rPr>
          <w:rFonts w:eastAsiaTheme="minorEastAsia"/>
          <w:lang w:val="fr-FR"/>
        </w:rPr>
      </w:pPr>
      <w:r w:rsidRPr="4A33DAC8">
        <w:rPr>
          <w:rFonts w:eastAsiaTheme="minorEastAsia"/>
          <w:lang w:val="fr"/>
        </w:rPr>
        <w:t xml:space="preserve">Améliorer </w:t>
      </w:r>
      <w:r w:rsidRPr="3681FC1E">
        <w:rPr>
          <w:rFonts w:eastAsiaTheme="minorEastAsia"/>
          <w:lang w:val="fr"/>
        </w:rPr>
        <w:t xml:space="preserve">les connaissances sur et l’accès </w:t>
      </w:r>
      <w:r w:rsidRPr="0841FFF3">
        <w:rPr>
          <w:rFonts w:eastAsiaTheme="minorEastAsia"/>
          <w:lang w:val="fr"/>
        </w:rPr>
        <w:t>des populations</w:t>
      </w:r>
      <w:r w:rsidRPr="4A33DAC8">
        <w:rPr>
          <w:rFonts w:eastAsiaTheme="minorEastAsia"/>
          <w:lang w:val="fr"/>
        </w:rPr>
        <w:t xml:space="preserve"> aux mécanismes, dispositifs ou cellules de signalement préexistants des situations d’inégalités et de discriminations </w:t>
      </w:r>
      <w:r w:rsidRPr="318D84EA">
        <w:rPr>
          <w:rFonts w:eastAsiaTheme="minorEastAsia"/>
          <w:lang w:val="fr"/>
        </w:rPr>
        <w:t>basées</w:t>
      </w:r>
      <w:r w:rsidRPr="4A33DAC8">
        <w:rPr>
          <w:rFonts w:eastAsiaTheme="minorEastAsia"/>
          <w:lang w:val="fr"/>
        </w:rPr>
        <w:t xml:space="preserve"> sur le genre et/ou les orientations sexuelles </w:t>
      </w:r>
      <w:r w:rsidRPr="62618430">
        <w:rPr>
          <w:rFonts w:eastAsiaTheme="minorEastAsia"/>
          <w:lang w:val="fr"/>
        </w:rPr>
        <w:t>;</w:t>
      </w:r>
    </w:p>
    <w:p w14:paraId="49E5DB20" w14:textId="77777777" w:rsidR="007B70BE" w:rsidRPr="00743930" w:rsidRDefault="007B70BE" w:rsidP="007B70BE">
      <w:pPr>
        <w:pStyle w:val="ListParagraph"/>
        <w:numPr>
          <w:ilvl w:val="1"/>
          <w:numId w:val="12"/>
        </w:numPr>
        <w:spacing w:after="200" w:line="240" w:lineRule="auto"/>
        <w:jc w:val="both"/>
        <w:rPr>
          <w:rFonts w:asciiTheme="minorEastAsia" w:eastAsiaTheme="minorEastAsia" w:hAnsiTheme="minorEastAsia" w:cstheme="minorEastAsia"/>
          <w:i/>
          <w:iCs/>
          <w:lang w:val="fr"/>
        </w:rPr>
      </w:pPr>
      <w:r w:rsidRPr="00743930">
        <w:rPr>
          <w:rFonts w:eastAsiaTheme="minorEastAsia"/>
          <w:i/>
          <w:iCs/>
          <w:lang w:val="fr"/>
        </w:rPr>
        <w:t>Par exemple, mettre en place une action de sensibilisation visant à améliorer les connaissances des populations sur le circuit judiciaire du dépôt de plainte en cas de violences faites aux femmes.</w:t>
      </w:r>
    </w:p>
    <w:p w14:paraId="12142EEC" w14:textId="77777777" w:rsidR="007B70BE" w:rsidRDefault="007B70BE" w:rsidP="007B70BE">
      <w:pPr>
        <w:pStyle w:val="ListParagraph"/>
        <w:numPr>
          <w:ilvl w:val="0"/>
          <w:numId w:val="12"/>
        </w:numPr>
        <w:spacing w:after="200" w:line="240" w:lineRule="auto"/>
        <w:jc w:val="both"/>
        <w:rPr>
          <w:lang w:val="fr"/>
        </w:rPr>
      </w:pPr>
      <w:r w:rsidRPr="4688112A">
        <w:rPr>
          <w:rFonts w:eastAsiaTheme="minorEastAsia"/>
          <w:lang w:val="fr"/>
        </w:rPr>
        <w:t>Sensibiliser et améliorer les capacités des institutions sur le signalement et l’orientation des populations victimes de situations d’inégalités et de discriminations basées sur le genre et/ou les orientations sexuelles ;</w:t>
      </w:r>
    </w:p>
    <w:p w14:paraId="2B58D479" w14:textId="77777777" w:rsidR="007B70BE" w:rsidRPr="00803CBA" w:rsidRDefault="007B70BE" w:rsidP="007B70BE">
      <w:pPr>
        <w:pStyle w:val="ListParagraph"/>
        <w:numPr>
          <w:ilvl w:val="1"/>
          <w:numId w:val="12"/>
        </w:numPr>
        <w:spacing w:after="200" w:line="240" w:lineRule="auto"/>
        <w:jc w:val="both"/>
        <w:rPr>
          <w:rFonts w:eastAsiaTheme="minorEastAsia"/>
          <w:i/>
          <w:iCs/>
          <w:lang w:val="fr"/>
        </w:rPr>
      </w:pPr>
      <w:r w:rsidRPr="00803CBA">
        <w:rPr>
          <w:rFonts w:eastAsiaTheme="minorEastAsia"/>
          <w:i/>
          <w:iCs/>
          <w:lang w:val="fr"/>
        </w:rPr>
        <w:t xml:space="preserve">Par exemple, mettre en place une action de sensibilisation ou une charte des bonnes pratiques en matière de lutte contre les violences faites aux femmes à destination des commissariats de police ou des services d’orientation juridique. </w:t>
      </w:r>
    </w:p>
    <w:p w14:paraId="09DBFD67" w14:textId="37258E5A" w:rsidR="007B70BE" w:rsidRPr="00A42086" w:rsidRDefault="009D0B88" w:rsidP="4688112A">
      <w:pPr>
        <w:pStyle w:val="ListParagraph"/>
        <w:numPr>
          <w:ilvl w:val="0"/>
          <w:numId w:val="12"/>
        </w:numPr>
        <w:spacing w:after="200" w:line="240" w:lineRule="auto"/>
        <w:jc w:val="both"/>
        <w:rPr>
          <w:rFonts w:eastAsiaTheme="minorEastAsia"/>
          <w:lang w:val="fr-FR"/>
        </w:rPr>
      </w:pPr>
      <w:r>
        <w:rPr>
          <w:rFonts w:eastAsiaTheme="minorEastAsia"/>
          <w:lang w:val="fr-FR"/>
        </w:rPr>
        <w:t>S</w:t>
      </w:r>
      <w:r w:rsidR="007B70BE" w:rsidRPr="4688112A">
        <w:rPr>
          <w:rFonts w:eastAsiaTheme="minorEastAsia"/>
          <w:lang w:val="fr-FR"/>
        </w:rPr>
        <w:t xml:space="preserve">ensibiliser sur les situations d’inégalité et de discriminations basées sur le genre et/ou les orientations sexuelles. </w:t>
      </w:r>
    </w:p>
    <w:p w14:paraId="57950AEB" w14:textId="77777777" w:rsidR="007B70BE" w:rsidRPr="009376C3" w:rsidRDefault="007B70BE" w:rsidP="007B70BE">
      <w:pPr>
        <w:pStyle w:val="ListParagraph"/>
        <w:numPr>
          <w:ilvl w:val="1"/>
          <w:numId w:val="12"/>
        </w:numPr>
        <w:spacing w:after="200" w:line="240" w:lineRule="auto"/>
        <w:jc w:val="both"/>
        <w:rPr>
          <w:i/>
          <w:iCs/>
          <w:lang w:val="fr-FR"/>
        </w:rPr>
      </w:pPr>
      <w:r w:rsidRPr="009376C3">
        <w:rPr>
          <w:rFonts w:eastAsiaTheme="minorEastAsia"/>
          <w:i/>
          <w:iCs/>
          <w:lang w:val="fr-FR"/>
        </w:rPr>
        <w:t xml:space="preserve">Par exemple, créer et produire une exposition photos, une pièce de théâtre ou encore un court-métrage mettant en lumière cette problématique d’une façon novatrice. </w:t>
      </w:r>
    </w:p>
    <w:p w14:paraId="7DEC36F9" w14:textId="10264347" w:rsidR="00A91B5C" w:rsidRDefault="00A91B5C" w:rsidP="00A91B5C">
      <w:pPr>
        <w:pStyle w:val="Heading1"/>
        <w:rPr>
          <w:lang w:val="fr-FR"/>
        </w:rPr>
      </w:pPr>
      <w:bookmarkStart w:id="13" w:name="_Toc58419038"/>
      <w:r w:rsidRPr="3D4A64DE">
        <w:rPr>
          <w:lang w:val="fr-FR"/>
        </w:rPr>
        <w:t>V</w:t>
      </w:r>
      <w:r w:rsidR="00A76171" w:rsidRPr="3D4A64DE">
        <w:rPr>
          <w:lang w:val="fr-FR"/>
        </w:rPr>
        <w:t>I</w:t>
      </w:r>
      <w:r w:rsidR="00257B1E" w:rsidRPr="3D4A64DE">
        <w:rPr>
          <w:lang w:val="fr-FR"/>
        </w:rPr>
        <w:t>I</w:t>
      </w:r>
      <w:r w:rsidR="006728CE" w:rsidRPr="3D4A64DE">
        <w:rPr>
          <w:lang w:val="fr-FR"/>
        </w:rPr>
        <w:t>-</w:t>
      </w:r>
      <w:r w:rsidRPr="3D4A64DE">
        <w:rPr>
          <w:lang w:val="fr-FR"/>
        </w:rPr>
        <w:t xml:space="preserve"> Déroulement </w:t>
      </w:r>
      <w:r w:rsidR="00144BFD" w:rsidRPr="3D4A64DE">
        <w:rPr>
          <w:lang w:val="fr-FR"/>
        </w:rPr>
        <w:t xml:space="preserve">de la </w:t>
      </w:r>
      <w:r w:rsidRPr="3D4A64DE">
        <w:rPr>
          <w:lang w:val="fr-FR"/>
        </w:rPr>
        <w:t>compétition</w:t>
      </w:r>
      <w:bookmarkEnd w:id="13"/>
      <w:r w:rsidR="00144BFD" w:rsidRPr="3D4A64DE">
        <w:rPr>
          <w:lang w:val="fr-FR"/>
        </w:rPr>
        <w:t xml:space="preserve"> </w:t>
      </w:r>
      <w:bookmarkEnd w:id="12"/>
    </w:p>
    <w:p w14:paraId="226ECA8B" w14:textId="2AA3ECC0" w:rsidR="00404DB5" w:rsidRPr="00404DB5" w:rsidRDefault="00F5169F" w:rsidP="3D4A64DE">
      <w:pPr>
        <w:rPr>
          <w:b/>
          <w:bCs/>
          <w:lang w:val="fr-FR"/>
        </w:rPr>
      </w:pPr>
      <w:r>
        <w:rPr>
          <w:b/>
          <w:bCs/>
          <w:lang w:val="fr-FR"/>
        </w:rPr>
        <w:t>D</w:t>
      </w:r>
      <w:r w:rsidR="12DB37A2" w:rsidRPr="00D618CA">
        <w:rPr>
          <w:b/>
          <w:bCs/>
          <w:lang w:val="fr-FR"/>
        </w:rPr>
        <w:t xml:space="preserve">écembre 2020 </w:t>
      </w:r>
      <w:r>
        <w:rPr>
          <w:b/>
          <w:bCs/>
          <w:lang w:val="fr-FR"/>
        </w:rPr>
        <w:t xml:space="preserve">au </w:t>
      </w:r>
      <w:r w:rsidR="79674D0F" w:rsidRPr="13671F00">
        <w:rPr>
          <w:b/>
          <w:bCs/>
          <w:lang w:val="fr-FR"/>
        </w:rPr>
        <w:t>17</w:t>
      </w:r>
      <w:r>
        <w:rPr>
          <w:b/>
          <w:bCs/>
          <w:lang w:val="fr-FR"/>
        </w:rPr>
        <w:t xml:space="preserve"> </w:t>
      </w:r>
      <w:r w:rsidR="12DB37A2" w:rsidRPr="00D618CA">
        <w:rPr>
          <w:b/>
          <w:bCs/>
          <w:lang w:val="fr-FR"/>
        </w:rPr>
        <w:t>janvier 2021</w:t>
      </w:r>
      <w:r w:rsidR="12DB37A2" w:rsidRPr="3D4A64DE">
        <w:rPr>
          <w:b/>
          <w:bCs/>
          <w:lang w:val="fr-FR"/>
        </w:rPr>
        <w:t xml:space="preserve"> </w:t>
      </w:r>
      <w:r w:rsidR="01AB6C35" w:rsidRPr="3D4A64DE">
        <w:rPr>
          <w:b/>
          <w:bCs/>
          <w:lang w:val="fr-FR"/>
        </w:rPr>
        <w:t>: Ouverture de l’appel à candidature et appui au développement des candidatures</w:t>
      </w:r>
    </w:p>
    <w:p w14:paraId="0DAF47D3" w14:textId="24120FF5" w:rsidR="00404DB5" w:rsidRPr="00404DB5" w:rsidRDefault="00404DB5" w:rsidP="3D4A64DE">
      <w:pPr>
        <w:jc w:val="both"/>
        <w:rPr>
          <w:lang w:val="fr-FR"/>
        </w:rPr>
      </w:pPr>
      <w:r w:rsidRPr="32AFBFA5">
        <w:rPr>
          <w:lang w:val="fr-FR"/>
        </w:rPr>
        <w:t>Faisant suite à la publication de l’appel à proposition pour le lancement de cette compétition d’innovation</w:t>
      </w:r>
      <w:r w:rsidR="004200AF" w:rsidRPr="32AFBFA5">
        <w:rPr>
          <w:lang w:val="fr-FR"/>
        </w:rPr>
        <w:t xml:space="preserve">, une campagne </w:t>
      </w:r>
      <w:r w:rsidR="003B1194" w:rsidRPr="32AFBFA5">
        <w:rPr>
          <w:lang w:val="fr-FR"/>
        </w:rPr>
        <w:t>sera déployée sur les réseaux sociaux du PNUD (Facebook, Instagram, Twitter</w:t>
      </w:r>
      <w:r w:rsidR="00B55E0C">
        <w:rPr>
          <w:lang w:val="fr-FR"/>
        </w:rPr>
        <w:t xml:space="preserve"> ..</w:t>
      </w:r>
      <w:r w:rsidR="0044361E" w:rsidRPr="32AFBFA5">
        <w:rPr>
          <w:lang w:val="fr-FR"/>
        </w:rPr>
        <w:t>.</w:t>
      </w:r>
      <w:r w:rsidR="003B1194" w:rsidRPr="32AFBFA5">
        <w:rPr>
          <w:lang w:val="fr-FR"/>
        </w:rPr>
        <w:t>)</w:t>
      </w:r>
      <w:r w:rsidR="002001DB" w:rsidRPr="32AFBFA5">
        <w:rPr>
          <w:lang w:val="fr-FR"/>
        </w:rPr>
        <w:t xml:space="preserve"> afin </w:t>
      </w:r>
      <w:r w:rsidR="005F2907">
        <w:rPr>
          <w:lang w:val="fr-FR"/>
        </w:rPr>
        <w:t>d’encourager</w:t>
      </w:r>
      <w:r w:rsidR="002001DB" w:rsidRPr="32AFBFA5">
        <w:rPr>
          <w:lang w:val="fr-FR"/>
        </w:rPr>
        <w:t xml:space="preserve"> la participation du public cible. Cette campagne </w:t>
      </w:r>
      <w:r w:rsidR="00E7128C" w:rsidRPr="32AFBFA5">
        <w:rPr>
          <w:lang w:val="fr-FR"/>
        </w:rPr>
        <w:t>mettra en avant des éléments d’information</w:t>
      </w:r>
      <w:r w:rsidR="00113400">
        <w:rPr>
          <w:lang w:val="fr-FR"/>
        </w:rPr>
        <w:t xml:space="preserve"> </w:t>
      </w:r>
      <w:r w:rsidR="00E7128C" w:rsidRPr="32AFBFA5">
        <w:rPr>
          <w:lang w:val="fr-FR"/>
        </w:rPr>
        <w:t>clés sur la compétition d’innovation (objectif,</w:t>
      </w:r>
      <w:r w:rsidR="00932138" w:rsidRPr="32AFBFA5">
        <w:rPr>
          <w:lang w:val="fr-FR"/>
        </w:rPr>
        <w:t xml:space="preserve"> éligibilité,</w:t>
      </w:r>
      <w:r w:rsidR="00E7128C" w:rsidRPr="32AFBFA5">
        <w:rPr>
          <w:lang w:val="fr-FR"/>
        </w:rPr>
        <w:t xml:space="preserve"> modalités et date </w:t>
      </w:r>
      <w:r w:rsidR="00E7128C" w:rsidRPr="32AFBFA5">
        <w:rPr>
          <w:lang w:val="fr-FR"/>
        </w:rPr>
        <w:lastRenderedPageBreak/>
        <w:t>limite de participation, étapes</w:t>
      </w:r>
      <w:r w:rsidR="00AE50BA">
        <w:rPr>
          <w:lang w:val="fr-FR"/>
        </w:rPr>
        <w:t xml:space="preserve"> …</w:t>
      </w:r>
      <w:r w:rsidR="00E7128C" w:rsidRPr="32AFBFA5">
        <w:rPr>
          <w:lang w:val="fr-FR"/>
        </w:rPr>
        <w:t>)</w:t>
      </w:r>
      <w:r w:rsidR="3ED19B36" w:rsidRPr="32AFBFA5">
        <w:rPr>
          <w:lang w:val="fr-FR"/>
        </w:rPr>
        <w:t xml:space="preserve">, et sera déployée de façon répétée et régulière afin de rappeler la possibilité de candidater. </w:t>
      </w:r>
    </w:p>
    <w:p w14:paraId="3076C1F5" w14:textId="3B0B3C61" w:rsidR="3ED19B36" w:rsidRDefault="3ED19B36" w:rsidP="3D4A64DE">
      <w:pPr>
        <w:jc w:val="both"/>
        <w:rPr>
          <w:lang w:val="fr-FR"/>
        </w:rPr>
      </w:pPr>
      <w:r w:rsidRPr="32AFBFA5">
        <w:rPr>
          <w:lang w:val="fr-FR"/>
        </w:rPr>
        <w:t xml:space="preserve">En parallèle, l’équipe du projet </w:t>
      </w:r>
      <w:r w:rsidRPr="003E5C0B">
        <w:rPr>
          <w:lang w:val="fr-FR"/>
        </w:rPr>
        <w:t>organisera une série d’</w:t>
      </w:r>
      <w:r w:rsidRPr="003E5C0B">
        <w:rPr>
          <w:i/>
          <w:iCs/>
          <w:lang w:val="fr-FR"/>
        </w:rPr>
        <w:t xml:space="preserve">info sessions </w:t>
      </w:r>
      <w:r w:rsidRPr="003E5C0B">
        <w:rPr>
          <w:lang w:val="fr-FR"/>
        </w:rPr>
        <w:t>(sessions d’informations)</w:t>
      </w:r>
      <w:r w:rsidR="5CC8F300" w:rsidRPr="003E5C0B">
        <w:rPr>
          <w:lang w:val="fr-FR"/>
        </w:rPr>
        <w:t xml:space="preserve"> qui permettront, d’une part, de rappeler les informations</w:t>
      </w:r>
      <w:r w:rsidR="5CC8F300" w:rsidRPr="32AFBFA5">
        <w:rPr>
          <w:lang w:val="fr-FR"/>
        </w:rPr>
        <w:t xml:space="preserve"> clés sur le déroulement de la compétition d’innovation, le type de projets sollicités et les modalités de candidatures, mais aussi d’assurer </w:t>
      </w:r>
      <w:r w:rsidR="27B6D2D8" w:rsidRPr="32AFBFA5">
        <w:rPr>
          <w:lang w:val="fr-FR"/>
        </w:rPr>
        <w:t xml:space="preserve">une forme de </w:t>
      </w:r>
      <w:r w:rsidR="003E5C0B">
        <w:rPr>
          <w:lang w:val="fr-FR"/>
        </w:rPr>
        <w:t>« </w:t>
      </w:r>
      <w:r w:rsidR="27B6D2D8" w:rsidRPr="32AFBFA5">
        <w:rPr>
          <w:lang w:val="fr-FR"/>
        </w:rPr>
        <w:t>permanence</w:t>
      </w:r>
      <w:r w:rsidR="003E5C0B">
        <w:rPr>
          <w:lang w:val="fr-FR"/>
        </w:rPr>
        <w:t> »</w:t>
      </w:r>
      <w:r w:rsidR="27B6D2D8" w:rsidRPr="32AFBFA5">
        <w:rPr>
          <w:lang w:val="fr-FR"/>
        </w:rPr>
        <w:t xml:space="preserve"> d’</w:t>
      </w:r>
      <w:r w:rsidR="5CC8F300" w:rsidRPr="32AFBFA5">
        <w:rPr>
          <w:lang w:val="fr-FR"/>
        </w:rPr>
        <w:t>accompagneme</w:t>
      </w:r>
      <w:r w:rsidR="6667864C" w:rsidRPr="32AFBFA5">
        <w:rPr>
          <w:lang w:val="fr-FR"/>
        </w:rPr>
        <w:t>nt à la préparation des cand</w:t>
      </w:r>
      <w:r w:rsidR="7AC04ACA" w:rsidRPr="32AFBFA5">
        <w:rPr>
          <w:lang w:val="fr-FR"/>
        </w:rPr>
        <w:t xml:space="preserve">idatures, dans le but de faciliter la participation de jeunes peu familiers de ce type de démarche. </w:t>
      </w:r>
    </w:p>
    <w:p w14:paraId="1E0FBE4F" w14:textId="4B458E8D" w:rsidR="7AC04ACA" w:rsidRDefault="00F5169F" w:rsidP="3D4A64DE">
      <w:pPr>
        <w:rPr>
          <w:b/>
          <w:bCs/>
          <w:lang w:val="fr-FR"/>
        </w:rPr>
      </w:pPr>
      <w:r w:rsidRPr="13671F00">
        <w:rPr>
          <w:b/>
          <w:bCs/>
          <w:lang w:val="fr-FR"/>
        </w:rPr>
        <w:t>1</w:t>
      </w:r>
      <w:r w:rsidR="42678702" w:rsidRPr="13671F00">
        <w:rPr>
          <w:b/>
          <w:bCs/>
          <w:lang w:val="fr-FR"/>
        </w:rPr>
        <w:t>7</w:t>
      </w:r>
      <w:r w:rsidR="7AC04ACA" w:rsidRPr="00F5169F">
        <w:rPr>
          <w:b/>
          <w:bCs/>
          <w:lang w:val="fr-FR"/>
        </w:rPr>
        <w:t xml:space="preserve"> janvier 2021</w:t>
      </w:r>
      <w:r w:rsidR="7AC04ACA" w:rsidRPr="5CA3364F">
        <w:rPr>
          <w:b/>
          <w:bCs/>
          <w:lang w:val="fr-FR"/>
        </w:rPr>
        <w:t xml:space="preserve"> : Date limite de réception des candidatures </w:t>
      </w:r>
    </w:p>
    <w:p w14:paraId="137F607A" w14:textId="2FD03B03" w:rsidR="7AC04ACA" w:rsidRDefault="0E5BEDB5" w:rsidP="3D4A64DE">
      <w:pPr>
        <w:jc w:val="both"/>
        <w:rPr>
          <w:b/>
          <w:bCs/>
          <w:lang w:val="fr-FR"/>
        </w:rPr>
      </w:pPr>
      <w:r w:rsidRPr="5CA3364F">
        <w:rPr>
          <w:rFonts w:ascii="Calibri" w:eastAsia="Calibri" w:hAnsi="Calibri" w:cs="Calibri"/>
          <w:lang w:val="fr-FR"/>
        </w:rPr>
        <w:t xml:space="preserve">Les individus et entités légales souhaitant participer à la compétition d’innovation sont invités à soumettre des </w:t>
      </w:r>
      <w:r w:rsidRPr="5CA3364F">
        <w:rPr>
          <w:rFonts w:ascii="Calibri" w:eastAsia="Calibri" w:hAnsi="Calibri" w:cs="Calibri"/>
          <w:i/>
          <w:iCs/>
          <w:lang w:val="fr-FR"/>
        </w:rPr>
        <w:t>idées de projet</w:t>
      </w:r>
      <w:r w:rsidRPr="5CA3364F">
        <w:rPr>
          <w:rFonts w:ascii="Calibri" w:eastAsia="Calibri" w:hAnsi="Calibri" w:cs="Calibri"/>
          <w:lang w:val="fr-FR"/>
        </w:rPr>
        <w:t xml:space="preserve"> individuelles ou collectives </w:t>
      </w:r>
      <w:r w:rsidRPr="00F5169F">
        <w:rPr>
          <w:rFonts w:ascii="Calibri" w:eastAsia="Calibri" w:hAnsi="Calibri" w:cs="Calibri"/>
          <w:lang w:val="fr-FR"/>
        </w:rPr>
        <w:t>avant le</w:t>
      </w:r>
      <w:r w:rsidR="00F5169F" w:rsidRPr="00F5169F">
        <w:rPr>
          <w:rFonts w:ascii="Calibri" w:eastAsia="Calibri" w:hAnsi="Calibri" w:cs="Calibri"/>
          <w:lang w:val="fr-FR"/>
        </w:rPr>
        <w:t xml:space="preserve"> </w:t>
      </w:r>
      <w:r w:rsidR="00F5169F" w:rsidRPr="00F5169F">
        <w:rPr>
          <w:rFonts w:ascii="Calibri" w:eastAsia="Calibri" w:hAnsi="Calibri" w:cs="Calibri"/>
          <w:b/>
          <w:bCs/>
          <w:lang w:val="fr-FR"/>
        </w:rPr>
        <w:t>dimanche</w:t>
      </w:r>
      <w:r w:rsidRPr="00F5169F">
        <w:rPr>
          <w:rFonts w:ascii="Calibri" w:eastAsia="Calibri" w:hAnsi="Calibri" w:cs="Calibri"/>
          <w:b/>
          <w:bCs/>
          <w:lang w:val="fr-FR"/>
        </w:rPr>
        <w:t xml:space="preserve"> </w:t>
      </w:r>
      <w:r w:rsidR="2E76BA54" w:rsidRPr="678BE737">
        <w:rPr>
          <w:rFonts w:ascii="Calibri" w:eastAsia="Calibri" w:hAnsi="Calibri" w:cs="Calibri"/>
          <w:b/>
          <w:bCs/>
          <w:lang w:val="fr-FR"/>
        </w:rPr>
        <w:t>17</w:t>
      </w:r>
      <w:r w:rsidRPr="00F5169F">
        <w:rPr>
          <w:rFonts w:ascii="Calibri" w:eastAsia="Calibri" w:hAnsi="Calibri" w:cs="Calibri"/>
          <w:b/>
          <w:bCs/>
          <w:lang w:val="fr-FR"/>
        </w:rPr>
        <w:t xml:space="preserve"> janvier 2021 à </w:t>
      </w:r>
      <w:r w:rsidR="005E27BD">
        <w:rPr>
          <w:rFonts w:ascii="Calibri" w:eastAsia="Calibri" w:hAnsi="Calibri" w:cs="Calibri"/>
          <w:b/>
          <w:bCs/>
          <w:lang w:val="fr-FR"/>
        </w:rPr>
        <w:t>23</w:t>
      </w:r>
      <w:r w:rsidRPr="00F5169F">
        <w:rPr>
          <w:rFonts w:ascii="Calibri" w:eastAsia="Calibri" w:hAnsi="Calibri" w:cs="Calibri"/>
          <w:b/>
          <w:bCs/>
          <w:lang w:val="fr-FR"/>
        </w:rPr>
        <w:t>h</w:t>
      </w:r>
      <w:r w:rsidR="005E27BD">
        <w:rPr>
          <w:rFonts w:ascii="Calibri" w:eastAsia="Calibri" w:hAnsi="Calibri" w:cs="Calibri"/>
          <w:b/>
          <w:bCs/>
          <w:lang w:val="fr-FR"/>
        </w:rPr>
        <w:t>59</w:t>
      </w:r>
      <w:r w:rsidRPr="00F5169F">
        <w:rPr>
          <w:rFonts w:ascii="Calibri" w:eastAsia="Calibri" w:hAnsi="Calibri" w:cs="Calibri"/>
          <w:lang w:val="fr-FR"/>
        </w:rPr>
        <w:t xml:space="preserve">. </w:t>
      </w:r>
      <w:r w:rsidR="7AC04ACA" w:rsidRPr="00F5169F">
        <w:rPr>
          <w:lang w:val="fr-FR"/>
        </w:rPr>
        <w:t xml:space="preserve">Seules les candidatures soumises avant </w:t>
      </w:r>
      <w:r w:rsidR="4C06FCB0" w:rsidRPr="00F5169F">
        <w:rPr>
          <w:lang w:val="fr-FR"/>
        </w:rPr>
        <w:t>cette</w:t>
      </w:r>
      <w:r w:rsidR="7AC04ACA" w:rsidRPr="00F5169F">
        <w:rPr>
          <w:lang w:val="fr-FR"/>
        </w:rPr>
        <w:t xml:space="preserve"> date</w:t>
      </w:r>
      <w:r w:rsidR="0308FC05" w:rsidRPr="00F5169F">
        <w:rPr>
          <w:lang w:val="fr-FR"/>
        </w:rPr>
        <w:t xml:space="preserve"> </w:t>
      </w:r>
      <w:r w:rsidR="7AC04ACA" w:rsidRPr="00F5169F">
        <w:rPr>
          <w:lang w:val="fr-FR"/>
        </w:rPr>
        <w:t>seront étudiées.</w:t>
      </w:r>
    </w:p>
    <w:p w14:paraId="2A2F60E0" w14:textId="4E8BD23E" w:rsidR="7AC04ACA" w:rsidRDefault="70ACA241" w:rsidP="3D4A64DE">
      <w:pPr>
        <w:rPr>
          <w:b/>
          <w:bCs/>
          <w:lang w:val="fr-FR"/>
        </w:rPr>
      </w:pPr>
      <w:r w:rsidRPr="13671F00">
        <w:rPr>
          <w:b/>
          <w:bCs/>
          <w:lang w:val="fr-FR"/>
        </w:rPr>
        <w:t>Fin janv</w:t>
      </w:r>
      <w:r w:rsidR="7247F6C1" w:rsidRPr="13671F00">
        <w:rPr>
          <w:b/>
          <w:bCs/>
          <w:lang w:val="fr-FR"/>
        </w:rPr>
        <w:t>ier</w:t>
      </w:r>
      <w:r w:rsidR="7247F6C1" w:rsidRPr="008B7484">
        <w:rPr>
          <w:b/>
          <w:bCs/>
          <w:lang w:val="fr-FR"/>
        </w:rPr>
        <w:t xml:space="preserve"> 2021</w:t>
      </w:r>
      <w:r w:rsidR="7AC04ACA" w:rsidRPr="008B7484">
        <w:rPr>
          <w:b/>
          <w:bCs/>
          <w:lang w:val="fr-FR"/>
        </w:rPr>
        <w:t xml:space="preserve"> : Vérification</w:t>
      </w:r>
      <w:r w:rsidR="7AC04ACA" w:rsidRPr="32AFBFA5">
        <w:rPr>
          <w:b/>
          <w:bCs/>
          <w:lang w:val="fr-FR"/>
        </w:rPr>
        <w:t xml:space="preserve"> des candidatures et pré-sélection des participants</w:t>
      </w:r>
    </w:p>
    <w:p w14:paraId="47D4F294" w14:textId="0A648F7C" w:rsidR="086893F6" w:rsidRDefault="086893F6" w:rsidP="3D4A64DE">
      <w:pPr>
        <w:jc w:val="both"/>
        <w:rPr>
          <w:lang w:val="fr-FR"/>
        </w:rPr>
      </w:pPr>
      <w:r w:rsidRPr="32AFBFA5">
        <w:rPr>
          <w:lang w:val="fr-FR"/>
        </w:rPr>
        <w:t xml:space="preserve">L’équipe de la compétition d’innovation procèdera dans un premier temps à </w:t>
      </w:r>
      <w:r w:rsidR="009E12D9">
        <w:rPr>
          <w:lang w:val="fr-FR"/>
        </w:rPr>
        <w:t>la</w:t>
      </w:r>
      <w:r w:rsidRPr="32AFBFA5">
        <w:rPr>
          <w:lang w:val="fr-FR"/>
        </w:rPr>
        <w:t xml:space="preserve"> vérification administrative des candidatures, ainsi qu’à la</w:t>
      </w:r>
      <w:r w:rsidR="1B182500" w:rsidRPr="32AFBFA5">
        <w:rPr>
          <w:lang w:val="fr-FR"/>
        </w:rPr>
        <w:t xml:space="preserve"> </w:t>
      </w:r>
      <w:r w:rsidRPr="32AFBFA5">
        <w:rPr>
          <w:lang w:val="fr-FR"/>
        </w:rPr>
        <w:t>vérification de l’éligibilité des personnes ou entités légales porteuses d</w:t>
      </w:r>
      <w:r w:rsidR="427E5A8E" w:rsidRPr="32AFBFA5">
        <w:rPr>
          <w:lang w:val="fr-FR"/>
        </w:rPr>
        <w:t>’idées de proje</w:t>
      </w:r>
      <w:r w:rsidR="61D8A24C" w:rsidRPr="32AFBFA5">
        <w:rPr>
          <w:lang w:val="fr-FR"/>
        </w:rPr>
        <w:t>t</w:t>
      </w:r>
      <w:r w:rsidR="000777E3">
        <w:rPr>
          <w:lang w:val="fr-FR"/>
        </w:rPr>
        <w:t> ; conformément aux Annexes jointes.</w:t>
      </w:r>
      <w:r w:rsidR="00504029">
        <w:rPr>
          <w:lang w:val="fr-FR"/>
        </w:rPr>
        <w:t xml:space="preserve"> Seules les candidatures complètes et éligibles seront évaluées d</w:t>
      </w:r>
      <w:r w:rsidR="002F774F">
        <w:rPr>
          <w:lang w:val="fr-FR"/>
        </w:rPr>
        <w:t xml:space="preserve">u </w:t>
      </w:r>
      <w:r w:rsidR="00504029">
        <w:rPr>
          <w:lang w:val="fr-FR"/>
        </w:rPr>
        <w:t xml:space="preserve">point de vue </w:t>
      </w:r>
      <w:r w:rsidR="002F774F">
        <w:rPr>
          <w:lang w:val="fr-FR"/>
        </w:rPr>
        <w:t>de leur qualité</w:t>
      </w:r>
      <w:r w:rsidR="00504029">
        <w:rPr>
          <w:lang w:val="fr-FR"/>
        </w:rPr>
        <w:t xml:space="preserve">. </w:t>
      </w:r>
    </w:p>
    <w:p w14:paraId="1484DD1C" w14:textId="47DFC1D5" w:rsidR="61D8A24C" w:rsidRDefault="61D8A24C" w:rsidP="3D4A64DE">
      <w:pPr>
        <w:jc w:val="both"/>
        <w:rPr>
          <w:lang w:val="fr-FR"/>
        </w:rPr>
      </w:pPr>
      <w:r w:rsidRPr="32AFBFA5">
        <w:rPr>
          <w:lang w:val="fr-FR"/>
        </w:rPr>
        <w:t>L</w:t>
      </w:r>
      <w:r w:rsidR="77376037" w:rsidRPr="32AFBFA5">
        <w:rPr>
          <w:lang w:val="fr-FR"/>
        </w:rPr>
        <w:t xml:space="preserve">’équipe de la compétition d’innovation procèdera </w:t>
      </w:r>
      <w:r w:rsidR="00AD090F">
        <w:rPr>
          <w:lang w:val="fr-FR"/>
        </w:rPr>
        <w:t>par la suite à</w:t>
      </w:r>
      <w:r w:rsidR="77376037" w:rsidRPr="32AFBFA5">
        <w:rPr>
          <w:lang w:val="fr-FR"/>
        </w:rPr>
        <w:t xml:space="preserve"> une évaluation préliminaire d</w:t>
      </w:r>
      <w:r w:rsidR="6E9795FA" w:rsidRPr="32AFBFA5">
        <w:rPr>
          <w:lang w:val="fr-FR"/>
        </w:rPr>
        <w:t>es</w:t>
      </w:r>
      <w:r w:rsidRPr="32AFBFA5">
        <w:rPr>
          <w:lang w:val="fr-FR"/>
        </w:rPr>
        <w:t xml:space="preserve"> idées de projets soumises</w:t>
      </w:r>
      <w:r w:rsidR="00843634">
        <w:rPr>
          <w:lang w:val="fr-FR"/>
        </w:rPr>
        <w:t xml:space="preserve"> du point de vue de leur qualité</w:t>
      </w:r>
      <w:r w:rsidR="2F75AF05" w:rsidRPr="32AFBFA5">
        <w:rPr>
          <w:lang w:val="fr-FR"/>
        </w:rPr>
        <w:t>, e</w:t>
      </w:r>
      <w:r w:rsidR="1760BB7D" w:rsidRPr="32AFBFA5">
        <w:rPr>
          <w:lang w:val="fr-FR"/>
        </w:rPr>
        <w:t xml:space="preserve">n portant une attention particulière à leur </w:t>
      </w:r>
      <w:r w:rsidR="3BE450D8" w:rsidRPr="32AFBFA5">
        <w:rPr>
          <w:lang w:val="fr-FR"/>
        </w:rPr>
        <w:t>pertinen</w:t>
      </w:r>
      <w:r w:rsidR="00843634">
        <w:rPr>
          <w:lang w:val="fr-FR"/>
        </w:rPr>
        <w:t>ce</w:t>
      </w:r>
      <w:r w:rsidR="3BE450D8" w:rsidRPr="32AFBFA5">
        <w:rPr>
          <w:lang w:val="fr-FR"/>
        </w:rPr>
        <w:t xml:space="preserve"> vis-à-vis d</w:t>
      </w:r>
      <w:r w:rsidR="1760BB7D" w:rsidRPr="32AFBFA5">
        <w:rPr>
          <w:lang w:val="fr-FR"/>
        </w:rPr>
        <w:t xml:space="preserve">es </w:t>
      </w:r>
      <w:r w:rsidRPr="32AFBFA5">
        <w:rPr>
          <w:lang w:val="fr-FR"/>
        </w:rPr>
        <w:t>objectifs de la compétition d’in</w:t>
      </w:r>
      <w:r w:rsidR="59BD0A31" w:rsidRPr="32AFBFA5">
        <w:rPr>
          <w:lang w:val="fr-FR"/>
        </w:rPr>
        <w:t>novation</w:t>
      </w:r>
      <w:r w:rsidR="3DEB74E3" w:rsidRPr="32AFBFA5">
        <w:rPr>
          <w:lang w:val="fr-FR"/>
        </w:rPr>
        <w:t xml:space="preserve">, ainsi que leur intégration d’une approche genre, de l’optique </w:t>
      </w:r>
      <w:proofErr w:type="spellStart"/>
      <w:r w:rsidR="3DEB74E3" w:rsidRPr="32AFBFA5">
        <w:rPr>
          <w:lang w:val="fr-FR"/>
        </w:rPr>
        <w:t>L</w:t>
      </w:r>
      <w:r w:rsidR="00E95AF4">
        <w:rPr>
          <w:lang w:val="fr-FR"/>
        </w:rPr>
        <w:t>eaving</w:t>
      </w:r>
      <w:proofErr w:type="spellEnd"/>
      <w:r w:rsidR="00E95AF4">
        <w:rPr>
          <w:lang w:val="fr-FR"/>
        </w:rPr>
        <w:t xml:space="preserve"> </w:t>
      </w:r>
      <w:r w:rsidR="00843634">
        <w:rPr>
          <w:lang w:val="fr-FR"/>
        </w:rPr>
        <w:t>N</w:t>
      </w:r>
      <w:r w:rsidR="00E95AF4">
        <w:rPr>
          <w:lang w:val="fr-FR"/>
        </w:rPr>
        <w:t xml:space="preserve">o </w:t>
      </w:r>
      <w:r w:rsidR="00843634">
        <w:rPr>
          <w:lang w:val="fr-FR"/>
        </w:rPr>
        <w:t>O</w:t>
      </w:r>
      <w:r w:rsidR="00E95AF4">
        <w:rPr>
          <w:lang w:val="fr-FR"/>
        </w:rPr>
        <w:t xml:space="preserve">ne </w:t>
      </w:r>
      <w:proofErr w:type="spellStart"/>
      <w:r w:rsidR="00843634">
        <w:rPr>
          <w:lang w:val="fr-FR"/>
        </w:rPr>
        <w:t>B</w:t>
      </w:r>
      <w:r w:rsidR="00E95AF4">
        <w:rPr>
          <w:lang w:val="fr-FR"/>
        </w:rPr>
        <w:t>ehind</w:t>
      </w:r>
      <w:proofErr w:type="spellEnd"/>
      <w:r w:rsidR="00E95AF4">
        <w:rPr>
          <w:lang w:val="fr-FR"/>
        </w:rPr>
        <w:t xml:space="preserve"> (L</w:t>
      </w:r>
      <w:r w:rsidR="3DEB74E3" w:rsidRPr="32AFBFA5">
        <w:rPr>
          <w:lang w:val="fr-FR"/>
        </w:rPr>
        <w:t>NOB</w:t>
      </w:r>
      <w:r w:rsidR="00E95AF4">
        <w:rPr>
          <w:lang w:val="fr-FR"/>
        </w:rPr>
        <w:t>)</w:t>
      </w:r>
      <w:r w:rsidR="3DEB74E3" w:rsidRPr="32AFBFA5">
        <w:rPr>
          <w:lang w:val="fr-FR"/>
        </w:rPr>
        <w:t xml:space="preserve"> et l’utilisation d’indicateurs de succès précis et cibles correspondantes. </w:t>
      </w:r>
    </w:p>
    <w:p w14:paraId="226ACA15" w14:textId="251174C6" w:rsidR="6C6FB54D" w:rsidRDefault="6C6FB54D" w:rsidP="72C37A43">
      <w:pPr>
        <w:jc w:val="both"/>
        <w:rPr>
          <w:lang w:val="fr-FR"/>
        </w:rPr>
      </w:pPr>
      <w:r w:rsidRPr="72C37A43">
        <w:rPr>
          <w:lang w:val="fr-FR"/>
        </w:rPr>
        <w:t>Les candidatures au dossier complet, remplissant les critères d’éligibilités</w:t>
      </w:r>
      <w:r w:rsidR="38AD2D34" w:rsidRPr="72C37A43">
        <w:rPr>
          <w:lang w:val="fr-FR"/>
        </w:rPr>
        <w:t xml:space="preserve"> et </w:t>
      </w:r>
      <w:r w:rsidR="1DAF63FB" w:rsidRPr="72C37A43">
        <w:rPr>
          <w:lang w:val="fr-FR"/>
        </w:rPr>
        <w:t xml:space="preserve">obtenant </w:t>
      </w:r>
      <w:r w:rsidR="1DAF63FB" w:rsidRPr="72C37A43">
        <w:rPr>
          <w:b/>
          <w:bCs/>
          <w:lang w:val="fr-FR"/>
        </w:rPr>
        <w:t>un score préliminaire de</w:t>
      </w:r>
      <w:r w:rsidR="752F511F" w:rsidRPr="72C37A43">
        <w:rPr>
          <w:b/>
          <w:bCs/>
          <w:lang w:val="fr-FR"/>
        </w:rPr>
        <w:t xml:space="preserve"> </w:t>
      </w:r>
      <w:r w:rsidR="44FA0882" w:rsidRPr="72C37A43">
        <w:rPr>
          <w:b/>
          <w:bCs/>
          <w:lang w:val="fr-FR"/>
        </w:rPr>
        <w:t>60</w:t>
      </w:r>
      <w:r w:rsidR="752F511F" w:rsidRPr="72C37A43">
        <w:rPr>
          <w:b/>
          <w:bCs/>
          <w:lang w:val="fr-FR"/>
        </w:rPr>
        <w:t>/</w:t>
      </w:r>
      <w:r w:rsidR="666DB6AA" w:rsidRPr="72C37A43">
        <w:rPr>
          <w:b/>
          <w:bCs/>
          <w:lang w:val="fr-FR"/>
        </w:rPr>
        <w:t>100</w:t>
      </w:r>
      <w:r w:rsidR="00E95AF4" w:rsidRPr="72C37A43">
        <w:rPr>
          <w:b/>
          <w:bCs/>
          <w:lang w:val="fr-FR"/>
        </w:rPr>
        <w:t xml:space="preserve"> </w:t>
      </w:r>
      <w:r w:rsidR="00E95AF4" w:rsidRPr="72C37A43">
        <w:rPr>
          <w:lang w:val="fr-FR"/>
        </w:rPr>
        <w:t>(</w:t>
      </w:r>
      <w:r w:rsidR="0E46C290" w:rsidRPr="72C37A43">
        <w:rPr>
          <w:lang w:val="fr-FR"/>
        </w:rPr>
        <w:t>v</w:t>
      </w:r>
      <w:r w:rsidR="00E95AF4" w:rsidRPr="72C37A43">
        <w:rPr>
          <w:lang w:val="fr-FR"/>
        </w:rPr>
        <w:t xml:space="preserve">oir le tableau d’évaluation des idées de projet </w:t>
      </w:r>
      <w:r w:rsidR="3CB20809" w:rsidRPr="72C37A43">
        <w:rPr>
          <w:lang w:val="fr-FR"/>
        </w:rPr>
        <w:t xml:space="preserve">inclus </w:t>
      </w:r>
      <w:r w:rsidR="00E95AF4" w:rsidRPr="72C37A43">
        <w:rPr>
          <w:lang w:val="fr-FR"/>
        </w:rPr>
        <w:t>dans les lignes direct</w:t>
      </w:r>
      <w:r w:rsidR="0E253E1A" w:rsidRPr="72C37A43">
        <w:rPr>
          <w:lang w:val="fr-FR"/>
        </w:rPr>
        <w:t>ric</w:t>
      </w:r>
      <w:r w:rsidR="00E95AF4" w:rsidRPr="72C37A43">
        <w:rPr>
          <w:lang w:val="fr-FR"/>
        </w:rPr>
        <w:t>es)</w:t>
      </w:r>
      <w:r w:rsidR="1DAF63FB" w:rsidRPr="72C37A43">
        <w:rPr>
          <w:lang w:val="fr-FR"/>
        </w:rPr>
        <w:t xml:space="preserve"> </w:t>
      </w:r>
      <w:r w:rsidR="072639F4" w:rsidRPr="72C37A43">
        <w:rPr>
          <w:lang w:val="fr-FR"/>
        </w:rPr>
        <w:t>lors</w:t>
      </w:r>
      <w:r w:rsidR="38AD2D34" w:rsidRPr="72C37A43">
        <w:rPr>
          <w:lang w:val="fr-FR"/>
        </w:rPr>
        <w:t xml:space="preserve"> de </w:t>
      </w:r>
      <w:r w:rsidR="072639F4" w:rsidRPr="72C37A43">
        <w:rPr>
          <w:lang w:val="fr-FR"/>
        </w:rPr>
        <w:t>leur évaluation préliminaire</w:t>
      </w:r>
      <w:r w:rsidR="38AD2D34" w:rsidRPr="72C37A43">
        <w:rPr>
          <w:lang w:val="fr-FR"/>
        </w:rPr>
        <w:t xml:space="preserve"> seront </w:t>
      </w:r>
      <w:r w:rsidRPr="72C37A43">
        <w:rPr>
          <w:lang w:val="fr-FR"/>
        </w:rPr>
        <w:t xml:space="preserve">sélectionnées </w:t>
      </w:r>
      <w:r w:rsidR="45F31A01" w:rsidRPr="72C37A43">
        <w:rPr>
          <w:lang w:val="fr-FR"/>
        </w:rPr>
        <w:t xml:space="preserve">pour être conviées à une première rencontre. </w:t>
      </w:r>
    </w:p>
    <w:p w14:paraId="4031D1E9" w14:textId="514ECFCB" w:rsidR="113A99C6" w:rsidRDefault="616D1B1C" w:rsidP="3D4A64DE">
      <w:pPr>
        <w:jc w:val="both"/>
        <w:rPr>
          <w:b/>
          <w:bCs/>
          <w:lang w:val="fr-FR"/>
        </w:rPr>
      </w:pPr>
      <w:r w:rsidRPr="13671F00">
        <w:rPr>
          <w:b/>
          <w:bCs/>
          <w:lang w:val="fr-FR"/>
        </w:rPr>
        <w:t>F</w:t>
      </w:r>
      <w:r w:rsidR="1177A40E" w:rsidRPr="13671F00">
        <w:rPr>
          <w:b/>
          <w:bCs/>
          <w:lang w:val="fr-FR"/>
        </w:rPr>
        <w:t>évrier</w:t>
      </w:r>
      <w:r w:rsidR="1177A40E" w:rsidRPr="008B7484">
        <w:rPr>
          <w:b/>
          <w:bCs/>
          <w:lang w:val="fr-FR"/>
        </w:rPr>
        <w:t xml:space="preserve"> </w:t>
      </w:r>
      <w:r w:rsidR="2323C71A" w:rsidRPr="008B7484">
        <w:rPr>
          <w:b/>
          <w:bCs/>
          <w:lang w:val="fr-FR"/>
        </w:rPr>
        <w:t>2021</w:t>
      </w:r>
      <w:r w:rsidR="2323C71A" w:rsidRPr="5CA3364F">
        <w:rPr>
          <w:b/>
          <w:bCs/>
          <w:lang w:val="fr-FR"/>
        </w:rPr>
        <w:t xml:space="preserve"> </w:t>
      </w:r>
      <w:r w:rsidR="113A99C6" w:rsidRPr="5CA3364F">
        <w:rPr>
          <w:b/>
          <w:bCs/>
          <w:lang w:val="fr-FR"/>
        </w:rPr>
        <w:t xml:space="preserve">: </w:t>
      </w:r>
      <w:r w:rsidR="0014583F">
        <w:rPr>
          <w:b/>
          <w:bCs/>
          <w:lang w:val="fr-FR"/>
        </w:rPr>
        <w:t>Phase initiale de la compétition - Formation et sélection pour la finale</w:t>
      </w:r>
      <w:r w:rsidR="113A99C6" w:rsidRPr="5CA3364F">
        <w:rPr>
          <w:b/>
          <w:bCs/>
          <w:lang w:val="fr-FR"/>
        </w:rPr>
        <w:t> </w:t>
      </w:r>
    </w:p>
    <w:p w14:paraId="095E4CCE" w14:textId="11440FF2" w:rsidR="309C49D5" w:rsidRDefault="309C49D5" w:rsidP="0C15A571">
      <w:pPr>
        <w:spacing w:line="22" w:lineRule="atLeast"/>
        <w:jc w:val="both"/>
        <w:rPr>
          <w:rFonts w:ascii="Calibri" w:eastAsia="Calibri" w:hAnsi="Calibri" w:cs="Calibri"/>
          <w:lang w:val="fr-FR"/>
        </w:rPr>
      </w:pPr>
      <w:r w:rsidRPr="0C15A571">
        <w:rPr>
          <w:rFonts w:ascii="Calibri" w:eastAsia="Calibri" w:hAnsi="Calibri" w:cs="Calibri"/>
          <w:lang w:val="fr"/>
        </w:rPr>
        <w:t xml:space="preserve">Selon la répartition géographique des candidatures à travers les différents gouvernorats du pays, les personnes et équipes portant les projets présélectionnés seront appelés à participer à une rencontre régionale d’une durée de 2 jours. </w:t>
      </w:r>
    </w:p>
    <w:p w14:paraId="53EBEDC9" w14:textId="0F34507A" w:rsidR="309C49D5" w:rsidRDefault="309C49D5" w:rsidP="0C15A571">
      <w:pPr>
        <w:spacing w:line="22" w:lineRule="atLeast"/>
        <w:jc w:val="both"/>
        <w:rPr>
          <w:rFonts w:ascii="Calibri" w:eastAsia="Calibri" w:hAnsi="Calibri" w:cs="Calibri"/>
          <w:lang w:val="fr-FR"/>
        </w:rPr>
      </w:pPr>
      <w:r w:rsidRPr="0C15A571">
        <w:rPr>
          <w:rFonts w:ascii="Calibri" w:eastAsia="Calibri" w:hAnsi="Calibri" w:cs="Calibri"/>
          <w:lang w:val="fr"/>
        </w:rPr>
        <w:t xml:space="preserve">Ces rencontres réuniront l’équipe de projet Gender Justice ainsi que l’ensemble des individus et entités participant à la compétition. Chaque personne ou équipe porteuse d’une idée de projet sera invitée à la présenter aux autres participants ; afin d’amorcer un processus de réflexion collective et de critique constructive, ceux-ci pourront poser leurs questions et proposer des suggestions d’amélioration pour chacune des idées de projets. Ces rencontres seront également l’occasion de fournir aux participants une formation sur l’approche genre, sur l’optique </w:t>
      </w:r>
      <w:proofErr w:type="spellStart"/>
      <w:r w:rsidRPr="0C15A571">
        <w:rPr>
          <w:rFonts w:ascii="Calibri" w:eastAsia="Calibri" w:hAnsi="Calibri" w:cs="Calibri"/>
          <w:lang w:val="fr"/>
        </w:rPr>
        <w:t>Leaving</w:t>
      </w:r>
      <w:proofErr w:type="spellEnd"/>
      <w:r w:rsidRPr="0C15A571">
        <w:rPr>
          <w:rFonts w:ascii="Calibri" w:eastAsia="Calibri" w:hAnsi="Calibri" w:cs="Calibri"/>
          <w:lang w:val="fr"/>
        </w:rPr>
        <w:t xml:space="preserve"> No One </w:t>
      </w:r>
      <w:proofErr w:type="spellStart"/>
      <w:r w:rsidRPr="0C15A571">
        <w:rPr>
          <w:rFonts w:ascii="Calibri" w:eastAsia="Calibri" w:hAnsi="Calibri" w:cs="Calibri"/>
          <w:lang w:val="fr"/>
        </w:rPr>
        <w:t>Behind</w:t>
      </w:r>
      <w:proofErr w:type="spellEnd"/>
      <w:r w:rsidRPr="0C15A571">
        <w:rPr>
          <w:rFonts w:ascii="Calibri" w:eastAsia="Calibri" w:hAnsi="Calibri" w:cs="Calibri"/>
          <w:lang w:val="fr"/>
        </w:rPr>
        <w:t xml:space="preserve"> (LNOB), l’approche basée sur les droits humains (Human </w:t>
      </w:r>
      <w:proofErr w:type="spellStart"/>
      <w:r w:rsidRPr="0C15A571">
        <w:rPr>
          <w:rFonts w:ascii="Calibri" w:eastAsia="Calibri" w:hAnsi="Calibri" w:cs="Calibri"/>
          <w:lang w:val="fr"/>
        </w:rPr>
        <w:t>Rights-Based</w:t>
      </w:r>
      <w:proofErr w:type="spellEnd"/>
      <w:r w:rsidRPr="0C15A571">
        <w:rPr>
          <w:rFonts w:ascii="Calibri" w:eastAsia="Calibri" w:hAnsi="Calibri" w:cs="Calibri"/>
          <w:lang w:val="fr"/>
        </w:rPr>
        <w:t xml:space="preserve"> </w:t>
      </w:r>
      <w:proofErr w:type="spellStart"/>
      <w:r w:rsidRPr="0C15A571">
        <w:rPr>
          <w:rFonts w:ascii="Calibri" w:eastAsia="Calibri" w:hAnsi="Calibri" w:cs="Calibri"/>
          <w:lang w:val="fr"/>
        </w:rPr>
        <w:t>Approach</w:t>
      </w:r>
      <w:proofErr w:type="spellEnd"/>
      <w:r w:rsidRPr="0C15A571">
        <w:rPr>
          <w:rFonts w:ascii="Calibri" w:eastAsia="Calibri" w:hAnsi="Calibri" w:cs="Calibri"/>
          <w:lang w:val="fr"/>
        </w:rPr>
        <w:t xml:space="preserve"> - HRBA) et la gestion axée sur les résultats (</w:t>
      </w:r>
      <w:proofErr w:type="spellStart"/>
      <w:r w:rsidRPr="0C15A571">
        <w:rPr>
          <w:rFonts w:ascii="Calibri" w:eastAsia="Calibri" w:hAnsi="Calibri" w:cs="Calibri"/>
          <w:lang w:val="fr"/>
        </w:rPr>
        <w:t>Results-Based</w:t>
      </w:r>
      <w:proofErr w:type="spellEnd"/>
      <w:r w:rsidRPr="0C15A571">
        <w:rPr>
          <w:rFonts w:ascii="Calibri" w:eastAsia="Calibri" w:hAnsi="Calibri" w:cs="Calibri"/>
          <w:lang w:val="fr"/>
        </w:rPr>
        <w:t xml:space="preserve"> Management - RBM). </w:t>
      </w:r>
    </w:p>
    <w:p w14:paraId="41D35B42" w14:textId="5695A871" w:rsidR="309C49D5" w:rsidRDefault="309C49D5" w:rsidP="0C15A571">
      <w:pPr>
        <w:spacing w:line="22" w:lineRule="atLeast"/>
        <w:jc w:val="both"/>
        <w:rPr>
          <w:rFonts w:ascii="Calibri" w:eastAsia="Calibri" w:hAnsi="Calibri" w:cs="Calibri"/>
          <w:lang w:val="fr-FR"/>
        </w:rPr>
      </w:pPr>
      <w:r w:rsidRPr="0C15A571">
        <w:rPr>
          <w:rFonts w:ascii="Calibri" w:eastAsia="Calibri" w:hAnsi="Calibri" w:cs="Calibri"/>
          <w:lang w:val="fr"/>
        </w:rPr>
        <w:t xml:space="preserve">Au terme de chacune de ces rencontres, </w:t>
      </w:r>
      <w:r w:rsidRPr="0C15A571">
        <w:rPr>
          <w:rFonts w:ascii="Calibri" w:eastAsia="Calibri" w:hAnsi="Calibri" w:cs="Calibri"/>
          <w:b/>
          <w:bCs/>
          <w:lang w:val="fr"/>
        </w:rPr>
        <w:t xml:space="preserve">les participants disposeront d’une semaine pour envoyer leur idée modifiée </w:t>
      </w:r>
      <w:r w:rsidRPr="0C15A571">
        <w:rPr>
          <w:rFonts w:ascii="Calibri" w:eastAsia="Calibri" w:hAnsi="Calibri" w:cs="Calibri"/>
          <w:lang w:val="fr"/>
        </w:rPr>
        <w:t xml:space="preserve">et ajustée en tenant compte des formations, des commentaires et des critiques reçues. C’est sur la base de ces nouvelles idées de projets que seront sélectionnés sur l’ensemble du territoire les projets les plus efficaces et viables pour participer à la compétition finale au niveau national. </w:t>
      </w:r>
    </w:p>
    <w:p w14:paraId="21A71AE8" w14:textId="10302F8E" w:rsidR="309C49D5" w:rsidRDefault="309C49D5" w:rsidP="0C15A571">
      <w:pPr>
        <w:spacing w:line="22" w:lineRule="atLeast"/>
        <w:jc w:val="both"/>
        <w:rPr>
          <w:rFonts w:ascii="Calibri" w:eastAsia="Calibri" w:hAnsi="Calibri" w:cs="Calibri"/>
          <w:lang w:val="fr-FR"/>
        </w:rPr>
      </w:pPr>
      <w:r w:rsidRPr="0C15A571">
        <w:rPr>
          <w:rFonts w:ascii="Calibri" w:eastAsia="Calibri" w:hAnsi="Calibri" w:cs="Calibri"/>
          <w:lang w:val="fr"/>
        </w:rPr>
        <w:lastRenderedPageBreak/>
        <w:t>La sélection sera effectuée par un jury composé de membres du PNUD ainsi que d’experts externes démontrant une expertise dans le domaine, afin de compléter l’expertise du PNUD et d’assurer la sélection des solutions les plus efficaces et viables.</w:t>
      </w:r>
    </w:p>
    <w:p w14:paraId="18B67BE3" w14:textId="2B8E50C0" w:rsidR="113A99C6" w:rsidRPr="00AA50A0" w:rsidRDefault="1F19392F" w:rsidP="3D4A64DE">
      <w:pPr>
        <w:jc w:val="both"/>
        <w:rPr>
          <w:b/>
          <w:bCs/>
          <w:lang w:val="fr-FR"/>
        </w:rPr>
      </w:pPr>
      <w:r w:rsidRPr="00AA50A0">
        <w:rPr>
          <w:b/>
          <w:bCs/>
          <w:lang w:val="fr-FR"/>
        </w:rPr>
        <w:t xml:space="preserve">Mars 2021 </w:t>
      </w:r>
      <w:r w:rsidR="113A99C6" w:rsidRPr="00AA50A0">
        <w:rPr>
          <w:b/>
          <w:bCs/>
          <w:lang w:val="fr-FR"/>
        </w:rPr>
        <w:t xml:space="preserve">: </w:t>
      </w:r>
      <w:r w:rsidR="0014583F">
        <w:rPr>
          <w:b/>
          <w:bCs/>
          <w:lang w:val="fr-FR"/>
        </w:rPr>
        <w:t xml:space="preserve">Phase finale - </w:t>
      </w:r>
      <w:r w:rsidR="113A99C6" w:rsidRPr="00AA50A0">
        <w:rPr>
          <w:b/>
          <w:bCs/>
          <w:lang w:val="fr-FR"/>
        </w:rPr>
        <w:t>Compétition nationale</w:t>
      </w:r>
    </w:p>
    <w:p w14:paraId="739C2C83" w14:textId="5B45C49F" w:rsidR="3D4A64DE" w:rsidRPr="00AA50A0" w:rsidRDefault="555C6BCC" w:rsidP="2CFC03C3">
      <w:pPr>
        <w:jc w:val="both"/>
        <w:rPr>
          <w:rFonts w:ascii="Calibri" w:eastAsia="Calibri" w:hAnsi="Calibri" w:cs="Calibri"/>
          <w:lang w:val="fr-FR"/>
        </w:rPr>
      </w:pPr>
      <w:r w:rsidRPr="33C31207">
        <w:rPr>
          <w:rFonts w:ascii="Calibri" w:eastAsia="Calibri" w:hAnsi="Calibri" w:cs="Calibri"/>
          <w:lang w:val="fr"/>
        </w:rPr>
        <w:t xml:space="preserve">La compétition nationale se déroulera à Tunis et verra s’affronter les </w:t>
      </w:r>
      <w:r w:rsidR="60FD8EA6" w:rsidRPr="33C31207">
        <w:rPr>
          <w:rFonts w:ascii="Calibri" w:eastAsia="Calibri" w:hAnsi="Calibri" w:cs="Calibri"/>
          <w:lang w:val="fr"/>
        </w:rPr>
        <w:t xml:space="preserve">différentes idées de </w:t>
      </w:r>
      <w:r w:rsidRPr="33C31207">
        <w:rPr>
          <w:rFonts w:ascii="Calibri" w:eastAsia="Calibri" w:hAnsi="Calibri" w:cs="Calibri"/>
          <w:lang w:val="fr"/>
        </w:rPr>
        <w:t xml:space="preserve">projets </w:t>
      </w:r>
      <w:r w:rsidR="60FD8EA6" w:rsidRPr="33C31207">
        <w:rPr>
          <w:rFonts w:ascii="Calibri" w:eastAsia="Calibri" w:hAnsi="Calibri" w:cs="Calibri"/>
          <w:lang w:val="fr"/>
        </w:rPr>
        <w:t>sélectionnées sur l’ensemble du territoire à l’étape précédente.</w:t>
      </w:r>
      <w:r w:rsidRPr="33C31207">
        <w:rPr>
          <w:rFonts w:ascii="Calibri" w:eastAsia="Calibri" w:hAnsi="Calibri" w:cs="Calibri"/>
          <w:lang w:val="fr"/>
        </w:rPr>
        <w:t xml:space="preserve"> Elle se déroulera </w:t>
      </w:r>
      <w:r w:rsidR="000D4EF7" w:rsidRPr="33C31207">
        <w:rPr>
          <w:rFonts w:ascii="Calibri" w:eastAsia="Calibri" w:hAnsi="Calibri" w:cs="Calibri"/>
          <w:lang w:val="fr"/>
        </w:rPr>
        <w:t xml:space="preserve">sur la base d’une confrontation entre les </w:t>
      </w:r>
      <w:r w:rsidR="60FD8EA6" w:rsidRPr="33C31207">
        <w:rPr>
          <w:rFonts w:ascii="Calibri" w:eastAsia="Calibri" w:hAnsi="Calibri" w:cs="Calibri"/>
          <w:lang w:val="fr"/>
        </w:rPr>
        <w:t xml:space="preserve">différentes personnes et équipes porteuses, qui présenteront leurs différents projets. </w:t>
      </w:r>
      <w:r w:rsidR="007E4D03" w:rsidRPr="33C31207">
        <w:rPr>
          <w:rFonts w:ascii="Calibri" w:eastAsia="Calibri" w:hAnsi="Calibri" w:cs="Calibri"/>
          <w:lang w:val="fr"/>
        </w:rPr>
        <w:t>Puis s’en suivra une phase de questions/réponses de la part du jury et des autres candidats.</w:t>
      </w:r>
    </w:p>
    <w:p w14:paraId="66AE123E" w14:textId="0A3C6C1B" w:rsidR="3D4A64DE" w:rsidRDefault="01B6D01C" w:rsidP="2CFC03C3">
      <w:pPr>
        <w:jc w:val="both"/>
        <w:rPr>
          <w:rFonts w:ascii="Calibri" w:eastAsia="Calibri" w:hAnsi="Calibri" w:cs="Calibri"/>
          <w:lang w:val="fr-FR"/>
        </w:rPr>
      </w:pPr>
      <w:r w:rsidRPr="33C31207">
        <w:rPr>
          <w:rFonts w:ascii="Calibri" w:eastAsia="Calibri" w:hAnsi="Calibri" w:cs="Calibri"/>
          <w:lang w:val="fr"/>
        </w:rPr>
        <w:t xml:space="preserve">La sélection </w:t>
      </w:r>
      <w:r w:rsidR="00E3045D" w:rsidRPr="33C31207">
        <w:rPr>
          <w:rFonts w:ascii="Calibri" w:eastAsia="Calibri" w:hAnsi="Calibri" w:cs="Calibri"/>
          <w:lang w:val="fr"/>
        </w:rPr>
        <w:t>des idées de projet lauréates s</w:t>
      </w:r>
      <w:r w:rsidRPr="33C31207">
        <w:rPr>
          <w:rFonts w:ascii="Calibri" w:eastAsia="Calibri" w:hAnsi="Calibri" w:cs="Calibri"/>
          <w:lang w:val="fr"/>
        </w:rPr>
        <w:t>era effectuée par un jury composé de membres du PNUD ainsi que d’experts externes démontrant d’une expertise dans le domaine, afin d’assurer la sélection des solutions les plus efficaces et viables.</w:t>
      </w:r>
    </w:p>
    <w:p w14:paraId="505B1E67" w14:textId="661FA2F6" w:rsidR="60FD8EA6" w:rsidRDefault="60FD8EA6" w:rsidP="33C31207">
      <w:pPr>
        <w:jc w:val="both"/>
        <w:rPr>
          <w:rFonts w:ascii="Calibri" w:eastAsia="Calibri" w:hAnsi="Calibri" w:cs="Calibri"/>
          <w:lang w:val="fr-FR"/>
        </w:rPr>
      </w:pPr>
      <w:r w:rsidRPr="33C31207">
        <w:rPr>
          <w:rFonts w:ascii="Calibri" w:eastAsia="Calibri" w:hAnsi="Calibri" w:cs="Calibri"/>
          <w:lang w:val="fr"/>
        </w:rPr>
        <w:t>Au terme de la compétition nationale, quatre idées de projets seront sélectionnées respectivement en fonction des objectifs déterminés plus haut pour bénéficier du prix final de 20 000 DT, qui permettra le test, le développement et la mise en œuvre de cette idée.</w:t>
      </w:r>
    </w:p>
    <w:p w14:paraId="286ED022" w14:textId="0DBC930B" w:rsidR="113A99C6" w:rsidRPr="00AA50A0" w:rsidRDefault="037221C4" w:rsidP="3D4A64DE">
      <w:pPr>
        <w:jc w:val="both"/>
        <w:rPr>
          <w:b/>
          <w:bCs/>
          <w:lang w:val="fr-FR"/>
        </w:rPr>
      </w:pPr>
      <w:r w:rsidRPr="00AA50A0">
        <w:rPr>
          <w:b/>
          <w:bCs/>
          <w:lang w:val="fr-FR"/>
        </w:rPr>
        <w:t>Avril 2021</w:t>
      </w:r>
      <w:r w:rsidR="113A99C6" w:rsidRPr="00AA50A0">
        <w:rPr>
          <w:b/>
          <w:bCs/>
          <w:lang w:val="fr-FR"/>
        </w:rPr>
        <w:t xml:space="preserve"> : </w:t>
      </w:r>
      <w:r w:rsidR="14B4B008" w:rsidRPr="00AA50A0">
        <w:rPr>
          <w:b/>
          <w:bCs/>
          <w:lang w:val="fr-FR"/>
        </w:rPr>
        <w:t>Finalisation des documents de projets et signature des conventions de financement</w:t>
      </w:r>
    </w:p>
    <w:p w14:paraId="3C72BE40" w14:textId="09784F97" w:rsidR="3113EF44" w:rsidRPr="00AA50A0" w:rsidRDefault="6AAC6A00" w:rsidP="3113EF44">
      <w:pPr>
        <w:jc w:val="both"/>
        <w:rPr>
          <w:lang w:val="fr-FR"/>
        </w:rPr>
      </w:pPr>
      <w:r w:rsidRPr="00AA50A0">
        <w:rPr>
          <w:lang w:val="fr-FR"/>
        </w:rPr>
        <w:t>Voir</w:t>
      </w:r>
      <w:r w:rsidR="0006110B" w:rsidRPr="00AA50A0">
        <w:rPr>
          <w:lang w:val="fr-FR"/>
        </w:rPr>
        <w:t xml:space="preserve"> la </w:t>
      </w:r>
      <w:r w:rsidRPr="00AA50A0">
        <w:rPr>
          <w:lang w:val="fr-FR"/>
        </w:rPr>
        <w:t>liste des documents</w:t>
      </w:r>
      <w:r w:rsidR="442407B0" w:rsidRPr="00AA50A0">
        <w:rPr>
          <w:lang w:val="fr-FR"/>
        </w:rPr>
        <w:t xml:space="preserve"> de projet</w:t>
      </w:r>
      <w:r w:rsidRPr="00AA50A0">
        <w:rPr>
          <w:lang w:val="fr-FR"/>
        </w:rPr>
        <w:t xml:space="preserve"> nécessaires dans les lignes directrices en annexe. </w:t>
      </w:r>
    </w:p>
    <w:p w14:paraId="71F74154" w14:textId="6C6B9497" w:rsidR="0063592E" w:rsidRPr="0063592E" w:rsidRDefault="5788C08E" w:rsidP="0063592E">
      <w:pPr>
        <w:jc w:val="both"/>
        <w:rPr>
          <w:b/>
          <w:bCs/>
          <w:lang w:val="fr-FR"/>
        </w:rPr>
      </w:pPr>
      <w:r w:rsidRPr="00AA50A0">
        <w:rPr>
          <w:b/>
          <w:bCs/>
          <w:lang w:val="fr-FR"/>
        </w:rPr>
        <w:t xml:space="preserve">Avril 2021 à </w:t>
      </w:r>
      <w:r w:rsidR="00B2236C">
        <w:rPr>
          <w:b/>
          <w:bCs/>
          <w:lang w:val="fr-FR"/>
        </w:rPr>
        <w:t>Juin</w:t>
      </w:r>
      <w:r w:rsidRPr="00AA50A0">
        <w:rPr>
          <w:b/>
          <w:bCs/>
          <w:lang w:val="fr-FR"/>
        </w:rPr>
        <w:t xml:space="preserve"> 2021 </w:t>
      </w:r>
      <w:r w:rsidR="113A99C6" w:rsidRPr="00AA50A0">
        <w:rPr>
          <w:b/>
          <w:bCs/>
          <w:lang w:val="fr-FR"/>
        </w:rPr>
        <w:t>: Financement, accompagnement et mise en œuvre des solutions sélectionnées</w:t>
      </w:r>
    </w:p>
    <w:p w14:paraId="55648E81" w14:textId="7B3CEE47" w:rsidR="5661816E" w:rsidRDefault="5661816E" w:rsidP="5CDB3164">
      <w:pPr>
        <w:jc w:val="both"/>
        <w:rPr>
          <w:b/>
          <w:bCs/>
          <w:lang w:val="fr-FR"/>
        </w:rPr>
      </w:pPr>
      <w:r w:rsidRPr="5CDB3164">
        <w:rPr>
          <w:lang w:val="fr-FR"/>
        </w:rPr>
        <w:t xml:space="preserve">Les prix de </w:t>
      </w:r>
      <w:r w:rsidR="00AA50A0">
        <w:rPr>
          <w:lang w:val="fr-FR"/>
        </w:rPr>
        <w:t>20</w:t>
      </w:r>
      <w:r w:rsidRPr="5CDB3164">
        <w:rPr>
          <w:lang w:val="fr-FR"/>
        </w:rPr>
        <w:t xml:space="preserve"> 000 DT alloués aux idées de projet gagnantes seront décaissés en trois tranches, suivant le tableau suivant : </w:t>
      </w:r>
    </w:p>
    <w:tbl>
      <w:tblPr>
        <w:tblStyle w:val="TableGrid"/>
        <w:tblW w:w="0" w:type="auto"/>
        <w:tblLayout w:type="fixed"/>
        <w:tblLook w:val="06A0" w:firstRow="1" w:lastRow="0" w:firstColumn="1" w:lastColumn="0" w:noHBand="1" w:noVBand="1"/>
      </w:tblPr>
      <w:tblGrid>
        <w:gridCol w:w="4230"/>
        <w:gridCol w:w="2115"/>
        <w:gridCol w:w="2670"/>
      </w:tblGrid>
      <w:tr w:rsidR="5CDB3164" w14:paraId="3F06568E" w14:textId="77777777" w:rsidTr="5CDB3164">
        <w:trPr>
          <w:trHeight w:val="300"/>
        </w:trPr>
        <w:tc>
          <w:tcPr>
            <w:tcW w:w="4230" w:type="dxa"/>
          </w:tcPr>
          <w:p w14:paraId="41756B75" w14:textId="018321C0" w:rsidR="5661816E" w:rsidRDefault="5661816E" w:rsidP="5CDB3164">
            <w:pPr>
              <w:rPr>
                <w:b/>
                <w:bCs/>
                <w:lang w:val="fr-FR"/>
              </w:rPr>
            </w:pPr>
            <w:r w:rsidRPr="5CDB3164">
              <w:rPr>
                <w:b/>
                <w:bCs/>
                <w:lang w:val="fr-FR"/>
              </w:rPr>
              <w:t>Livrable attendu</w:t>
            </w:r>
          </w:p>
        </w:tc>
        <w:tc>
          <w:tcPr>
            <w:tcW w:w="2115" w:type="dxa"/>
          </w:tcPr>
          <w:p w14:paraId="30E3FF01" w14:textId="544130BA" w:rsidR="5661816E" w:rsidRDefault="5661816E" w:rsidP="5CDB3164">
            <w:pPr>
              <w:rPr>
                <w:b/>
                <w:bCs/>
                <w:lang w:val="fr-FR"/>
              </w:rPr>
            </w:pPr>
            <w:r w:rsidRPr="5CDB3164">
              <w:rPr>
                <w:b/>
                <w:bCs/>
                <w:lang w:val="fr-FR"/>
              </w:rPr>
              <w:t>Délai</w:t>
            </w:r>
          </w:p>
        </w:tc>
        <w:tc>
          <w:tcPr>
            <w:tcW w:w="2670" w:type="dxa"/>
          </w:tcPr>
          <w:p w14:paraId="6FB882D5" w14:textId="0EE9F411" w:rsidR="5661816E" w:rsidRDefault="5661816E" w:rsidP="5CDB3164">
            <w:pPr>
              <w:rPr>
                <w:b/>
                <w:bCs/>
                <w:lang w:val="fr-FR"/>
              </w:rPr>
            </w:pPr>
            <w:r w:rsidRPr="5CDB3164">
              <w:rPr>
                <w:b/>
                <w:bCs/>
                <w:lang w:val="fr-FR"/>
              </w:rPr>
              <w:t>Tranche de décaissement</w:t>
            </w:r>
          </w:p>
        </w:tc>
      </w:tr>
      <w:tr w:rsidR="00702689" w14:paraId="78B476A5" w14:textId="77777777" w:rsidTr="00C36BAD">
        <w:tc>
          <w:tcPr>
            <w:tcW w:w="4230" w:type="dxa"/>
          </w:tcPr>
          <w:p w14:paraId="2E3FFDA8" w14:textId="01310DFD" w:rsidR="00702689" w:rsidRPr="00702689" w:rsidRDefault="00702689" w:rsidP="00702689">
            <w:pPr>
              <w:rPr>
                <w:lang w:val="fr-FR"/>
              </w:rPr>
            </w:pPr>
            <w:r w:rsidRPr="00702689">
              <w:rPr>
                <w:rFonts w:ascii="Calibri" w:eastAsia="Calibri" w:hAnsi="Calibri" w:cs="Calibri"/>
                <w:lang w:val="fr-FR"/>
              </w:rPr>
              <w:t>Proposition de projet finalisée</w:t>
            </w:r>
          </w:p>
        </w:tc>
        <w:tc>
          <w:tcPr>
            <w:tcW w:w="2115" w:type="dxa"/>
          </w:tcPr>
          <w:p w14:paraId="57C1EE2C" w14:textId="57B83358" w:rsidR="00702689" w:rsidRPr="00702689" w:rsidRDefault="00702689" w:rsidP="00702689">
            <w:pPr>
              <w:rPr>
                <w:lang w:val="fr-FR"/>
              </w:rPr>
            </w:pPr>
            <w:r w:rsidRPr="00702689">
              <w:rPr>
                <w:rFonts w:ascii="Calibri" w:eastAsia="Calibri" w:hAnsi="Calibri" w:cs="Calibri"/>
                <w:lang w:val="fr-FR"/>
              </w:rPr>
              <w:t>Initiation du projet</w:t>
            </w:r>
          </w:p>
        </w:tc>
        <w:tc>
          <w:tcPr>
            <w:tcW w:w="2670" w:type="dxa"/>
          </w:tcPr>
          <w:p w14:paraId="2339FEB6" w14:textId="5A7E5F66" w:rsidR="00702689" w:rsidRPr="00702689" w:rsidRDefault="04DB92DD" w:rsidP="00702689">
            <w:pPr>
              <w:jc w:val="center"/>
              <w:rPr>
                <w:lang w:val="fr-FR"/>
              </w:rPr>
            </w:pPr>
            <w:r w:rsidRPr="13671F00">
              <w:rPr>
                <w:rFonts w:ascii="Calibri" w:eastAsia="Calibri" w:hAnsi="Calibri" w:cs="Calibri"/>
                <w:lang w:val="fr-FR"/>
              </w:rPr>
              <w:t>9</w:t>
            </w:r>
            <w:r w:rsidR="00702689" w:rsidRPr="13671F00">
              <w:rPr>
                <w:rFonts w:ascii="Calibri" w:eastAsia="Calibri" w:hAnsi="Calibri" w:cs="Calibri"/>
                <w:lang w:val="fr-FR"/>
              </w:rPr>
              <w:t>0</w:t>
            </w:r>
            <w:r w:rsidR="00702689" w:rsidRPr="00702689">
              <w:rPr>
                <w:rFonts w:ascii="Calibri" w:eastAsia="Calibri" w:hAnsi="Calibri" w:cs="Calibri"/>
                <w:lang w:val="fr-FR"/>
              </w:rPr>
              <w:t>%</w:t>
            </w:r>
          </w:p>
        </w:tc>
      </w:tr>
      <w:tr w:rsidR="00702689" w14:paraId="0D44D107" w14:textId="77777777" w:rsidTr="00C36BAD">
        <w:tc>
          <w:tcPr>
            <w:tcW w:w="4230" w:type="dxa"/>
          </w:tcPr>
          <w:p w14:paraId="08EB8230" w14:textId="745FC4AC" w:rsidR="00702689" w:rsidRPr="00702689" w:rsidRDefault="00702689" w:rsidP="00702689">
            <w:pPr>
              <w:rPr>
                <w:lang w:val="fr-FR"/>
              </w:rPr>
            </w:pPr>
            <w:r w:rsidRPr="00702689">
              <w:rPr>
                <w:rFonts w:ascii="Calibri" w:eastAsia="Calibri" w:hAnsi="Calibri" w:cs="Calibri"/>
                <w:lang w:val="fr-FR"/>
              </w:rPr>
              <w:t>Rapport final attestant de la réussite ou non du projet vis-à-vis des indicateurs et des cibles atteintes</w:t>
            </w:r>
          </w:p>
        </w:tc>
        <w:tc>
          <w:tcPr>
            <w:tcW w:w="2115" w:type="dxa"/>
          </w:tcPr>
          <w:p w14:paraId="30DA21C8" w14:textId="39A39D1C" w:rsidR="00702689" w:rsidRPr="00702689" w:rsidRDefault="00702689" w:rsidP="00702689">
            <w:pPr>
              <w:rPr>
                <w:lang w:val="fr-FR"/>
              </w:rPr>
            </w:pPr>
            <w:r w:rsidRPr="00702689">
              <w:rPr>
                <w:rFonts w:ascii="Calibri" w:eastAsia="Calibri" w:hAnsi="Calibri" w:cs="Calibri"/>
                <w:lang w:val="fr-FR"/>
              </w:rPr>
              <w:t>Fin du projet (</w:t>
            </w:r>
            <w:r w:rsidR="1F7B0E6F" w:rsidRPr="678BE737">
              <w:rPr>
                <w:rFonts w:ascii="Calibri" w:eastAsia="Calibri" w:hAnsi="Calibri" w:cs="Calibri"/>
                <w:lang w:val="fr-FR"/>
              </w:rPr>
              <w:t xml:space="preserve">31 </w:t>
            </w:r>
            <w:r w:rsidR="6CBE0972" w:rsidRPr="434FFE99">
              <w:rPr>
                <w:rFonts w:ascii="Calibri" w:eastAsia="Calibri" w:hAnsi="Calibri" w:cs="Calibri"/>
                <w:lang w:val="fr-FR"/>
              </w:rPr>
              <w:t>juin</w:t>
            </w:r>
            <w:r w:rsidRPr="00702689">
              <w:rPr>
                <w:rFonts w:ascii="Calibri" w:eastAsia="Calibri" w:hAnsi="Calibri" w:cs="Calibri"/>
                <w:lang w:val="fr-FR"/>
              </w:rPr>
              <w:t xml:space="preserve"> </w:t>
            </w:r>
            <w:r w:rsidRPr="00702689">
              <w:rPr>
                <w:rFonts w:ascii="Calibri" w:eastAsia="Calibri" w:hAnsi="Calibri" w:cs="Calibri"/>
                <w:lang w:val="fr-FR"/>
              </w:rPr>
              <w:t>2021 au plus tard)</w:t>
            </w:r>
          </w:p>
        </w:tc>
        <w:tc>
          <w:tcPr>
            <w:tcW w:w="2670" w:type="dxa"/>
          </w:tcPr>
          <w:p w14:paraId="3630F11C" w14:textId="0E6A82BF" w:rsidR="00702689" w:rsidRPr="00702689" w:rsidRDefault="00702689" w:rsidP="00702689">
            <w:pPr>
              <w:jc w:val="center"/>
              <w:rPr>
                <w:lang w:val="fr-FR"/>
              </w:rPr>
            </w:pPr>
            <w:r w:rsidRPr="00702689">
              <w:rPr>
                <w:rFonts w:ascii="Calibri" w:eastAsia="Calibri" w:hAnsi="Calibri" w:cs="Calibri"/>
                <w:lang w:val="fr-FR"/>
              </w:rPr>
              <w:t>10%</w:t>
            </w:r>
          </w:p>
        </w:tc>
      </w:tr>
    </w:tbl>
    <w:p w14:paraId="5124C27B" w14:textId="17A2ABC9" w:rsidR="006E4322" w:rsidRPr="006E4322" w:rsidRDefault="006E4322" w:rsidP="32AFBFA5">
      <w:pPr>
        <w:jc w:val="both"/>
        <w:rPr>
          <w:lang w:val="fr-FR"/>
        </w:rPr>
      </w:pPr>
    </w:p>
    <w:sectPr w:rsidR="006E4322" w:rsidRPr="006E4322">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D851" w16cex:dateUtc="2020-12-08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78B1" w14:textId="77777777" w:rsidR="00CE310B" w:rsidRDefault="00CE310B" w:rsidP="005B3872">
      <w:pPr>
        <w:spacing w:after="0" w:line="240" w:lineRule="auto"/>
      </w:pPr>
      <w:r>
        <w:separator/>
      </w:r>
    </w:p>
  </w:endnote>
  <w:endnote w:type="continuationSeparator" w:id="0">
    <w:p w14:paraId="577D055E" w14:textId="77777777" w:rsidR="00CE310B" w:rsidRDefault="00CE310B" w:rsidP="005B3872">
      <w:pPr>
        <w:spacing w:after="0" w:line="240" w:lineRule="auto"/>
      </w:pPr>
      <w:r>
        <w:continuationSeparator/>
      </w:r>
    </w:p>
  </w:endnote>
  <w:endnote w:type="continuationNotice" w:id="1">
    <w:p w14:paraId="2D32915E" w14:textId="77777777" w:rsidR="00CE310B" w:rsidRDefault="00CE3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266981"/>
      <w:docPartObj>
        <w:docPartGallery w:val="Page Numbers (Bottom of Page)"/>
        <w:docPartUnique/>
      </w:docPartObj>
    </w:sdtPr>
    <w:sdtEndPr>
      <w:rPr>
        <w:noProof/>
      </w:rPr>
    </w:sdtEndPr>
    <w:sdtContent>
      <w:p w14:paraId="0C571CE1" w14:textId="40BD037C" w:rsidR="0074287A" w:rsidRDefault="00742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FDEAB" w14:textId="77777777" w:rsidR="0074287A" w:rsidRDefault="0074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5730" w14:textId="77777777" w:rsidR="00CE310B" w:rsidRDefault="00CE310B" w:rsidP="005B3872">
      <w:pPr>
        <w:spacing w:after="0" w:line="240" w:lineRule="auto"/>
      </w:pPr>
      <w:r>
        <w:separator/>
      </w:r>
    </w:p>
  </w:footnote>
  <w:footnote w:type="continuationSeparator" w:id="0">
    <w:p w14:paraId="3FAAC886" w14:textId="77777777" w:rsidR="00CE310B" w:rsidRDefault="00CE310B" w:rsidP="005B3872">
      <w:pPr>
        <w:spacing w:after="0" w:line="240" w:lineRule="auto"/>
      </w:pPr>
      <w:r>
        <w:continuationSeparator/>
      </w:r>
    </w:p>
  </w:footnote>
  <w:footnote w:type="continuationNotice" w:id="1">
    <w:p w14:paraId="262FA6B6" w14:textId="77777777" w:rsidR="00CE310B" w:rsidRDefault="00CE310B">
      <w:pPr>
        <w:spacing w:after="0" w:line="240" w:lineRule="auto"/>
      </w:pPr>
    </w:p>
  </w:footnote>
  <w:footnote w:id="2">
    <w:p w14:paraId="2EBC120C" w14:textId="77777777" w:rsidR="00510E7F" w:rsidRPr="00407F78" w:rsidRDefault="00510E7F" w:rsidP="00510E7F">
      <w:pPr>
        <w:autoSpaceDE w:val="0"/>
        <w:autoSpaceDN w:val="0"/>
        <w:adjustRightInd w:val="0"/>
        <w:spacing w:after="0" w:line="240" w:lineRule="auto"/>
        <w:rPr>
          <w:rFonts w:cstheme="minorHAnsi"/>
          <w:sz w:val="18"/>
          <w:szCs w:val="18"/>
        </w:rPr>
      </w:pPr>
      <w:r w:rsidRPr="00407F78">
        <w:rPr>
          <w:rStyle w:val="FootnoteReference"/>
          <w:rFonts w:cstheme="minorHAnsi"/>
          <w:sz w:val="18"/>
          <w:szCs w:val="18"/>
        </w:rPr>
        <w:footnoteRef/>
      </w:r>
      <w:r w:rsidRPr="00407F78">
        <w:rPr>
          <w:rFonts w:cstheme="minorHAnsi"/>
          <w:sz w:val="18"/>
          <w:szCs w:val="18"/>
        </w:rPr>
        <w:t xml:space="preserve"> Georgetown Institute for Women, Peace and Security and Peace Research Institute Oslo. 2019. Women,</w:t>
      </w:r>
    </w:p>
    <w:p w14:paraId="000D2B55" w14:textId="574F5FAC" w:rsidR="00510E7F" w:rsidRPr="00110A3C" w:rsidRDefault="00510E7F" w:rsidP="00510E7F">
      <w:pPr>
        <w:autoSpaceDE w:val="0"/>
        <w:autoSpaceDN w:val="0"/>
        <w:adjustRightInd w:val="0"/>
        <w:spacing w:after="0" w:line="240" w:lineRule="auto"/>
        <w:rPr>
          <w:rFonts w:ascii="Times New Roman" w:hAnsi="Times New Roman" w:cs="Times New Roman"/>
          <w:sz w:val="18"/>
          <w:szCs w:val="18"/>
          <w:lang w:val="fr-FR"/>
        </w:rPr>
      </w:pPr>
      <w:r w:rsidRPr="00407F78">
        <w:rPr>
          <w:rFonts w:cstheme="minorHAnsi"/>
          <w:sz w:val="18"/>
          <w:szCs w:val="18"/>
        </w:rPr>
        <w:t xml:space="preserve">Peace and Security </w:t>
      </w:r>
      <w:r w:rsidR="00650DB9">
        <w:rPr>
          <w:rFonts w:cstheme="minorHAnsi"/>
          <w:sz w:val="18"/>
          <w:szCs w:val="18"/>
        </w:rPr>
        <w:t xml:space="preserve">(WPS) </w:t>
      </w:r>
      <w:r w:rsidRPr="00407F78">
        <w:rPr>
          <w:rFonts w:cstheme="minorHAnsi"/>
          <w:sz w:val="18"/>
          <w:szCs w:val="18"/>
        </w:rPr>
        <w:t xml:space="preserve">Index 2019/20: Tracking sustainable peace through inclusion, justice, and security for women. </w:t>
      </w:r>
      <w:r w:rsidRPr="00110A3C">
        <w:rPr>
          <w:rFonts w:cstheme="minorHAnsi"/>
          <w:sz w:val="18"/>
          <w:szCs w:val="18"/>
          <w:lang w:val="fr-FR"/>
        </w:rPr>
        <w:t xml:space="preserve">Washington, </w:t>
      </w:r>
      <w:proofErr w:type="gramStart"/>
      <w:r w:rsidRPr="00110A3C">
        <w:rPr>
          <w:rFonts w:cstheme="minorHAnsi"/>
          <w:sz w:val="18"/>
          <w:szCs w:val="18"/>
          <w:lang w:val="fr-FR"/>
        </w:rPr>
        <w:t>DC:</w:t>
      </w:r>
      <w:proofErr w:type="gramEnd"/>
      <w:r w:rsidRPr="00110A3C">
        <w:rPr>
          <w:rFonts w:cstheme="minorHAnsi"/>
          <w:sz w:val="18"/>
          <w:szCs w:val="18"/>
          <w:lang w:val="fr-FR"/>
        </w:rPr>
        <w:t xml:space="preserve"> GIWPS and PRIO.</w:t>
      </w:r>
    </w:p>
  </w:footnote>
  <w:footnote w:id="3">
    <w:p w14:paraId="35440291" w14:textId="003D1C22" w:rsidR="00020A25" w:rsidRPr="00020A25" w:rsidRDefault="00020A25">
      <w:pPr>
        <w:pStyle w:val="FootnoteText"/>
        <w:rPr>
          <w:lang w:val="fr-FR"/>
        </w:rPr>
      </w:pPr>
      <w:r w:rsidRPr="00407F78">
        <w:rPr>
          <w:rStyle w:val="FootnoteReference"/>
          <w:sz w:val="18"/>
          <w:szCs w:val="18"/>
        </w:rPr>
        <w:footnoteRef/>
      </w:r>
      <w:r w:rsidRPr="00110A3C">
        <w:rPr>
          <w:sz w:val="18"/>
          <w:szCs w:val="18"/>
          <w:lang w:val="fr-FR"/>
        </w:rPr>
        <w:t xml:space="preserve"> </w:t>
      </w:r>
      <w:r w:rsidRPr="00407F78">
        <w:rPr>
          <w:sz w:val="18"/>
          <w:szCs w:val="18"/>
          <w:lang w:val="fr-FR"/>
        </w:rPr>
        <w:t>Ibid</w:t>
      </w:r>
      <w:r w:rsidR="00407F78" w:rsidRPr="00407F78">
        <w:rPr>
          <w:sz w:val="18"/>
          <w:szCs w:val="18"/>
          <w:lang w:val="fr-FR"/>
        </w:rPr>
        <w:t>.</w:t>
      </w:r>
      <w:r w:rsidR="00407F78">
        <w:rPr>
          <w:lang w:val="fr-FR"/>
        </w:rPr>
        <w:t xml:space="preserve"> </w:t>
      </w:r>
    </w:p>
  </w:footnote>
  <w:footnote w:id="4">
    <w:p w14:paraId="61CFB87E" w14:textId="0E62459D" w:rsidR="00E50626" w:rsidRPr="00FF34DF" w:rsidRDefault="00E50626">
      <w:pPr>
        <w:pStyle w:val="FootnoteText"/>
        <w:rPr>
          <w:sz w:val="18"/>
          <w:szCs w:val="18"/>
          <w:lang w:val="fr-FR"/>
        </w:rPr>
      </w:pPr>
      <w:r w:rsidRPr="00FF34DF">
        <w:rPr>
          <w:rStyle w:val="FootnoteReference"/>
          <w:sz w:val="18"/>
          <w:szCs w:val="18"/>
        </w:rPr>
        <w:footnoteRef/>
      </w:r>
      <w:r w:rsidRPr="00FF34DF">
        <w:rPr>
          <w:sz w:val="18"/>
          <w:szCs w:val="18"/>
          <w:lang w:val="fr-FR"/>
        </w:rPr>
        <w:t xml:space="preserve"> </w:t>
      </w:r>
      <w:r w:rsidR="00FF34DF" w:rsidRPr="00FF34DF">
        <w:rPr>
          <w:sz w:val="18"/>
          <w:szCs w:val="18"/>
          <w:lang w:val="fr-FR"/>
        </w:rPr>
        <w:t>Données d’</w:t>
      </w:r>
      <w:proofErr w:type="spellStart"/>
      <w:r w:rsidR="00FF34DF" w:rsidRPr="00FF34DF">
        <w:rPr>
          <w:sz w:val="18"/>
          <w:szCs w:val="18"/>
          <w:lang w:val="fr-FR"/>
        </w:rPr>
        <w:t>Afrobaromètre</w:t>
      </w:r>
      <w:proofErr w:type="spellEnd"/>
      <w:r w:rsidR="00FF34DF" w:rsidRPr="00FF34DF">
        <w:rPr>
          <w:sz w:val="18"/>
          <w:szCs w:val="18"/>
          <w:lang w:val="fr-FR"/>
        </w:rPr>
        <w:t xml:space="preserve">, Tunisie, 2016-2018, disponibles sur : </w:t>
      </w:r>
      <w:hyperlink r:id="rId1" w:history="1">
        <w:r w:rsidR="00FF34DF" w:rsidRPr="00FF34DF">
          <w:rPr>
            <w:rStyle w:val="Hyperlink"/>
            <w:sz w:val="18"/>
            <w:szCs w:val="18"/>
            <w:lang w:val="fr-FR"/>
          </w:rPr>
          <w:t>http://afrobarometer.org</w:t>
        </w:r>
      </w:hyperlink>
      <w:r w:rsidR="00FF34DF" w:rsidRPr="00FF34DF">
        <w:rPr>
          <w:sz w:val="18"/>
          <w:szCs w:val="18"/>
          <w:lang w:val="fr-FR"/>
        </w:rPr>
        <w:t xml:space="preserve"> </w:t>
      </w:r>
    </w:p>
  </w:footnote>
  <w:footnote w:id="5">
    <w:p w14:paraId="5BAB3A4B" w14:textId="059FB6DE" w:rsidR="00C15D8E" w:rsidRPr="007A698C" w:rsidRDefault="00C15D8E">
      <w:pPr>
        <w:pStyle w:val="FootnoteText"/>
        <w:rPr>
          <w:lang w:val="en-US"/>
        </w:rPr>
      </w:pPr>
      <w:r>
        <w:rPr>
          <w:rStyle w:val="FootnoteReference"/>
        </w:rPr>
        <w:footnoteRef/>
      </w:r>
      <w:r w:rsidRPr="007A698C">
        <w:rPr>
          <w:lang w:val="en-US"/>
        </w:rPr>
        <w:t xml:space="preserve"> </w:t>
      </w:r>
      <w:proofErr w:type="spellStart"/>
      <w:r w:rsidRPr="007A698C">
        <w:rPr>
          <w:sz w:val="18"/>
          <w:szCs w:val="18"/>
          <w:lang w:val="en-US"/>
        </w:rPr>
        <w:t>Voir</w:t>
      </w:r>
      <w:proofErr w:type="spellEnd"/>
      <w:r w:rsidR="002E3397">
        <w:rPr>
          <w:sz w:val="18"/>
          <w:szCs w:val="18"/>
          <w:lang w:val="en-US"/>
        </w:rPr>
        <w:t xml:space="preserve">, </w:t>
      </w:r>
      <w:proofErr w:type="spellStart"/>
      <w:r w:rsidR="002E3397">
        <w:rPr>
          <w:sz w:val="18"/>
          <w:szCs w:val="18"/>
          <w:lang w:val="en-US"/>
        </w:rPr>
        <w:t>en</w:t>
      </w:r>
      <w:proofErr w:type="spellEnd"/>
      <w:r w:rsidRPr="007A698C">
        <w:rPr>
          <w:sz w:val="18"/>
          <w:szCs w:val="18"/>
          <w:lang w:val="en-US"/>
        </w:rPr>
        <w:t xml:space="preserve"> </w:t>
      </w:r>
      <w:proofErr w:type="spellStart"/>
      <w:r w:rsidRPr="007A698C">
        <w:rPr>
          <w:sz w:val="18"/>
          <w:szCs w:val="18"/>
          <w:lang w:val="en-US"/>
        </w:rPr>
        <w:t>ce</w:t>
      </w:r>
      <w:proofErr w:type="spellEnd"/>
      <w:r w:rsidRPr="007A698C">
        <w:rPr>
          <w:sz w:val="18"/>
          <w:szCs w:val="18"/>
          <w:lang w:val="en-US"/>
        </w:rPr>
        <w:t xml:space="preserve"> </w:t>
      </w:r>
      <w:proofErr w:type="spellStart"/>
      <w:r w:rsidRPr="007A698C">
        <w:rPr>
          <w:sz w:val="18"/>
          <w:szCs w:val="18"/>
          <w:lang w:val="en-US"/>
        </w:rPr>
        <w:t>sens</w:t>
      </w:r>
      <w:proofErr w:type="spellEnd"/>
      <w:r w:rsidRPr="007A698C">
        <w:rPr>
          <w:sz w:val="18"/>
          <w:szCs w:val="18"/>
          <w:lang w:val="en-US"/>
        </w:rPr>
        <w:t xml:space="preserve"> </w:t>
      </w:r>
      <w:proofErr w:type="spellStart"/>
      <w:proofErr w:type="gramStart"/>
      <w:r w:rsidRPr="007A698C">
        <w:rPr>
          <w:sz w:val="18"/>
          <w:szCs w:val="18"/>
          <w:lang w:val="en-US"/>
        </w:rPr>
        <w:t>notamment</w:t>
      </w:r>
      <w:proofErr w:type="spellEnd"/>
      <w:r w:rsidRPr="007A698C">
        <w:rPr>
          <w:sz w:val="18"/>
          <w:szCs w:val="18"/>
          <w:lang w:val="en-US"/>
        </w:rPr>
        <w:t xml:space="preserve"> :</w:t>
      </w:r>
      <w:proofErr w:type="gramEnd"/>
      <w:r w:rsidRPr="007A698C">
        <w:rPr>
          <w:sz w:val="18"/>
          <w:szCs w:val="18"/>
          <w:lang w:val="en-US"/>
        </w:rPr>
        <w:t xml:space="preserve"> 1) WPS Index 2019/2020, 2) Gender </w:t>
      </w:r>
      <w:r w:rsidR="00E039F5" w:rsidRPr="007A698C">
        <w:rPr>
          <w:sz w:val="18"/>
          <w:szCs w:val="18"/>
          <w:lang w:val="en-US"/>
        </w:rPr>
        <w:t>J</w:t>
      </w:r>
      <w:r w:rsidRPr="007A698C">
        <w:rPr>
          <w:sz w:val="18"/>
          <w:szCs w:val="18"/>
          <w:lang w:val="en-US"/>
        </w:rPr>
        <w:t xml:space="preserve">ustice and </w:t>
      </w:r>
      <w:r w:rsidR="00E039F5" w:rsidRPr="007A698C">
        <w:rPr>
          <w:sz w:val="18"/>
          <w:szCs w:val="18"/>
          <w:lang w:val="en-US"/>
        </w:rPr>
        <w:t>T</w:t>
      </w:r>
      <w:r w:rsidRPr="007A698C">
        <w:rPr>
          <w:sz w:val="18"/>
          <w:szCs w:val="18"/>
          <w:lang w:val="en-US"/>
        </w:rPr>
        <w:t xml:space="preserve">he </w:t>
      </w:r>
      <w:r w:rsidR="00E039F5" w:rsidRPr="007A698C">
        <w:rPr>
          <w:sz w:val="18"/>
          <w:szCs w:val="18"/>
          <w:lang w:val="en-US"/>
        </w:rPr>
        <w:t>L</w:t>
      </w:r>
      <w:r w:rsidRPr="007A698C">
        <w:rPr>
          <w:sz w:val="18"/>
          <w:szCs w:val="18"/>
          <w:lang w:val="en-US"/>
        </w:rPr>
        <w:t xml:space="preserve">aw – </w:t>
      </w:r>
      <w:r w:rsidR="00E039F5" w:rsidRPr="007A698C">
        <w:rPr>
          <w:sz w:val="18"/>
          <w:szCs w:val="18"/>
          <w:lang w:val="en-US"/>
        </w:rPr>
        <w:t>Assessment of laws affecting gender equality in the Arab states region</w:t>
      </w:r>
      <w:r w:rsidRPr="007A698C">
        <w:rPr>
          <w:sz w:val="18"/>
          <w:szCs w:val="18"/>
          <w:lang w:val="en-US"/>
        </w:rPr>
        <w:t xml:space="preserve">, </w:t>
      </w:r>
      <w:r w:rsidR="007A698C" w:rsidRPr="007A698C">
        <w:rPr>
          <w:sz w:val="18"/>
          <w:szCs w:val="18"/>
          <w:lang w:val="en-US"/>
        </w:rPr>
        <w:t>UNDP/</w:t>
      </w:r>
      <w:proofErr w:type="spellStart"/>
      <w:r w:rsidRPr="007A698C">
        <w:rPr>
          <w:sz w:val="18"/>
          <w:szCs w:val="18"/>
          <w:lang w:val="en-US"/>
        </w:rPr>
        <w:t>UNWomen</w:t>
      </w:r>
      <w:proofErr w:type="spellEnd"/>
      <w:r w:rsidR="007A698C">
        <w:rPr>
          <w:sz w:val="18"/>
          <w:szCs w:val="18"/>
          <w:lang w:val="en-US"/>
        </w:rPr>
        <w:t>/</w:t>
      </w:r>
      <w:r w:rsidRPr="007A698C">
        <w:rPr>
          <w:sz w:val="18"/>
          <w:szCs w:val="18"/>
          <w:lang w:val="en-US"/>
        </w:rPr>
        <w:t xml:space="preserve">UNFPA, </w:t>
      </w:r>
      <w:proofErr w:type="spellStart"/>
      <w:r w:rsidRPr="007A698C">
        <w:rPr>
          <w:sz w:val="18"/>
          <w:szCs w:val="18"/>
          <w:lang w:val="en-US"/>
        </w:rPr>
        <w:t>Décembre</w:t>
      </w:r>
      <w:proofErr w:type="spellEnd"/>
      <w:r w:rsidRPr="007A698C">
        <w:rPr>
          <w:sz w:val="18"/>
          <w:szCs w:val="18"/>
          <w:lang w:val="en-US"/>
        </w:rPr>
        <w:t xml:space="preserve"> 2019.</w:t>
      </w:r>
    </w:p>
  </w:footnote>
  <w:footnote w:id="6">
    <w:p w14:paraId="386492AD" w14:textId="3ECA75EE" w:rsidR="002A61FF" w:rsidRPr="002A61FF" w:rsidRDefault="002A61FF">
      <w:pPr>
        <w:pStyle w:val="FootnoteText"/>
        <w:rPr>
          <w:lang w:val="fr-FR"/>
        </w:rPr>
      </w:pPr>
      <w:r>
        <w:rPr>
          <w:rStyle w:val="FootnoteReference"/>
        </w:rPr>
        <w:footnoteRef/>
      </w:r>
      <w:r w:rsidRPr="002A61FF">
        <w:rPr>
          <w:lang w:val="fr-FR"/>
        </w:rPr>
        <w:t xml:space="preserve"> </w:t>
      </w:r>
      <w:r w:rsidRPr="00D47A0F">
        <w:rPr>
          <w:i/>
          <w:iCs/>
          <w:lang w:val="fr-FR"/>
        </w:rPr>
        <w:t>Résolution 2250 du Conseil de Sécurité des Nations Unies sur la Jeunesse, la Paix et la Sécurité</w:t>
      </w:r>
      <w:r>
        <w:rPr>
          <w:lang w:val="fr-FR"/>
        </w:rPr>
        <w:t>, A/RES/2250 (9 décembre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C32F" w14:textId="64B4DE3D" w:rsidR="005B3872" w:rsidRDefault="005B3872">
    <w:pPr>
      <w:pStyle w:val="Header"/>
    </w:pPr>
    <w:r>
      <w:rPr>
        <w:noProof/>
        <w:color w:val="2B579A"/>
        <w:shd w:val="clear" w:color="auto" w:fill="E6E6E6"/>
      </w:rPr>
      <w:drawing>
        <wp:anchor distT="0" distB="0" distL="114300" distR="114300" simplePos="0" relativeHeight="251658240" behindDoc="0" locked="0" layoutInCell="1" allowOverlap="1" wp14:anchorId="7A22D9F7" wp14:editId="3EE20C7C">
          <wp:simplePos x="0" y="0"/>
          <wp:positionH relativeFrom="rightMargin">
            <wp:posOffset>247650</wp:posOffset>
          </wp:positionH>
          <wp:positionV relativeFrom="paragraph">
            <wp:posOffset>-324485</wp:posOffset>
          </wp:positionV>
          <wp:extent cx="542925" cy="1100137"/>
          <wp:effectExtent l="0" t="0" r="0" b="508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1001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98C"/>
    <w:multiLevelType w:val="hybridMultilevel"/>
    <w:tmpl w:val="15E2D46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C242E"/>
    <w:multiLevelType w:val="hybridMultilevel"/>
    <w:tmpl w:val="41ACBEBE"/>
    <w:lvl w:ilvl="0" w:tplc="11D44C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F27B0"/>
    <w:multiLevelType w:val="hybridMultilevel"/>
    <w:tmpl w:val="3A1CA39E"/>
    <w:lvl w:ilvl="0" w:tplc="7CA67B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C3991"/>
    <w:multiLevelType w:val="hybridMultilevel"/>
    <w:tmpl w:val="FFFFFFFF"/>
    <w:lvl w:ilvl="0" w:tplc="83C4962C">
      <w:start w:val="2"/>
      <w:numFmt w:val="decimal"/>
      <w:lvlText w:val="%1."/>
      <w:lvlJc w:val="left"/>
      <w:pPr>
        <w:ind w:left="720" w:hanging="360"/>
      </w:pPr>
    </w:lvl>
    <w:lvl w:ilvl="1" w:tplc="C32C15F6">
      <w:start w:val="1"/>
      <w:numFmt w:val="lowerLetter"/>
      <w:lvlText w:val="%2."/>
      <w:lvlJc w:val="left"/>
      <w:pPr>
        <w:ind w:left="1440" w:hanging="360"/>
      </w:pPr>
    </w:lvl>
    <w:lvl w:ilvl="2" w:tplc="F5D4591C">
      <w:start w:val="1"/>
      <w:numFmt w:val="lowerRoman"/>
      <w:lvlText w:val="%3."/>
      <w:lvlJc w:val="right"/>
      <w:pPr>
        <w:ind w:left="2160" w:hanging="180"/>
      </w:pPr>
    </w:lvl>
    <w:lvl w:ilvl="3" w:tplc="F46EE3FC">
      <w:start w:val="1"/>
      <w:numFmt w:val="decimal"/>
      <w:lvlText w:val="%4."/>
      <w:lvlJc w:val="left"/>
      <w:pPr>
        <w:ind w:left="2880" w:hanging="360"/>
      </w:pPr>
    </w:lvl>
    <w:lvl w:ilvl="4" w:tplc="DB886BCA">
      <w:start w:val="1"/>
      <w:numFmt w:val="lowerLetter"/>
      <w:lvlText w:val="%5."/>
      <w:lvlJc w:val="left"/>
      <w:pPr>
        <w:ind w:left="3600" w:hanging="360"/>
      </w:pPr>
    </w:lvl>
    <w:lvl w:ilvl="5" w:tplc="91281BB0">
      <w:start w:val="1"/>
      <w:numFmt w:val="lowerRoman"/>
      <w:lvlText w:val="%6."/>
      <w:lvlJc w:val="right"/>
      <w:pPr>
        <w:ind w:left="4320" w:hanging="180"/>
      </w:pPr>
    </w:lvl>
    <w:lvl w:ilvl="6" w:tplc="A1C45F10">
      <w:start w:val="1"/>
      <w:numFmt w:val="decimal"/>
      <w:lvlText w:val="%7."/>
      <w:lvlJc w:val="left"/>
      <w:pPr>
        <w:ind w:left="5040" w:hanging="360"/>
      </w:pPr>
    </w:lvl>
    <w:lvl w:ilvl="7" w:tplc="4352EB34">
      <w:start w:val="1"/>
      <w:numFmt w:val="lowerLetter"/>
      <w:lvlText w:val="%8."/>
      <w:lvlJc w:val="left"/>
      <w:pPr>
        <w:ind w:left="5760" w:hanging="360"/>
      </w:pPr>
    </w:lvl>
    <w:lvl w:ilvl="8" w:tplc="D46A920E">
      <w:start w:val="1"/>
      <w:numFmt w:val="lowerRoman"/>
      <w:lvlText w:val="%9."/>
      <w:lvlJc w:val="right"/>
      <w:pPr>
        <w:ind w:left="6480" w:hanging="180"/>
      </w:pPr>
    </w:lvl>
  </w:abstractNum>
  <w:abstractNum w:abstractNumId="4" w15:restartNumberingAfterBreak="0">
    <w:nsid w:val="27F173B9"/>
    <w:multiLevelType w:val="hybridMultilevel"/>
    <w:tmpl w:val="8A626AEE"/>
    <w:lvl w:ilvl="0" w:tplc="BE4E4728">
      <w:start w:val="1"/>
      <w:numFmt w:val="bullet"/>
      <w:lvlText w:val="-"/>
      <w:lvlJc w:val="left"/>
      <w:pPr>
        <w:ind w:left="720" w:hanging="360"/>
      </w:pPr>
      <w:rPr>
        <w:rFonts w:ascii="Calibri" w:hAnsi="Calibri" w:hint="default"/>
      </w:rPr>
    </w:lvl>
    <w:lvl w:ilvl="1" w:tplc="19427DFE">
      <w:start w:val="1"/>
      <w:numFmt w:val="bullet"/>
      <w:lvlText w:val="o"/>
      <w:lvlJc w:val="left"/>
      <w:pPr>
        <w:ind w:left="1440" w:hanging="360"/>
      </w:pPr>
      <w:rPr>
        <w:rFonts w:ascii="Courier New" w:hAnsi="Courier New" w:hint="default"/>
      </w:rPr>
    </w:lvl>
    <w:lvl w:ilvl="2" w:tplc="1E74BE52">
      <w:start w:val="1"/>
      <w:numFmt w:val="bullet"/>
      <w:lvlText w:val=""/>
      <w:lvlJc w:val="left"/>
      <w:pPr>
        <w:ind w:left="2160" w:hanging="360"/>
      </w:pPr>
      <w:rPr>
        <w:rFonts w:ascii="Wingdings" w:hAnsi="Wingdings" w:hint="default"/>
      </w:rPr>
    </w:lvl>
    <w:lvl w:ilvl="3" w:tplc="003ECD18">
      <w:start w:val="1"/>
      <w:numFmt w:val="bullet"/>
      <w:lvlText w:val=""/>
      <w:lvlJc w:val="left"/>
      <w:pPr>
        <w:ind w:left="2880" w:hanging="360"/>
      </w:pPr>
      <w:rPr>
        <w:rFonts w:ascii="Symbol" w:hAnsi="Symbol" w:hint="default"/>
      </w:rPr>
    </w:lvl>
    <w:lvl w:ilvl="4" w:tplc="B76EA4BA">
      <w:start w:val="1"/>
      <w:numFmt w:val="bullet"/>
      <w:lvlText w:val="o"/>
      <w:lvlJc w:val="left"/>
      <w:pPr>
        <w:ind w:left="3600" w:hanging="360"/>
      </w:pPr>
      <w:rPr>
        <w:rFonts w:ascii="Courier New" w:hAnsi="Courier New" w:hint="default"/>
      </w:rPr>
    </w:lvl>
    <w:lvl w:ilvl="5" w:tplc="1F484E86">
      <w:start w:val="1"/>
      <w:numFmt w:val="bullet"/>
      <w:lvlText w:val=""/>
      <w:lvlJc w:val="left"/>
      <w:pPr>
        <w:ind w:left="4320" w:hanging="360"/>
      </w:pPr>
      <w:rPr>
        <w:rFonts w:ascii="Wingdings" w:hAnsi="Wingdings" w:hint="default"/>
      </w:rPr>
    </w:lvl>
    <w:lvl w:ilvl="6" w:tplc="F53A7466">
      <w:start w:val="1"/>
      <w:numFmt w:val="bullet"/>
      <w:lvlText w:val=""/>
      <w:lvlJc w:val="left"/>
      <w:pPr>
        <w:ind w:left="5040" w:hanging="360"/>
      </w:pPr>
      <w:rPr>
        <w:rFonts w:ascii="Symbol" w:hAnsi="Symbol" w:hint="default"/>
      </w:rPr>
    </w:lvl>
    <w:lvl w:ilvl="7" w:tplc="E086FE9A">
      <w:start w:val="1"/>
      <w:numFmt w:val="bullet"/>
      <w:lvlText w:val="o"/>
      <w:lvlJc w:val="left"/>
      <w:pPr>
        <w:ind w:left="5760" w:hanging="360"/>
      </w:pPr>
      <w:rPr>
        <w:rFonts w:ascii="Courier New" w:hAnsi="Courier New" w:hint="default"/>
      </w:rPr>
    </w:lvl>
    <w:lvl w:ilvl="8" w:tplc="F28C6CE8">
      <w:start w:val="1"/>
      <w:numFmt w:val="bullet"/>
      <w:lvlText w:val=""/>
      <w:lvlJc w:val="left"/>
      <w:pPr>
        <w:ind w:left="6480" w:hanging="360"/>
      </w:pPr>
      <w:rPr>
        <w:rFonts w:ascii="Wingdings" w:hAnsi="Wingdings" w:hint="default"/>
      </w:rPr>
    </w:lvl>
  </w:abstractNum>
  <w:abstractNum w:abstractNumId="5" w15:restartNumberingAfterBreak="0">
    <w:nsid w:val="363E2A70"/>
    <w:multiLevelType w:val="hybridMultilevel"/>
    <w:tmpl w:val="9B9C5970"/>
    <w:lvl w:ilvl="0" w:tplc="B1E8BB36">
      <w:start w:val="2"/>
      <w:numFmt w:val="decimal"/>
      <w:lvlText w:val="%1."/>
      <w:lvlJc w:val="left"/>
      <w:pPr>
        <w:ind w:left="720" w:hanging="360"/>
      </w:pPr>
    </w:lvl>
    <w:lvl w:ilvl="1" w:tplc="AB4E8386">
      <w:start w:val="1"/>
      <w:numFmt w:val="lowerLetter"/>
      <w:lvlText w:val="%2."/>
      <w:lvlJc w:val="left"/>
      <w:pPr>
        <w:ind w:left="1440" w:hanging="360"/>
      </w:pPr>
    </w:lvl>
    <w:lvl w:ilvl="2" w:tplc="0CF456C6">
      <w:start w:val="1"/>
      <w:numFmt w:val="lowerRoman"/>
      <w:lvlText w:val="%3."/>
      <w:lvlJc w:val="right"/>
      <w:pPr>
        <w:ind w:left="2160" w:hanging="180"/>
      </w:pPr>
    </w:lvl>
    <w:lvl w:ilvl="3" w:tplc="4D76315C">
      <w:start w:val="1"/>
      <w:numFmt w:val="decimal"/>
      <w:lvlText w:val="%4."/>
      <w:lvlJc w:val="left"/>
      <w:pPr>
        <w:ind w:left="2880" w:hanging="360"/>
      </w:pPr>
    </w:lvl>
    <w:lvl w:ilvl="4" w:tplc="0BC01138">
      <w:start w:val="1"/>
      <w:numFmt w:val="lowerLetter"/>
      <w:lvlText w:val="%5."/>
      <w:lvlJc w:val="left"/>
      <w:pPr>
        <w:ind w:left="3600" w:hanging="360"/>
      </w:pPr>
    </w:lvl>
    <w:lvl w:ilvl="5" w:tplc="D1621EA0">
      <w:start w:val="1"/>
      <w:numFmt w:val="lowerRoman"/>
      <w:lvlText w:val="%6."/>
      <w:lvlJc w:val="right"/>
      <w:pPr>
        <w:ind w:left="4320" w:hanging="180"/>
      </w:pPr>
    </w:lvl>
    <w:lvl w:ilvl="6" w:tplc="4B127A3A">
      <w:start w:val="1"/>
      <w:numFmt w:val="decimal"/>
      <w:lvlText w:val="%7."/>
      <w:lvlJc w:val="left"/>
      <w:pPr>
        <w:ind w:left="5040" w:hanging="360"/>
      </w:pPr>
    </w:lvl>
    <w:lvl w:ilvl="7" w:tplc="8F4CCA60">
      <w:start w:val="1"/>
      <w:numFmt w:val="lowerLetter"/>
      <w:lvlText w:val="%8."/>
      <w:lvlJc w:val="left"/>
      <w:pPr>
        <w:ind w:left="5760" w:hanging="360"/>
      </w:pPr>
    </w:lvl>
    <w:lvl w:ilvl="8" w:tplc="75F8294E">
      <w:start w:val="1"/>
      <w:numFmt w:val="lowerRoman"/>
      <w:lvlText w:val="%9."/>
      <w:lvlJc w:val="right"/>
      <w:pPr>
        <w:ind w:left="6480" w:hanging="180"/>
      </w:pPr>
    </w:lvl>
  </w:abstractNum>
  <w:abstractNum w:abstractNumId="6" w15:restartNumberingAfterBreak="0">
    <w:nsid w:val="3FE14AAB"/>
    <w:multiLevelType w:val="hybridMultilevel"/>
    <w:tmpl w:val="10BE8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B53B4"/>
    <w:multiLevelType w:val="hybridMultilevel"/>
    <w:tmpl w:val="FFFFFFFF"/>
    <w:lvl w:ilvl="0" w:tplc="AB7E7682">
      <w:start w:val="1"/>
      <w:numFmt w:val="bullet"/>
      <w:lvlText w:val="-"/>
      <w:lvlJc w:val="left"/>
      <w:pPr>
        <w:ind w:left="720" w:hanging="360"/>
      </w:pPr>
      <w:rPr>
        <w:rFonts w:ascii="Calibri" w:hAnsi="Calibri" w:hint="default"/>
      </w:rPr>
    </w:lvl>
    <w:lvl w:ilvl="1" w:tplc="E2182D6A">
      <w:start w:val="1"/>
      <w:numFmt w:val="bullet"/>
      <w:lvlText w:val="o"/>
      <w:lvlJc w:val="left"/>
      <w:pPr>
        <w:ind w:left="1440" w:hanging="360"/>
      </w:pPr>
      <w:rPr>
        <w:rFonts w:ascii="Courier New" w:hAnsi="Courier New" w:hint="default"/>
      </w:rPr>
    </w:lvl>
    <w:lvl w:ilvl="2" w:tplc="8E68A338">
      <w:start w:val="1"/>
      <w:numFmt w:val="bullet"/>
      <w:lvlText w:val=""/>
      <w:lvlJc w:val="left"/>
      <w:pPr>
        <w:ind w:left="2160" w:hanging="360"/>
      </w:pPr>
      <w:rPr>
        <w:rFonts w:ascii="Wingdings" w:hAnsi="Wingdings" w:hint="default"/>
      </w:rPr>
    </w:lvl>
    <w:lvl w:ilvl="3" w:tplc="27B24B0A">
      <w:start w:val="1"/>
      <w:numFmt w:val="bullet"/>
      <w:lvlText w:val=""/>
      <w:lvlJc w:val="left"/>
      <w:pPr>
        <w:ind w:left="2880" w:hanging="360"/>
      </w:pPr>
      <w:rPr>
        <w:rFonts w:ascii="Symbol" w:hAnsi="Symbol" w:hint="default"/>
      </w:rPr>
    </w:lvl>
    <w:lvl w:ilvl="4" w:tplc="4128E7AE">
      <w:start w:val="1"/>
      <w:numFmt w:val="bullet"/>
      <w:lvlText w:val="o"/>
      <w:lvlJc w:val="left"/>
      <w:pPr>
        <w:ind w:left="3600" w:hanging="360"/>
      </w:pPr>
      <w:rPr>
        <w:rFonts w:ascii="Courier New" w:hAnsi="Courier New" w:hint="default"/>
      </w:rPr>
    </w:lvl>
    <w:lvl w:ilvl="5" w:tplc="7BB447D4">
      <w:start w:val="1"/>
      <w:numFmt w:val="bullet"/>
      <w:lvlText w:val=""/>
      <w:lvlJc w:val="left"/>
      <w:pPr>
        <w:ind w:left="4320" w:hanging="360"/>
      </w:pPr>
      <w:rPr>
        <w:rFonts w:ascii="Wingdings" w:hAnsi="Wingdings" w:hint="default"/>
      </w:rPr>
    </w:lvl>
    <w:lvl w:ilvl="6" w:tplc="E0D6015E">
      <w:start w:val="1"/>
      <w:numFmt w:val="bullet"/>
      <w:lvlText w:val=""/>
      <w:lvlJc w:val="left"/>
      <w:pPr>
        <w:ind w:left="5040" w:hanging="360"/>
      </w:pPr>
      <w:rPr>
        <w:rFonts w:ascii="Symbol" w:hAnsi="Symbol" w:hint="default"/>
      </w:rPr>
    </w:lvl>
    <w:lvl w:ilvl="7" w:tplc="AE9E57CC">
      <w:start w:val="1"/>
      <w:numFmt w:val="bullet"/>
      <w:lvlText w:val="o"/>
      <w:lvlJc w:val="left"/>
      <w:pPr>
        <w:ind w:left="5760" w:hanging="360"/>
      </w:pPr>
      <w:rPr>
        <w:rFonts w:ascii="Courier New" w:hAnsi="Courier New" w:hint="default"/>
      </w:rPr>
    </w:lvl>
    <w:lvl w:ilvl="8" w:tplc="85EE9E1A">
      <w:start w:val="1"/>
      <w:numFmt w:val="bullet"/>
      <w:lvlText w:val=""/>
      <w:lvlJc w:val="left"/>
      <w:pPr>
        <w:ind w:left="6480" w:hanging="360"/>
      </w:pPr>
      <w:rPr>
        <w:rFonts w:ascii="Wingdings" w:hAnsi="Wingdings" w:hint="default"/>
      </w:rPr>
    </w:lvl>
  </w:abstractNum>
  <w:abstractNum w:abstractNumId="8" w15:restartNumberingAfterBreak="0">
    <w:nsid w:val="440B0B09"/>
    <w:multiLevelType w:val="hybridMultilevel"/>
    <w:tmpl w:val="23B41568"/>
    <w:lvl w:ilvl="0" w:tplc="AA7CF6A4">
      <w:start w:val="1"/>
      <w:numFmt w:val="bullet"/>
      <w:lvlText w:val="-"/>
      <w:lvlJc w:val="left"/>
      <w:pPr>
        <w:ind w:left="720" w:hanging="360"/>
      </w:pPr>
      <w:rPr>
        <w:rFonts w:ascii="Calibri" w:hAnsi="Calibri" w:hint="default"/>
      </w:rPr>
    </w:lvl>
    <w:lvl w:ilvl="1" w:tplc="7F428BF0">
      <w:start w:val="1"/>
      <w:numFmt w:val="bullet"/>
      <w:lvlText w:val="o"/>
      <w:lvlJc w:val="left"/>
      <w:pPr>
        <w:ind w:left="1440" w:hanging="360"/>
      </w:pPr>
      <w:rPr>
        <w:rFonts w:ascii="Courier New" w:hAnsi="Courier New" w:hint="default"/>
      </w:rPr>
    </w:lvl>
    <w:lvl w:ilvl="2" w:tplc="D7020D74">
      <w:start w:val="1"/>
      <w:numFmt w:val="bullet"/>
      <w:lvlText w:val=""/>
      <w:lvlJc w:val="left"/>
      <w:pPr>
        <w:ind w:left="2160" w:hanging="360"/>
      </w:pPr>
      <w:rPr>
        <w:rFonts w:ascii="Wingdings" w:hAnsi="Wingdings" w:hint="default"/>
      </w:rPr>
    </w:lvl>
    <w:lvl w:ilvl="3" w:tplc="9CC225EE">
      <w:start w:val="1"/>
      <w:numFmt w:val="bullet"/>
      <w:lvlText w:val=""/>
      <w:lvlJc w:val="left"/>
      <w:pPr>
        <w:ind w:left="2880" w:hanging="360"/>
      </w:pPr>
      <w:rPr>
        <w:rFonts w:ascii="Symbol" w:hAnsi="Symbol" w:hint="default"/>
      </w:rPr>
    </w:lvl>
    <w:lvl w:ilvl="4" w:tplc="673016BC">
      <w:start w:val="1"/>
      <w:numFmt w:val="bullet"/>
      <w:lvlText w:val="o"/>
      <w:lvlJc w:val="left"/>
      <w:pPr>
        <w:ind w:left="3600" w:hanging="360"/>
      </w:pPr>
      <w:rPr>
        <w:rFonts w:ascii="Courier New" w:hAnsi="Courier New" w:hint="default"/>
      </w:rPr>
    </w:lvl>
    <w:lvl w:ilvl="5" w:tplc="8892D522">
      <w:start w:val="1"/>
      <w:numFmt w:val="bullet"/>
      <w:lvlText w:val=""/>
      <w:lvlJc w:val="left"/>
      <w:pPr>
        <w:ind w:left="4320" w:hanging="360"/>
      </w:pPr>
      <w:rPr>
        <w:rFonts w:ascii="Wingdings" w:hAnsi="Wingdings" w:hint="default"/>
      </w:rPr>
    </w:lvl>
    <w:lvl w:ilvl="6" w:tplc="17D23828">
      <w:start w:val="1"/>
      <w:numFmt w:val="bullet"/>
      <w:lvlText w:val=""/>
      <w:lvlJc w:val="left"/>
      <w:pPr>
        <w:ind w:left="5040" w:hanging="360"/>
      </w:pPr>
      <w:rPr>
        <w:rFonts w:ascii="Symbol" w:hAnsi="Symbol" w:hint="default"/>
      </w:rPr>
    </w:lvl>
    <w:lvl w:ilvl="7" w:tplc="B22CCB58">
      <w:start w:val="1"/>
      <w:numFmt w:val="bullet"/>
      <w:lvlText w:val="o"/>
      <w:lvlJc w:val="left"/>
      <w:pPr>
        <w:ind w:left="5760" w:hanging="360"/>
      </w:pPr>
      <w:rPr>
        <w:rFonts w:ascii="Courier New" w:hAnsi="Courier New" w:hint="default"/>
      </w:rPr>
    </w:lvl>
    <w:lvl w:ilvl="8" w:tplc="9E768A42">
      <w:start w:val="1"/>
      <w:numFmt w:val="bullet"/>
      <w:lvlText w:val=""/>
      <w:lvlJc w:val="left"/>
      <w:pPr>
        <w:ind w:left="6480" w:hanging="360"/>
      </w:pPr>
      <w:rPr>
        <w:rFonts w:ascii="Wingdings" w:hAnsi="Wingdings" w:hint="default"/>
      </w:rPr>
    </w:lvl>
  </w:abstractNum>
  <w:abstractNum w:abstractNumId="9" w15:restartNumberingAfterBreak="0">
    <w:nsid w:val="52097010"/>
    <w:multiLevelType w:val="hybridMultilevel"/>
    <w:tmpl w:val="F9C809D6"/>
    <w:lvl w:ilvl="0" w:tplc="F6A84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C142F"/>
    <w:multiLevelType w:val="hybridMultilevel"/>
    <w:tmpl w:val="CD7CBC90"/>
    <w:lvl w:ilvl="0" w:tplc="AF7CD6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363CDC"/>
    <w:multiLevelType w:val="hybridMultilevel"/>
    <w:tmpl w:val="E71263A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10"/>
  </w:num>
  <w:num w:numId="6">
    <w:abstractNumId w:val="1"/>
  </w:num>
  <w:num w:numId="7">
    <w:abstractNumId w:val="2"/>
  </w:num>
  <w:num w:numId="8">
    <w:abstractNumId w:val="11"/>
  </w:num>
  <w:num w:numId="9">
    <w:abstractNumId w:val="0"/>
  </w:num>
  <w:num w:numId="10">
    <w:abstractNumId w:val="4"/>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22"/>
    <w:rsid w:val="0000230C"/>
    <w:rsid w:val="0000248E"/>
    <w:rsid w:val="00007887"/>
    <w:rsid w:val="000136DD"/>
    <w:rsid w:val="00015A2A"/>
    <w:rsid w:val="00016953"/>
    <w:rsid w:val="00020A25"/>
    <w:rsid w:val="00020E4B"/>
    <w:rsid w:val="00021010"/>
    <w:rsid w:val="00021B3F"/>
    <w:rsid w:val="00022775"/>
    <w:rsid w:val="00024AB0"/>
    <w:rsid w:val="00025D9B"/>
    <w:rsid w:val="00026E5A"/>
    <w:rsid w:val="000311F9"/>
    <w:rsid w:val="0003131F"/>
    <w:rsid w:val="00042143"/>
    <w:rsid w:val="00042E80"/>
    <w:rsid w:val="000430FC"/>
    <w:rsid w:val="0004391E"/>
    <w:rsid w:val="00046838"/>
    <w:rsid w:val="0006110B"/>
    <w:rsid w:val="000629B6"/>
    <w:rsid w:val="0006490C"/>
    <w:rsid w:val="000733E6"/>
    <w:rsid w:val="00076EC4"/>
    <w:rsid w:val="000777E3"/>
    <w:rsid w:val="00080078"/>
    <w:rsid w:val="00080BCB"/>
    <w:rsid w:val="00084652"/>
    <w:rsid w:val="00084AE0"/>
    <w:rsid w:val="00085412"/>
    <w:rsid w:val="00085E5D"/>
    <w:rsid w:val="00085EB3"/>
    <w:rsid w:val="0009158F"/>
    <w:rsid w:val="00092EB1"/>
    <w:rsid w:val="000954C6"/>
    <w:rsid w:val="000A2620"/>
    <w:rsid w:val="000A33A3"/>
    <w:rsid w:val="000A7B3B"/>
    <w:rsid w:val="000B0EF7"/>
    <w:rsid w:val="000C3C40"/>
    <w:rsid w:val="000C472D"/>
    <w:rsid w:val="000C58E2"/>
    <w:rsid w:val="000C6159"/>
    <w:rsid w:val="000C71A4"/>
    <w:rsid w:val="000D40BC"/>
    <w:rsid w:val="000D4EF7"/>
    <w:rsid w:val="000D549D"/>
    <w:rsid w:val="000D66C3"/>
    <w:rsid w:val="000D71CC"/>
    <w:rsid w:val="000D7586"/>
    <w:rsid w:val="000E06DA"/>
    <w:rsid w:val="000E4952"/>
    <w:rsid w:val="000E678E"/>
    <w:rsid w:val="000E67A7"/>
    <w:rsid w:val="000F22F0"/>
    <w:rsid w:val="000F235A"/>
    <w:rsid w:val="000F32D2"/>
    <w:rsid w:val="000F45AF"/>
    <w:rsid w:val="000F7141"/>
    <w:rsid w:val="00101B7E"/>
    <w:rsid w:val="00102FFE"/>
    <w:rsid w:val="00103AAE"/>
    <w:rsid w:val="0010434A"/>
    <w:rsid w:val="00106544"/>
    <w:rsid w:val="001104A6"/>
    <w:rsid w:val="00110A3C"/>
    <w:rsid w:val="00113400"/>
    <w:rsid w:val="00116FA7"/>
    <w:rsid w:val="00117CC0"/>
    <w:rsid w:val="001272FA"/>
    <w:rsid w:val="001276A9"/>
    <w:rsid w:val="00127AE7"/>
    <w:rsid w:val="001306A8"/>
    <w:rsid w:val="00132554"/>
    <w:rsid w:val="001344A8"/>
    <w:rsid w:val="00135073"/>
    <w:rsid w:val="001414E0"/>
    <w:rsid w:val="001447F5"/>
    <w:rsid w:val="00144BFD"/>
    <w:rsid w:val="00145828"/>
    <w:rsid w:val="0014583F"/>
    <w:rsid w:val="0014629C"/>
    <w:rsid w:val="00153ACC"/>
    <w:rsid w:val="00182401"/>
    <w:rsid w:val="00183BA3"/>
    <w:rsid w:val="00183F9B"/>
    <w:rsid w:val="001872B6"/>
    <w:rsid w:val="0019118D"/>
    <w:rsid w:val="00193E26"/>
    <w:rsid w:val="00195CE9"/>
    <w:rsid w:val="00196193"/>
    <w:rsid w:val="00196F09"/>
    <w:rsid w:val="00197AA7"/>
    <w:rsid w:val="001A3CF5"/>
    <w:rsid w:val="001A4061"/>
    <w:rsid w:val="001A4711"/>
    <w:rsid w:val="001A5FB8"/>
    <w:rsid w:val="001B0579"/>
    <w:rsid w:val="001C3EE1"/>
    <w:rsid w:val="001C58E6"/>
    <w:rsid w:val="001E015A"/>
    <w:rsid w:val="001E0B88"/>
    <w:rsid w:val="001E2AA6"/>
    <w:rsid w:val="001F43D9"/>
    <w:rsid w:val="001F44C3"/>
    <w:rsid w:val="001F7951"/>
    <w:rsid w:val="002001DB"/>
    <w:rsid w:val="00205E8A"/>
    <w:rsid w:val="0021374A"/>
    <w:rsid w:val="002202D2"/>
    <w:rsid w:val="00223175"/>
    <w:rsid w:val="002301DA"/>
    <w:rsid w:val="0023282C"/>
    <w:rsid w:val="00232871"/>
    <w:rsid w:val="002354A1"/>
    <w:rsid w:val="00242512"/>
    <w:rsid w:val="00244B90"/>
    <w:rsid w:val="002530D0"/>
    <w:rsid w:val="00257541"/>
    <w:rsid w:val="0025766A"/>
    <w:rsid w:val="00257B1E"/>
    <w:rsid w:val="0026004D"/>
    <w:rsid w:val="002613CC"/>
    <w:rsid w:val="0026221A"/>
    <w:rsid w:val="0026696D"/>
    <w:rsid w:val="002679A5"/>
    <w:rsid w:val="00276A81"/>
    <w:rsid w:val="0028055E"/>
    <w:rsid w:val="00281196"/>
    <w:rsid w:val="002817AA"/>
    <w:rsid w:val="00284CF1"/>
    <w:rsid w:val="00286EDF"/>
    <w:rsid w:val="002945A1"/>
    <w:rsid w:val="00297C05"/>
    <w:rsid w:val="002A0037"/>
    <w:rsid w:val="002A2D8B"/>
    <w:rsid w:val="002A61FF"/>
    <w:rsid w:val="002B02A6"/>
    <w:rsid w:val="002B0E5C"/>
    <w:rsid w:val="002B291D"/>
    <w:rsid w:val="002B4C59"/>
    <w:rsid w:val="002B6433"/>
    <w:rsid w:val="002C1290"/>
    <w:rsid w:val="002C15F2"/>
    <w:rsid w:val="002C1D3B"/>
    <w:rsid w:val="002C236B"/>
    <w:rsid w:val="002C3274"/>
    <w:rsid w:val="002C6129"/>
    <w:rsid w:val="002D4CF0"/>
    <w:rsid w:val="002E1314"/>
    <w:rsid w:val="002E3397"/>
    <w:rsid w:val="002E49CC"/>
    <w:rsid w:val="002E4AA1"/>
    <w:rsid w:val="002E736A"/>
    <w:rsid w:val="002F1FDB"/>
    <w:rsid w:val="002F4525"/>
    <w:rsid w:val="002F634A"/>
    <w:rsid w:val="002F774F"/>
    <w:rsid w:val="00301BCF"/>
    <w:rsid w:val="00301E4E"/>
    <w:rsid w:val="00310D7A"/>
    <w:rsid w:val="003148FC"/>
    <w:rsid w:val="003165B4"/>
    <w:rsid w:val="003247CA"/>
    <w:rsid w:val="00326573"/>
    <w:rsid w:val="0032D34C"/>
    <w:rsid w:val="00331084"/>
    <w:rsid w:val="0033280C"/>
    <w:rsid w:val="00332DC9"/>
    <w:rsid w:val="00337B0E"/>
    <w:rsid w:val="00341385"/>
    <w:rsid w:val="00343A74"/>
    <w:rsid w:val="00361F28"/>
    <w:rsid w:val="00367BA6"/>
    <w:rsid w:val="00380CA2"/>
    <w:rsid w:val="00391541"/>
    <w:rsid w:val="003918E8"/>
    <w:rsid w:val="003931A6"/>
    <w:rsid w:val="003A0A48"/>
    <w:rsid w:val="003A3A8B"/>
    <w:rsid w:val="003B0DC8"/>
    <w:rsid w:val="003B0E8D"/>
    <w:rsid w:val="003B1194"/>
    <w:rsid w:val="003B14E3"/>
    <w:rsid w:val="003C3646"/>
    <w:rsid w:val="003C373F"/>
    <w:rsid w:val="003C37E7"/>
    <w:rsid w:val="003C56B3"/>
    <w:rsid w:val="003D7AFB"/>
    <w:rsid w:val="003E1954"/>
    <w:rsid w:val="003E27AC"/>
    <w:rsid w:val="003E38CD"/>
    <w:rsid w:val="003E510B"/>
    <w:rsid w:val="003E5C0B"/>
    <w:rsid w:val="003E744B"/>
    <w:rsid w:val="003F33DF"/>
    <w:rsid w:val="003F33F8"/>
    <w:rsid w:val="003F41BC"/>
    <w:rsid w:val="003F46CF"/>
    <w:rsid w:val="003F4773"/>
    <w:rsid w:val="003F6411"/>
    <w:rsid w:val="00400D08"/>
    <w:rsid w:val="00404DB5"/>
    <w:rsid w:val="00404FFA"/>
    <w:rsid w:val="00405FDB"/>
    <w:rsid w:val="00407F78"/>
    <w:rsid w:val="00410C13"/>
    <w:rsid w:val="0041234B"/>
    <w:rsid w:val="0041449D"/>
    <w:rsid w:val="00415DD3"/>
    <w:rsid w:val="004200AF"/>
    <w:rsid w:val="00421BE0"/>
    <w:rsid w:val="00422104"/>
    <w:rsid w:val="004235D7"/>
    <w:rsid w:val="00425B35"/>
    <w:rsid w:val="004360B5"/>
    <w:rsid w:val="00436173"/>
    <w:rsid w:val="004376AD"/>
    <w:rsid w:val="00440E9D"/>
    <w:rsid w:val="0044361E"/>
    <w:rsid w:val="00447C12"/>
    <w:rsid w:val="00452107"/>
    <w:rsid w:val="00457E01"/>
    <w:rsid w:val="0046389D"/>
    <w:rsid w:val="004711C7"/>
    <w:rsid w:val="0047235C"/>
    <w:rsid w:val="00473018"/>
    <w:rsid w:val="00484D7A"/>
    <w:rsid w:val="004876C9"/>
    <w:rsid w:val="00491589"/>
    <w:rsid w:val="00493412"/>
    <w:rsid w:val="00494810"/>
    <w:rsid w:val="004A33EA"/>
    <w:rsid w:val="004B10AD"/>
    <w:rsid w:val="004B2E66"/>
    <w:rsid w:val="004B5ED5"/>
    <w:rsid w:val="004C042A"/>
    <w:rsid w:val="004C4480"/>
    <w:rsid w:val="004C5654"/>
    <w:rsid w:val="004C748C"/>
    <w:rsid w:val="004D573A"/>
    <w:rsid w:val="004E3581"/>
    <w:rsid w:val="004E4490"/>
    <w:rsid w:val="004E6DCE"/>
    <w:rsid w:val="005021AE"/>
    <w:rsid w:val="0050250C"/>
    <w:rsid w:val="00504029"/>
    <w:rsid w:val="00510E7F"/>
    <w:rsid w:val="00511473"/>
    <w:rsid w:val="00520524"/>
    <w:rsid w:val="0052450F"/>
    <w:rsid w:val="00524ABB"/>
    <w:rsid w:val="00525563"/>
    <w:rsid w:val="00527EDF"/>
    <w:rsid w:val="00531DBF"/>
    <w:rsid w:val="005420B7"/>
    <w:rsid w:val="005427C0"/>
    <w:rsid w:val="005431C8"/>
    <w:rsid w:val="00545029"/>
    <w:rsid w:val="00546DF0"/>
    <w:rsid w:val="005501AF"/>
    <w:rsid w:val="005507EB"/>
    <w:rsid w:val="00551436"/>
    <w:rsid w:val="00553BAC"/>
    <w:rsid w:val="00556E48"/>
    <w:rsid w:val="005714AD"/>
    <w:rsid w:val="00572B88"/>
    <w:rsid w:val="00574633"/>
    <w:rsid w:val="00575B51"/>
    <w:rsid w:val="0057658E"/>
    <w:rsid w:val="00577CF9"/>
    <w:rsid w:val="00584799"/>
    <w:rsid w:val="00585EDD"/>
    <w:rsid w:val="005915DB"/>
    <w:rsid w:val="00593953"/>
    <w:rsid w:val="00593B64"/>
    <w:rsid w:val="005974F5"/>
    <w:rsid w:val="005A4EEB"/>
    <w:rsid w:val="005B0BAF"/>
    <w:rsid w:val="005B13D6"/>
    <w:rsid w:val="005B3872"/>
    <w:rsid w:val="005B58C4"/>
    <w:rsid w:val="005C07FF"/>
    <w:rsid w:val="005C36C1"/>
    <w:rsid w:val="005C5AFA"/>
    <w:rsid w:val="005D36D4"/>
    <w:rsid w:val="005E27BD"/>
    <w:rsid w:val="005E6E2A"/>
    <w:rsid w:val="005F2907"/>
    <w:rsid w:val="005F7624"/>
    <w:rsid w:val="005F7DE2"/>
    <w:rsid w:val="00601EBE"/>
    <w:rsid w:val="00604B39"/>
    <w:rsid w:val="00604D8D"/>
    <w:rsid w:val="006061C0"/>
    <w:rsid w:val="0060786B"/>
    <w:rsid w:val="00610488"/>
    <w:rsid w:val="00611904"/>
    <w:rsid w:val="00612DB3"/>
    <w:rsid w:val="006141D4"/>
    <w:rsid w:val="0061470D"/>
    <w:rsid w:val="006155DE"/>
    <w:rsid w:val="00617411"/>
    <w:rsid w:val="006176BC"/>
    <w:rsid w:val="0063031D"/>
    <w:rsid w:val="00632711"/>
    <w:rsid w:val="0063592E"/>
    <w:rsid w:val="0063668F"/>
    <w:rsid w:val="00637AD5"/>
    <w:rsid w:val="006474CE"/>
    <w:rsid w:val="00650DB9"/>
    <w:rsid w:val="00653828"/>
    <w:rsid w:val="00657B4C"/>
    <w:rsid w:val="006625C4"/>
    <w:rsid w:val="006629F9"/>
    <w:rsid w:val="00663ED6"/>
    <w:rsid w:val="00666035"/>
    <w:rsid w:val="0067006D"/>
    <w:rsid w:val="006728CE"/>
    <w:rsid w:val="006741AF"/>
    <w:rsid w:val="00680E1D"/>
    <w:rsid w:val="00687F2C"/>
    <w:rsid w:val="00690ED6"/>
    <w:rsid w:val="006944A8"/>
    <w:rsid w:val="00694809"/>
    <w:rsid w:val="006A6EED"/>
    <w:rsid w:val="006A786A"/>
    <w:rsid w:val="006B13FA"/>
    <w:rsid w:val="006B2B3C"/>
    <w:rsid w:val="006B2F2F"/>
    <w:rsid w:val="006B4CD2"/>
    <w:rsid w:val="006C43E1"/>
    <w:rsid w:val="006C5B3C"/>
    <w:rsid w:val="006C6577"/>
    <w:rsid w:val="006C797C"/>
    <w:rsid w:val="006D00E9"/>
    <w:rsid w:val="006D7201"/>
    <w:rsid w:val="006D78F8"/>
    <w:rsid w:val="006E4322"/>
    <w:rsid w:val="006E59E6"/>
    <w:rsid w:val="006E5E17"/>
    <w:rsid w:val="006E5F7C"/>
    <w:rsid w:val="006E7C9D"/>
    <w:rsid w:val="006F7BD2"/>
    <w:rsid w:val="00702143"/>
    <w:rsid w:val="00702689"/>
    <w:rsid w:val="0070311A"/>
    <w:rsid w:val="00704B99"/>
    <w:rsid w:val="00707904"/>
    <w:rsid w:val="0071034E"/>
    <w:rsid w:val="00711449"/>
    <w:rsid w:val="00713E9D"/>
    <w:rsid w:val="00715EFC"/>
    <w:rsid w:val="00716720"/>
    <w:rsid w:val="00717439"/>
    <w:rsid w:val="0072171F"/>
    <w:rsid w:val="007234B6"/>
    <w:rsid w:val="00734842"/>
    <w:rsid w:val="007364FD"/>
    <w:rsid w:val="00737D69"/>
    <w:rsid w:val="00740E9B"/>
    <w:rsid w:val="0074287A"/>
    <w:rsid w:val="00742DBE"/>
    <w:rsid w:val="007430D1"/>
    <w:rsid w:val="0075087D"/>
    <w:rsid w:val="0075544E"/>
    <w:rsid w:val="0076375D"/>
    <w:rsid w:val="00763900"/>
    <w:rsid w:val="00763DFF"/>
    <w:rsid w:val="0076557E"/>
    <w:rsid w:val="007733E6"/>
    <w:rsid w:val="007735F2"/>
    <w:rsid w:val="007750DD"/>
    <w:rsid w:val="0077582A"/>
    <w:rsid w:val="00776833"/>
    <w:rsid w:val="007770D6"/>
    <w:rsid w:val="007825A3"/>
    <w:rsid w:val="00783CE5"/>
    <w:rsid w:val="00784FCD"/>
    <w:rsid w:val="0078744B"/>
    <w:rsid w:val="007915EF"/>
    <w:rsid w:val="0079787D"/>
    <w:rsid w:val="007A0054"/>
    <w:rsid w:val="007A0C23"/>
    <w:rsid w:val="007A698C"/>
    <w:rsid w:val="007A7D1A"/>
    <w:rsid w:val="007B4551"/>
    <w:rsid w:val="007B5C2E"/>
    <w:rsid w:val="007B70BE"/>
    <w:rsid w:val="007C0562"/>
    <w:rsid w:val="007C1663"/>
    <w:rsid w:val="007C61B1"/>
    <w:rsid w:val="007D3443"/>
    <w:rsid w:val="007D4BCA"/>
    <w:rsid w:val="007D4E83"/>
    <w:rsid w:val="007D595E"/>
    <w:rsid w:val="007E1D29"/>
    <w:rsid w:val="007E4D03"/>
    <w:rsid w:val="007E722D"/>
    <w:rsid w:val="007F1F12"/>
    <w:rsid w:val="007F236E"/>
    <w:rsid w:val="007F3CC6"/>
    <w:rsid w:val="007F3DDF"/>
    <w:rsid w:val="007F42E3"/>
    <w:rsid w:val="007F5585"/>
    <w:rsid w:val="00810706"/>
    <w:rsid w:val="00815EBE"/>
    <w:rsid w:val="0081636D"/>
    <w:rsid w:val="00816C59"/>
    <w:rsid w:val="0081782F"/>
    <w:rsid w:val="00817BF1"/>
    <w:rsid w:val="00827C6B"/>
    <w:rsid w:val="00832C53"/>
    <w:rsid w:val="00836DA4"/>
    <w:rsid w:val="00843634"/>
    <w:rsid w:val="008529FA"/>
    <w:rsid w:val="00853478"/>
    <w:rsid w:val="00854659"/>
    <w:rsid w:val="00855FF7"/>
    <w:rsid w:val="00857860"/>
    <w:rsid w:val="00860FC7"/>
    <w:rsid w:val="00862677"/>
    <w:rsid w:val="00862E77"/>
    <w:rsid w:val="00863C0E"/>
    <w:rsid w:val="00864C5A"/>
    <w:rsid w:val="008654AB"/>
    <w:rsid w:val="00865BEF"/>
    <w:rsid w:val="00867576"/>
    <w:rsid w:val="00870B35"/>
    <w:rsid w:val="00871679"/>
    <w:rsid w:val="008812B0"/>
    <w:rsid w:val="008912FE"/>
    <w:rsid w:val="0089409A"/>
    <w:rsid w:val="00894A86"/>
    <w:rsid w:val="00897280"/>
    <w:rsid w:val="00897F25"/>
    <w:rsid w:val="008A3CF4"/>
    <w:rsid w:val="008B3BFE"/>
    <w:rsid w:val="008B4E74"/>
    <w:rsid w:val="008B7484"/>
    <w:rsid w:val="008C2EB6"/>
    <w:rsid w:val="008C64DE"/>
    <w:rsid w:val="008D04D7"/>
    <w:rsid w:val="008D631F"/>
    <w:rsid w:val="008E7205"/>
    <w:rsid w:val="008F568D"/>
    <w:rsid w:val="0090319B"/>
    <w:rsid w:val="00903553"/>
    <w:rsid w:val="00903D98"/>
    <w:rsid w:val="00904EAA"/>
    <w:rsid w:val="00915B8D"/>
    <w:rsid w:val="00925BEA"/>
    <w:rsid w:val="009318C8"/>
    <w:rsid w:val="00932138"/>
    <w:rsid w:val="0093363A"/>
    <w:rsid w:val="00934080"/>
    <w:rsid w:val="0093534C"/>
    <w:rsid w:val="00937043"/>
    <w:rsid w:val="00941AA4"/>
    <w:rsid w:val="00942D6A"/>
    <w:rsid w:val="00943DE4"/>
    <w:rsid w:val="009462EC"/>
    <w:rsid w:val="00946D0E"/>
    <w:rsid w:val="00947E6C"/>
    <w:rsid w:val="0095334E"/>
    <w:rsid w:val="0095689C"/>
    <w:rsid w:val="0096197A"/>
    <w:rsid w:val="00965EE8"/>
    <w:rsid w:val="00971F62"/>
    <w:rsid w:val="00976B27"/>
    <w:rsid w:val="0098065F"/>
    <w:rsid w:val="00983286"/>
    <w:rsid w:val="00987D0E"/>
    <w:rsid w:val="00987FC8"/>
    <w:rsid w:val="0099035C"/>
    <w:rsid w:val="00993E8C"/>
    <w:rsid w:val="00994723"/>
    <w:rsid w:val="009A09FA"/>
    <w:rsid w:val="009A4AEB"/>
    <w:rsid w:val="009B26BB"/>
    <w:rsid w:val="009B4B33"/>
    <w:rsid w:val="009C42C5"/>
    <w:rsid w:val="009D0B88"/>
    <w:rsid w:val="009D4E33"/>
    <w:rsid w:val="009D5564"/>
    <w:rsid w:val="009D6A89"/>
    <w:rsid w:val="009E04E8"/>
    <w:rsid w:val="009E0F42"/>
    <w:rsid w:val="009E12D9"/>
    <w:rsid w:val="009E596F"/>
    <w:rsid w:val="009E600A"/>
    <w:rsid w:val="00A01065"/>
    <w:rsid w:val="00A03DCA"/>
    <w:rsid w:val="00A03DF0"/>
    <w:rsid w:val="00A05B3F"/>
    <w:rsid w:val="00A063DD"/>
    <w:rsid w:val="00A14707"/>
    <w:rsid w:val="00A14E79"/>
    <w:rsid w:val="00A15D31"/>
    <w:rsid w:val="00A2314A"/>
    <w:rsid w:val="00A25FEA"/>
    <w:rsid w:val="00A26843"/>
    <w:rsid w:val="00A35B9D"/>
    <w:rsid w:val="00A401F6"/>
    <w:rsid w:val="00A41E21"/>
    <w:rsid w:val="00A42F32"/>
    <w:rsid w:val="00A4349C"/>
    <w:rsid w:val="00A4352A"/>
    <w:rsid w:val="00A478D9"/>
    <w:rsid w:val="00A50722"/>
    <w:rsid w:val="00A57C60"/>
    <w:rsid w:val="00A606B6"/>
    <w:rsid w:val="00A7021B"/>
    <w:rsid w:val="00A7408C"/>
    <w:rsid w:val="00A76171"/>
    <w:rsid w:val="00A81AC8"/>
    <w:rsid w:val="00A8536E"/>
    <w:rsid w:val="00A854CB"/>
    <w:rsid w:val="00A90E11"/>
    <w:rsid w:val="00A91B5C"/>
    <w:rsid w:val="00A9585B"/>
    <w:rsid w:val="00AA1022"/>
    <w:rsid w:val="00AA38AB"/>
    <w:rsid w:val="00AA50A0"/>
    <w:rsid w:val="00AA51F8"/>
    <w:rsid w:val="00AA5583"/>
    <w:rsid w:val="00AB0CD9"/>
    <w:rsid w:val="00AB3406"/>
    <w:rsid w:val="00AB34E3"/>
    <w:rsid w:val="00AB3F46"/>
    <w:rsid w:val="00AB4920"/>
    <w:rsid w:val="00AB788F"/>
    <w:rsid w:val="00AC1569"/>
    <w:rsid w:val="00AC1641"/>
    <w:rsid w:val="00AC3E82"/>
    <w:rsid w:val="00AC6D33"/>
    <w:rsid w:val="00AD04BB"/>
    <w:rsid w:val="00AD090F"/>
    <w:rsid w:val="00AD394E"/>
    <w:rsid w:val="00AD67FC"/>
    <w:rsid w:val="00AD70DB"/>
    <w:rsid w:val="00AE1DB4"/>
    <w:rsid w:val="00AE1DE3"/>
    <w:rsid w:val="00AE4083"/>
    <w:rsid w:val="00AE50BA"/>
    <w:rsid w:val="00AF7330"/>
    <w:rsid w:val="00B01E81"/>
    <w:rsid w:val="00B047FD"/>
    <w:rsid w:val="00B058AE"/>
    <w:rsid w:val="00B060C5"/>
    <w:rsid w:val="00B07B3D"/>
    <w:rsid w:val="00B17491"/>
    <w:rsid w:val="00B20C32"/>
    <w:rsid w:val="00B2236C"/>
    <w:rsid w:val="00B24A47"/>
    <w:rsid w:val="00B26992"/>
    <w:rsid w:val="00B40EFC"/>
    <w:rsid w:val="00B45A4B"/>
    <w:rsid w:val="00B47EAD"/>
    <w:rsid w:val="00B503B0"/>
    <w:rsid w:val="00B55E0C"/>
    <w:rsid w:val="00B56ACE"/>
    <w:rsid w:val="00B61774"/>
    <w:rsid w:val="00B617B8"/>
    <w:rsid w:val="00B63FF1"/>
    <w:rsid w:val="00B67912"/>
    <w:rsid w:val="00B71A95"/>
    <w:rsid w:val="00B758A7"/>
    <w:rsid w:val="00B822C6"/>
    <w:rsid w:val="00B84142"/>
    <w:rsid w:val="00B84A68"/>
    <w:rsid w:val="00B90612"/>
    <w:rsid w:val="00B96775"/>
    <w:rsid w:val="00BA0A4B"/>
    <w:rsid w:val="00BA263A"/>
    <w:rsid w:val="00BA459F"/>
    <w:rsid w:val="00BA6217"/>
    <w:rsid w:val="00BB22E3"/>
    <w:rsid w:val="00BB7C8A"/>
    <w:rsid w:val="00BC0CB2"/>
    <w:rsid w:val="00BC2E62"/>
    <w:rsid w:val="00BD2F6D"/>
    <w:rsid w:val="00BD3317"/>
    <w:rsid w:val="00BD7E3E"/>
    <w:rsid w:val="00BE0FCA"/>
    <w:rsid w:val="00BE10EC"/>
    <w:rsid w:val="00BE3B2B"/>
    <w:rsid w:val="00BE3C3E"/>
    <w:rsid w:val="00BE3C9E"/>
    <w:rsid w:val="00BE5473"/>
    <w:rsid w:val="00BE5673"/>
    <w:rsid w:val="00BE789C"/>
    <w:rsid w:val="00BF2B76"/>
    <w:rsid w:val="00C000A2"/>
    <w:rsid w:val="00C00809"/>
    <w:rsid w:val="00C02C29"/>
    <w:rsid w:val="00C03EC5"/>
    <w:rsid w:val="00C05A5A"/>
    <w:rsid w:val="00C05A5C"/>
    <w:rsid w:val="00C07881"/>
    <w:rsid w:val="00C108AA"/>
    <w:rsid w:val="00C11401"/>
    <w:rsid w:val="00C15D8E"/>
    <w:rsid w:val="00C169A9"/>
    <w:rsid w:val="00C16A69"/>
    <w:rsid w:val="00C22D34"/>
    <w:rsid w:val="00C27555"/>
    <w:rsid w:val="00C27950"/>
    <w:rsid w:val="00C312A2"/>
    <w:rsid w:val="00C35D5B"/>
    <w:rsid w:val="00C36BAD"/>
    <w:rsid w:val="00C402F2"/>
    <w:rsid w:val="00C41A20"/>
    <w:rsid w:val="00C50337"/>
    <w:rsid w:val="00C53C86"/>
    <w:rsid w:val="00C560BE"/>
    <w:rsid w:val="00C673AF"/>
    <w:rsid w:val="00C71C58"/>
    <w:rsid w:val="00C722E6"/>
    <w:rsid w:val="00C75A65"/>
    <w:rsid w:val="00C803EB"/>
    <w:rsid w:val="00C80671"/>
    <w:rsid w:val="00C822EF"/>
    <w:rsid w:val="00C833B6"/>
    <w:rsid w:val="00C866BC"/>
    <w:rsid w:val="00C97D6E"/>
    <w:rsid w:val="00CA247B"/>
    <w:rsid w:val="00CA37A9"/>
    <w:rsid w:val="00CA5959"/>
    <w:rsid w:val="00CB33E3"/>
    <w:rsid w:val="00CC2577"/>
    <w:rsid w:val="00CC3412"/>
    <w:rsid w:val="00CC3BD2"/>
    <w:rsid w:val="00CC5BF2"/>
    <w:rsid w:val="00CD02C5"/>
    <w:rsid w:val="00CD4E6F"/>
    <w:rsid w:val="00CD525B"/>
    <w:rsid w:val="00CD5584"/>
    <w:rsid w:val="00CD59C2"/>
    <w:rsid w:val="00CE249C"/>
    <w:rsid w:val="00CE310B"/>
    <w:rsid w:val="00CE5A53"/>
    <w:rsid w:val="00CE60BE"/>
    <w:rsid w:val="00CE7871"/>
    <w:rsid w:val="00CF18A9"/>
    <w:rsid w:val="00CF428B"/>
    <w:rsid w:val="00CF4DFE"/>
    <w:rsid w:val="00CF5DF8"/>
    <w:rsid w:val="00CF7144"/>
    <w:rsid w:val="00D008F1"/>
    <w:rsid w:val="00D03035"/>
    <w:rsid w:val="00D0781D"/>
    <w:rsid w:val="00D11C42"/>
    <w:rsid w:val="00D14CFE"/>
    <w:rsid w:val="00D17A12"/>
    <w:rsid w:val="00D21210"/>
    <w:rsid w:val="00D213D9"/>
    <w:rsid w:val="00D26B30"/>
    <w:rsid w:val="00D26DF8"/>
    <w:rsid w:val="00D27733"/>
    <w:rsid w:val="00D30D0F"/>
    <w:rsid w:val="00D328E2"/>
    <w:rsid w:val="00D34E2F"/>
    <w:rsid w:val="00D406C3"/>
    <w:rsid w:val="00D4512D"/>
    <w:rsid w:val="00D45445"/>
    <w:rsid w:val="00D45963"/>
    <w:rsid w:val="00D46065"/>
    <w:rsid w:val="00D468A4"/>
    <w:rsid w:val="00D47A0F"/>
    <w:rsid w:val="00D51951"/>
    <w:rsid w:val="00D530B5"/>
    <w:rsid w:val="00D53603"/>
    <w:rsid w:val="00D54D5A"/>
    <w:rsid w:val="00D553EE"/>
    <w:rsid w:val="00D618CA"/>
    <w:rsid w:val="00D628D6"/>
    <w:rsid w:val="00D629A2"/>
    <w:rsid w:val="00D62E7E"/>
    <w:rsid w:val="00D63C73"/>
    <w:rsid w:val="00D677A9"/>
    <w:rsid w:val="00D67B2D"/>
    <w:rsid w:val="00D7006F"/>
    <w:rsid w:val="00D72E5C"/>
    <w:rsid w:val="00D74EFD"/>
    <w:rsid w:val="00D77113"/>
    <w:rsid w:val="00D805FF"/>
    <w:rsid w:val="00D80DC5"/>
    <w:rsid w:val="00D82312"/>
    <w:rsid w:val="00D83F2D"/>
    <w:rsid w:val="00D9084A"/>
    <w:rsid w:val="00D90CEB"/>
    <w:rsid w:val="00DA04F0"/>
    <w:rsid w:val="00DA157A"/>
    <w:rsid w:val="00DA191B"/>
    <w:rsid w:val="00DB27C7"/>
    <w:rsid w:val="00DB6A7A"/>
    <w:rsid w:val="00DC0C17"/>
    <w:rsid w:val="00DC312E"/>
    <w:rsid w:val="00DC3BCE"/>
    <w:rsid w:val="00DC7180"/>
    <w:rsid w:val="00DD179A"/>
    <w:rsid w:val="00DD22B1"/>
    <w:rsid w:val="00DE1BE7"/>
    <w:rsid w:val="00DE38B2"/>
    <w:rsid w:val="00DE3F79"/>
    <w:rsid w:val="00DF661C"/>
    <w:rsid w:val="00DF6C8E"/>
    <w:rsid w:val="00DF75BC"/>
    <w:rsid w:val="00DF76E7"/>
    <w:rsid w:val="00DF7C16"/>
    <w:rsid w:val="00E01196"/>
    <w:rsid w:val="00E039F5"/>
    <w:rsid w:val="00E044D0"/>
    <w:rsid w:val="00E076AA"/>
    <w:rsid w:val="00E14DB7"/>
    <w:rsid w:val="00E171EF"/>
    <w:rsid w:val="00E20265"/>
    <w:rsid w:val="00E2219F"/>
    <w:rsid w:val="00E303AD"/>
    <w:rsid w:val="00E3045D"/>
    <w:rsid w:val="00E34B98"/>
    <w:rsid w:val="00E351E4"/>
    <w:rsid w:val="00E36903"/>
    <w:rsid w:val="00E40EBF"/>
    <w:rsid w:val="00E421CB"/>
    <w:rsid w:val="00E4256F"/>
    <w:rsid w:val="00E43768"/>
    <w:rsid w:val="00E43A4C"/>
    <w:rsid w:val="00E447BF"/>
    <w:rsid w:val="00E4578A"/>
    <w:rsid w:val="00E50626"/>
    <w:rsid w:val="00E51611"/>
    <w:rsid w:val="00E52C45"/>
    <w:rsid w:val="00E563D7"/>
    <w:rsid w:val="00E6035A"/>
    <w:rsid w:val="00E60AF3"/>
    <w:rsid w:val="00E61280"/>
    <w:rsid w:val="00E6609A"/>
    <w:rsid w:val="00E671BB"/>
    <w:rsid w:val="00E70847"/>
    <w:rsid w:val="00E7128C"/>
    <w:rsid w:val="00E735C9"/>
    <w:rsid w:val="00E74ADD"/>
    <w:rsid w:val="00E936B2"/>
    <w:rsid w:val="00E95AF4"/>
    <w:rsid w:val="00EA233A"/>
    <w:rsid w:val="00EB0738"/>
    <w:rsid w:val="00EB292B"/>
    <w:rsid w:val="00EB618D"/>
    <w:rsid w:val="00EC13B5"/>
    <w:rsid w:val="00EC14D1"/>
    <w:rsid w:val="00EC39A2"/>
    <w:rsid w:val="00EC5381"/>
    <w:rsid w:val="00EC6370"/>
    <w:rsid w:val="00EC64BC"/>
    <w:rsid w:val="00ED0204"/>
    <w:rsid w:val="00ED7233"/>
    <w:rsid w:val="00EF2C41"/>
    <w:rsid w:val="00EF63F3"/>
    <w:rsid w:val="00EF7A34"/>
    <w:rsid w:val="00F022B6"/>
    <w:rsid w:val="00F0694A"/>
    <w:rsid w:val="00F115DA"/>
    <w:rsid w:val="00F167C8"/>
    <w:rsid w:val="00F21624"/>
    <w:rsid w:val="00F23B1E"/>
    <w:rsid w:val="00F33F25"/>
    <w:rsid w:val="00F371FA"/>
    <w:rsid w:val="00F37B17"/>
    <w:rsid w:val="00F37C5C"/>
    <w:rsid w:val="00F40322"/>
    <w:rsid w:val="00F405D1"/>
    <w:rsid w:val="00F506B4"/>
    <w:rsid w:val="00F5161E"/>
    <w:rsid w:val="00F5169F"/>
    <w:rsid w:val="00F52D7E"/>
    <w:rsid w:val="00F540B2"/>
    <w:rsid w:val="00F544B3"/>
    <w:rsid w:val="00F5533A"/>
    <w:rsid w:val="00F570C6"/>
    <w:rsid w:val="00F62286"/>
    <w:rsid w:val="00F64CE4"/>
    <w:rsid w:val="00F65BB3"/>
    <w:rsid w:val="00F661E6"/>
    <w:rsid w:val="00F668E9"/>
    <w:rsid w:val="00F67942"/>
    <w:rsid w:val="00F77EEA"/>
    <w:rsid w:val="00F801FF"/>
    <w:rsid w:val="00F80F82"/>
    <w:rsid w:val="00F85642"/>
    <w:rsid w:val="00F86C0B"/>
    <w:rsid w:val="00F87594"/>
    <w:rsid w:val="00F934C8"/>
    <w:rsid w:val="00F94EE3"/>
    <w:rsid w:val="00F95A0A"/>
    <w:rsid w:val="00F95AC3"/>
    <w:rsid w:val="00F9642D"/>
    <w:rsid w:val="00F97F11"/>
    <w:rsid w:val="00FA223B"/>
    <w:rsid w:val="00FA3087"/>
    <w:rsid w:val="00FB1959"/>
    <w:rsid w:val="00FB4C52"/>
    <w:rsid w:val="00FC616A"/>
    <w:rsid w:val="00FC6A2D"/>
    <w:rsid w:val="00FC6C94"/>
    <w:rsid w:val="00FD1528"/>
    <w:rsid w:val="00FD5C51"/>
    <w:rsid w:val="00FE0B67"/>
    <w:rsid w:val="00FE51E1"/>
    <w:rsid w:val="00FE5549"/>
    <w:rsid w:val="00FE71A0"/>
    <w:rsid w:val="00FF0A3B"/>
    <w:rsid w:val="00FF2BDE"/>
    <w:rsid w:val="00FF34DF"/>
    <w:rsid w:val="00FF506A"/>
    <w:rsid w:val="00FF680E"/>
    <w:rsid w:val="00FF75C7"/>
    <w:rsid w:val="013CF448"/>
    <w:rsid w:val="01AB6C35"/>
    <w:rsid w:val="01B6D01C"/>
    <w:rsid w:val="01DBE63B"/>
    <w:rsid w:val="0262C073"/>
    <w:rsid w:val="0308FC05"/>
    <w:rsid w:val="0337E67C"/>
    <w:rsid w:val="034A74DE"/>
    <w:rsid w:val="037221C4"/>
    <w:rsid w:val="03A6057D"/>
    <w:rsid w:val="0407786C"/>
    <w:rsid w:val="040CDDB1"/>
    <w:rsid w:val="04DB92DD"/>
    <w:rsid w:val="04EF0D7E"/>
    <w:rsid w:val="0542353E"/>
    <w:rsid w:val="05A7832D"/>
    <w:rsid w:val="05E984FD"/>
    <w:rsid w:val="0620F46B"/>
    <w:rsid w:val="0654EFE7"/>
    <w:rsid w:val="066FFF1C"/>
    <w:rsid w:val="06951DE9"/>
    <w:rsid w:val="072639F4"/>
    <w:rsid w:val="073F0F46"/>
    <w:rsid w:val="0759F272"/>
    <w:rsid w:val="0832FB81"/>
    <w:rsid w:val="086893F6"/>
    <w:rsid w:val="086BAFC7"/>
    <w:rsid w:val="08768A2C"/>
    <w:rsid w:val="088229B0"/>
    <w:rsid w:val="08DE04AF"/>
    <w:rsid w:val="090C543F"/>
    <w:rsid w:val="0992F169"/>
    <w:rsid w:val="099B98D6"/>
    <w:rsid w:val="09B6F3F3"/>
    <w:rsid w:val="0AAE164E"/>
    <w:rsid w:val="0ABD3200"/>
    <w:rsid w:val="0B0909F4"/>
    <w:rsid w:val="0BC19EBA"/>
    <w:rsid w:val="0BD9B61C"/>
    <w:rsid w:val="0C15A571"/>
    <w:rsid w:val="0CD33998"/>
    <w:rsid w:val="0D6260E1"/>
    <w:rsid w:val="0E253E1A"/>
    <w:rsid w:val="0E46C290"/>
    <w:rsid w:val="0E5655AA"/>
    <w:rsid w:val="0E5BEDB5"/>
    <w:rsid w:val="0F06509E"/>
    <w:rsid w:val="0F67DD9E"/>
    <w:rsid w:val="0FDC50F2"/>
    <w:rsid w:val="103F4E8C"/>
    <w:rsid w:val="108C760B"/>
    <w:rsid w:val="10942A7F"/>
    <w:rsid w:val="10A220FF"/>
    <w:rsid w:val="113A99C6"/>
    <w:rsid w:val="1177A40E"/>
    <w:rsid w:val="11D1BE6B"/>
    <w:rsid w:val="121A8EDD"/>
    <w:rsid w:val="12C9AE69"/>
    <w:rsid w:val="12DB37A2"/>
    <w:rsid w:val="132CC28D"/>
    <w:rsid w:val="13432BCF"/>
    <w:rsid w:val="13671F00"/>
    <w:rsid w:val="136C92AD"/>
    <w:rsid w:val="145C81D9"/>
    <w:rsid w:val="14B4B008"/>
    <w:rsid w:val="14C892EE"/>
    <w:rsid w:val="15196C0F"/>
    <w:rsid w:val="15381452"/>
    <w:rsid w:val="15938813"/>
    <w:rsid w:val="15966EB4"/>
    <w:rsid w:val="15F35F10"/>
    <w:rsid w:val="1690ACBA"/>
    <w:rsid w:val="16F8948B"/>
    <w:rsid w:val="17323F15"/>
    <w:rsid w:val="1756E934"/>
    <w:rsid w:val="1760BB7D"/>
    <w:rsid w:val="17F972CE"/>
    <w:rsid w:val="1861EF63"/>
    <w:rsid w:val="18A43494"/>
    <w:rsid w:val="18E6D3E2"/>
    <w:rsid w:val="1A82A443"/>
    <w:rsid w:val="1A8E89F6"/>
    <w:rsid w:val="1B11045C"/>
    <w:rsid w:val="1B182500"/>
    <w:rsid w:val="1B239DDB"/>
    <w:rsid w:val="1B2499FA"/>
    <w:rsid w:val="1B88AD93"/>
    <w:rsid w:val="1BBBBD64"/>
    <w:rsid w:val="1BBC5989"/>
    <w:rsid w:val="1C044852"/>
    <w:rsid w:val="1C0AE066"/>
    <w:rsid w:val="1C6BD610"/>
    <w:rsid w:val="1CBAD3FA"/>
    <w:rsid w:val="1CBF6E3C"/>
    <w:rsid w:val="1CF37DA8"/>
    <w:rsid w:val="1DAF63FB"/>
    <w:rsid w:val="1DC62AB8"/>
    <w:rsid w:val="1E5FDD5B"/>
    <w:rsid w:val="1F19392F"/>
    <w:rsid w:val="1F45C013"/>
    <w:rsid w:val="1F581D0B"/>
    <w:rsid w:val="1F5B3FD8"/>
    <w:rsid w:val="1F7B0E6F"/>
    <w:rsid w:val="205B2297"/>
    <w:rsid w:val="20A80611"/>
    <w:rsid w:val="216E91E9"/>
    <w:rsid w:val="219632A3"/>
    <w:rsid w:val="21C4D555"/>
    <w:rsid w:val="2315AA17"/>
    <w:rsid w:val="2323C71A"/>
    <w:rsid w:val="23559FA7"/>
    <w:rsid w:val="23D7F1A4"/>
    <w:rsid w:val="23E90065"/>
    <w:rsid w:val="24F50D51"/>
    <w:rsid w:val="25222EA6"/>
    <w:rsid w:val="258C0FC3"/>
    <w:rsid w:val="25F5EFA8"/>
    <w:rsid w:val="264D4AD9"/>
    <w:rsid w:val="2669A3C6"/>
    <w:rsid w:val="268386F4"/>
    <w:rsid w:val="26CE5BFA"/>
    <w:rsid w:val="27152F0A"/>
    <w:rsid w:val="276767AE"/>
    <w:rsid w:val="27B6D2D8"/>
    <w:rsid w:val="2841BAFD"/>
    <w:rsid w:val="289EC74E"/>
    <w:rsid w:val="2912C402"/>
    <w:rsid w:val="2944F8C7"/>
    <w:rsid w:val="29A6DAE9"/>
    <w:rsid w:val="29E762FD"/>
    <w:rsid w:val="29E9B8E6"/>
    <w:rsid w:val="2AAC9B46"/>
    <w:rsid w:val="2B31A249"/>
    <w:rsid w:val="2B3D14E9"/>
    <w:rsid w:val="2C407E21"/>
    <w:rsid w:val="2CCD72AA"/>
    <w:rsid w:val="2CD629DA"/>
    <w:rsid w:val="2CD915F7"/>
    <w:rsid w:val="2CF07915"/>
    <w:rsid w:val="2CFC03C3"/>
    <w:rsid w:val="2D2F4AF8"/>
    <w:rsid w:val="2E76BA54"/>
    <w:rsid w:val="2EBB74D9"/>
    <w:rsid w:val="2F3308F3"/>
    <w:rsid w:val="2F5CC3C6"/>
    <w:rsid w:val="2F75AF05"/>
    <w:rsid w:val="2FF787D4"/>
    <w:rsid w:val="3010860C"/>
    <w:rsid w:val="309C49D5"/>
    <w:rsid w:val="30ACEF04"/>
    <w:rsid w:val="30B50E60"/>
    <w:rsid w:val="30EFECBA"/>
    <w:rsid w:val="3113EF44"/>
    <w:rsid w:val="3161968E"/>
    <w:rsid w:val="317476A6"/>
    <w:rsid w:val="3195EF78"/>
    <w:rsid w:val="322FE31A"/>
    <w:rsid w:val="3251A80F"/>
    <w:rsid w:val="32AFBFA5"/>
    <w:rsid w:val="331FEE93"/>
    <w:rsid w:val="335DBFB4"/>
    <w:rsid w:val="33C31207"/>
    <w:rsid w:val="34FBA39F"/>
    <w:rsid w:val="355F4AF9"/>
    <w:rsid w:val="3573D3F7"/>
    <w:rsid w:val="35DE1300"/>
    <w:rsid w:val="36768C92"/>
    <w:rsid w:val="36DD43A7"/>
    <w:rsid w:val="37FE6184"/>
    <w:rsid w:val="387A4953"/>
    <w:rsid w:val="38827E69"/>
    <w:rsid w:val="38AD2D34"/>
    <w:rsid w:val="39A2FCEB"/>
    <w:rsid w:val="3A07E9EF"/>
    <w:rsid w:val="3A2543A3"/>
    <w:rsid w:val="3A703242"/>
    <w:rsid w:val="3A8EAFA4"/>
    <w:rsid w:val="3BBA1F2B"/>
    <w:rsid w:val="3BBA918D"/>
    <w:rsid w:val="3BE450D8"/>
    <w:rsid w:val="3C1A8A6B"/>
    <w:rsid w:val="3C3B8906"/>
    <w:rsid w:val="3C5BADD6"/>
    <w:rsid w:val="3C9AAAD9"/>
    <w:rsid w:val="3CB20809"/>
    <w:rsid w:val="3CE69234"/>
    <w:rsid w:val="3D214D8E"/>
    <w:rsid w:val="3D266254"/>
    <w:rsid w:val="3D4A64DE"/>
    <w:rsid w:val="3D7249AF"/>
    <w:rsid w:val="3DD75967"/>
    <w:rsid w:val="3DD822B5"/>
    <w:rsid w:val="3DEB74E3"/>
    <w:rsid w:val="3E295879"/>
    <w:rsid w:val="3ED19B36"/>
    <w:rsid w:val="3F6FB7B8"/>
    <w:rsid w:val="3F961595"/>
    <w:rsid w:val="3FF91612"/>
    <w:rsid w:val="4004DE3F"/>
    <w:rsid w:val="40121BBB"/>
    <w:rsid w:val="405ED79E"/>
    <w:rsid w:val="410EFA29"/>
    <w:rsid w:val="419822F3"/>
    <w:rsid w:val="41FE1BEA"/>
    <w:rsid w:val="420D0E5C"/>
    <w:rsid w:val="421CAEC7"/>
    <w:rsid w:val="4239C4B4"/>
    <w:rsid w:val="4245BAD2"/>
    <w:rsid w:val="42678702"/>
    <w:rsid w:val="4269FE4B"/>
    <w:rsid w:val="427E5A8E"/>
    <w:rsid w:val="428B5955"/>
    <w:rsid w:val="429D14CD"/>
    <w:rsid w:val="431E2CCC"/>
    <w:rsid w:val="434FFE99"/>
    <w:rsid w:val="4364D314"/>
    <w:rsid w:val="442407B0"/>
    <w:rsid w:val="442AB99B"/>
    <w:rsid w:val="44857F0B"/>
    <w:rsid w:val="449EF2F1"/>
    <w:rsid w:val="44FA0882"/>
    <w:rsid w:val="4512D82F"/>
    <w:rsid w:val="45274BBC"/>
    <w:rsid w:val="45F31A01"/>
    <w:rsid w:val="4637238A"/>
    <w:rsid w:val="4688112A"/>
    <w:rsid w:val="468A46E4"/>
    <w:rsid w:val="47575D93"/>
    <w:rsid w:val="475787B8"/>
    <w:rsid w:val="477085F0"/>
    <w:rsid w:val="4873A4C0"/>
    <w:rsid w:val="48B422EB"/>
    <w:rsid w:val="49312F33"/>
    <w:rsid w:val="4984C330"/>
    <w:rsid w:val="4A5FCE13"/>
    <w:rsid w:val="4AE4DF1F"/>
    <w:rsid w:val="4B740FDA"/>
    <w:rsid w:val="4B94687C"/>
    <w:rsid w:val="4C06FCB0"/>
    <w:rsid w:val="4C43F713"/>
    <w:rsid w:val="4D105481"/>
    <w:rsid w:val="4D3466C2"/>
    <w:rsid w:val="4D3A7E79"/>
    <w:rsid w:val="4D68762E"/>
    <w:rsid w:val="4D6E5DB2"/>
    <w:rsid w:val="4E4635CC"/>
    <w:rsid w:val="4F4BD7CC"/>
    <w:rsid w:val="4F920466"/>
    <w:rsid w:val="4FE3AA35"/>
    <w:rsid w:val="4FEBA456"/>
    <w:rsid w:val="50588892"/>
    <w:rsid w:val="507A1551"/>
    <w:rsid w:val="5086EE93"/>
    <w:rsid w:val="51BAF46B"/>
    <w:rsid w:val="5222BEF4"/>
    <w:rsid w:val="52E17099"/>
    <w:rsid w:val="5302508E"/>
    <w:rsid w:val="5326E7A1"/>
    <w:rsid w:val="53FF9C83"/>
    <w:rsid w:val="540988C1"/>
    <w:rsid w:val="54FB532A"/>
    <w:rsid w:val="552359F2"/>
    <w:rsid w:val="55582CF6"/>
    <w:rsid w:val="555C6BCC"/>
    <w:rsid w:val="56579D46"/>
    <w:rsid w:val="5661816E"/>
    <w:rsid w:val="5782BF8D"/>
    <w:rsid w:val="5788C08E"/>
    <w:rsid w:val="57C548EB"/>
    <w:rsid w:val="58072B24"/>
    <w:rsid w:val="58CE1BE0"/>
    <w:rsid w:val="58DF717F"/>
    <w:rsid w:val="5970F413"/>
    <w:rsid w:val="59BD0A31"/>
    <w:rsid w:val="5A09CE4F"/>
    <w:rsid w:val="5A0EEDBF"/>
    <w:rsid w:val="5A4D014E"/>
    <w:rsid w:val="5ADA5D15"/>
    <w:rsid w:val="5B89EA51"/>
    <w:rsid w:val="5B905D4A"/>
    <w:rsid w:val="5B9620BE"/>
    <w:rsid w:val="5BC33FD8"/>
    <w:rsid w:val="5BE8358D"/>
    <w:rsid w:val="5C433249"/>
    <w:rsid w:val="5C43E5F2"/>
    <w:rsid w:val="5C7892A0"/>
    <w:rsid w:val="5C799C2E"/>
    <w:rsid w:val="5CA3364F"/>
    <w:rsid w:val="5CC8F300"/>
    <w:rsid w:val="5CDB3164"/>
    <w:rsid w:val="5CF411DA"/>
    <w:rsid w:val="5E8938BB"/>
    <w:rsid w:val="5ECB5D06"/>
    <w:rsid w:val="5F41530B"/>
    <w:rsid w:val="5FB73273"/>
    <w:rsid w:val="6019DB34"/>
    <w:rsid w:val="60672D67"/>
    <w:rsid w:val="6093C4F6"/>
    <w:rsid w:val="60FD8EA6"/>
    <w:rsid w:val="6110DE89"/>
    <w:rsid w:val="611A5570"/>
    <w:rsid w:val="611C5129"/>
    <w:rsid w:val="61461ED1"/>
    <w:rsid w:val="616D1B1C"/>
    <w:rsid w:val="6181095D"/>
    <w:rsid w:val="61AEBAA5"/>
    <w:rsid w:val="61D8A24C"/>
    <w:rsid w:val="6202FDC8"/>
    <w:rsid w:val="6227A7E7"/>
    <w:rsid w:val="623C80E1"/>
    <w:rsid w:val="62949D6C"/>
    <w:rsid w:val="62EA2874"/>
    <w:rsid w:val="62EAD2F6"/>
    <w:rsid w:val="635DA5FD"/>
    <w:rsid w:val="63A46354"/>
    <w:rsid w:val="640B61EA"/>
    <w:rsid w:val="65330C72"/>
    <w:rsid w:val="6602C4C1"/>
    <w:rsid w:val="66547A80"/>
    <w:rsid w:val="665ADCDB"/>
    <w:rsid w:val="6667864C"/>
    <w:rsid w:val="666DB6AA"/>
    <w:rsid w:val="66FB190A"/>
    <w:rsid w:val="674541B3"/>
    <w:rsid w:val="678BE737"/>
    <w:rsid w:val="67902CEF"/>
    <w:rsid w:val="67DEA1C2"/>
    <w:rsid w:val="689D0005"/>
    <w:rsid w:val="68DE1D00"/>
    <w:rsid w:val="69A746DF"/>
    <w:rsid w:val="69C09397"/>
    <w:rsid w:val="69FDD8C5"/>
    <w:rsid w:val="6A29A50C"/>
    <w:rsid w:val="6A44C022"/>
    <w:rsid w:val="6A63BA18"/>
    <w:rsid w:val="6A90BBFC"/>
    <w:rsid w:val="6AAC6A00"/>
    <w:rsid w:val="6BB3A31E"/>
    <w:rsid w:val="6BC3C3B7"/>
    <w:rsid w:val="6C0F975B"/>
    <w:rsid w:val="6C150651"/>
    <w:rsid w:val="6C2CD85D"/>
    <w:rsid w:val="6C6FB54D"/>
    <w:rsid w:val="6CBE0972"/>
    <w:rsid w:val="6D580193"/>
    <w:rsid w:val="6E1C663F"/>
    <w:rsid w:val="6E2179F5"/>
    <w:rsid w:val="6E9795FA"/>
    <w:rsid w:val="6F039669"/>
    <w:rsid w:val="6F91C124"/>
    <w:rsid w:val="6FFA39DD"/>
    <w:rsid w:val="70ACA241"/>
    <w:rsid w:val="70D2FB9C"/>
    <w:rsid w:val="7101FB74"/>
    <w:rsid w:val="711E1F56"/>
    <w:rsid w:val="7151EBBC"/>
    <w:rsid w:val="7175E56E"/>
    <w:rsid w:val="71BA37AC"/>
    <w:rsid w:val="7247F6C1"/>
    <w:rsid w:val="7290DF7C"/>
    <w:rsid w:val="72C37A43"/>
    <w:rsid w:val="7300DBF8"/>
    <w:rsid w:val="73A90A0F"/>
    <w:rsid w:val="73E8ACBF"/>
    <w:rsid w:val="742D0C2F"/>
    <w:rsid w:val="7469BF00"/>
    <w:rsid w:val="74A26B14"/>
    <w:rsid w:val="74D2569E"/>
    <w:rsid w:val="752F511F"/>
    <w:rsid w:val="758C2AE6"/>
    <w:rsid w:val="77113CD4"/>
    <w:rsid w:val="77376037"/>
    <w:rsid w:val="7744B0FB"/>
    <w:rsid w:val="776E8C52"/>
    <w:rsid w:val="77FA03DF"/>
    <w:rsid w:val="7804FFC7"/>
    <w:rsid w:val="78210D9D"/>
    <w:rsid w:val="79329C49"/>
    <w:rsid w:val="79456CA5"/>
    <w:rsid w:val="79674D0F"/>
    <w:rsid w:val="796B500C"/>
    <w:rsid w:val="7A89CD76"/>
    <w:rsid w:val="7AC04ACA"/>
    <w:rsid w:val="7B0ECC21"/>
    <w:rsid w:val="7B3CA089"/>
    <w:rsid w:val="7B5689A8"/>
    <w:rsid w:val="7B9352C0"/>
    <w:rsid w:val="7BA0CFF8"/>
    <w:rsid w:val="7C7C7822"/>
    <w:rsid w:val="7D689309"/>
    <w:rsid w:val="7DA95F48"/>
    <w:rsid w:val="7EB645D1"/>
    <w:rsid w:val="7EEB9291"/>
    <w:rsid w:val="7F5C1DF8"/>
    <w:rsid w:val="7FD76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15620"/>
  <w15:chartTrackingRefBased/>
  <w15:docId w15:val="{7FDA46FA-9676-4EE6-9199-B3BED516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50F"/>
    <w:pPr>
      <w:keepNext/>
      <w:keepLines/>
      <w:spacing w:before="240" w:after="12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262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50F"/>
    <w:rPr>
      <w:rFonts w:asciiTheme="majorHAnsi" w:eastAsiaTheme="majorEastAsia" w:hAnsiTheme="majorHAnsi" w:cstheme="majorBidi"/>
      <w:b/>
      <w:color w:val="1F3864" w:themeColor="accent1" w:themeShade="80"/>
      <w:sz w:val="32"/>
      <w:szCs w:val="32"/>
    </w:rPr>
  </w:style>
  <w:style w:type="table" w:styleId="TableGrid">
    <w:name w:val="Table Grid"/>
    <w:basedOn w:val="TableNormal"/>
    <w:uiPriority w:val="39"/>
    <w:rsid w:val="00B8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822C6"/>
    <w:pPr>
      <w:ind w:left="720"/>
      <w:contextualSpacing/>
    </w:pPr>
  </w:style>
  <w:style w:type="paragraph" w:styleId="BalloonText">
    <w:name w:val="Balloon Text"/>
    <w:basedOn w:val="Normal"/>
    <w:link w:val="BalloonTextChar"/>
    <w:uiPriority w:val="99"/>
    <w:semiHidden/>
    <w:unhideWhenUsed/>
    <w:rsid w:val="00CD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C2"/>
    <w:rPr>
      <w:rFonts w:ascii="Segoe UI" w:hAnsi="Segoe UI" w:cs="Segoe UI"/>
      <w:sz w:val="18"/>
      <w:szCs w:val="18"/>
    </w:rPr>
  </w:style>
  <w:style w:type="paragraph" w:styleId="Header">
    <w:name w:val="header"/>
    <w:basedOn w:val="Normal"/>
    <w:link w:val="HeaderChar"/>
    <w:uiPriority w:val="99"/>
    <w:unhideWhenUsed/>
    <w:rsid w:val="005B3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72"/>
  </w:style>
  <w:style w:type="paragraph" w:styleId="Footer">
    <w:name w:val="footer"/>
    <w:basedOn w:val="Normal"/>
    <w:link w:val="FooterChar"/>
    <w:uiPriority w:val="99"/>
    <w:unhideWhenUsed/>
    <w:rsid w:val="005B3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72"/>
  </w:style>
  <w:style w:type="character" w:styleId="FootnoteReference">
    <w:name w:val="footnote reference"/>
    <w:basedOn w:val="DefaultParagraphFont"/>
    <w:uiPriority w:val="99"/>
    <w:semiHidden/>
    <w:unhideWhenUsed/>
    <w:rsid w:val="00510E7F"/>
    <w:rPr>
      <w:vertAlign w:val="superscript"/>
    </w:rPr>
  </w:style>
  <w:style w:type="paragraph" w:styleId="FootnoteText">
    <w:name w:val="footnote text"/>
    <w:basedOn w:val="Normal"/>
    <w:link w:val="FootnoteTextChar"/>
    <w:uiPriority w:val="99"/>
    <w:semiHidden/>
    <w:unhideWhenUsed/>
    <w:rsid w:val="00020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A25"/>
    <w:rPr>
      <w:sz w:val="20"/>
      <w:szCs w:val="20"/>
    </w:rPr>
  </w:style>
  <w:style w:type="character" w:styleId="Hyperlink">
    <w:name w:val="Hyperlink"/>
    <w:basedOn w:val="DefaultParagraphFont"/>
    <w:uiPriority w:val="99"/>
    <w:unhideWhenUsed/>
    <w:rsid w:val="00FF34DF"/>
    <w:rPr>
      <w:color w:val="0563C1" w:themeColor="hyperlink"/>
      <w:u w:val="single"/>
    </w:rPr>
  </w:style>
  <w:style w:type="character" w:styleId="UnresolvedMention">
    <w:name w:val="Unresolved Mention"/>
    <w:basedOn w:val="DefaultParagraphFont"/>
    <w:uiPriority w:val="99"/>
    <w:semiHidden/>
    <w:unhideWhenUsed/>
    <w:rsid w:val="00FF34DF"/>
    <w:rPr>
      <w:color w:val="605E5C"/>
      <w:shd w:val="clear" w:color="auto" w:fill="E1DFDD"/>
    </w:rPr>
  </w:style>
  <w:style w:type="paragraph" w:styleId="CommentText">
    <w:name w:val="annotation text"/>
    <w:basedOn w:val="Normal"/>
    <w:link w:val="CommentTextChar"/>
    <w:uiPriority w:val="99"/>
    <w:semiHidden/>
    <w:unhideWhenUsed/>
    <w:rsid w:val="009B26BB"/>
    <w:pPr>
      <w:spacing w:line="240" w:lineRule="auto"/>
    </w:pPr>
    <w:rPr>
      <w:sz w:val="20"/>
      <w:szCs w:val="20"/>
    </w:rPr>
  </w:style>
  <w:style w:type="character" w:customStyle="1" w:styleId="CommentTextChar">
    <w:name w:val="Comment Text Char"/>
    <w:basedOn w:val="DefaultParagraphFont"/>
    <w:link w:val="CommentText"/>
    <w:uiPriority w:val="99"/>
    <w:semiHidden/>
    <w:rsid w:val="009B26BB"/>
    <w:rPr>
      <w:sz w:val="20"/>
      <w:szCs w:val="20"/>
    </w:rPr>
  </w:style>
  <w:style w:type="character" w:styleId="CommentReference">
    <w:name w:val="annotation reference"/>
    <w:basedOn w:val="DefaultParagraphFont"/>
    <w:uiPriority w:val="99"/>
    <w:semiHidden/>
    <w:unhideWhenUsed/>
    <w:rsid w:val="009B26BB"/>
    <w:rPr>
      <w:sz w:val="16"/>
      <w:szCs w:val="16"/>
    </w:rPr>
  </w:style>
  <w:style w:type="paragraph" w:styleId="CommentSubject">
    <w:name w:val="annotation subject"/>
    <w:basedOn w:val="CommentText"/>
    <w:next w:val="CommentText"/>
    <w:link w:val="CommentSubjectChar"/>
    <w:uiPriority w:val="99"/>
    <w:semiHidden/>
    <w:unhideWhenUsed/>
    <w:rsid w:val="00D51951"/>
    <w:rPr>
      <w:b/>
      <w:bCs/>
    </w:rPr>
  </w:style>
  <w:style w:type="character" w:customStyle="1" w:styleId="CommentSubjectChar">
    <w:name w:val="Comment Subject Char"/>
    <w:basedOn w:val="CommentTextChar"/>
    <w:link w:val="CommentSubject"/>
    <w:uiPriority w:val="99"/>
    <w:semiHidden/>
    <w:rsid w:val="00D51951"/>
    <w:rPr>
      <w:b/>
      <w:bCs/>
      <w:sz w:val="20"/>
      <w:szCs w:val="20"/>
    </w:rPr>
  </w:style>
  <w:style w:type="paragraph" w:styleId="TOCHeading">
    <w:name w:val="TOC Heading"/>
    <w:basedOn w:val="Heading1"/>
    <w:next w:val="Normal"/>
    <w:uiPriority w:val="39"/>
    <w:unhideWhenUsed/>
    <w:qFormat/>
    <w:rsid w:val="006A6EED"/>
    <w:pPr>
      <w:spacing w:after="0"/>
      <w:outlineLvl w:val="9"/>
    </w:pPr>
    <w:rPr>
      <w:b w:val="0"/>
      <w:color w:val="2F5496" w:themeColor="accent1" w:themeShade="BF"/>
      <w:lang w:val="en-US"/>
    </w:rPr>
  </w:style>
  <w:style w:type="paragraph" w:styleId="TOC1">
    <w:name w:val="toc 1"/>
    <w:basedOn w:val="Normal"/>
    <w:next w:val="Normal"/>
    <w:autoRedefine/>
    <w:uiPriority w:val="39"/>
    <w:unhideWhenUsed/>
    <w:rsid w:val="006A6EED"/>
    <w:pPr>
      <w:spacing w:after="100"/>
    </w:pPr>
  </w:style>
  <w:style w:type="character" w:customStyle="1" w:styleId="Heading2Char">
    <w:name w:val="Heading 2 Char"/>
    <w:basedOn w:val="DefaultParagraphFont"/>
    <w:link w:val="Heading2"/>
    <w:uiPriority w:val="9"/>
    <w:rsid w:val="0026221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6221A"/>
    <w:pPr>
      <w:spacing w:after="100"/>
      <w:ind w:left="220"/>
    </w:pPr>
  </w:style>
  <w:style w:type="character" w:styleId="Mention">
    <w:name w:val="Mention"/>
    <w:basedOn w:val="DefaultParagraphFont"/>
    <w:uiPriority w:val="99"/>
    <w:unhideWhenUsed/>
    <w:rsid w:val="004A33EA"/>
    <w:rPr>
      <w:color w:val="2B579A"/>
      <w:shd w:val="clear" w:color="auto" w:fill="E6E6E6"/>
    </w:rPr>
  </w:style>
  <w:style w:type="character" w:styleId="FollowedHyperlink">
    <w:name w:val="FollowedHyperlink"/>
    <w:basedOn w:val="DefaultParagraphFont"/>
    <w:uiPriority w:val="99"/>
    <w:semiHidden/>
    <w:unhideWhenUsed/>
    <w:rsid w:val="0033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frobarome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t:Task id="{87949A06-4209-48AC-A841-B3D0DE4914E9}">
    <t:Anchor>
      <t:Comment id="2022879515"/>
    </t:Anchor>
    <t:History>
      <t:Event id="{F8CD6089-204F-4193-BD68-B558994BA20E}" time="2020-11-05T10:34:53Z">
        <t:Attribution userId="S::sarah.ferbach@undp.org::1feced3c-7e61-4194-93a4-13d53147c97e" userProvider="AD" userName="Sarah Ferbach"/>
        <t:Anchor>
          <t:Comment id="2022879515"/>
        </t:Anchor>
        <t:Create/>
      </t:Event>
      <t:Event id="{00596493-B1D9-442C-8F2C-54D122FC17FB}" time="2020-11-05T10:34:53Z">
        <t:Attribution userId="S::sarah.ferbach@undp.org::1feced3c-7e61-4194-93a4-13d53147c97e" userProvider="AD" userName="Sarah Ferbach"/>
        <t:Anchor>
          <t:Comment id="2022879515"/>
        </t:Anchor>
        <t:Assign userId="S::clement.eyraud@undp.org::fa57d6a6-0c16-4a59-bdbf-0c6cdecd0e61" userProvider="AD" userName="Clement Eyraud"/>
      </t:Event>
      <t:Event id="{ACA3D132-073C-489F-AF4D-32E3AB8ACB5C}" time="2020-11-05T10:34:53Z">
        <t:Attribution userId="S::sarah.ferbach@undp.org::1feced3c-7e61-4194-93a4-13d53147c97e" userProvider="AD" userName="Sarah Ferbach"/>
        <t:Anchor>
          <t:Comment id="2022879515"/>
        </t:Anchor>
        <t:SetTitle title="@Clement Eyraud J'ai rédigé une ébauche de &quot;justification&quot; sur la base de ce dont on a discuté hier et ce matin, je te laisse y jeter un oeil et y apporter tes modific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26F50D132D4087FFF9D1E33CEEB8" ma:contentTypeVersion="11" ma:contentTypeDescription="Create a new document." ma:contentTypeScope="" ma:versionID="bb26d813a7d2ccd4242a98c8d281a98e">
  <xsd:schema xmlns:xsd="http://www.w3.org/2001/XMLSchema" xmlns:xs="http://www.w3.org/2001/XMLSchema" xmlns:p="http://schemas.microsoft.com/office/2006/metadata/properties" xmlns:ns2="fe7910d0-7f15-41a6-a3ac-96bdfad7fb77" xmlns:ns3="4fbb0f04-f1a7-4b06-825d-d8bc4685042a" targetNamespace="http://schemas.microsoft.com/office/2006/metadata/properties" ma:root="true" ma:fieldsID="da46eb9318f2a953261ecbe6dd19fe79" ns2:_="" ns3:_="">
    <xsd:import namespace="fe7910d0-7f15-41a6-a3ac-96bdfad7fb77"/>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10d0-7f15-41a6-a3ac-96bdfad7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bb0f04-f1a7-4b06-825d-d8bc4685042a">
      <UserInfo>
        <DisplayName>Corrado Quinto</DisplayName>
        <AccountId>26</AccountId>
        <AccountType/>
      </UserInfo>
      <UserInfo>
        <DisplayName>Hafedh Bouktif</DisplayName>
        <AccountId>209</AccountId>
        <AccountType/>
      </UserInfo>
      <UserInfo>
        <DisplayName>Takoua Tayari</DisplayName>
        <AccountId>235</AccountId>
        <AccountType/>
      </UserInfo>
      <UserInfo>
        <DisplayName>Walid Ben Amara</DisplayName>
        <AccountId>736</AccountId>
        <AccountType/>
      </UserInfo>
      <UserInfo>
        <DisplayName>Hela Abouda</DisplayName>
        <AccountId>1167</AccountId>
        <AccountType/>
      </UserInfo>
      <UserInfo>
        <DisplayName>Mohamed Mzem</DisplayName>
        <AccountId>1059</AccountId>
        <AccountType/>
      </UserInfo>
      <UserInfo>
        <DisplayName>Sarah Ferbach</DisplayName>
        <AccountId>1151</AccountId>
        <AccountType/>
      </UserInfo>
      <UserInfo>
        <DisplayName>Asma Khlass</DisplayName>
        <AccountId>832</AccountId>
        <AccountType/>
      </UserInfo>
      <UserInfo>
        <DisplayName>Clement Eyraud</DisplayName>
        <AccountId>728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74D4-D161-4FE0-9E7F-00D71C9A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10d0-7f15-41a6-a3ac-96bdfad7fb77"/>
    <ds:schemaRef ds:uri="4fbb0f04-f1a7-4b06-825d-d8bc4685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12869-BA1B-4D58-B1F2-25B4B1ECD447}">
  <ds:schemaRefs>
    <ds:schemaRef ds:uri="http://schemas.microsoft.com/sharepoint/v3/contenttype/forms"/>
  </ds:schemaRefs>
</ds:datastoreItem>
</file>

<file path=customXml/itemProps3.xml><?xml version="1.0" encoding="utf-8"?>
<ds:datastoreItem xmlns:ds="http://schemas.openxmlformats.org/officeDocument/2006/customXml" ds:itemID="{6CEC3E89-B6B8-4392-A751-0BA816AF7BE9}">
  <ds:schemaRefs>
    <ds:schemaRef ds:uri="http://schemas.microsoft.com/office/2006/metadata/properties"/>
    <ds:schemaRef ds:uri="http://schemas.microsoft.com/office/infopath/2007/PartnerControls"/>
    <ds:schemaRef ds:uri="4fbb0f04-f1a7-4b06-825d-d8bc4685042a"/>
  </ds:schemaRefs>
</ds:datastoreItem>
</file>

<file path=customXml/itemProps4.xml><?xml version="1.0" encoding="utf-8"?>
<ds:datastoreItem xmlns:ds="http://schemas.openxmlformats.org/officeDocument/2006/customXml" ds:itemID="{926E6334-B0AB-4537-ADF7-E581345713A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118</TotalTime>
  <Pages>6</Pages>
  <Words>2744</Words>
  <Characters>15647</Characters>
  <Application>Microsoft Office Word</Application>
  <DocSecurity>0</DocSecurity>
  <Lines>130</Lines>
  <Paragraphs>36</Paragraphs>
  <ScaleCrop>false</ScaleCrop>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Eyraud</dc:creator>
  <cp:keywords/>
  <dc:description/>
  <cp:lastModifiedBy>Clement Eyraud</cp:lastModifiedBy>
  <cp:revision>179</cp:revision>
  <dcterms:created xsi:type="dcterms:W3CDTF">2020-11-17T17:31:00Z</dcterms:created>
  <dcterms:modified xsi:type="dcterms:W3CDTF">2020-12-09T14:10:00Z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0x010100534426F50D132D4087FFF9D1E33CEEB8</vt:lpwstr>
  </property>
</Properties>
</file>