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A6A3F" w14:textId="51F97F78" w:rsidR="00091EBC" w:rsidRPr="0010194A" w:rsidRDefault="00E6638C" w:rsidP="004D1793">
      <w:pPr>
        <w:spacing w:after="0" w:line="240" w:lineRule="auto"/>
        <w:jc w:val="center"/>
        <w:rPr>
          <w:rFonts w:cstheme="minorHAnsi"/>
          <w:b/>
        </w:rPr>
      </w:pPr>
      <w:r w:rsidRPr="0010194A">
        <w:rPr>
          <w:rFonts w:cstheme="minorHAnsi"/>
          <w:b/>
        </w:rPr>
        <w:t xml:space="preserve">TERMS OF REFERENCE </w:t>
      </w:r>
    </w:p>
    <w:p w14:paraId="4C2A12BB" w14:textId="640B5F82" w:rsidR="00126C27" w:rsidRPr="00F50DDA" w:rsidRDefault="00B570AE" w:rsidP="009204F3">
      <w:pPr>
        <w:spacing w:after="0" w:line="240" w:lineRule="auto"/>
        <w:jc w:val="center"/>
        <w:rPr>
          <w:rFonts w:cstheme="minorHAnsi"/>
          <w:b/>
        </w:rPr>
      </w:pPr>
      <w:r>
        <w:rPr>
          <w:rFonts w:cstheme="minorHAnsi"/>
          <w:b/>
        </w:rPr>
        <w:t>A</w:t>
      </w:r>
      <w:r w:rsidR="00FB13A8">
        <w:rPr>
          <w:rFonts w:cstheme="minorHAnsi"/>
          <w:b/>
        </w:rPr>
        <w:t xml:space="preserve"> Gender Responsive Private Sector</w:t>
      </w:r>
      <w:r>
        <w:rPr>
          <w:rFonts w:cstheme="minorHAnsi"/>
          <w:b/>
        </w:rPr>
        <w:t xml:space="preserve"> </w:t>
      </w:r>
      <w:r w:rsidR="005E7DC8">
        <w:rPr>
          <w:rFonts w:cstheme="minorHAnsi"/>
          <w:b/>
        </w:rPr>
        <w:t>Scoping</w:t>
      </w:r>
      <w:r w:rsidR="00261DA7">
        <w:rPr>
          <w:rFonts w:cstheme="minorHAnsi"/>
          <w:b/>
        </w:rPr>
        <w:t xml:space="preserve"> Study</w:t>
      </w:r>
      <w:r w:rsidR="00DD6E2A">
        <w:rPr>
          <w:rFonts w:cstheme="minorHAnsi"/>
          <w:b/>
        </w:rPr>
        <w:t xml:space="preserve"> to </w:t>
      </w:r>
      <w:r w:rsidR="00261DA7">
        <w:rPr>
          <w:rFonts w:cstheme="minorHAnsi"/>
          <w:b/>
        </w:rPr>
        <w:t>explore</w:t>
      </w:r>
      <w:r w:rsidR="00DD6E2A">
        <w:rPr>
          <w:rFonts w:cstheme="minorHAnsi"/>
          <w:b/>
        </w:rPr>
        <w:t xml:space="preserve"> </w:t>
      </w:r>
      <w:r w:rsidR="00AA5D5B">
        <w:rPr>
          <w:rFonts w:cstheme="minorHAnsi"/>
          <w:b/>
        </w:rPr>
        <w:t>i</w:t>
      </w:r>
      <w:r w:rsidR="00DD6E2A">
        <w:rPr>
          <w:rFonts w:cstheme="minorHAnsi"/>
          <w:b/>
        </w:rPr>
        <w:t xml:space="preserve">nvestment </w:t>
      </w:r>
      <w:r w:rsidR="00AA5D5B">
        <w:rPr>
          <w:rFonts w:cstheme="minorHAnsi"/>
          <w:b/>
        </w:rPr>
        <w:t>o</w:t>
      </w:r>
      <w:r w:rsidR="00DD6E2A">
        <w:rPr>
          <w:rFonts w:cstheme="minorHAnsi"/>
          <w:b/>
        </w:rPr>
        <w:t>pportunities</w:t>
      </w:r>
      <w:r w:rsidR="000A5AE8">
        <w:rPr>
          <w:rFonts w:cstheme="minorHAnsi"/>
          <w:b/>
        </w:rPr>
        <w:t xml:space="preserve"> </w:t>
      </w:r>
      <w:r w:rsidR="00CF3F8B">
        <w:rPr>
          <w:rFonts w:cstheme="minorHAnsi"/>
          <w:b/>
        </w:rPr>
        <w:t xml:space="preserve">to </w:t>
      </w:r>
      <w:r w:rsidR="00261DA7">
        <w:rPr>
          <w:rFonts w:cstheme="minorHAnsi"/>
          <w:b/>
        </w:rPr>
        <w:t>enhance</w:t>
      </w:r>
      <w:r>
        <w:rPr>
          <w:rFonts w:cstheme="minorHAnsi"/>
          <w:b/>
        </w:rPr>
        <w:t xml:space="preserve"> NDC im</w:t>
      </w:r>
      <w:r w:rsidR="00356B2A">
        <w:rPr>
          <w:rFonts w:cstheme="minorHAnsi"/>
          <w:b/>
        </w:rPr>
        <w:t>plementation in Saint Vincent and the Grenadine</w:t>
      </w:r>
      <w:r w:rsidR="008B6A62">
        <w:rPr>
          <w:rFonts w:cstheme="minorHAnsi"/>
          <w:b/>
        </w:rPr>
        <w:t>s</w:t>
      </w:r>
    </w:p>
    <w:p w14:paraId="543EC4CD" w14:textId="63911BAF" w:rsidR="001912B6" w:rsidRDefault="001912B6" w:rsidP="009204F3">
      <w:pPr>
        <w:spacing w:after="0" w:line="240" w:lineRule="auto"/>
        <w:jc w:val="center"/>
        <w:rPr>
          <w:rFonts w:cstheme="minorHAnsi"/>
        </w:rPr>
      </w:pPr>
    </w:p>
    <w:p w14:paraId="50DFE5DC" w14:textId="77777777" w:rsidR="009D069F" w:rsidRPr="0010194A" w:rsidRDefault="009D069F" w:rsidP="009204F3">
      <w:pPr>
        <w:spacing w:after="0" w:line="240" w:lineRule="auto"/>
        <w:jc w:val="center"/>
        <w:rPr>
          <w:rFonts w:cstheme="minorHAnsi"/>
        </w:rPr>
      </w:pPr>
    </w:p>
    <w:p w14:paraId="0DA74D6A" w14:textId="77777777" w:rsidR="000A3FDE" w:rsidRPr="001D3D21" w:rsidRDefault="000A3FDE" w:rsidP="000A3FDE">
      <w:pPr>
        <w:shd w:val="clear" w:color="auto" w:fill="D9D9D9"/>
        <w:spacing w:after="0"/>
        <w:rPr>
          <w:rFonts w:cs="Calibri"/>
          <w:b/>
        </w:rPr>
      </w:pPr>
      <w:r w:rsidRPr="001D3D21">
        <w:rPr>
          <w:rFonts w:cs="Calibri"/>
          <w:b/>
        </w:rPr>
        <w:t>GENERAL INFORMATION</w:t>
      </w:r>
    </w:p>
    <w:p w14:paraId="44A75C6A" w14:textId="77777777" w:rsidR="009D069F" w:rsidRDefault="009D069F" w:rsidP="000A3FDE">
      <w:pPr>
        <w:spacing w:after="0"/>
        <w:rPr>
          <w:rFonts w:cs="Calibri"/>
          <w:b/>
        </w:rPr>
      </w:pPr>
    </w:p>
    <w:p w14:paraId="66518C22" w14:textId="235BD7D8" w:rsidR="000A3FDE" w:rsidRPr="00400E06" w:rsidRDefault="000A3FDE" w:rsidP="00F3292E">
      <w:pPr>
        <w:spacing w:after="0"/>
        <w:ind w:left="2835" w:hanging="2835"/>
        <w:rPr>
          <w:bCs/>
        </w:rPr>
      </w:pPr>
      <w:r w:rsidRPr="00F43F68">
        <w:rPr>
          <w:rFonts w:cs="Calibri"/>
          <w:b/>
        </w:rPr>
        <w:t>Services/Work Description:</w:t>
      </w:r>
      <w:r w:rsidR="00D1329B">
        <w:rPr>
          <w:rFonts w:cs="Calibri"/>
          <w:b/>
        </w:rPr>
        <w:t xml:space="preserve">       </w:t>
      </w:r>
      <w:r w:rsidR="00400E06" w:rsidRPr="00400E06">
        <w:rPr>
          <w:rFonts w:cs="Calibri"/>
          <w:bCs/>
        </w:rPr>
        <w:t>Development of a</w:t>
      </w:r>
      <w:r w:rsidR="007A41A0">
        <w:rPr>
          <w:rFonts w:cs="Calibri"/>
          <w:bCs/>
        </w:rPr>
        <w:t xml:space="preserve"> Gender</w:t>
      </w:r>
      <w:r w:rsidR="004B15DD">
        <w:rPr>
          <w:rFonts w:cs="Calibri"/>
          <w:bCs/>
        </w:rPr>
        <w:t xml:space="preserve"> Res</w:t>
      </w:r>
      <w:r w:rsidR="000A5AE8">
        <w:rPr>
          <w:rFonts w:cs="Calibri"/>
          <w:bCs/>
        </w:rPr>
        <w:t>ponsive</w:t>
      </w:r>
      <w:r w:rsidR="007A41A0">
        <w:rPr>
          <w:rFonts w:cs="Calibri"/>
          <w:bCs/>
        </w:rPr>
        <w:t xml:space="preserve"> Private Sector</w:t>
      </w:r>
      <w:r w:rsidR="00400E06" w:rsidRPr="00400E06">
        <w:rPr>
          <w:rFonts w:cs="Calibri"/>
          <w:bCs/>
        </w:rPr>
        <w:t xml:space="preserve"> Scoping Study to </w:t>
      </w:r>
      <w:r w:rsidR="004B15DD">
        <w:rPr>
          <w:rFonts w:cs="Calibri"/>
          <w:bCs/>
        </w:rPr>
        <w:t>e</w:t>
      </w:r>
      <w:r w:rsidR="00E33F5F">
        <w:rPr>
          <w:rFonts w:cs="Calibri"/>
          <w:bCs/>
        </w:rPr>
        <w:t xml:space="preserve">xplore </w:t>
      </w:r>
      <w:r w:rsidR="007A41A0">
        <w:rPr>
          <w:rFonts w:cs="Calibri"/>
          <w:bCs/>
        </w:rPr>
        <w:t>i</w:t>
      </w:r>
      <w:r w:rsidR="00400E06" w:rsidRPr="00400E06">
        <w:rPr>
          <w:rFonts w:cs="Calibri"/>
          <w:bCs/>
        </w:rPr>
        <w:t xml:space="preserve">nvestment </w:t>
      </w:r>
      <w:r w:rsidR="007A41A0">
        <w:rPr>
          <w:rFonts w:cs="Calibri"/>
          <w:bCs/>
        </w:rPr>
        <w:t>o</w:t>
      </w:r>
      <w:r w:rsidR="00400E06" w:rsidRPr="00400E06">
        <w:rPr>
          <w:rFonts w:cs="Calibri"/>
          <w:bCs/>
        </w:rPr>
        <w:t>pportunities</w:t>
      </w:r>
      <w:r w:rsidR="004B15DD">
        <w:rPr>
          <w:rFonts w:cs="Calibri"/>
          <w:bCs/>
        </w:rPr>
        <w:t xml:space="preserve"> </w:t>
      </w:r>
      <w:r w:rsidR="00C17D48">
        <w:rPr>
          <w:rFonts w:cs="Calibri"/>
          <w:bCs/>
        </w:rPr>
        <w:t xml:space="preserve">to </w:t>
      </w:r>
      <w:r w:rsidR="00E33F5F">
        <w:rPr>
          <w:rFonts w:cs="Calibri"/>
          <w:bCs/>
        </w:rPr>
        <w:t>enhance</w:t>
      </w:r>
      <w:r w:rsidR="00400E06" w:rsidRPr="00400E06">
        <w:rPr>
          <w:rFonts w:cs="Calibri"/>
          <w:bCs/>
        </w:rPr>
        <w:t xml:space="preserve"> NDC implementation in Saint Vincent and the Grenadines</w:t>
      </w:r>
    </w:p>
    <w:p w14:paraId="1C4571CD" w14:textId="4452A993" w:rsidR="000A3FDE" w:rsidRPr="00F43F68" w:rsidRDefault="000A3FDE" w:rsidP="00F43F68">
      <w:pPr>
        <w:spacing w:after="0"/>
        <w:ind w:left="2880" w:hanging="2880"/>
        <w:rPr>
          <w:rFonts w:asciiTheme="majorHAnsi" w:eastAsia="Calibri" w:hAnsiTheme="majorHAnsi" w:cstheme="majorHAnsi"/>
          <w:noProof/>
          <w:lang w:val="en-US"/>
        </w:rPr>
      </w:pPr>
      <w:r w:rsidRPr="00F43F68">
        <w:rPr>
          <w:rFonts w:cs="Calibri"/>
          <w:b/>
        </w:rPr>
        <w:t>Project/Program</w:t>
      </w:r>
      <w:r w:rsidR="006B3A02">
        <w:rPr>
          <w:rFonts w:cs="Calibri"/>
          <w:b/>
        </w:rPr>
        <w:t>me</w:t>
      </w:r>
      <w:r w:rsidRPr="00F43F68">
        <w:rPr>
          <w:rFonts w:cs="Calibri"/>
          <w:b/>
        </w:rPr>
        <w:t xml:space="preserve"> Title:</w:t>
      </w:r>
      <w:r w:rsidRPr="00F43F68">
        <w:rPr>
          <w:rFonts w:cs="Calibri"/>
        </w:rPr>
        <w:t xml:space="preserve"> </w:t>
      </w:r>
      <w:r w:rsidR="001B3432">
        <w:rPr>
          <w:rFonts w:cs="Calibri"/>
        </w:rPr>
        <w:t xml:space="preserve">       </w:t>
      </w:r>
      <w:r w:rsidR="00DC4765">
        <w:rPr>
          <w:rFonts w:cs="Calibri"/>
        </w:rPr>
        <w:t xml:space="preserve"> </w:t>
      </w:r>
      <w:r w:rsidR="00207436">
        <w:rPr>
          <w:rFonts w:cs="Calibri"/>
        </w:rPr>
        <w:t xml:space="preserve"> </w:t>
      </w:r>
      <w:r w:rsidR="00DC4765">
        <w:rPr>
          <w:rFonts w:cs="Calibri"/>
        </w:rPr>
        <w:t xml:space="preserve">Climate Promise and </w:t>
      </w:r>
      <w:r w:rsidRPr="00F43F68">
        <w:rPr>
          <w:rFonts w:eastAsia="Calibri" w:cstheme="majorHAnsi"/>
          <w:noProof/>
        </w:rPr>
        <w:t>Enabling Gender-Responsive Disaster Recovery,</w:t>
      </w:r>
      <w:r w:rsidR="00765086">
        <w:rPr>
          <w:rFonts w:eastAsia="Calibri" w:cstheme="majorHAnsi"/>
          <w:noProof/>
        </w:rPr>
        <w:t xml:space="preserve"> </w:t>
      </w:r>
      <w:r w:rsidRPr="00F43F68">
        <w:rPr>
          <w:rFonts w:eastAsia="Calibri" w:cstheme="majorHAnsi"/>
          <w:noProof/>
        </w:rPr>
        <w:t>Climate and Environmental Resilience in the Caribbean (EnGenDER)</w:t>
      </w:r>
    </w:p>
    <w:p w14:paraId="387DD542" w14:textId="3E4FA4BA" w:rsidR="00540BAE" w:rsidRPr="00207436" w:rsidRDefault="00F43F68" w:rsidP="2C49C1BC">
      <w:pPr>
        <w:spacing w:after="0"/>
        <w:ind w:left="2835" w:hanging="2835"/>
        <w:rPr>
          <w:rFonts w:cs="Calibri"/>
          <w:b/>
          <w:bCs/>
        </w:rPr>
      </w:pPr>
      <w:r w:rsidRPr="2C49C1BC">
        <w:rPr>
          <w:rFonts w:cs="Calibri"/>
          <w:b/>
          <w:bCs/>
        </w:rPr>
        <w:t>P</w:t>
      </w:r>
      <w:r w:rsidR="005021A6" w:rsidRPr="2C49C1BC">
        <w:rPr>
          <w:rFonts w:cs="Calibri"/>
          <w:b/>
          <w:bCs/>
        </w:rPr>
        <w:t>rocurem</w:t>
      </w:r>
      <w:r w:rsidR="00A14E32" w:rsidRPr="2C49C1BC">
        <w:rPr>
          <w:rFonts w:cs="Calibri"/>
          <w:b/>
          <w:bCs/>
        </w:rPr>
        <w:t>ent</w:t>
      </w:r>
      <w:r w:rsidRPr="2C49C1BC">
        <w:rPr>
          <w:rFonts w:cs="Calibri"/>
          <w:b/>
          <w:bCs/>
        </w:rPr>
        <w:t xml:space="preserve"> </w:t>
      </w:r>
      <w:r w:rsidR="0D4290BB" w:rsidRPr="2C49C1BC">
        <w:rPr>
          <w:rFonts w:cs="Calibri"/>
          <w:b/>
          <w:bCs/>
        </w:rPr>
        <w:t xml:space="preserve">Title: </w:t>
      </w:r>
      <w:r w:rsidR="0D4290BB" w:rsidRPr="2C49C1BC">
        <w:rPr>
          <w:rFonts w:cs="Calibri"/>
        </w:rPr>
        <w:t>Gender</w:t>
      </w:r>
      <w:r w:rsidR="00AB7DB8">
        <w:rPr>
          <w:rFonts w:cs="Calibri"/>
          <w:b/>
        </w:rPr>
        <w:tab/>
      </w:r>
      <w:r w:rsidR="00975AE3" w:rsidRPr="2C49C1BC">
        <w:rPr>
          <w:rFonts w:cs="Calibri"/>
        </w:rPr>
        <w:t xml:space="preserve"> Responsive</w:t>
      </w:r>
      <w:r w:rsidR="00975AE3" w:rsidRPr="2C49C1BC">
        <w:rPr>
          <w:rFonts w:cs="Calibri"/>
          <w:b/>
          <w:bCs/>
        </w:rPr>
        <w:t xml:space="preserve"> </w:t>
      </w:r>
      <w:r w:rsidR="009B26F8" w:rsidRPr="2C49C1BC">
        <w:rPr>
          <w:rFonts w:cs="Calibri"/>
        </w:rPr>
        <w:t>Private Sector Scoping Study to</w:t>
      </w:r>
      <w:r w:rsidR="00AB159C" w:rsidRPr="2C49C1BC">
        <w:rPr>
          <w:rFonts w:cs="Calibri"/>
        </w:rPr>
        <w:t xml:space="preserve"> enhance NDC implementation in </w:t>
      </w:r>
      <w:r w:rsidR="00653C09" w:rsidRPr="2C49C1BC">
        <w:rPr>
          <w:rFonts w:cs="Calibri"/>
        </w:rPr>
        <w:t>Saint Vincent and the Gre</w:t>
      </w:r>
      <w:r w:rsidR="007A0DF0" w:rsidRPr="2C49C1BC">
        <w:rPr>
          <w:rFonts w:cs="Calibri"/>
        </w:rPr>
        <w:t>nadines</w:t>
      </w:r>
    </w:p>
    <w:p w14:paraId="4A4B3CB4" w14:textId="0B3E5133" w:rsidR="008D4970" w:rsidRDefault="000A3FDE" w:rsidP="00F43F68">
      <w:pPr>
        <w:spacing w:after="0"/>
        <w:rPr>
          <w:bCs/>
        </w:rPr>
      </w:pPr>
      <w:r w:rsidRPr="00F43F68">
        <w:rPr>
          <w:rFonts w:cs="Calibri"/>
          <w:b/>
        </w:rPr>
        <w:t>Duty Station:</w:t>
      </w:r>
      <w:r w:rsidRPr="00F43F68">
        <w:rPr>
          <w:rFonts w:cs="Calibri"/>
        </w:rPr>
        <w:t xml:space="preserve"> </w:t>
      </w:r>
      <w:r w:rsidRPr="00F43F68">
        <w:rPr>
          <w:rFonts w:cs="Calibri"/>
        </w:rPr>
        <w:tab/>
      </w:r>
      <w:r w:rsidRPr="00F43F68">
        <w:rPr>
          <w:rFonts w:cs="Calibri"/>
        </w:rPr>
        <w:tab/>
      </w:r>
      <w:r w:rsidR="001C4B9B">
        <w:rPr>
          <w:rFonts w:cs="Calibri"/>
        </w:rPr>
        <w:t xml:space="preserve">              </w:t>
      </w:r>
      <w:r w:rsidR="00B30F5A">
        <w:rPr>
          <w:bCs/>
        </w:rPr>
        <w:t>Saint Vincent and the Grenadines</w:t>
      </w:r>
    </w:p>
    <w:p w14:paraId="39D9FED1" w14:textId="0651A7DF" w:rsidR="000A3FDE" w:rsidRDefault="000A3FDE" w:rsidP="00F43F68">
      <w:pPr>
        <w:spacing w:after="0"/>
        <w:rPr>
          <w:rFonts w:cs="Calibri"/>
        </w:rPr>
      </w:pPr>
      <w:r w:rsidRPr="00F43F68">
        <w:rPr>
          <w:rFonts w:cs="Calibri"/>
          <w:b/>
        </w:rPr>
        <w:t>Duration:</w:t>
      </w:r>
      <w:r w:rsidRPr="00F43F68">
        <w:rPr>
          <w:rFonts w:cs="Calibri"/>
        </w:rPr>
        <w:t xml:space="preserve"> </w:t>
      </w:r>
      <w:r w:rsidRPr="00F43F68">
        <w:rPr>
          <w:rFonts w:cs="Calibri"/>
        </w:rPr>
        <w:tab/>
      </w:r>
      <w:r w:rsidRPr="00F43F68">
        <w:rPr>
          <w:rFonts w:cs="Calibri"/>
        </w:rPr>
        <w:tab/>
      </w:r>
      <w:r w:rsidR="002F3BE5">
        <w:rPr>
          <w:rFonts w:cs="Calibri"/>
        </w:rPr>
        <w:t xml:space="preserve">              </w:t>
      </w:r>
      <w:r w:rsidR="00640A73">
        <w:rPr>
          <w:rFonts w:cs="Calibri"/>
        </w:rPr>
        <w:t>Fifty (</w:t>
      </w:r>
      <w:r w:rsidR="00E214CC">
        <w:rPr>
          <w:rFonts w:cs="Calibri"/>
        </w:rPr>
        <w:t>50</w:t>
      </w:r>
      <w:r w:rsidR="00640A73">
        <w:rPr>
          <w:rFonts w:cs="Calibri"/>
        </w:rPr>
        <w:t>)</w:t>
      </w:r>
      <w:r w:rsidR="00E214CC">
        <w:rPr>
          <w:rFonts w:cs="Calibri"/>
        </w:rPr>
        <w:t xml:space="preserve"> days</w:t>
      </w:r>
      <w:r w:rsidRPr="00F43F68">
        <w:br/>
      </w:r>
      <w:r w:rsidRPr="00F43F68">
        <w:rPr>
          <w:rFonts w:cs="Calibri"/>
          <w:b/>
        </w:rPr>
        <w:t>Expected Start Date:</w:t>
      </w:r>
      <w:r w:rsidRPr="00F43F68">
        <w:rPr>
          <w:rFonts w:cs="Calibri"/>
        </w:rPr>
        <w:tab/>
      </w:r>
      <w:r w:rsidR="00B600E1">
        <w:rPr>
          <w:rFonts w:cs="Calibri"/>
        </w:rPr>
        <w:t xml:space="preserve">              </w:t>
      </w:r>
      <w:r w:rsidR="002F31F7">
        <w:rPr>
          <w:rFonts w:cs="Calibri"/>
        </w:rPr>
        <w:t>February</w:t>
      </w:r>
      <w:r w:rsidR="008766F9">
        <w:rPr>
          <w:rFonts w:cs="Calibri"/>
        </w:rPr>
        <w:t xml:space="preserve"> 202</w:t>
      </w:r>
      <w:r w:rsidR="002F31F7">
        <w:rPr>
          <w:rFonts w:cs="Calibri"/>
        </w:rPr>
        <w:t>1</w:t>
      </w:r>
    </w:p>
    <w:p w14:paraId="5AFF38C7" w14:textId="77777777" w:rsidR="00533CE9" w:rsidRPr="00F43F68" w:rsidRDefault="00533CE9" w:rsidP="00F43F68">
      <w:pPr>
        <w:spacing w:after="0"/>
      </w:pPr>
    </w:p>
    <w:p w14:paraId="0710BF33" w14:textId="29A21F11" w:rsidR="00577F6C" w:rsidRDefault="00577F6C" w:rsidP="009204F3">
      <w:pPr>
        <w:spacing w:after="0" w:line="240" w:lineRule="auto"/>
        <w:jc w:val="center"/>
        <w:rPr>
          <w:rFonts w:cstheme="minorHAnsi"/>
        </w:rPr>
      </w:pPr>
    </w:p>
    <w:p w14:paraId="4D1D3560" w14:textId="61E7BA34" w:rsidR="00F43F68" w:rsidRPr="001D3D21" w:rsidRDefault="00533CE9" w:rsidP="00533CE9">
      <w:pPr>
        <w:pStyle w:val="Heading1"/>
        <w:numPr>
          <w:ilvl w:val="0"/>
          <w:numId w:val="0"/>
        </w:numPr>
      </w:pPr>
      <w:bookmarkStart w:id="0" w:name="_Hlk535573983"/>
      <w:r>
        <w:t>1.</w:t>
      </w:r>
      <w:r w:rsidR="00F85AC5">
        <w:t xml:space="preserve"> </w:t>
      </w:r>
      <w:r w:rsidR="00F43F68" w:rsidRPr="001D3D21">
        <w:t>BACKGROUND / PROJECT DESCRIPTION</w:t>
      </w:r>
    </w:p>
    <w:p w14:paraId="5F89B8AA" w14:textId="174206AF" w:rsidR="00FD50D5" w:rsidRDefault="00FD50D5" w:rsidP="00FD50D5">
      <w:pPr>
        <w:spacing w:before="240" w:after="240"/>
        <w:jc w:val="both"/>
        <w:rPr>
          <w:rFonts w:cstheme="minorHAnsi"/>
        </w:rPr>
      </w:pPr>
      <w:r>
        <w:rPr>
          <w:rFonts w:cstheme="minorHAnsi"/>
        </w:rPr>
        <w:t xml:space="preserve">Climate Change presents the single biggest threat to sustainable </w:t>
      </w:r>
      <w:r w:rsidRPr="00D25F4D">
        <w:t>development and is already causing widespread, unprecedented impacts that disproportionately burden the poorest, marginalized and most vulnerable</w:t>
      </w:r>
      <w:r w:rsidRPr="008F27C5">
        <w:t xml:space="preserve">. </w:t>
      </w:r>
      <w:r>
        <w:rPr>
          <w:rFonts w:cstheme="minorHAnsi"/>
        </w:rPr>
        <w:t xml:space="preserve"> Its effects are being shaped by pervasive and entrenched gender inequalities and key vulnerable groups such as women, indigenous peop</w:t>
      </w:r>
      <w:r w:rsidR="00B40CE5">
        <w:rPr>
          <w:rFonts w:cstheme="minorHAnsi"/>
        </w:rPr>
        <w:t>le</w:t>
      </w:r>
      <w:r>
        <w:rPr>
          <w:rFonts w:cstheme="minorHAnsi"/>
        </w:rPr>
        <w:t>, the elderly as well as persons living with disabilities are among the most likely to be disproportionally affected.</w:t>
      </w:r>
    </w:p>
    <w:p w14:paraId="3F7A5A36" w14:textId="3F32A53A" w:rsidR="001F3A9D" w:rsidRDefault="00FD50D5" w:rsidP="00574CCA">
      <w:pPr>
        <w:spacing w:before="240" w:after="240"/>
        <w:jc w:val="both"/>
        <w:rPr>
          <w:rFonts w:cstheme="minorHAnsi"/>
        </w:rPr>
      </w:pPr>
      <w:r>
        <w:rPr>
          <w:rFonts w:cstheme="minorHAnsi"/>
        </w:rPr>
        <w:t>The unanimous commitment made by 195 countries under the 2015 Paris Agreement, to work towards global goals that would limit global average temperature rise, put forward through a country’s climate action plans also known as their Intended Nationally Determined Contributions (INDCs) was first hailed as a momentous step in curbing</w:t>
      </w:r>
      <w:r w:rsidR="00712CB0">
        <w:rPr>
          <w:rFonts w:cstheme="minorHAnsi"/>
        </w:rPr>
        <w:t xml:space="preserve"> global</w:t>
      </w:r>
      <w:r>
        <w:rPr>
          <w:rFonts w:cstheme="minorHAnsi"/>
        </w:rPr>
        <w:t xml:space="preserve"> greenhouse gas (GHG) emissions. However, the current trajectory estimates a rise in global temperature of 2.9 to 3.4 degrees Celsius by 2100.  </w:t>
      </w:r>
      <w:r w:rsidR="00BD61F7">
        <w:rPr>
          <w:rFonts w:cstheme="minorHAnsi"/>
        </w:rPr>
        <w:t>All countries are therefore expected to submit increasingly ambitious INDCs/NDCs and 2020 is seen as the first opportunity to do so, as it marks the first five-year review cycle.  Although, the disruptions caused by the COVID-19 pandemic will make it difficult for many countries to meet the December 2020 deadline it is still expected that this will be achieved by the end of March 2021.</w:t>
      </w:r>
    </w:p>
    <w:p w14:paraId="52AB9E49" w14:textId="602956A8" w:rsidR="000A506C" w:rsidRDefault="0043504A" w:rsidP="00574CCA">
      <w:pPr>
        <w:spacing w:before="240" w:after="240"/>
        <w:jc w:val="both"/>
        <w:rPr>
          <w:rFonts w:cstheme="minorHAnsi"/>
        </w:rPr>
      </w:pPr>
      <w:r w:rsidRPr="00B23F45">
        <w:rPr>
          <w:rFonts w:cstheme="minorHAnsi"/>
        </w:rPr>
        <w:t>Though</w:t>
      </w:r>
      <w:r w:rsidR="00574CCA" w:rsidRPr="00B23F45">
        <w:rPr>
          <w:rFonts w:cstheme="minorHAnsi"/>
        </w:rPr>
        <w:t>, 2020 is seen as a year for increase ambition, whereby countries will have the opportunity to embrace more ambitious NDCs targets to remain on track to limit global temperature rise to 1.5 degrees Celsius.</w:t>
      </w:r>
      <w:r w:rsidR="00574CCA">
        <w:rPr>
          <w:rFonts w:cstheme="minorHAnsi"/>
        </w:rPr>
        <w:t xml:space="preserve"> </w:t>
      </w:r>
      <w:r w:rsidR="00684498">
        <w:rPr>
          <w:rFonts w:cstheme="minorHAnsi"/>
        </w:rPr>
        <w:t xml:space="preserve">The disruptions caused by the COVID </w:t>
      </w:r>
      <w:r w:rsidR="00143A9F">
        <w:rPr>
          <w:rFonts w:cstheme="minorHAnsi"/>
        </w:rPr>
        <w:t xml:space="preserve">pandemic </w:t>
      </w:r>
      <w:r w:rsidR="00C80390">
        <w:rPr>
          <w:rFonts w:cstheme="minorHAnsi"/>
        </w:rPr>
        <w:t>represent a major barrier</w:t>
      </w:r>
      <w:r w:rsidR="0059092F">
        <w:rPr>
          <w:rFonts w:cstheme="minorHAnsi"/>
        </w:rPr>
        <w:t xml:space="preserve"> in</w:t>
      </w:r>
      <w:r w:rsidR="00EF52AB">
        <w:rPr>
          <w:rFonts w:cstheme="minorHAnsi"/>
        </w:rPr>
        <w:t xml:space="preserve"> preventing</w:t>
      </w:r>
      <w:r w:rsidR="0059092F">
        <w:rPr>
          <w:rFonts w:cstheme="minorHAnsi"/>
        </w:rPr>
        <w:t xml:space="preserve"> ma</w:t>
      </w:r>
      <w:r w:rsidR="00EF52AB">
        <w:rPr>
          <w:rFonts w:cstheme="minorHAnsi"/>
        </w:rPr>
        <w:t>n</w:t>
      </w:r>
      <w:r w:rsidR="0059092F">
        <w:rPr>
          <w:rFonts w:cstheme="minorHAnsi"/>
        </w:rPr>
        <w:t xml:space="preserve">y countries </w:t>
      </w:r>
      <w:r w:rsidR="004067B5">
        <w:rPr>
          <w:rFonts w:cstheme="minorHAnsi"/>
        </w:rPr>
        <w:t>from achieving their goals.</w:t>
      </w:r>
      <w:r w:rsidR="0059092F">
        <w:rPr>
          <w:rFonts w:cstheme="minorHAnsi"/>
        </w:rPr>
        <w:t xml:space="preserve"> </w:t>
      </w:r>
      <w:r w:rsidR="000170E7">
        <w:rPr>
          <w:rFonts w:cstheme="minorHAnsi"/>
        </w:rPr>
        <w:t xml:space="preserve">The pandemic also serves </w:t>
      </w:r>
      <w:r w:rsidR="00DE3C20">
        <w:rPr>
          <w:rFonts w:cstheme="minorHAnsi"/>
        </w:rPr>
        <w:t>to</w:t>
      </w:r>
      <w:r w:rsidR="0059092F">
        <w:rPr>
          <w:rFonts w:cstheme="minorHAnsi"/>
        </w:rPr>
        <w:t xml:space="preserve"> compoun</w:t>
      </w:r>
      <w:r w:rsidR="00DE3C20">
        <w:rPr>
          <w:rFonts w:cstheme="minorHAnsi"/>
        </w:rPr>
        <w:t>d</w:t>
      </w:r>
      <w:r w:rsidR="004672DC">
        <w:rPr>
          <w:rFonts w:cstheme="minorHAnsi"/>
        </w:rPr>
        <w:t xml:space="preserve"> the</w:t>
      </w:r>
      <w:r w:rsidR="00983870">
        <w:rPr>
          <w:rFonts w:cstheme="minorHAnsi"/>
        </w:rPr>
        <w:t xml:space="preserve"> ex</w:t>
      </w:r>
      <w:r w:rsidR="00803E01">
        <w:rPr>
          <w:rFonts w:cstheme="minorHAnsi"/>
        </w:rPr>
        <w:t>istentia</w:t>
      </w:r>
      <w:r w:rsidR="00983870">
        <w:rPr>
          <w:rFonts w:cstheme="minorHAnsi"/>
        </w:rPr>
        <w:t>l</w:t>
      </w:r>
      <w:r w:rsidR="004672DC">
        <w:rPr>
          <w:rFonts w:cstheme="minorHAnsi"/>
        </w:rPr>
        <w:t xml:space="preserve"> threats caused</w:t>
      </w:r>
      <w:r w:rsidR="00983870">
        <w:rPr>
          <w:rFonts w:cstheme="minorHAnsi"/>
        </w:rPr>
        <w:t xml:space="preserve"> by climate </w:t>
      </w:r>
      <w:r w:rsidR="00983870">
        <w:rPr>
          <w:rFonts w:cstheme="minorHAnsi"/>
        </w:rPr>
        <w:lastRenderedPageBreak/>
        <w:t xml:space="preserve">change </w:t>
      </w:r>
      <w:r w:rsidR="00DE3C20">
        <w:rPr>
          <w:rFonts w:cstheme="minorHAnsi"/>
        </w:rPr>
        <w:t>further</w:t>
      </w:r>
      <w:r w:rsidR="009214B2">
        <w:rPr>
          <w:rFonts w:cstheme="minorHAnsi"/>
        </w:rPr>
        <w:t xml:space="preserve"> </w:t>
      </w:r>
      <w:r w:rsidR="009214B2">
        <w:rPr>
          <w:rFonts w:cstheme="minorHAnsi"/>
          <w:color w:val="000000"/>
        </w:rPr>
        <w:t>as t</w:t>
      </w:r>
      <w:r w:rsidR="009214B2" w:rsidRPr="00AF2158">
        <w:rPr>
          <w:rFonts w:cstheme="minorHAnsi"/>
          <w:color w:val="000000"/>
        </w:rPr>
        <w:t>hese two global threats serve as poverty multipliers, forcing already vulnerability groups such as women and girls into further poverty resulting in sustained and</w:t>
      </w:r>
      <w:r w:rsidR="009214B2">
        <w:rPr>
          <w:rFonts w:cstheme="minorHAnsi"/>
          <w:color w:val="000000"/>
        </w:rPr>
        <w:t>/or</w:t>
      </w:r>
      <w:r w:rsidR="009214B2" w:rsidRPr="00AF2158">
        <w:rPr>
          <w:rFonts w:cstheme="minorHAnsi"/>
          <w:color w:val="000000"/>
        </w:rPr>
        <w:t xml:space="preserve"> reinforced inequalities.</w:t>
      </w:r>
      <w:r w:rsidR="009214B2">
        <w:rPr>
          <w:rFonts w:cstheme="minorHAnsi"/>
          <w:color w:val="000000"/>
        </w:rPr>
        <w:t xml:space="preserve"> The drive towards the submission of more ambitious NDCs targets and enhance NDCs implementation is even more crucial now given the onset of the COVID-19 pandemic.</w:t>
      </w:r>
      <w:r w:rsidR="000514DF">
        <w:rPr>
          <w:rFonts w:cstheme="minorHAnsi"/>
        </w:rPr>
        <w:t xml:space="preserve"> </w:t>
      </w:r>
      <w:r w:rsidR="00574CCA">
        <w:rPr>
          <w:rFonts w:cstheme="minorHAnsi"/>
        </w:rPr>
        <w:t>The implementation o</w:t>
      </w:r>
      <w:r w:rsidR="00B81837">
        <w:rPr>
          <w:rFonts w:cstheme="minorHAnsi"/>
        </w:rPr>
        <w:t>f countries</w:t>
      </w:r>
      <w:r w:rsidR="00574CCA">
        <w:rPr>
          <w:rFonts w:cstheme="minorHAnsi"/>
        </w:rPr>
        <w:t xml:space="preserve"> NDCs targets </w:t>
      </w:r>
      <w:r w:rsidR="000514DF">
        <w:rPr>
          <w:rFonts w:cstheme="minorHAnsi"/>
        </w:rPr>
        <w:t xml:space="preserve">will, however, </w:t>
      </w:r>
      <w:r w:rsidR="00574CCA">
        <w:rPr>
          <w:rFonts w:cstheme="minorHAnsi"/>
        </w:rPr>
        <w:t>require significant levels of international and domestic private sector investments inflows if developing countries are to deliver on the NDCs commitments made under the Paris Agreement.</w:t>
      </w:r>
      <w:r w:rsidR="005822F7">
        <w:rPr>
          <w:rFonts w:cstheme="minorHAnsi"/>
        </w:rPr>
        <w:t xml:space="preserve"> </w:t>
      </w:r>
    </w:p>
    <w:p w14:paraId="6058753C" w14:textId="7B681F1A" w:rsidR="00AD468B" w:rsidRDefault="00204E57" w:rsidP="00AD468B">
      <w:pPr>
        <w:spacing w:before="240" w:after="240"/>
        <w:jc w:val="both"/>
      </w:pPr>
      <w:r>
        <w:rPr>
          <w:rFonts w:cstheme="minorHAnsi"/>
        </w:rPr>
        <w:t>Attracting the scale of private sector investment</w:t>
      </w:r>
      <w:r w:rsidR="001C62BD">
        <w:rPr>
          <w:rFonts w:cstheme="minorHAnsi"/>
        </w:rPr>
        <w:t>,</w:t>
      </w:r>
      <w:r>
        <w:rPr>
          <w:rFonts w:cstheme="minorHAnsi"/>
        </w:rPr>
        <w:t xml:space="preserve"> at the speed needed</w:t>
      </w:r>
      <w:r w:rsidR="001C62BD">
        <w:rPr>
          <w:rFonts w:cstheme="minorHAnsi"/>
        </w:rPr>
        <w:t>,</w:t>
      </w:r>
      <w:r>
        <w:rPr>
          <w:rFonts w:cstheme="minorHAnsi"/>
        </w:rPr>
        <w:t xml:space="preserve"> to respond to climate change and to meet NDCs targets requires a multidimensional approach.</w:t>
      </w:r>
      <w:r w:rsidR="00D23D75">
        <w:rPr>
          <w:rStyle w:val="FootnoteReference"/>
          <w:rFonts w:cstheme="minorHAnsi"/>
        </w:rPr>
        <w:footnoteReference w:id="2"/>
      </w:r>
      <w:r>
        <w:rPr>
          <w:rFonts w:cstheme="minorHAnsi"/>
        </w:rPr>
        <w:t xml:space="preserve"> UNDP is well positioned to support countries in their efforts to assess the estimated cost for NDC implementation nationally as well as identify the private sector investment opportunities</w:t>
      </w:r>
      <w:r w:rsidR="00882DDF">
        <w:rPr>
          <w:rFonts w:cstheme="minorHAnsi"/>
        </w:rPr>
        <w:t xml:space="preserve"> available to accelerate NDC implementation</w:t>
      </w:r>
      <w:r>
        <w:rPr>
          <w:rFonts w:cstheme="minorHAnsi"/>
        </w:rPr>
        <w:t>. The UNDP Climate Promise Programme was designed to support countries</w:t>
      </w:r>
      <w:r w:rsidR="00A66480">
        <w:rPr>
          <w:rFonts w:cstheme="minorHAnsi"/>
        </w:rPr>
        <w:t xml:space="preserve"> in submitting increasing ambitious NDCs targets and in</w:t>
      </w:r>
      <w:r w:rsidR="00BB5A72">
        <w:rPr>
          <w:rFonts w:cstheme="minorHAnsi"/>
        </w:rPr>
        <w:t xml:space="preserve"> enhancing</w:t>
      </w:r>
      <w:r w:rsidR="00A66480">
        <w:rPr>
          <w:rFonts w:cstheme="minorHAnsi"/>
        </w:rPr>
        <w:t xml:space="preserve"> NDC implementation.</w:t>
      </w:r>
      <w:r w:rsidR="00972E30">
        <w:rPr>
          <w:rFonts w:cstheme="minorHAnsi"/>
        </w:rPr>
        <w:t xml:space="preserve"> </w:t>
      </w:r>
      <w:r w:rsidR="00597218">
        <w:rPr>
          <w:rFonts w:cstheme="minorHAnsi"/>
        </w:rPr>
        <w:t>Climate Promise intends to achieve th</w:t>
      </w:r>
      <w:r w:rsidR="00972E30">
        <w:rPr>
          <w:rFonts w:cstheme="minorHAnsi"/>
        </w:rPr>
        <w:t>is,</w:t>
      </w:r>
      <w:r w:rsidR="009D2568">
        <w:rPr>
          <w:rFonts w:cstheme="minorHAnsi"/>
        </w:rPr>
        <w:t xml:space="preserve"> by either leveraging </w:t>
      </w:r>
      <w:r w:rsidR="00462A73">
        <w:rPr>
          <w:rFonts w:cstheme="minorHAnsi"/>
        </w:rPr>
        <w:t xml:space="preserve">the UNDP existing climate portfolio, or working in close collaboration with other UN system partners or by strategically augmenting other relevant ongoing activities, as appropriate. The </w:t>
      </w:r>
      <w:r w:rsidR="00462A73" w:rsidRPr="00F23AF4">
        <w:rPr>
          <w:rFonts w:eastAsia="Calibri" w:cstheme="majorHAnsi"/>
          <w:noProof/>
        </w:rPr>
        <w:t>Enabling Gender-Responsive Disaster Recovery, Climate and Environmental Resilience in the Caribbean (</w:t>
      </w:r>
      <w:r w:rsidR="00462A73" w:rsidRPr="00F23AF4">
        <w:rPr>
          <w:rFonts w:cstheme="minorHAnsi"/>
        </w:rPr>
        <w:t>EnGenDER)</w:t>
      </w:r>
      <w:r w:rsidR="00462A73">
        <w:rPr>
          <w:rFonts w:cstheme="minorHAnsi"/>
        </w:rPr>
        <w:t xml:space="preserve"> project, provides an excellent opportunity for support to be offered to specific beneficiary countries under the Climate Promise Programme, by leveraging the funding available under the EnGenDER project to advance activities which</w:t>
      </w:r>
      <w:r w:rsidR="00AD468B">
        <w:rPr>
          <w:rFonts w:cstheme="minorHAnsi"/>
        </w:rPr>
        <w:t xml:space="preserve"> </w:t>
      </w:r>
      <w:r w:rsidR="00AD468B" w:rsidRPr="168B172E">
        <w:t>“systematically employ a gender-responsive approach within NDC processes, policies and programming.”</w:t>
      </w:r>
      <w:r w:rsidR="00AD468B" w:rsidRPr="168B172E">
        <w:rPr>
          <w:rStyle w:val="FootnoteReference"/>
        </w:rPr>
        <w:footnoteReference w:id="3"/>
      </w:r>
    </w:p>
    <w:p w14:paraId="6973080A" w14:textId="1B4F7B9A" w:rsidR="003A3EA4" w:rsidRDefault="000961C2" w:rsidP="003A3EA4">
      <w:pPr>
        <w:jc w:val="both"/>
      </w:pPr>
      <w:r>
        <w:rPr>
          <w:rFonts w:cstheme="minorHAnsi"/>
        </w:rPr>
        <w:t>Through the funding support provided by the</w:t>
      </w:r>
      <w:r w:rsidR="00BE5B73">
        <w:rPr>
          <w:rFonts w:cstheme="minorHAnsi"/>
        </w:rPr>
        <w:t xml:space="preserve"> </w:t>
      </w:r>
      <w:r w:rsidR="00A26BB6" w:rsidRPr="00A26BB6">
        <w:rPr>
          <w:rFonts w:cstheme="minorHAnsi"/>
        </w:rPr>
        <w:t>G</w:t>
      </w:r>
      <w:r w:rsidR="00EB7EED">
        <w:rPr>
          <w:rFonts w:cstheme="minorHAnsi"/>
        </w:rPr>
        <w:t>lobal Affairs Canada</w:t>
      </w:r>
      <w:r w:rsidR="00BE5B73">
        <w:rPr>
          <w:rFonts w:cstheme="minorHAnsi"/>
        </w:rPr>
        <w:t xml:space="preserve"> and</w:t>
      </w:r>
      <w:r w:rsidR="009F606B">
        <w:rPr>
          <w:rFonts w:cstheme="minorHAnsi"/>
        </w:rPr>
        <w:t xml:space="preserve"> the</w:t>
      </w:r>
      <w:r w:rsidR="00BE5B73">
        <w:rPr>
          <w:rFonts w:cstheme="minorHAnsi"/>
        </w:rPr>
        <w:t xml:space="preserve"> </w:t>
      </w:r>
      <w:r w:rsidR="00EB13BF">
        <w:t>Foreign, Commonwealth and Development Office (FCDO)</w:t>
      </w:r>
      <w:r w:rsidR="00BE5B73">
        <w:rPr>
          <w:rFonts w:cstheme="minorHAnsi"/>
        </w:rPr>
        <w:t>,</w:t>
      </w:r>
      <w:r w:rsidR="00FD0EF7">
        <w:rPr>
          <w:rFonts w:cstheme="minorHAnsi"/>
        </w:rPr>
        <w:t xml:space="preserve"> the </w:t>
      </w:r>
      <w:r w:rsidR="000C61DC" w:rsidRPr="0010194A">
        <w:rPr>
          <w:rFonts w:cstheme="minorHAnsi"/>
        </w:rPr>
        <w:t>EnGenDER</w:t>
      </w:r>
      <w:r w:rsidR="00FD0EF7">
        <w:rPr>
          <w:rFonts w:cstheme="minorHAnsi"/>
        </w:rPr>
        <w:t xml:space="preserve"> project</w:t>
      </w:r>
      <w:r w:rsidR="00F32746">
        <w:rPr>
          <w:rFonts w:cstheme="minorHAnsi"/>
        </w:rPr>
        <w:t>,</w:t>
      </w:r>
      <w:r w:rsidR="000C61DC" w:rsidRPr="0010194A">
        <w:rPr>
          <w:rFonts w:cstheme="minorHAnsi"/>
        </w:rPr>
        <w:t xml:space="preserve"> seeks to further integrate gender equality and human-rights based approaches into disaster risk reduction (DRR), climate change (CC) adaptation</w:t>
      </w:r>
      <w:r w:rsidR="00C90C3A">
        <w:rPr>
          <w:rFonts w:cstheme="minorHAnsi"/>
        </w:rPr>
        <w:t xml:space="preserve"> and mitigation</w:t>
      </w:r>
      <w:r w:rsidR="00032076">
        <w:rPr>
          <w:rFonts w:cstheme="minorHAnsi"/>
        </w:rPr>
        <w:t>;</w:t>
      </w:r>
      <w:r w:rsidR="000C61DC" w:rsidRPr="0010194A">
        <w:rPr>
          <w:rFonts w:cstheme="minorHAnsi"/>
        </w:rPr>
        <w:t xml:space="preserve"> environmental management frameworks a</w:t>
      </w:r>
      <w:r w:rsidR="00CC2532">
        <w:rPr>
          <w:rFonts w:cstheme="minorHAnsi"/>
        </w:rPr>
        <w:t>cross nine</w:t>
      </w:r>
      <w:r w:rsidR="00674289" w:rsidRPr="00674289">
        <w:t xml:space="preserve"> </w:t>
      </w:r>
      <w:r w:rsidR="00674289" w:rsidRPr="168B172E">
        <w:t>(9) Caribbean countries, of which Saint Vincent and the Grenadines is a beneficiary. Climate change adaptation policies and actions underpin how countries will advance more ambitious NCDs targets and implementation. The EnGenDER project provides a perfect nexus, for the advancement of Activity</w:t>
      </w:r>
      <w:r w:rsidR="003A3EA4">
        <w:t xml:space="preserve"> 4. 2</w:t>
      </w:r>
      <w:r w:rsidR="0011671A">
        <w:t>:</w:t>
      </w:r>
    </w:p>
    <w:p w14:paraId="6DEF8E0C" w14:textId="2C4430EE" w:rsidR="00CC2532" w:rsidRPr="004A19EF" w:rsidRDefault="003A3EA4" w:rsidP="004A19EF">
      <w:pPr>
        <w:jc w:val="both"/>
        <w:rPr>
          <w:rFonts w:ascii="Calibri" w:eastAsia="Times New Roman" w:hAnsi="Calibri" w:cs="Times New Roman"/>
          <w:color w:val="000000"/>
          <w:lang w:val="en-US" w:eastAsia="en-BB"/>
        </w:rPr>
      </w:pPr>
      <w:r w:rsidRPr="003A3EA4">
        <w:rPr>
          <w:rFonts w:ascii="Calibri" w:eastAsia="Times New Roman" w:hAnsi="Calibri" w:cs="Times New Roman"/>
          <w:color w:val="000000"/>
          <w:lang w:val="en-BB" w:eastAsia="en-BB"/>
        </w:rPr>
        <w:t xml:space="preserve"> </w:t>
      </w:r>
      <w:r w:rsidR="0011671A">
        <w:rPr>
          <w:rFonts w:ascii="Calibri" w:eastAsia="Times New Roman" w:hAnsi="Calibri" w:cs="Times New Roman"/>
          <w:color w:val="000000"/>
          <w:lang w:val="en-US" w:eastAsia="en-BB"/>
        </w:rPr>
        <w:t>“</w:t>
      </w:r>
      <w:r w:rsidRPr="0011671A">
        <w:rPr>
          <w:rFonts w:ascii="Calibri" w:eastAsia="Times New Roman" w:hAnsi="Calibri" w:cs="Times New Roman"/>
          <w:i/>
          <w:iCs/>
          <w:color w:val="000000"/>
          <w:lang w:val="en-BB" w:eastAsia="en-BB"/>
        </w:rPr>
        <w:t>Design</w:t>
      </w:r>
      <w:r w:rsidR="000F0DBA">
        <w:rPr>
          <w:rFonts w:ascii="Calibri" w:eastAsia="Times New Roman" w:hAnsi="Calibri" w:cs="Times New Roman"/>
          <w:i/>
          <w:iCs/>
          <w:color w:val="000000"/>
          <w:lang w:val="en-US" w:eastAsia="en-BB"/>
        </w:rPr>
        <w:t xml:space="preserve"> </w:t>
      </w:r>
      <w:r w:rsidR="000F0DBA" w:rsidRPr="00100D55">
        <w:rPr>
          <w:rFonts w:ascii="Calibri" w:eastAsia="Times New Roman" w:hAnsi="Calibri" w:cs="Times New Roman"/>
          <w:i/>
          <w:iCs/>
          <w:color w:val="000000"/>
          <w:lang w:val="en-US" w:eastAsia="en-BB"/>
        </w:rPr>
        <w:t>gender responsive</w:t>
      </w:r>
      <w:r w:rsidRPr="0011671A">
        <w:rPr>
          <w:rFonts w:ascii="Calibri" w:eastAsia="Times New Roman" w:hAnsi="Calibri" w:cs="Times New Roman"/>
          <w:i/>
          <w:iCs/>
          <w:color w:val="000000"/>
          <w:lang w:val="en-BB" w:eastAsia="en-BB"/>
        </w:rPr>
        <w:t xml:space="preserve"> dialogues with private sector to scope investment opportunities that can help identify more ambitious actions for enhanced NDC</w:t>
      </w:r>
      <w:r w:rsidR="00FB4909">
        <w:rPr>
          <w:rFonts w:ascii="Calibri" w:eastAsia="Times New Roman" w:hAnsi="Calibri" w:cs="Times New Roman"/>
          <w:i/>
          <w:iCs/>
          <w:color w:val="000000"/>
          <w:lang w:val="en-US" w:eastAsia="en-BB"/>
        </w:rPr>
        <w:t>s</w:t>
      </w:r>
      <w:r w:rsidR="0011671A" w:rsidRPr="0011671A">
        <w:rPr>
          <w:rFonts w:ascii="Calibri" w:eastAsia="Times New Roman" w:hAnsi="Calibri" w:cs="Times New Roman"/>
          <w:i/>
          <w:iCs/>
          <w:color w:val="000000"/>
          <w:lang w:val="en-US" w:eastAsia="en-BB"/>
        </w:rPr>
        <w:t>.</w:t>
      </w:r>
      <w:r w:rsidR="0011671A">
        <w:rPr>
          <w:rFonts w:ascii="Calibri" w:eastAsia="Times New Roman" w:hAnsi="Calibri" w:cs="Times New Roman"/>
          <w:color w:val="000000"/>
          <w:lang w:val="en-US" w:eastAsia="en-BB"/>
        </w:rPr>
        <w:t>”</w:t>
      </w:r>
    </w:p>
    <w:p w14:paraId="1BC5F88B" w14:textId="6FC94979" w:rsidR="00CC2532" w:rsidRDefault="004A19EF" w:rsidP="0008216E">
      <w:pPr>
        <w:spacing w:before="240" w:after="240"/>
        <w:jc w:val="both"/>
        <w:rPr>
          <w:rFonts w:cstheme="minorHAnsi"/>
        </w:rPr>
      </w:pPr>
      <w:r>
        <w:rPr>
          <w:rFonts w:cstheme="minorHAnsi"/>
        </w:rPr>
        <w:t>under the Saint Vincent and the Grenadines’ Climate Promise Work Plan, given its inclusive approach to integrate gender within the country’s NDCs. The technical support being provided to Saint Vincent and the Grenadines, under the EnGenDER project, will support the conduct of a gender responsive private sector scoping study to ex</w:t>
      </w:r>
      <w:r w:rsidR="009879C8">
        <w:rPr>
          <w:rFonts w:cstheme="minorHAnsi"/>
        </w:rPr>
        <w:t xml:space="preserve">plore </w:t>
      </w:r>
      <w:r w:rsidR="00261DA7">
        <w:rPr>
          <w:rFonts w:cstheme="minorHAnsi"/>
        </w:rPr>
        <w:t>private se</w:t>
      </w:r>
      <w:r w:rsidR="00155B51">
        <w:rPr>
          <w:rFonts w:cstheme="minorHAnsi"/>
        </w:rPr>
        <w:t>ctor</w:t>
      </w:r>
      <w:r w:rsidR="00261DA7">
        <w:rPr>
          <w:rFonts w:cstheme="minorHAnsi"/>
        </w:rPr>
        <w:t xml:space="preserve"> investment </w:t>
      </w:r>
      <w:r w:rsidR="009C05BE">
        <w:rPr>
          <w:rFonts w:cstheme="minorHAnsi"/>
        </w:rPr>
        <w:t>opportunities</w:t>
      </w:r>
      <w:r w:rsidR="0000267F">
        <w:rPr>
          <w:rFonts w:cstheme="minorHAnsi"/>
        </w:rPr>
        <w:t xml:space="preserve"> which will lead to</w:t>
      </w:r>
      <w:r w:rsidR="00FE42B6">
        <w:rPr>
          <w:rFonts w:cstheme="minorHAnsi"/>
        </w:rPr>
        <w:t xml:space="preserve"> enhance</w:t>
      </w:r>
      <w:r w:rsidR="008D1412">
        <w:rPr>
          <w:rFonts w:cstheme="minorHAnsi"/>
        </w:rPr>
        <w:t xml:space="preserve"> gender responsive</w:t>
      </w:r>
      <w:r w:rsidR="0000267F">
        <w:rPr>
          <w:rFonts w:cstheme="minorHAnsi"/>
        </w:rPr>
        <w:t xml:space="preserve"> NDC implementation and climate change ac</w:t>
      </w:r>
      <w:r w:rsidR="008D1412">
        <w:rPr>
          <w:rFonts w:cstheme="minorHAnsi"/>
        </w:rPr>
        <w:t>tions in</w:t>
      </w:r>
      <w:r w:rsidR="00601865">
        <w:rPr>
          <w:rFonts w:cstheme="minorHAnsi"/>
        </w:rPr>
        <w:t xml:space="preserve"> Saint Vincent and the </w:t>
      </w:r>
      <w:r w:rsidR="008D1412">
        <w:rPr>
          <w:rFonts w:cstheme="minorHAnsi"/>
        </w:rPr>
        <w:t>Grenadines</w:t>
      </w:r>
      <w:r w:rsidR="00601865">
        <w:rPr>
          <w:rFonts w:cstheme="minorHAnsi"/>
        </w:rPr>
        <w:t xml:space="preserve">. </w:t>
      </w:r>
      <w:r w:rsidR="002332C9">
        <w:rPr>
          <w:rFonts w:cs="Calibri"/>
          <w:bCs/>
        </w:rPr>
        <w:t xml:space="preserve"> This is in </w:t>
      </w:r>
      <w:r w:rsidR="002332C9">
        <w:rPr>
          <w:rFonts w:cs="Calibri"/>
          <w:bCs/>
        </w:rPr>
        <w:lastRenderedPageBreak/>
        <w:t>keeping with the five (5) year enhanced Lima Work Programme on Gender and its Gender Action Plan agreed to at COP 25</w:t>
      </w:r>
      <w:r w:rsidR="0083599F">
        <w:rPr>
          <w:rFonts w:cs="Calibri"/>
          <w:bCs/>
        </w:rPr>
        <w:t>.</w:t>
      </w:r>
    </w:p>
    <w:p w14:paraId="790A5CE2" w14:textId="3254222B" w:rsidR="00CA7F41" w:rsidRDefault="00CA7F41" w:rsidP="00CA7F41">
      <w:pPr>
        <w:pStyle w:val="Heading2"/>
        <w:spacing w:line="240" w:lineRule="auto"/>
        <w:ind w:left="567" w:hanging="567"/>
      </w:pPr>
      <w:r>
        <w:t>Saint Vincent and the Grenadines</w:t>
      </w:r>
      <w:r w:rsidRPr="00F23AF4">
        <w:t xml:space="preserve"> </w:t>
      </w:r>
      <w:r>
        <w:t xml:space="preserve">Situational </w:t>
      </w:r>
      <w:r w:rsidRPr="00F23AF4">
        <w:t>Context – National</w:t>
      </w:r>
      <w:r>
        <w:t>ly Determined Contributions (NDCs)</w:t>
      </w:r>
    </w:p>
    <w:p w14:paraId="389F542C" w14:textId="4C799328" w:rsidR="00804FFB" w:rsidRDefault="00804FFB" w:rsidP="00804FFB">
      <w:pPr>
        <w:spacing w:before="240" w:after="240"/>
        <w:jc w:val="both"/>
      </w:pPr>
      <w:r>
        <w:t>The Government of Saint Vincent and the Grenadines communicated its</w:t>
      </w:r>
      <w:r w:rsidR="003B07AB">
        <w:t xml:space="preserve"> Intended</w:t>
      </w:r>
      <w:r>
        <w:t xml:space="preserve"> Nationally Determined Contributions (</w:t>
      </w:r>
      <w:r w:rsidR="003B07AB">
        <w:t>I</w:t>
      </w:r>
      <w:r>
        <w:t>NDCs) to the United Nations Framework Convention on Climate Change on November 18</w:t>
      </w:r>
      <w:r w:rsidRPr="00135E34">
        <w:rPr>
          <w:vertAlign w:val="superscript"/>
        </w:rPr>
        <w:t>th</w:t>
      </w:r>
      <w:r>
        <w:t xml:space="preserve">, 2015. Commencing from a base year of 2010 the country has committed to a reduction in GHG emissions of 22% compared to its </w:t>
      </w:r>
      <w:r w:rsidR="776538DA">
        <w:t>business-as-usual</w:t>
      </w:r>
      <w:r>
        <w:t xml:space="preserve"> scenario by 2025.</w:t>
      </w:r>
      <w:r>
        <w:rPr>
          <w:rStyle w:val="FootnoteReference"/>
        </w:rPr>
        <w:footnoteReference w:id="4"/>
      </w:r>
      <w:r>
        <w:t xml:space="preserve"> This is to be achieved mainly through adaptation efforts across the following sectors:</w:t>
      </w:r>
    </w:p>
    <w:p w14:paraId="536CF779" w14:textId="77777777" w:rsidR="00804FFB" w:rsidRDefault="00804FFB" w:rsidP="00AF5847">
      <w:pPr>
        <w:pStyle w:val="ListParagraph"/>
        <w:numPr>
          <w:ilvl w:val="0"/>
          <w:numId w:val="8"/>
        </w:numPr>
        <w:spacing w:before="240" w:after="240"/>
        <w:jc w:val="both"/>
        <w:rPr>
          <w:rFonts w:cs="Calibri"/>
          <w:bCs/>
        </w:rPr>
      </w:pPr>
      <w:r>
        <w:rPr>
          <w:rFonts w:cs="Calibri"/>
          <w:bCs/>
        </w:rPr>
        <w:t>Energy</w:t>
      </w:r>
    </w:p>
    <w:p w14:paraId="165EAE7B" w14:textId="77777777" w:rsidR="00804FFB" w:rsidRDefault="00804FFB" w:rsidP="00AF5847">
      <w:pPr>
        <w:pStyle w:val="ListParagraph"/>
        <w:numPr>
          <w:ilvl w:val="0"/>
          <w:numId w:val="8"/>
        </w:numPr>
        <w:spacing w:before="240" w:after="240"/>
        <w:jc w:val="both"/>
        <w:rPr>
          <w:rFonts w:cs="Calibri"/>
          <w:bCs/>
        </w:rPr>
      </w:pPr>
      <w:r>
        <w:rPr>
          <w:rFonts w:cs="Calibri"/>
          <w:bCs/>
        </w:rPr>
        <w:t>Industrial processes and product use</w:t>
      </w:r>
    </w:p>
    <w:p w14:paraId="49587023" w14:textId="77777777" w:rsidR="00804FFB" w:rsidRDefault="00804FFB" w:rsidP="00AF5847">
      <w:pPr>
        <w:pStyle w:val="ListParagraph"/>
        <w:numPr>
          <w:ilvl w:val="0"/>
          <w:numId w:val="8"/>
        </w:numPr>
        <w:spacing w:before="240" w:after="240"/>
        <w:jc w:val="both"/>
        <w:rPr>
          <w:rFonts w:cs="Calibri"/>
          <w:bCs/>
        </w:rPr>
      </w:pPr>
      <w:r>
        <w:rPr>
          <w:rFonts w:cs="Calibri"/>
          <w:bCs/>
        </w:rPr>
        <w:t xml:space="preserve">Agriculture  </w:t>
      </w:r>
    </w:p>
    <w:p w14:paraId="60D2C52E" w14:textId="77777777" w:rsidR="00804FFB" w:rsidRDefault="00804FFB" w:rsidP="00AF5847">
      <w:pPr>
        <w:pStyle w:val="ListParagraph"/>
        <w:numPr>
          <w:ilvl w:val="0"/>
          <w:numId w:val="8"/>
        </w:numPr>
        <w:spacing w:before="240" w:after="240"/>
        <w:jc w:val="both"/>
        <w:rPr>
          <w:rFonts w:cs="Calibri"/>
          <w:bCs/>
        </w:rPr>
      </w:pPr>
      <w:r>
        <w:rPr>
          <w:rFonts w:cs="Calibri"/>
          <w:bCs/>
        </w:rPr>
        <w:t>Land use, land use change and forestry</w:t>
      </w:r>
    </w:p>
    <w:p w14:paraId="10E36715" w14:textId="77777777" w:rsidR="00804FFB" w:rsidRPr="004F0612" w:rsidRDefault="00804FFB" w:rsidP="00AF5847">
      <w:pPr>
        <w:pStyle w:val="ListParagraph"/>
        <w:numPr>
          <w:ilvl w:val="0"/>
          <w:numId w:val="8"/>
        </w:numPr>
        <w:spacing w:before="240" w:after="240"/>
        <w:jc w:val="both"/>
        <w:rPr>
          <w:rFonts w:cs="Calibri"/>
          <w:bCs/>
        </w:rPr>
      </w:pPr>
      <w:r>
        <w:rPr>
          <w:rFonts w:cs="Calibri"/>
          <w:bCs/>
        </w:rPr>
        <w:t>Waste</w:t>
      </w:r>
    </w:p>
    <w:p w14:paraId="57C2C509" w14:textId="77777777" w:rsidR="00B0408B" w:rsidRDefault="00804FFB" w:rsidP="00C4412B">
      <w:pPr>
        <w:jc w:val="both"/>
      </w:pPr>
      <w:r>
        <w:t>The implementation</w:t>
      </w:r>
      <w:r w:rsidR="00745553">
        <w:t xml:space="preserve"> approach outlined in the country I</w:t>
      </w:r>
      <w:r w:rsidR="003B07AB">
        <w:t xml:space="preserve">NDCs recognizes </w:t>
      </w:r>
      <w:r w:rsidR="00B04D14">
        <w:t xml:space="preserve">the significant need for financing </w:t>
      </w:r>
      <w:r w:rsidR="00906F66">
        <w:t xml:space="preserve">in the advancement of </w:t>
      </w:r>
      <w:r w:rsidR="009B0DD0">
        <w:t>climate change adaptation and mitigation</w:t>
      </w:r>
      <w:r w:rsidR="00906F66">
        <w:t xml:space="preserve"> efforts in </w:t>
      </w:r>
      <w:r w:rsidR="007C3E6B">
        <w:t>that country.</w:t>
      </w:r>
      <w:r w:rsidR="00685C79">
        <w:t xml:space="preserve"> </w:t>
      </w:r>
      <w:r w:rsidR="00AA3F09">
        <w:t>Underscoring</w:t>
      </w:r>
      <w:r w:rsidR="00685C79">
        <w:t xml:space="preserve"> this is</w:t>
      </w:r>
      <w:r w:rsidR="008C2E21">
        <w:t xml:space="preserve"> </w:t>
      </w:r>
      <w:r w:rsidR="00894167">
        <w:t>“</w:t>
      </w:r>
      <w:r w:rsidR="008C2E21">
        <w:t>t</w:t>
      </w:r>
      <w:r w:rsidR="00886A87">
        <w:t>he devastating</w:t>
      </w:r>
      <w:r w:rsidR="00A25B27">
        <w:t xml:space="preserve"> losses already experienced as well as the projected climate change </w:t>
      </w:r>
      <w:r w:rsidR="00EF34B0">
        <w:t>impacts</w:t>
      </w:r>
      <w:r w:rsidR="008C2E21">
        <w:t>, which</w:t>
      </w:r>
      <w:r w:rsidR="00EF34B0">
        <w:t xml:space="preserve"> suggest that mobilizing additional, ade</w:t>
      </w:r>
      <w:r w:rsidR="00775B2A">
        <w:t>quat</w:t>
      </w:r>
      <w:r w:rsidR="001875FF">
        <w:t>e</w:t>
      </w:r>
      <w:r w:rsidR="00775B2A">
        <w:t xml:space="preserve"> and timely financing will not only be critical to ensuring en</w:t>
      </w:r>
      <w:r w:rsidR="00AF4EF0">
        <w:t>ha</w:t>
      </w:r>
      <w:r w:rsidR="00C268D3">
        <w:t>nce</w:t>
      </w:r>
      <w:r w:rsidR="00AF4EF0">
        <w:t xml:space="preserve"> NDC implementation which is gender-responsive but </w:t>
      </w:r>
      <w:r w:rsidR="008652A6">
        <w:t>will become vital to the country’s socio-economic development.</w:t>
      </w:r>
      <w:r w:rsidR="00894167">
        <w:t>”</w:t>
      </w:r>
      <w:r w:rsidR="00A54397">
        <w:rPr>
          <w:rStyle w:val="FootnoteReference"/>
        </w:rPr>
        <w:footnoteReference w:id="5"/>
      </w:r>
      <w:r w:rsidR="008652A6">
        <w:t xml:space="preserve"> While development </w:t>
      </w:r>
      <w:r w:rsidR="00B62B22">
        <w:t xml:space="preserve">financing </w:t>
      </w:r>
      <w:r w:rsidR="00A06C32">
        <w:t>is</w:t>
      </w:r>
      <w:r w:rsidR="00B62B22">
        <w:t xml:space="preserve"> useful in support</w:t>
      </w:r>
      <w:r w:rsidR="00CA5065">
        <w:t>ing</w:t>
      </w:r>
      <w:r w:rsidR="00B62B22">
        <w:t xml:space="preserve"> climate change adaptation and mitigation efforts</w:t>
      </w:r>
      <w:r w:rsidR="00D44817">
        <w:t xml:space="preserve"> </w:t>
      </w:r>
      <w:r w:rsidR="006C5D94">
        <w:t>in country thus far</w:t>
      </w:r>
      <w:r w:rsidR="005A39E7">
        <w:t>.</w:t>
      </w:r>
      <w:r w:rsidR="005A39E7" w:rsidRPr="005A39E7">
        <w:t xml:space="preserve"> </w:t>
      </w:r>
      <w:r w:rsidR="005A39E7">
        <w:t xml:space="preserve">To avoid an over reliance on development funding, private sector finance must become an essential component in accelerating NDC implementation. </w:t>
      </w:r>
    </w:p>
    <w:p w14:paraId="75AEAB79" w14:textId="617EDE40" w:rsidR="009134CC" w:rsidRDefault="7647E7C5" w:rsidP="00C4412B">
      <w:pPr>
        <w:jc w:val="both"/>
      </w:pPr>
      <w:r>
        <w:t>The Pilot Programme for Climate Resilience (PPCR)</w:t>
      </w:r>
      <w:r w:rsidR="003837DF">
        <w:t xml:space="preserve"> </w:t>
      </w:r>
      <w:r w:rsidR="00B0408B">
        <w:t>is a sub project under the Regional Disaster Vulnerability Reduction Project (RDVRP</w:t>
      </w:r>
      <w:r w:rsidR="00896E72">
        <w:t>) and</w:t>
      </w:r>
      <w:r w:rsidR="001A756C">
        <w:t xml:space="preserve"> is</w:t>
      </w:r>
      <w:r w:rsidR="009B7490">
        <w:t xml:space="preserve"> currently</w:t>
      </w:r>
      <w:r w:rsidR="001A756C">
        <w:t xml:space="preserve"> the largest</w:t>
      </w:r>
      <w:r w:rsidR="002C405F">
        <w:t xml:space="preserve"> capital</w:t>
      </w:r>
      <w:r w:rsidR="001A756C">
        <w:t xml:space="preserve"> project in Saint Vincent and the Grenadines designed to add</w:t>
      </w:r>
      <w:r w:rsidR="00F47216">
        <w:t>ress disaster risk reduction and climate change adaptation</w:t>
      </w:r>
      <w:r w:rsidR="00163A97">
        <w:t>.</w:t>
      </w:r>
      <w:r w:rsidR="00A865A1">
        <w:t xml:space="preserve"> The project derives its</w:t>
      </w:r>
      <w:r w:rsidR="002D15DA">
        <w:t xml:space="preserve"> funding from the</w:t>
      </w:r>
      <w:r w:rsidR="003473B1">
        <w:t xml:space="preserve"> Climate Investment Funds</w:t>
      </w:r>
      <w:r w:rsidR="00E5215C">
        <w:t xml:space="preserve"> (CIF)</w:t>
      </w:r>
      <w:r w:rsidR="006E5307">
        <w:t>, the World bank and the E</w:t>
      </w:r>
      <w:r w:rsidR="00E5215C">
        <w:t xml:space="preserve">uropean </w:t>
      </w:r>
      <w:r w:rsidR="006E5307">
        <w:t>U</w:t>
      </w:r>
      <w:r w:rsidR="00E5215C">
        <w:t>nion</w:t>
      </w:r>
      <w:r w:rsidR="001A756C">
        <w:t>.</w:t>
      </w:r>
      <w:r w:rsidR="009134CC">
        <w:t xml:space="preserve"> This development funding programme provides upwards of $1.2 billion in climate financing to developing countries and regions to build their adaptation and resilience efforts to climate change.</w:t>
      </w:r>
      <w:r w:rsidR="00EF40D3">
        <w:t xml:space="preserve"> Saint Vincent and the Grenadines is currently one of the programme</w:t>
      </w:r>
      <w:r w:rsidR="00E44C4D">
        <w:t>’s</w:t>
      </w:r>
      <w:r w:rsidR="00EF40D3">
        <w:t xml:space="preserve"> country beneficiaries</w:t>
      </w:r>
      <w:r w:rsidR="00E44C4D">
        <w:t>.</w:t>
      </w:r>
      <w:r w:rsidR="009134CC">
        <w:t xml:space="preserve"> </w:t>
      </w:r>
      <w:r w:rsidR="008C2A03">
        <w:t>Other major capital project</w:t>
      </w:r>
      <w:r w:rsidR="009F6000">
        <w:t>s</w:t>
      </w:r>
      <w:r w:rsidR="008C2A03">
        <w:t xml:space="preserve"> aimed at disaster risk reduction and </w:t>
      </w:r>
      <w:r w:rsidR="008C2A03">
        <w:lastRenderedPageBreak/>
        <w:t>climate change adaptation</w:t>
      </w:r>
      <w:r w:rsidR="009F6000">
        <w:t xml:space="preserve"> include the Hurrican</w:t>
      </w:r>
      <w:r w:rsidR="0028735F">
        <w:t>e</w:t>
      </w:r>
      <w:r w:rsidR="009F6000">
        <w:t xml:space="preserve"> Tomas Rehabilitation and</w:t>
      </w:r>
      <w:r w:rsidR="0028735F">
        <w:t xml:space="preserve"> Reconstruction Project and Natural Disaster</w:t>
      </w:r>
      <w:r w:rsidR="00A92315">
        <w:t xml:space="preserve"> Management</w:t>
      </w:r>
      <w:r w:rsidR="00313FC1">
        <w:t xml:space="preserve"> Project,</w:t>
      </w:r>
      <w:r w:rsidR="00A92315">
        <w:t xml:space="preserve"> both funded through</w:t>
      </w:r>
      <w:r w:rsidR="009F6D11">
        <w:t xml:space="preserve"> the</w:t>
      </w:r>
      <w:r w:rsidR="00A92315">
        <w:t xml:space="preserve"> developm</w:t>
      </w:r>
      <w:r w:rsidR="009F6D11">
        <w:t>ent financing on offer by the Caribbean Development Bank.</w:t>
      </w:r>
      <w:r w:rsidR="000632DA">
        <w:t xml:space="preserve"> </w:t>
      </w:r>
      <w:r w:rsidR="009134CC">
        <w:t>Irrespective of the PPCR being the largest</w:t>
      </w:r>
      <w:r w:rsidR="00427EBD">
        <w:t xml:space="preserve"> climate</w:t>
      </w:r>
      <w:r w:rsidR="009134CC">
        <w:t xml:space="preserve"> project in Saint Vincent and the Grenadines, the country’s INDCs outlines </w:t>
      </w:r>
      <w:r w:rsidR="00600B3D">
        <w:t xml:space="preserve">several </w:t>
      </w:r>
      <w:r w:rsidR="009134CC">
        <w:t>areas wh</w:t>
      </w:r>
      <w:r w:rsidR="00600B3D">
        <w:t>ere additional financing is necessary in support</w:t>
      </w:r>
      <w:r w:rsidR="00F864E7">
        <w:t>ing</w:t>
      </w:r>
      <w:r w:rsidR="00600B3D">
        <w:t xml:space="preserve"> NDC implementation efforts.</w:t>
      </w:r>
      <w:r w:rsidR="009134CC">
        <w:t xml:space="preserve"> </w:t>
      </w:r>
      <w:r w:rsidR="00600B3D">
        <w:t>Development financing on its own, al</w:t>
      </w:r>
      <w:r w:rsidR="00B20364">
        <w:t>beit it critical</w:t>
      </w:r>
      <w:r w:rsidR="00600B3D">
        <w:t>,</w:t>
      </w:r>
      <w:r w:rsidR="009134CC">
        <w:t xml:space="preserve"> will not address the</w:t>
      </w:r>
      <w:r w:rsidR="00600B3D">
        <w:t xml:space="preserve"> full range of </w:t>
      </w:r>
      <w:r w:rsidR="00E44C4D">
        <w:t>the country’s</w:t>
      </w:r>
      <w:r w:rsidR="009134CC">
        <w:t xml:space="preserve"> climate </w:t>
      </w:r>
      <w:r w:rsidR="00600B3D">
        <w:t>change needs.</w:t>
      </w:r>
    </w:p>
    <w:p w14:paraId="4B739550" w14:textId="0644EB7A" w:rsidR="00886A87" w:rsidRPr="00CA7F41" w:rsidRDefault="000837A1" w:rsidP="00355E54">
      <w:pPr>
        <w:jc w:val="both"/>
      </w:pPr>
      <w:r>
        <w:t>Looking strategic</w:t>
      </w:r>
      <w:r w:rsidR="00B45159">
        <w:t>all</w:t>
      </w:r>
      <w:r>
        <w:t xml:space="preserve">y at the priority sector </w:t>
      </w:r>
      <w:r w:rsidR="00B45159">
        <w:t xml:space="preserve">of </w:t>
      </w:r>
      <w:r w:rsidR="705BC0F5">
        <w:t>energy, Saint</w:t>
      </w:r>
      <w:r w:rsidR="00CA6C33">
        <w:t xml:space="preserve"> Vincent and the </w:t>
      </w:r>
      <w:r w:rsidR="00210577">
        <w:t xml:space="preserve">Grenadines INDC </w:t>
      </w:r>
      <w:r w:rsidR="006F148C">
        <w:t>highlights</w:t>
      </w:r>
      <w:r w:rsidR="00210577">
        <w:t xml:space="preserve"> the need for financial support</w:t>
      </w:r>
      <w:r w:rsidR="00E45CEE">
        <w:t xml:space="preserve"> in </w:t>
      </w:r>
      <w:r w:rsidR="00BC2613">
        <w:t xml:space="preserve">the greening of the country’s transportation sector and </w:t>
      </w:r>
      <w:r w:rsidR="002712F8">
        <w:t>in the acceleration of renewable energy and energy</w:t>
      </w:r>
      <w:r w:rsidR="0051246B">
        <w:t xml:space="preserve"> </w:t>
      </w:r>
      <w:r w:rsidR="00075181">
        <w:t>efficiency</w:t>
      </w:r>
      <w:r w:rsidR="002712F8">
        <w:t xml:space="preserve"> project</w:t>
      </w:r>
      <w:r w:rsidR="00213A8D">
        <w:t>s</w:t>
      </w:r>
      <w:r w:rsidR="00F93F41">
        <w:rPr>
          <w:rStyle w:val="FootnoteReference"/>
        </w:rPr>
        <w:footnoteReference w:id="6"/>
      </w:r>
      <w:r w:rsidR="00E45CEE">
        <w:t xml:space="preserve"> proposed</w:t>
      </w:r>
      <w:r w:rsidR="00ED6F44">
        <w:t xml:space="preserve"> a</w:t>
      </w:r>
      <w:r w:rsidR="005C6C26">
        <w:t>s</w:t>
      </w:r>
      <w:r w:rsidR="009A5943">
        <w:t xml:space="preserve"> key priorit</w:t>
      </w:r>
      <w:r w:rsidR="00ED6F44">
        <w:t>ies</w:t>
      </w:r>
      <w:r w:rsidR="003D08C3">
        <w:t xml:space="preserve"> in the stabilisation and reduction of national GHG emissions</w:t>
      </w:r>
      <w:r w:rsidR="00D45C37">
        <w:t>.</w:t>
      </w:r>
      <w:r w:rsidR="00322563">
        <w:t xml:space="preserve"> Similar</w:t>
      </w:r>
      <w:r w:rsidR="00F91230">
        <w:t>ly</w:t>
      </w:r>
      <w:r w:rsidR="00322563">
        <w:t xml:space="preserve">, the need for sizable </w:t>
      </w:r>
      <w:r w:rsidR="009A7E5D">
        <w:t>financial resources for the Land Use, Land</w:t>
      </w:r>
      <w:r w:rsidR="00033119">
        <w:t xml:space="preserve"> Use- Change and Forestry (LULU</w:t>
      </w:r>
      <w:r w:rsidR="0051246B">
        <w:t>C</w:t>
      </w:r>
      <w:r w:rsidR="00033119">
        <w:t>F)</w:t>
      </w:r>
      <w:r w:rsidR="00956AA8">
        <w:t xml:space="preserve"> green development initiatives</w:t>
      </w:r>
      <w:r w:rsidR="00EA3CF2">
        <w:t xml:space="preserve"> </w:t>
      </w:r>
      <w:r w:rsidR="00ED36B4">
        <w:t>emphasize</w:t>
      </w:r>
      <w:r w:rsidR="00EA3CF2">
        <w:t xml:space="preserve"> the importance of </w:t>
      </w:r>
      <w:r w:rsidR="00ED36B4">
        <w:t>private investment in support</w:t>
      </w:r>
      <w:r w:rsidR="00017EDB">
        <w:t>ing</w:t>
      </w:r>
      <w:r w:rsidR="00ED36B4">
        <w:t xml:space="preserve"> climate adaptation and mitigation eff</w:t>
      </w:r>
      <w:r w:rsidR="00690BC7">
        <w:t xml:space="preserve">orts in </w:t>
      </w:r>
      <w:r w:rsidR="00CB2E63">
        <w:t>Saint Vincent and the Grenadines</w:t>
      </w:r>
      <w:r w:rsidR="00017EDB">
        <w:t>.</w:t>
      </w:r>
      <w:r w:rsidR="00D45C37">
        <w:t xml:space="preserve"> </w:t>
      </w:r>
      <w:r w:rsidR="00E37DA6">
        <w:t>Compound</w:t>
      </w:r>
      <w:r w:rsidR="00EA59A3">
        <w:t>ing</w:t>
      </w:r>
      <w:r w:rsidR="00BC6F10">
        <w:t xml:space="preserve"> the nee</w:t>
      </w:r>
      <w:r w:rsidR="001C1DBF">
        <w:t>d</w:t>
      </w:r>
      <w:r w:rsidR="00BC6F10">
        <w:t xml:space="preserve"> for private </w:t>
      </w:r>
      <w:r w:rsidR="00E37DA6">
        <w:t>sector investment</w:t>
      </w:r>
      <w:r w:rsidR="001C1DBF">
        <w:t xml:space="preserve"> further</w:t>
      </w:r>
      <w:r w:rsidR="00B9584E">
        <w:t>,</w:t>
      </w:r>
      <w:r w:rsidR="00A75BE1">
        <w:t xml:space="preserve"> is </w:t>
      </w:r>
      <w:r w:rsidR="00C04F4A">
        <w:t>the extent of vulnerabilities and the percentage of the population potentially exposed</w:t>
      </w:r>
      <w:r w:rsidR="00A6366C">
        <w:t xml:space="preserve"> to climate change impacts</w:t>
      </w:r>
      <w:r w:rsidR="00C04F4A">
        <w:t>.</w:t>
      </w:r>
      <w:r w:rsidR="000936DE">
        <w:t xml:space="preserve"> Development finance on its own will not aid the country in addressing </w:t>
      </w:r>
      <w:r w:rsidR="002546CC">
        <w:t>all</w:t>
      </w:r>
      <w:r w:rsidR="000936DE">
        <w:t xml:space="preserve"> its need</w:t>
      </w:r>
      <w:r w:rsidR="00130974">
        <w:t>s,</w:t>
      </w:r>
      <w:r w:rsidR="000936DE">
        <w:t xml:space="preserve"> private sector investment</w:t>
      </w:r>
      <w:r w:rsidR="00B9584E">
        <w:t xml:space="preserve"> is therefore </w:t>
      </w:r>
      <w:r w:rsidR="000F7C2E">
        <w:t xml:space="preserve">essential to the country meeting its </w:t>
      </w:r>
      <w:r w:rsidR="00054D52">
        <w:t>current NDCs targets and</w:t>
      </w:r>
      <w:r w:rsidR="00025CE3">
        <w:t xml:space="preserve"> in</w:t>
      </w:r>
      <w:r w:rsidR="00054D52">
        <w:t xml:space="preserve"> advancing more </w:t>
      </w:r>
      <w:r w:rsidR="00DF7F91">
        <w:t>ambitious</w:t>
      </w:r>
      <w:r w:rsidR="00025CE3">
        <w:t xml:space="preserve"> goals</w:t>
      </w:r>
      <w:r w:rsidR="00911B6A">
        <w:t xml:space="preserve">. </w:t>
      </w:r>
      <w:r w:rsidR="008630AB">
        <w:t>With</w:t>
      </w:r>
      <w:r w:rsidR="00037A30">
        <w:t xml:space="preserve"> “as much as </w:t>
      </w:r>
      <w:r w:rsidR="005F6B26">
        <w:t>$23 trillion in climate-smart investment opportunities hav</w:t>
      </w:r>
      <w:r w:rsidR="008630AB">
        <w:t>ing</w:t>
      </w:r>
      <w:r w:rsidR="005F6B26">
        <w:t xml:space="preserve"> been identified in emerging</w:t>
      </w:r>
      <w:r w:rsidR="002034CB">
        <w:t xml:space="preserve"> economie</w:t>
      </w:r>
      <w:r w:rsidR="005F6B26">
        <w:t>s</w:t>
      </w:r>
      <w:r w:rsidR="008630AB">
        <w:t>,</w:t>
      </w:r>
      <w:r w:rsidR="00C51196">
        <w:t>”</w:t>
      </w:r>
      <w:r w:rsidR="00C51196">
        <w:rPr>
          <w:rStyle w:val="FootnoteReference"/>
        </w:rPr>
        <w:footnoteReference w:id="7"/>
      </w:r>
      <w:r w:rsidR="00B667F0">
        <w:t xml:space="preserve"> the NDCs revision process</w:t>
      </w:r>
      <w:r w:rsidR="006650EA" w:rsidRPr="2C49C1BC">
        <w:rPr>
          <w:rFonts w:cs="Calibri"/>
        </w:rPr>
        <w:t xml:space="preserve"> is therefore timely as it enables Saint Vincent and the Grenadines</w:t>
      </w:r>
      <w:r w:rsidR="00B24965" w:rsidRPr="2C49C1BC">
        <w:rPr>
          <w:rFonts w:cs="Calibri"/>
        </w:rPr>
        <w:t xml:space="preserve"> to better assess</w:t>
      </w:r>
      <w:r w:rsidR="00B3067C" w:rsidRPr="2C49C1BC">
        <w:rPr>
          <w:rFonts w:cs="Calibri"/>
        </w:rPr>
        <w:t xml:space="preserve"> the cost of implementation </w:t>
      </w:r>
      <w:r w:rsidR="00901137" w:rsidRPr="2C49C1BC">
        <w:rPr>
          <w:rFonts w:cs="Calibri"/>
        </w:rPr>
        <w:t>in-order to identify the private sector investment opportunities fo</w:t>
      </w:r>
      <w:r w:rsidR="00C03722" w:rsidRPr="2C49C1BC">
        <w:rPr>
          <w:rFonts w:cs="Calibri"/>
        </w:rPr>
        <w:t>r</w:t>
      </w:r>
      <w:r w:rsidR="00672EF0" w:rsidRPr="2C49C1BC">
        <w:rPr>
          <w:rFonts w:cs="Calibri"/>
        </w:rPr>
        <w:t xml:space="preserve"> gender responsive </w:t>
      </w:r>
      <w:r w:rsidR="00C03722" w:rsidRPr="2C49C1BC">
        <w:rPr>
          <w:rFonts w:cs="Calibri"/>
        </w:rPr>
        <w:t xml:space="preserve">NDC </w:t>
      </w:r>
      <w:r w:rsidR="000D1AE9" w:rsidRPr="2C49C1BC">
        <w:rPr>
          <w:rFonts w:cs="Calibri"/>
        </w:rPr>
        <w:t xml:space="preserve">implementation </w:t>
      </w:r>
      <w:r w:rsidR="00672EF0" w:rsidRPr="2C49C1BC">
        <w:rPr>
          <w:rFonts w:cs="Calibri"/>
        </w:rPr>
        <w:t xml:space="preserve">in </w:t>
      </w:r>
      <w:r w:rsidR="005F6129" w:rsidRPr="2C49C1BC">
        <w:rPr>
          <w:rFonts w:cs="Calibri"/>
        </w:rPr>
        <w:t>country</w:t>
      </w:r>
      <w:r w:rsidR="00672EF0" w:rsidRPr="2C49C1BC">
        <w:rPr>
          <w:rFonts w:cs="Calibri"/>
        </w:rPr>
        <w:t>.</w:t>
      </w:r>
    </w:p>
    <w:p w14:paraId="633502AE" w14:textId="679153DF" w:rsidR="00F036C6" w:rsidRDefault="001F5F46" w:rsidP="00F036C6">
      <w:pPr>
        <w:pStyle w:val="Heading2"/>
        <w:ind w:left="567"/>
      </w:pPr>
      <w:r>
        <w:t xml:space="preserve">OBJECTIVES </w:t>
      </w:r>
    </w:p>
    <w:p w14:paraId="36D6B8A7" w14:textId="0D7977CE" w:rsidR="00DD1749" w:rsidRDefault="00DD1749" w:rsidP="00FC6517">
      <w:pPr>
        <w:spacing w:before="240" w:after="240"/>
        <w:jc w:val="both"/>
      </w:pPr>
      <w:r w:rsidRPr="002C5458">
        <w:t xml:space="preserve">The overall objective </w:t>
      </w:r>
      <w:r>
        <w:t>of</w:t>
      </w:r>
      <w:r w:rsidRPr="002C5458">
        <w:t xml:space="preserve"> this assignment is to </w:t>
      </w:r>
      <w:r>
        <w:t xml:space="preserve">conduct a Gender responsive Private Sector Scoping Study </w:t>
      </w:r>
      <w:r w:rsidR="00CB7427">
        <w:t xml:space="preserve">which will </w:t>
      </w:r>
      <w:r>
        <w:t>explore the investment opportunities</w:t>
      </w:r>
      <w:r w:rsidR="00F63CC8">
        <w:t xml:space="preserve"> for private</w:t>
      </w:r>
      <w:r w:rsidR="00483676">
        <w:t xml:space="preserve"> sector</w:t>
      </w:r>
      <w:r w:rsidR="00F63CC8">
        <w:t xml:space="preserve"> finance</w:t>
      </w:r>
      <w:r w:rsidR="0072455B">
        <w:t xml:space="preserve"> </w:t>
      </w:r>
      <w:r w:rsidR="00277E4E">
        <w:t>in helping to drive Saint Vincent and the Grenadines</w:t>
      </w:r>
      <w:r w:rsidR="004176EB">
        <w:t xml:space="preserve"> gender responsive NDC implementation</w:t>
      </w:r>
      <w:r w:rsidR="0072455B">
        <w:t xml:space="preserve"> </w:t>
      </w:r>
      <w:r w:rsidR="00277E4E">
        <w:t>process</w:t>
      </w:r>
      <w:r w:rsidR="004176EB">
        <w:t>.</w:t>
      </w:r>
      <w:r w:rsidR="007E6157">
        <w:t xml:space="preserve"> The specific objectives of the Gender Responsive Private Sector Scoping Study </w:t>
      </w:r>
      <w:r w:rsidR="00FC0472">
        <w:t>are</w:t>
      </w:r>
      <w:r w:rsidR="00DD3068">
        <w:t xml:space="preserve"> to assist</w:t>
      </w:r>
      <w:r w:rsidR="005A47F7">
        <w:t xml:space="preserve"> the Government of Saint Vincent and the Grenadine</w:t>
      </w:r>
      <w:r w:rsidR="00FC0472">
        <w:t>s</w:t>
      </w:r>
      <w:r w:rsidR="005A47F7">
        <w:t xml:space="preserve"> in the following:</w:t>
      </w:r>
    </w:p>
    <w:p w14:paraId="04384697" w14:textId="567F5F92" w:rsidR="007E6157" w:rsidRDefault="00FC0472" w:rsidP="00AF5847">
      <w:pPr>
        <w:pStyle w:val="ListParagraph"/>
        <w:numPr>
          <w:ilvl w:val="0"/>
          <w:numId w:val="9"/>
        </w:numPr>
        <w:spacing w:before="240" w:after="240"/>
        <w:jc w:val="both"/>
      </w:pPr>
      <w:r>
        <w:t>I</w:t>
      </w:r>
      <w:r w:rsidR="00800992">
        <w:t>dentif</w:t>
      </w:r>
      <w:r w:rsidR="00956EBA">
        <w:t>y</w:t>
      </w:r>
      <w:r w:rsidR="007F04DB">
        <w:t>ing</w:t>
      </w:r>
      <w:r w:rsidR="00800992">
        <w:t xml:space="preserve"> </w:t>
      </w:r>
      <w:r w:rsidR="007B5BB0">
        <w:t>private sector investment opportunities across the priority sectors</w:t>
      </w:r>
      <w:r w:rsidR="00365F05">
        <w:t xml:space="preserve"> (energy, industrial processes and product use, </w:t>
      </w:r>
      <w:r w:rsidR="00463014">
        <w:t>agriculture, land use, land use ch</w:t>
      </w:r>
      <w:r w:rsidR="005F7060">
        <w:t>ange, forestry and waste)</w:t>
      </w:r>
      <w:r w:rsidR="007B5BB0">
        <w:t xml:space="preserve"> identified within Saint Vincent and the Grenadines INDCs.</w:t>
      </w:r>
    </w:p>
    <w:p w14:paraId="3C7A1CC7" w14:textId="54C808F4" w:rsidR="007B5BB0" w:rsidRDefault="00D5280E" w:rsidP="00AF5847">
      <w:pPr>
        <w:pStyle w:val="ListParagraph"/>
        <w:numPr>
          <w:ilvl w:val="0"/>
          <w:numId w:val="9"/>
        </w:numPr>
        <w:spacing w:before="240" w:after="240"/>
        <w:jc w:val="both"/>
      </w:pPr>
      <w:r>
        <w:t>M</w:t>
      </w:r>
      <w:r w:rsidR="00127B9E">
        <w:t>ap</w:t>
      </w:r>
      <w:r w:rsidR="007F04DB">
        <w:t>ping</w:t>
      </w:r>
      <w:r w:rsidR="00127B9E">
        <w:t xml:space="preserve"> the </w:t>
      </w:r>
      <w:r w:rsidR="004262DA">
        <w:t>country’s current investment environment</w:t>
      </w:r>
      <w:r>
        <w:t xml:space="preserve"> t</w:t>
      </w:r>
      <w:r w:rsidR="002D66B7">
        <w:t xml:space="preserve">o demonstrate </w:t>
      </w:r>
      <w:r w:rsidR="006A2C12">
        <w:t xml:space="preserve">how the current policy and regulatory environment either supports or impedes private sector investment across the </w:t>
      </w:r>
      <w:r w:rsidR="00A469B1">
        <w:t>priority sectors identified.</w:t>
      </w:r>
    </w:p>
    <w:p w14:paraId="2C0F9AC2" w14:textId="3DF69E3F" w:rsidR="008566F0" w:rsidRDefault="00D5280E" w:rsidP="00AF5847">
      <w:pPr>
        <w:pStyle w:val="ListParagraph"/>
        <w:numPr>
          <w:ilvl w:val="0"/>
          <w:numId w:val="9"/>
        </w:numPr>
        <w:spacing w:before="240" w:after="240"/>
        <w:jc w:val="both"/>
      </w:pPr>
      <w:r>
        <w:lastRenderedPageBreak/>
        <w:t>I</w:t>
      </w:r>
      <w:r w:rsidR="008504E1">
        <w:t>dentif</w:t>
      </w:r>
      <w:r w:rsidR="00A37A06">
        <w:t>y</w:t>
      </w:r>
      <w:r w:rsidR="008504E1">
        <w:t xml:space="preserve"> </w:t>
      </w:r>
      <w:r w:rsidR="00F13AF8">
        <w:t xml:space="preserve">financial, </w:t>
      </w:r>
      <w:r w:rsidR="00740DEC">
        <w:t xml:space="preserve">technical and institutional barriers </w:t>
      </w:r>
      <w:r w:rsidR="00FE4069">
        <w:t xml:space="preserve">which </w:t>
      </w:r>
      <w:r w:rsidR="002418C3">
        <w:t>inhibit</w:t>
      </w:r>
      <w:r w:rsidR="00FE4069">
        <w:t xml:space="preserve"> pri</w:t>
      </w:r>
      <w:r w:rsidR="00112097">
        <w:t>vate sector investment.</w:t>
      </w:r>
    </w:p>
    <w:p w14:paraId="0B14D770" w14:textId="45B03E83" w:rsidR="00F34123" w:rsidRDefault="00C1403E" w:rsidP="00AF5847">
      <w:pPr>
        <w:pStyle w:val="ListParagraph"/>
        <w:numPr>
          <w:ilvl w:val="0"/>
          <w:numId w:val="9"/>
        </w:numPr>
        <w:spacing w:before="240" w:after="240"/>
        <w:jc w:val="both"/>
      </w:pPr>
      <w:r>
        <w:t>Identif</w:t>
      </w:r>
      <w:r w:rsidR="00A37A06">
        <w:t>y</w:t>
      </w:r>
      <w:r>
        <w:t xml:space="preserve"> </w:t>
      </w:r>
      <w:r w:rsidR="00331382">
        <w:t>and</w:t>
      </w:r>
      <w:r w:rsidR="00F67AB6">
        <w:t xml:space="preserve"> </w:t>
      </w:r>
      <w:r w:rsidR="00695CAD">
        <w:t>propose</w:t>
      </w:r>
      <w:r w:rsidR="00F67AB6">
        <w:t xml:space="preserve"> market</w:t>
      </w:r>
      <w:r w:rsidR="00420C8F">
        <w:t xml:space="preserve"> </w:t>
      </w:r>
      <w:r w:rsidR="00B4692F">
        <w:t>mechanisms</w:t>
      </w:r>
      <w:r w:rsidR="00112097">
        <w:t xml:space="preserve"> </w:t>
      </w:r>
      <w:r w:rsidR="00193A49">
        <w:t>to</w:t>
      </w:r>
      <w:r w:rsidR="00B70B0F">
        <w:t xml:space="preserve"> ince</w:t>
      </w:r>
      <w:r w:rsidR="00AE3257">
        <w:t>ntivize</w:t>
      </w:r>
      <w:r w:rsidR="00DA3EB2">
        <w:t xml:space="preserve"> </w:t>
      </w:r>
      <w:r w:rsidR="00AE3257">
        <w:t>p</w:t>
      </w:r>
      <w:r w:rsidR="00B07376">
        <w:t>rivate sector investment through</w:t>
      </w:r>
      <w:r w:rsidR="00B4692F">
        <w:t xml:space="preserve"> the creation of </w:t>
      </w:r>
      <w:r w:rsidR="00FA4777">
        <w:t>a</w:t>
      </w:r>
      <w:r w:rsidR="002418C3">
        <w:t xml:space="preserve"> </w:t>
      </w:r>
      <w:r w:rsidR="00B07376">
        <w:t>conducive</w:t>
      </w:r>
      <w:r w:rsidR="00D05042">
        <w:t xml:space="preserve"> enabling environment</w:t>
      </w:r>
      <w:r w:rsidR="00B07376">
        <w:t xml:space="preserve"> in Saint Vincent and the Grenadines.</w:t>
      </w:r>
    </w:p>
    <w:p w14:paraId="13CB90D7" w14:textId="437CD775" w:rsidR="0052677B" w:rsidRDefault="00274143" w:rsidP="00AF5847">
      <w:pPr>
        <w:pStyle w:val="ListParagraph"/>
        <w:numPr>
          <w:ilvl w:val="0"/>
          <w:numId w:val="9"/>
        </w:numPr>
        <w:spacing w:before="240" w:after="240"/>
        <w:jc w:val="both"/>
      </w:pPr>
      <w:r>
        <w:t>Develop</w:t>
      </w:r>
      <w:r w:rsidR="004002F6">
        <w:t xml:space="preserve"> private sector led</w:t>
      </w:r>
      <w:r w:rsidR="001C61B4">
        <w:t xml:space="preserve"> finance and investment concept cases</w:t>
      </w:r>
      <w:r w:rsidR="004002F6">
        <w:t xml:space="preserve"> for the priority sectors identified</w:t>
      </w:r>
      <w:r w:rsidR="00755E5A">
        <w:t xml:space="preserve"> within Saint Vincent and the Grenadines INDCs.</w:t>
      </w:r>
    </w:p>
    <w:p w14:paraId="49A19E1C" w14:textId="71650E41" w:rsidR="004161C0" w:rsidRDefault="00C1403E" w:rsidP="00AF5847">
      <w:pPr>
        <w:pStyle w:val="ListParagraph"/>
        <w:numPr>
          <w:ilvl w:val="0"/>
          <w:numId w:val="9"/>
        </w:numPr>
        <w:spacing w:before="240" w:after="240"/>
        <w:jc w:val="both"/>
      </w:pPr>
      <w:r>
        <w:t>I</w:t>
      </w:r>
      <w:r w:rsidR="00B030A5">
        <w:t>dentif</w:t>
      </w:r>
      <w:r w:rsidR="0010617C">
        <w:t>y</w:t>
      </w:r>
      <w:r w:rsidR="0038699A">
        <w:t xml:space="preserve"> </w:t>
      </w:r>
      <w:r w:rsidR="00682110">
        <w:t>key</w:t>
      </w:r>
      <w:r w:rsidR="00833EA1">
        <w:t xml:space="preserve"> public and private sector players which can support private sector investment towards NDC implementation in Saint Vincent and the Grenadines.</w:t>
      </w:r>
    </w:p>
    <w:p w14:paraId="6A76214E" w14:textId="672DE0DF" w:rsidR="00740DEC" w:rsidRDefault="00C1403E" w:rsidP="00AF5847">
      <w:pPr>
        <w:pStyle w:val="ListParagraph"/>
        <w:numPr>
          <w:ilvl w:val="0"/>
          <w:numId w:val="9"/>
        </w:numPr>
        <w:spacing w:before="240" w:after="240"/>
        <w:jc w:val="both"/>
      </w:pPr>
      <w:r>
        <w:t>I</w:t>
      </w:r>
      <w:r w:rsidR="00CB29FA">
        <w:t>dentif</w:t>
      </w:r>
      <w:r w:rsidR="0010617C">
        <w:t>y</w:t>
      </w:r>
      <w:r w:rsidR="00CB29FA">
        <w:t xml:space="preserve"> international and regional best practices and lessons learnt</w:t>
      </w:r>
      <w:r w:rsidR="00CD3395">
        <w:t xml:space="preserve"> in the mobilizing of private sector investment to advance </w:t>
      </w:r>
      <w:r w:rsidR="00FE2A29">
        <w:t>gender responsive</w:t>
      </w:r>
      <w:r w:rsidR="00CD3395">
        <w:t xml:space="preserve"> NDC impl</w:t>
      </w:r>
      <w:r w:rsidR="00D265F5">
        <w:t>ementation.</w:t>
      </w:r>
    </w:p>
    <w:p w14:paraId="5138C980" w14:textId="2AEE7B8C" w:rsidR="0013243C" w:rsidRDefault="004018EE" w:rsidP="00C8748D">
      <w:pPr>
        <w:spacing w:before="240" w:after="240"/>
        <w:jc w:val="both"/>
      </w:pPr>
      <w:r>
        <w:t>Private sector investment is critical i</w:t>
      </w:r>
      <w:r w:rsidR="00B23369">
        <w:t>n meeting the cost of ambitious climate action</w:t>
      </w:r>
      <w:r w:rsidR="007B7561">
        <w:t xml:space="preserve"> and enhanced NDC implementation.</w:t>
      </w:r>
      <w:r w:rsidR="0058789C">
        <w:t xml:space="preserve"> To this end, the implementation of this output will assist </w:t>
      </w:r>
      <w:r w:rsidR="008908D7">
        <w:t xml:space="preserve">in achieving the </w:t>
      </w:r>
      <w:r w:rsidR="0058789C">
        <w:t>EnGenDER project</w:t>
      </w:r>
      <w:r w:rsidR="00DB3AC4">
        <w:t xml:space="preserve">’s </w:t>
      </w:r>
      <w:r w:rsidR="005B08BE">
        <w:t>Immediate Outcome 1110:</w:t>
      </w:r>
      <w:r w:rsidR="001F3ECD">
        <w:t xml:space="preserve"> “</w:t>
      </w:r>
      <w:r w:rsidR="005B08BE" w:rsidRPr="001F3ECD">
        <w:rPr>
          <w:i/>
          <w:iCs/>
        </w:rPr>
        <w:t>Improved national capacity for gender-responsive climate change planning and implementation among state and non-state actors in the target countries</w:t>
      </w:r>
      <w:r w:rsidR="005B08BE">
        <w:t>.</w:t>
      </w:r>
      <w:r w:rsidR="001F3ECD">
        <w:t>”</w:t>
      </w:r>
      <w:r w:rsidR="00724BEA">
        <w:t xml:space="preserve"> Leading to the eventual</w:t>
      </w:r>
      <w:r w:rsidR="00D24542">
        <w:t xml:space="preserve"> costing and approving of</w:t>
      </w:r>
      <w:r w:rsidR="00C30635">
        <w:t xml:space="preserve"> gender responsive</w:t>
      </w:r>
      <w:r w:rsidR="00D24542">
        <w:t xml:space="preserve"> development and investment plans for climate and ri</w:t>
      </w:r>
      <w:r w:rsidR="00C30635">
        <w:t>sk resilience</w:t>
      </w:r>
      <w:r w:rsidR="001970B5">
        <w:t>.</w:t>
      </w:r>
      <w:bookmarkEnd w:id="0"/>
    </w:p>
    <w:p w14:paraId="47AD1E24" w14:textId="307A49CE" w:rsidR="00C8748D" w:rsidRDefault="00C8748D" w:rsidP="0051622F">
      <w:pPr>
        <w:pStyle w:val="Heading1"/>
        <w:numPr>
          <w:ilvl w:val="0"/>
          <w:numId w:val="0"/>
        </w:numPr>
      </w:pPr>
      <w:r>
        <w:t>2. scope of work</w:t>
      </w:r>
    </w:p>
    <w:p w14:paraId="2047A3D4" w14:textId="6D8F27C5" w:rsidR="00C8748D" w:rsidRPr="0051622F" w:rsidRDefault="00C8748D" w:rsidP="004A519F">
      <w:pPr>
        <w:autoSpaceDE w:val="0"/>
        <w:autoSpaceDN w:val="0"/>
        <w:adjustRightInd w:val="0"/>
        <w:spacing w:before="240" w:after="240"/>
        <w:jc w:val="both"/>
        <w:rPr>
          <w:b/>
          <w:bCs/>
        </w:rPr>
      </w:pPr>
      <w:r w:rsidRPr="0051622F">
        <w:rPr>
          <w:b/>
          <w:bCs/>
        </w:rPr>
        <w:t>2.1 Cond</w:t>
      </w:r>
      <w:r w:rsidR="0051622F" w:rsidRPr="0051622F">
        <w:rPr>
          <w:b/>
          <w:bCs/>
        </w:rPr>
        <w:t>uct of Gender- Responsive Private Sector Scoping Study for Saint Vincent and the Grenadines</w:t>
      </w:r>
    </w:p>
    <w:p w14:paraId="74E5E922" w14:textId="421BE407" w:rsidR="00E25E3E" w:rsidRDefault="00AE509D" w:rsidP="004A519F">
      <w:pPr>
        <w:autoSpaceDE w:val="0"/>
        <w:autoSpaceDN w:val="0"/>
        <w:adjustRightInd w:val="0"/>
        <w:spacing w:before="240" w:after="240"/>
        <w:jc w:val="both"/>
        <w:rPr>
          <w:rFonts w:ascii="Calibri" w:hAnsi="Calibri" w:cs="Calibri"/>
          <w:color w:val="000000"/>
        </w:rPr>
      </w:pPr>
      <w:r>
        <w:t xml:space="preserve">One of the key </w:t>
      </w:r>
      <w:r w:rsidR="00613D32">
        <w:t>tasks</w:t>
      </w:r>
      <w:r>
        <w:t xml:space="preserve"> of the </w:t>
      </w:r>
      <w:r w:rsidR="00613D32">
        <w:t xml:space="preserve">UNDP’s Climate Promise Programme is to, </w:t>
      </w:r>
      <w:r w:rsidR="005E036C">
        <w:t>support countries in their costing actions</w:t>
      </w:r>
      <w:r w:rsidR="009F0243">
        <w:t xml:space="preserve"> associated with ND</w:t>
      </w:r>
      <w:r w:rsidR="00860CF2">
        <w:t>C</w:t>
      </w:r>
      <w:r w:rsidR="009F0243">
        <w:t xml:space="preserve"> implementation</w:t>
      </w:r>
      <w:r w:rsidR="00860CF2">
        <w:t xml:space="preserve">. </w:t>
      </w:r>
      <w:r w:rsidR="002222BF">
        <w:rPr>
          <w:rStyle w:val="FootnoteReference"/>
        </w:rPr>
        <w:footnoteReference w:id="8"/>
      </w:r>
      <w:r w:rsidR="00417003">
        <w:t xml:space="preserve"> </w:t>
      </w:r>
      <w:r w:rsidR="00860CF2">
        <w:t>The purpose of such costing actions</w:t>
      </w:r>
      <w:r w:rsidR="00422A8E">
        <w:t xml:space="preserve"> is to</w:t>
      </w:r>
      <w:r w:rsidR="008C4DF6">
        <w:t xml:space="preserve"> provide countries with an enhance understanding of the</w:t>
      </w:r>
      <w:r w:rsidR="006145BE">
        <w:t xml:space="preserve"> following: (</w:t>
      </w:r>
      <w:proofErr w:type="spellStart"/>
      <w:r w:rsidR="006145BE">
        <w:t>i</w:t>
      </w:r>
      <w:proofErr w:type="spellEnd"/>
      <w:r w:rsidR="006145BE">
        <w:t>)</w:t>
      </w:r>
      <w:r w:rsidR="008C4DF6">
        <w:t xml:space="preserve"> cost associated with achieving climate </w:t>
      </w:r>
      <w:r w:rsidR="000B61BE">
        <w:t>goal</w:t>
      </w:r>
      <w:r w:rsidR="000B5FA6">
        <w:t>s</w:t>
      </w:r>
      <w:r w:rsidR="007F5ED6">
        <w:t>,</w:t>
      </w:r>
      <w:r w:rsidR="00A55B52">
        <w:t xml:space="preserve"> </w:t>
      </w:r>
      <w:r w:rsidR="006145BE">
        <w:t xml:space="preserve">(ii) </w:t>
      </w:r>
      <w:r w:rsidR="00A55B52">
        <w:t xml:space="preserve">the finance gaps and support needs </w:t>
      </w:r>
      <w:r w:rsidR="00021131">
        <w:t>required</w:t>
      </w:r>
      <w:r w:rsidR="00417003">
        <w:t xml:space="preserve"> in</w:t>
      </w:r>
      <w:r w:rsidR="00A55B52">
        <w:t xml:space="preserve"> meeting such target</w:t>
      </w:r>
      <w:r w:rsidR="001E5D91">
        <w:t>s a</w:t>
      </w:r>
      <w:r w:rsidR="00D231D4">
        <w:t>nd (iii)</w:t>
      </w:r>
      <w:r w:rsidR="000502FF">
        <w:t xml:space="preserve"> </w:t>
      </w:r>
      <w:r w:rsidR="00021131">
        <w:t>the</w:t>
      </w:r>
      <w:r w:rsidR="006339FA">
        <w:t xml:space="preserve"> investment opportunities which exist </w:t>
      </w:r>
      <w:r w:rsidR="00021131">
        <w:t xml:space="preserve">in supporting NDC implementation. These costing actions </w:t>
      </w:r>
      <w:r w:rsidR="00177240">
        <w:t>are meant to accelerat</w:t>
      </w:r>
      <w:r w:rsidR="00D231D4">
        <w:t>e</w:t>
      </w:r>
      <w:r w:rsidR="00177240">
        <w:t xml:space="preserve"> implem</w:t>
      </w:r>
      <w:r w:rsidR="00D231D4">
        <w:t>en</w:t>
      </w:r>
      <w:r w:rsidR="00177240">
        <w:t>tation efforts and enhance transparency in the NDC process.</w:t>
      </w:r>
      <w:r w:rsidR="007F5ED6">
        <w:t xml:space="preserve"> </w:t>
      </w:r>
      <w:r w:rsidR="009F0243">
        <w:t xml:space="preserve"> </w:t>
      </w:r>
      <w:r w:rsidR="005350F1" w:rsidRPr="005350F1">
        <w:rPr>
          <w:rFonts w:ascii="Calibri" w:hAnsi="Calibri" w:cs="Calibri"/>
          <w:color w:val="000000"/>
        </w:rPr>
        <w:t xml:space="preserve"> </w:t>
      </w:r>
      <w:r w:rsidR="005350F1">
        <w:rPr>
          <w:rFonts w:ascii="Calibri" w:hAnsi="Calibri" w:cs="Calibri"/>
          <w:color w:val="000000"/>
        </w:rPr>
        <w:t xml:space="preserve">In doing so, for Saint Vincent and the Grenadines the conduct of a Gender-responsive Private Sector Scoping Study will be required. The </w:t>
      </w:r>
      <w:r w:rsidR="006A0EFB">
        <w:rPr>
          <w:rFonts w:ascii="Calibri" w:hAnsi="Calibri" w:cs="Calibri"/>
          <w:color w:val="000000"/>
        </w:rPr>
        <w:t>aim of the Scoping Study is to better support the Government of Saint Vincent and the</w:t>
      </w:r>
      <w:r w:rsidR="00744972">
        <w:rPr>
          <w:rFonts w:ascii="Calibri" w:hAnsi="Calibri" w:cs="Calibri"/>
          <w:color w:val="000000"/>
        </w:rPr>
        <w:t xml:space="preserve"> </w:t>
      </w:r>
      <w:r w:rsidR="006A0EFB">
        <w:rPr>
          <w:rFonts w:ascii="Calibri" w:hAnsi="Calibri" w:cs="Calibri"/>
          <w:color w:val="000000"/>
        </w:rPr>
        <w:t xml:space="preserve">Grenadines </w:t>
      </w:r>
      <w:r w:rsidR="00CB3029">
        <w:rPr>
          <w:rFonts w:ascii="Calibri" w:hAnsi="Calibri" w:cs="Calibri"/>
          <w:color w:val="000000"/>
        </w:rPr>
        <w:t>in the following:</w:t>
      </w:r>
    </w:p>
    <w:p w14:paraId="4B9C427A" w14:textId="2AB6DB29" w:rsidR="00CB3029" w:rsidRPr="007C10A3" w:rsidRDefault="00344789" w:rsidP="00344789">
      <w:pPr>
        <w:pStyle w:val="ListParagraph"/>
        <w:numPr>
          <w:ilvl w:val="0"/>
          <w:numId w:val="16"/>
        </w:numPr>
        <w:autoSpaceDE w:val="0"/>
        <w:autoSpaceDN w:val="0"/>
        <w:adjustRightInd w:val="0"/>
        <w:spacing w:before="240" w:after="240"/>
        <w:jc w:val="both"/>
        <w:rPr>
          <w:rFonts w:ascii="Calibri" w:hAnsi="Calibri" w:cs="Calibri"/>
          <w:color w:val="000000"/>
        </w:rPr>
      </w:pPr>
      <w:r>
        <w:rPr>
          <w:rFonts w:ascii="Calibri" w:hAnsi="Calibri" w:cs="Calibri"/>
          <w:color w:val="000000"/>
        </w:rPr>
        <w:t>E</w:t>
      </w:r>
      <w:r w:rsidR="00077E35" w:rsidRPr="007C10A3">
        <w:rPr>
          <w:rFonts w:ascii="Calibri" w:hAnsi="Calibri" w:cs="Calibri"/>
          <w:color w:val="000000"/>
        </w:rPr>
        <w:t>stimat</w:t>
      </w:r>
      <w:r>
        <w:rPr>
          <w:rFonts w:ascii="Calibri" w:hAnsi="Calibri" w:cs="Calibri"/>
          <w:color w:val="000000"/>
        </w:rPr>
        <w:t>ing</w:t>
      </w:r>
      <w:r w:rsidR="00077E35" w:rsidRPr="007C10A3">
        <w:rPr>
          <w:rFonts w:ascii="Calibri" w:hAnsi="Calibri" w:cs="Calibri"/>
          <w:color w:val="000000"/>
        </w:rPr>
        <w:t xml:space="preserve"> the </w:t>
      </w:r>
      <w:r w:rsidR="00D523EF" w:rsidRPr="007C10A3">
        <w:rPr>
          <w:rFonts w:ascii="Calibri" w:hAnsi="Calibri" w:cs="Calibri"/>
          <w:color w:val="000000"/>
        </w:rPr>
        <w:t>cost of NDC implementation in Saint Vincent</w:t>
      </w:r>
      <w:r w:rsidR="00752520" w:rsidRPr="007C10A3">
        <w:rPr>
          <w:rFonts w:ascii="Calibri" w:hAnsi="Calibri" w:cs="Calibri"/>
          <w:color w:val="000000"/>
        </w:rPr>
        <w:t xml:space="preserve"> and the Grenadines.</w:t>
      </w:r>
    </w:p>
    <w:p w14:paraId="05641176" w14:textId="543FB2B0" w:rsidR="008047FB" w:rsidRDefault="008047FB" w:rsidP="008047FB">
      <w:pPr>
        <w:pStyle w:val="ListParagraph"/>
        <w:numPr>
          <w:ilvl w:val="0"/>
          <w:numId w:val="16"/>
        </w:numPr>
        <w:autoSpaceDE w:val="0"/>
        <w:autoSpaceDN w:val="0"/>
        <w:adjustRightInd w:val="0"/>
        <w:spacing w:before="240" w:after="240"/>
        <w:jc w:val="both"/>
        <w:rPr>
          <w:rFonts w:ascii="Calibri" w:hAnsi="Calibri" w:cs="Calibri"/>
          <w:color w:val="000000"/>
        </w:rPr>
      </w:pPr>
      <w:r>
        <w:rPr>
          <w:rFonts w:ascii="Calibri" w:hAnsi="Calibri" w:cs="Calibri"/>
          <w:color w:val="000000"/>
        </w:rPr>
        <w:t>Highlight</w:t>
      </w:r>
      <w:r w:rsidR="00344789">
        <w:rPr>
          <w:rFonts w:ascii="Calibri" w:hAnsi="Calibri" w:cs="Calibri"/>
          <w:color w:val="000000"/>
        </w:rPr>
        <w:t>ing</w:t>
      </w:r>
      <w:r>
        <w:rPr>
          <w:rFonts w:ascii="Calibri" w:hAnsi="Calibri" w:cs="Calibri"/>
          <w:color w:val="000000"/>
        </w:rPr>
        <w:t xml:space="preserve"> the private sector finance gaps and support needs and</w:t>
      </w:r>
    </w:p>
    <w:p w14:paraId="1EE096BA" w14:textId="31BD02CE" w:rsidR="00CB3029" w:rsidRPr="007C10A3" w:rsidRDefault="008047FB" w:rsidP="007C10A3">
      <w:pPr>
        <w:pStyle w:val="ListParagraph"/>
        <w:numPr>
          <w:ilvl w:val="0"/>
          <w:numId w:val="16"/>
        </w:numPr>
        <w:autoSpaceDE w:val="0"/>
        <w:autoSpaceDN w:val="0"/>
        <w:adjustRightInd w:val="0"/>
        <w:spacing w:before="240" w:after="240"/>
        <w:jc w:val="both"/>
        <w:rPr>
          <w:rFonts w:ascii="Calibri" w:hAnsi="Calibri" w:cs="Calibri"/>
          <w:color w:val="000000"/>
        </w:rPr>
      </w:pPr>
      <w:r>
        <w:rPr>
          <w:rFonts w:ascii="Calibri" w:hAnsi="Calibri" w:cs="Calibri"/>
          <w:color w:val="000000"/>
        </w:rPr>
        <w:t>Ex</w:t>
      </w:r>
      <w:r w:rsidR="00344789">
        <w:rPr>
          <w:rFonts w:ascii="Calibri" w:hAnsi="Calibri" w:cs="Calibri"/>
          <w:color w:val="000000"/>
        </w:rPr>
        <w:t>ploring the in</w:t>
      </w:r>
      <w:r w:rsidR="00673F7F">
        <w:rPr>
          <w:rFonts w:ascii="Calibri" w:hAnsi="Calibri" w:cs="Calibri"/>
          <w:color w:val="000000"/>
        </w:rPr>
        <w:t xml:space="preserve">vestment opportunities for private sector climate finance in NDC implementation efforts. </w:t>
      </w:r>
      <w:r>
        <w:rPr>
          <w:rFonts w:ascii="Calibri" w:hAnsi="Calibri" w:cs="Calibri"/>
          <w:color w:val="000000"/>
        </w:rPr>
        <w:t xml:space="preserve"> </w:t>
      </w:r>
    </w:p>
    <w:p w14:paraId="2BB9233F" w14:textId="77777777" w:rsidR="004659FF" w:rsidRPr="00652EBC" w:rsidRDefault="004659FF" w:rsidP="004659FF">
      <w:pPr>
        <w:spacing w:before="240" w:after="240"/>
        <w:jc w:val="both"/>
        <w:rPr>
          <w:rFonts w:cs="Calibri"/>
          <w:bCs/>
          <w:i/>
          <w:iCs/>
        </w:rPr>
      </w:pPr>
      <w:r w:rsidRPr="00AF3C26">
        <w:rPr>
          <w:rFonts w:cs="Calibri"/>
          <w:b/>
          <w:i/>
          <w:iCs/>
          <w:u w:val="single"/>
        </w:rPr>
        <w:t>IMPORTANT:</w:t>
      </w:r>
      <w:r w:rsidRPr="00AF3C26">
        <w:rPr>
          <w:rFonts w:cs="Calibri"/>
          <w:bCs/>
          <w:i/>
          <w:iCs/>
          <w:u w:val="single"/>
        </w:rPr>
        <w:t xml:space="preserve"> </w:t>
      </w:r>
      <w:r w:rsidRPr="00AF3C26">
        <w:rPr>
          <w:rFonts w:cs="Calibri"/>
          <w:bCs/>
          <w:i/>
          <w:iCs/>
        </w:rPr>
        <w:t>The preferred and most appropriate approach based on the scope of work would involve physical stakeholder participation. This testifies to the criticality of stakeholder participation and other physical interaction in the successful execution of this</w:t>
      </w:r>
      <w:r>
        <w:rPr>
          <w:rFonts w:cs="Calibri"/>
          <w:bCs/>
          <w:i/>
          <w:iCs/>
        </w:rPr>
        <w:t xml:space="preserve"> project</w:t>
      </w:r>
      <w:r w:rsidRPr="00AF3C26">
        <w:rPr>
          <w:rFonts w:cs="Calibri"/>
          <w:bCs/>
          <w:i/>
          <w:iCs/>
        </w:rPr>
        <w:t xml:space="preserve">. </w:t>
      </w:r>
      <w:r>
        <w:rPr>
          <w:rFonts w:cs="Calibri"/>
          <w:bCs/>
          <w:i/>
          <w:iCs/>
        </w:rPr>
        <w:t xml:space="preserve"> However, r</w:t>
      </w:r>
      <w:r w:rsidRPr="00AF3C26">
        <w:rPr>
          <w:rFonts w:cs="Calibri"/>
          <w:bCs/>
          <w:i/>
          <w:iCs/>
        </w:rPr>
        <w:t xml:space="preserve">ecognising that the threat of the </w:t>
      </w:r>
      <w:r w:rsidRPr="00AF3C26">
        <w:rPr>
          <w:rFonts w:cs="Calibri"/>
          <w:bCs/>
          <w:i/>
          <w:iCs/>
        </w:rPr>
        <w:lastRenderedPageBreak/>
        <w:t xml:space="preserve">spread of COVID-19 throughout the Caribbean is redefining the way business is conducted, it is for this reason that </w:t>
      </w:r>
      <w:r w:rsidRPr="00AF3C26">
        <w:rPr>
          <w:rFonts w:cs="Calibri"/>
          <w:b/>
          <w:i/>
          <w:iCs/>
          <w:u w:val="single"/>
        </w:rPr>
        <w:t>alternative methods and innovative approaches</w:t>
      </w:r>
      <w:r w:rsidRPr="00AF3C26">
        <w:rPr>
          <w:rFonts w:cs="Calibri"/>
          <w:bCs/>
          <w:i/>
          <w:iCs/>
        </w:rPr>
        <w:t xml:space="preserve"> to conduct </w:t>
      </w:r>
      <w:r>
        <w:rPr>
          <w:rFonts w:cs="Calibri"/>
          <w:bCs/>
          <w:i/>
          <w:iCs/>
        </w:rPr>
        <w:t>the various</w:t>
      </w:r>
      <w:r w:rsidRPr="00AF3C26">
        <w:rPr>
          <w:rFonts w:cs="Calibri"/>
          <w:bCs/>
          <w:i/>
          <w:iCs/>
        </w:rPr>
        <w:t xml:space="preserve"> aspects of the scope of work should be identified and listed as </w:t>
      </w:r>
      <w:r w:rsidRPr="00AF3C26">
        <w:rPr>
          <w:rFonts w:cs="Calibri"/>
          <w:b/>
          <w:i/>
          <w:iCs/>
          <w:u w:val="single"/>
        </w:rPr>
        <w:t xml:space="preserve">an essential component of the proposed methodology </w:t>
      </w:r>
      <w:r w:rsidRPr="00AF3C26">
        <w:rPr>
          <w:rFonts w:cs="Calibri"/>
          <w:bCs/>
          <w:i/>
          <w:iCs/>
        </w:rPr>
        <w:t>in addition to the approaches stated in this Terms of Reference (ToR). COVID-19 should be identified as a major risk and therefore mitigation measures to facilitate the completion of the work considering this threat, should also be highlighted.</w:t>
      </w:r>
    </w:p>
    <w:p w14:paraId="60FC5920" w14:textId="492B6FBB" w:rsidR="00722D2D" w:rsidRDefault="004237DB" w:rsidP="004A519F">
      <w:pPr>
        <w:autoSpaceDE w:val="0"/>
        <w:autoSpaceDN w:val="0"/>
        <w:adjustRightInd w:val="0"/>
        <w:spacing w:before="240" w:after="240"/>
        <w:jc w:val="both"/>
        <w:rPr>
          <w:rFonts w:ascii="Calibri" w:hAnsi="Calibri" w:cs="Calibri"/>
          <w:color w:val="000000"/>
        </w:rPr>
      </w:pPr>
      <w:r>
        <w:rPr>
          <w:rFonts w:ascii="Calibri" w:hAnsi="Calibri" w:cs="Calibri"/>
          <w:color w:val="000000"/>
        </w:rPr>
        <w:t xml:space="preserve">In </w:t>
      </w:r>
      <w:r w:rsidR="008B4C8F">
        <w:rPr>
          <w:rFonts w:ascii="Calibri" w:hAnsi="Calibri" w:cs="Calibri"/>
          <w:color w:val="000000"/>
        </w:rPr>
        <w:t>view</w:t>
      </w:r>
      <w:r w:rsidR="00A92284">
        <w:rPr>
          <w:rFonts w:ascii="Calibri" w:hAnsi="Calibri" w:cs="Calibri"/>
          <w:color w:val="000000"/>
        </w:rPr>
        <w:t xml:space="preserve"> of the foregoing, the scope of work for this consultancy will</w:t>
      </w:r>
      <w:r w:rsidR="00A151FD">
        <w:rPr>
          <w:rFonts w:ascii="Calibri" w:hAnsi="Calibri" w:cs="Calibri"/>
          <w:color w:val="000000"/>
        </w:rPr>
        <w:t xml:space="preserve"> be undertaken in the following phases:</w:t>
      </w:r>
    </w:p>
    <w:p w14:paraId="5D18DA07" w14:textId="66A010B1" w:rsidR="00F32F18" w:rsidRPr="00277798" w:rsidRDefault="00F32F18" w:rsidP="004A519F">
      <w:pPr>
        <w:autoSpaceDE w:val="0"/>
        <w:autoSpaceDN w:val="0"/>
        <w:adjustRightInd w:val="0"/>
        <w:spacing w:before="240" w:after="240"/>
        <w:jc w:val="both"/>
        <w:rPr>
          <w:rFonts w:ascii="Calibri" w:hAnsi="Calibri" w:cs="Calibri"/>
          <w:b/>
          <w:bCs/>
          <w:color w:val="000000"/>
        </w:rPr>
      </w:pPr>
      <w:r w:rsidRPr="00277798">
        <w:rPr>
          <w:rFonts w:ascii="Calibri" w:hAnsi="Calibri" w:cs="Calibri"/>
          <w:b/>
          <w:bCs/>
          <w:color w:val="000000"/>
        </w:rPr>
        <w:t>2.2</w:t>
      </w:r>
      <w:r w:rsidR="00C1191E" w:rsidRPr="00277798">
        <w:rPr>
          <w:rFonts w:ascii="Calibri" w:hAnsi="Calibri" w:cs="Calibri"/>
          <w:b/>
          <w:bCs/>
          <w:color w:val="000000"/>
        </w:rPr>
        <w:t xml:space="preserve"> </w:t>
      </w:r>
      <w:r w:rsidR="00D300D7" w:rsidRPr="00277798">
        <w:rPr>
          <w:rFonts w:ascii="Calibri" w:hAnsi="Calibri" w:cs="Calibri"/>
          <w:b/>
          <w:bCs/>
          <w:color w:val="000000"/>
        </w:rPr>
        <w:t xml:space="preserve">Phase I- </w:t>
      </w:r>
      <w:r w:rsidR="00E76860" w:rsidRPr="00277798">
        <w:rPr>
          <w:rFonts w:ascii="Calibri" w:hAnsi="Calibri" w:cs="Calibri"/>
          <w:b/>
          <w:bCs/>
          <w:color w:val="000000"/>
        </w:rPr>
        <w:t>Pre</w:t>
      </w:r>
      <w:r w:rsidR="00166AF8" w:rsidRPr="00277798">
        <w:rPr>
          <w:rFonts w:ascii="Calibri" w:hAnsi="Calibri" w:cs="Calibri"/>
          <w:b/>
          <w:bCs/>
          <w:color w:val="000000"/>
        </w:rPr>
        <w:t xml:space="preserve">paration and Presentation </w:t>
      </w:r>
      <w:r w:rsidR="00612F9E" w:rsidRPr="00277798">
        <w:rPr>
          <w:rFonts w:ascii="Calibri" w:hAnsi="Calibri" w:cs="Calibri"/>
          <w:b/>
          <w:bCs/>
          <w:color w:val="000000"/>
        </w:rPr>
        <w:t>of</w:t>
      </w:r>
      <w:r w:rsidR="00524686" w:rsidRPr="00277798">
        <w:rPr>
          <w:rFonts w:ascii="Calibri" w:hAnsi="Calibri" w:cs="Calibri"/>
          <w:b/>
          <w:bCs/>
          <w:color w:val="000000"/>
        </w:rPr>
        <w:t xml:space="preserve"> </w:t>
      </w:r>
      <w:r w:rsidR="00AF5EBF" w:rsidRPr="00277798">
        <w:rPr>
          <w:rFonts w:ascii="Calibri" w:hAnsi="Calibri" w:cs="Calibri"/>
          <w:b/>
          <w:bCs/>
          <w:color w:val="000000"/>
        </w:rPr>
        <w:t xml:space="preserve">the private sector investment opportunities available under </w:t>
      </w:r>
      <w:r w:rsidR="00524686" w:rsidRPr="00277798">
        <w:rPr>
          <w:rFonts w:ascii="Calibri" w:hAnsi="Calibri" w:cs="Calibri"/>
          <w:b/>
          <w:bCs/>
          <w:color w:val="000000"/>
        </w:rPr>
        <w:t>Saint Vincent and the Grenadines</w:t>
      </w:r>
      <w:r w:rsidR="000F3733" w:rsidRPr="00277798">
        <w:rPr>
          <w:rFonts w:ascii="Calibri" w:hAnsi="Calibri" w:cs="Calibri"/>
          <w:b/>
          <w:bCs/>
          <w:color w:val="000000"/>
        </w:rPr>
        <w:t>’</w:t>
      </w:r>
      <w:r w:rsidR="00AF5EBF" w:rsidRPr="00277798">
        <w:rPr>
          <w:rFonts w:ascii="Calibri" w:hAnsi="Calibri" w:cs="Calibri"/>
          <w:b/>
          <w:bCs/>
          <w:color w:val="000000"/>
        </w:rPr>
        <w:t xml:space="preserve"> INDC</w:t>
      </w:r>
      <w:r w:rsidR="00CC124F" w:rsidRPr="00277798">
        <w:rPr>
          <w:rFonts w:ascii="Calibri" w:hAnsi="Calibri" w:cs="Calibri"/>
          <w:b/>
          <w:bCs/>
          <w:color w:val="000000"/>
        </w:rPr>
        <w:t>s</w:t>
      </w:r>
      <w:r w:rsidR="00AF5EBF" w:rsidRPr="00277798">
        <w:rPr>
          <w:rFonts w:ascii="Calibri" w:hAnsi="Calibri" w:cs="Calibri"/>
          <w:b/>
          <w:bCs/>
          <w:color w:val="000000"/>
        </w:rPr>
        <w:t xml:space="preserve"> in the priority </w:t>
      </w:r>
      <w:r w:rsidR="000F3733" w:rsidRPr="00277798">
        <w:rPr>
          <w:rFonts w:ascii="Calibri" w:hAnsi="Calibri" w:cs="Calibri"/>
          <w:b/>
          <w:bCs/>
          <w:color w:val="000000"/>
        </w:rPr>
        <w:t>sectors</w:t>
      </w:r>
      <w:r w:rsidR="003B5089" w:rsidRPr="00277798">
        <w:rPr>
          <w:rFonts w:ascii="Calibri" w:hAnsi="Calibri" w:cs="Calibri"/>
          <w:b/>
          <w:bCs/>
          <w:color w:val="000000"/>
        </w:rPr>
        <w:t xml:space="preserve"> identified.</w:t>
      </w:r>
      <w:r w:rsidR="008B32D0" w:rsidRPr="00277798">
        <w:rPr>
          <w:rFonts w:ascii="Calibri" w:hAnsi="Calibri" w:cs="Calibri"/>
          <w:b/>
          <w:bCs/>
          <w:color w:val="000000"/>
        </w:rPr>
        <w:t xml:space="preserve"> </w:t>
      </w:r>
    </w:p>
    <w:p w14:paraId="25AD48DE" w14:textId="1C7AAECA" w:rsidR="00277798" w:rsidRPr="00E732D7" w:rsidRDefault="00B83032" w:rsidP="007C57FE">
      <w:pPr>
        <w:spacing w:before="240" w:after="240"/>
        <w:jc w:val="both"/>
        <w:rPr>
          <w:rFonts w:cs="Calibri"/>
          <w:bCs/>
        </w:rPr>
      </w:pPr>
      <w:r w:rsidRPr="00E732D7">
        <w:rPr>
          <w:rFonts w:cstheme="minorHAnsi"/>
          <w:color w:val="000000"/>
        </w:rPr>
        <w:t>One of the main objectives of the Climate Promise Programme</w:t>
      </w:r>
      <w:r w:rsidR="005A50BA" w:rsidRPr="00E732D7">
        <w:rPr>
          <w:rFonts w:cstheme="minorHAnsi"/>
          <w:color w:val="000000"/>
        </w:rPr>
        <w:t xml:space="preserve"> is to support countries in costing the actions</w:t>
      </w:r>
      <w:r w:rsidR="004C7DFA" w:rsidRPr="00E732D7">
        <w:rPr>
          <w:rFonts w:cstheme="minorHAnsi"/>
          <w:color w:val="000000"/>
        </w:rPr>
        <w:t xml:space="preserve"> associated with NDC implementation.</w:t>
      </w:r>
      <w:r w:rsidR="00C06F51" w:rsidRPr="00E732D7">
        <w:rPr>
          <w:rFonts w:cstheme="minorHAnsi"/>
          <w:color w:val="000000"/>
        </w:rPr>
        <w:t xml:space="preserve"> This is key</w:t>
      </w:r>
      <w:r w:rsidR="00707806" w:rsidRPr="00E732D7">
        <w:rPr>
          <w:rFonts w:cstheme="minorHAnsi"/>
          <w:color w:val="000000"/>
        </w:rPr>
        <w:t xml:space="preserve">, because if significant levels of private capital </w:t>
      </w:r>
      <w:r w:rsidR="00AD09CA" w:rsidRPr="00E732D7">
        <w:rPr>
          <w:rFonts w:cstheme="minorHAnsi"/>
          <w:color w:val="000000"/>
        </w:rPr>
        <w:t>are</w:t>
      </w:r>
      <w:r w:rsidR="00707806" w:rsidRPr="00E732D7">
        <w:rPr>
          <w:rFonts w:cstheme="minorHAnsi"/>
          <w:color w:val="000000"/>
        </w:rPr>
        <w:t xml:space="preserve"> to be </w:t>
      </w:r>
      <w:r w:rsidR="00C801C3" w:rsidRPr="00E732D7">
        <w:rPr>
          <w:rFonts w:cstheme="minorHAnsi"/>
          <w:color w:val="000000"/>
        </w:rPr>
        <w:t>mobilized</w:t>
      </w:r>
      <w:r w:rsidR="00707806" w:rsidRPr="00E732D7">
        <w:rPr>
          <w:rFonts w:cstheme="minorHAnsi"/>
          <w:color w:val="000000"/>
        </w:rPr>
        <w:t xml:space="preserve"> to support</w:t>
      </w:r>
      <w:r w:rsidR="00B60048" w:rsidRPr="00E732D7">
        <w:rPr>
          <w:rFonts w:cstheme="minorHAnsi"/>
          <w:color w:val="000000"/>
        </w:rPr>
        <w:t xml:space="preserve"> implementation efforts</w:t>
      </w:r>
      <w:r w:rsidR="00AD09CA" w:rsidRPr="00E732D7">
        <w:rPr>
          <w:rFonts w:cstheme="minorHAnsi"/>
          <w:color w:val="000000"/>
        </w:rPr>
        <w:t>, countries must be first clear about the investment opportunities on offe</w:t>
      </w:r>
      <w:r w:rsidR="007D2BD7" w:rsidRPr="00E732D7">
        <w:rPr>
          <w:rFonts w:cstheme="minorHAnsi"/>
          <w:color w:val="000000"/>
        </w:rPr>
        <w:t>r</w:t>
      </w:r>
      <w:r w:rsidR="00AD09CA" w:rsidRPr="00E732D7">
        <w:rPr>
          <w:rFonts w:cstheme="minorHAnsi"/>
          <w:color w:val="000000"/>
        </w:rPr>
        <w:t xml:space="preserve">. </w:t>
      </w:r>
      <w:r w:rsidR="00B60048" w:rsidRPr="00E732D7">
        <w:rPr>
          <w:rFonts w:cstheme="minorHAnsi"/>
          <w:color w:val="000000"/>
        </w:rPr>
        <w:t xml:space="preserve"> </w:t>
      </w:r>
      <w:r w:rsidR="00C801C3" w:rsidRPr="00E732D7">
        <w:rPr>
          <w:rFonts w:cstheme="minorHAnsi"/>
          <w:color w:val="000000"/>
        </w:rPr>
        <w:t>The first activity under this assignment</w:t>
      </w:r>
      <w:r w:rsidR="00F84E06" w:rsidRPr="00E732D7">
        <w:rPr>
          <w:rFonts w:cstheme="minorHAnsi"/>
          <w:color w:val="000000"/>
        </w:rPr>
        <w:t>, is therefore</w:t>
      </w:r>
      <w:r w:rsidR="00C801C3" w:rsidRPr="00E732D7">
        <w:rPr>
          <w:rFonts w:cstheme="minorHAnsi"/>
          <w:color w:val="000000"/>
        </w:rPr>
        <w:t xml:space="preserve"> to </w:t>
      </w:r>
      <w:r w:rsidR="00C049C6" w:rsidRPr="00E732D7">
        <w:rPr>
          <w:rFonts w:cstheme="minorHAnsi"/>
          <w:color w:val="000000"/>
        </w:rPr>
        <w:t>identify, prepare</w:t>
      </w:r>
      <w:r w:rsidR="00C801C3" w:rsidRPr="00E732D7">
        <w:rPr>
          <w:rFonts w:cstheme="minorHAnsi"/>
          <w:color w:val="000000"/>
        </w:rPr>
        <w:t xml:space="preserve"> and present the private sector investment opportunities which exist across the priority sectors identified under Saint Vincent and the Grenadines’ INDCs.</w:t>
      </w:r>
      <w:r w:rsidR="00B73201" w:rsidRPr="00E732D7">
        <w:rPr>
          <w:rFonts w:cstheme="minorHAnsi"/>
          <w:color w:val="000000"/>
        </w:rPr>
        <w:t xml:space="preserve"> </w:t>
      </w:r>
      <w:r w:rsidR="00683744" w:rsidRPr="00E732D7">
        <w:rPr>
          <w:rFonts w:cstheme="minorHAnsi"/>
          <w:color w:val="000000"/>
        </w:rPr>
        <w:t xml:space="preserve"> This is important because the</w:t>
      </w:r>
      <w:r w:rsidR="00B73201" w:rsidRPr="00E732D7">
        <w:rPr>
          <w:rFonts w:cstheme="minorHAnsi"/>
          <w:color w:val="000000"/>
        </w:rPr>
        <w:t xml:space="preserve"> country has identified </w:t>
      </w:r>
      <w:r w:rsidR="00F312F3" w:rsidRPr="00E732D7">
        <w:rPr>
          <w:rFonts w:cstheme="minorHAnsi"/>
          <w:color w:val="000000"/>
        </w:rPr>
        <w:t>five (5) priority sectors</w:t>
      </w:r>
      <w:r w:rsidR="00E732D7" w:rsidRPr="00E732D7">
        <w:rPr>
          <w:rFonts w:cstheme="minorHAnsi"/>
          <w:color w:val="000000"/>
        </w:rPr>
        <w:t xml:space="preserve"> (</w:t>
      </w:r>
      <w:r w:rsidR="00E732D7" w:rsidRPr="00A47DB3">
        <w:rPr>
          <w:rFonts w:cstheme="minorHAnsi"/>
          <w:b/>
          <w:bCs/>
          <w:color w:val="000000"/>
        </w:rPr>
        <w:t>energy</w:t>
      </w:r>
      <w:r w:rsidR="00E732D7" w:rsidRPr="00E732D7">
        <w:rPr>
          <w:rFonts w:cstheme="minorHAnsi"/>
          <w:color w:val="000000"/>
        </w:rPr>
        <w:t>,</w:t>
      </w:r>
      <w:r w:rsidR="00E732D7" w:rsidRPr="00E732D7">
        <w:rPr>
          <w:rFonts w:cs="Calibri"/>
          <w:bCs/>
        </w:rPr>
        <w:t xml:space="preserve"> </w:t>
      </w:r>
      <w:r w:rsidR="00E732D7" w:rsidRPr="00A47DB3">
        <w:rPr>
          <w:rFonts w:cs="Calibri"/>
          <w:b/>
        </w:rPr>
        <w:t>industrial processes and product use</w:t>
      </w:r>
      <w:r w:rsidR="00E732D7">
        <w:rPr>
          <w:rFonts w:cs="Calibri"/>
          <w:bCs/>
        </w:rPr>
        <w:t xml:space="preserve">, </w:t>
      </w:r>
      <w:r w:rsidR="00E732D7" w:rsidRPr="00A47DB3">
        <w:rPr>
          <w:rFonts w:cs="Calibri"/>
          <w:b/>
        </w:rPr>
        <w:t>agriculture</w:t>
      </w:r>
      <w:r w:rsidR="00A47DB3">
        <w:rPr>
          <w:rFonts w:cs="Calibri"/>
          <w:bCs/>
        </w:rPr>
        <w:t>,</w:t>
      </w:r>
      <w:r w:rsidR="00E732D7" w:rsidRPr="00E732D7">
        <w:rPr>
          <w:rFonts w:cs="Calibri"/>
          <w:bCs/>
        </w:rPr>
        <w:t xml:space="preserve"> </w:t>
      </w:r>
      <w:r w:rsidR="00E732D7" w:rsidRPr="00A47DB3">
        <w:rPr>
          <w:rFonts w:cs="Calibri"/>
          <w:b/>
        </w:rPr>
        <w:t>land use, land use change and forestry</w:t>
      </w:r>
      <w:r w:rsidR="00E732D7">
        <w:rPr>
          <w:rFonts w:cs="Calibri"/>
          <w:bCs/>
        </w:rPr>
        <w:t xml:space="preserve"> and </w:t>
      </w:r>
      <w:r w:rsidR="00E732D7" w:rsidRPr="00A47DB3">
        <w:rPr>
          <w:rFonts w:cs="Calibri"/>
          <w:b/>
        </w:rPr>
        <w:t>waste</w:t>
      </w:r>
      <w:r w:rsidR="00E732D7">
        <w:rPr>
          <w:rFonts w:cs="Calibri"/>
          <w:bCs/>
        </w:rPr>
        <w:t>)</w:t>
      </w:r>
      <w:r w:rsidR="00F312F3">
        <w:rPr>
          <w:rFonts w:cstheme="minorHAnsi"/>
          <w:color w:val="000000"/>
        </w:rPr>
        <w:t xml:space="preserve"> through wh</w:t>
      </w:r>
      <w:r w:rsidR="00B9555E">
        <w:rPr>
          <w:rFonts w:cstheme="minorHAnsi"/>
          <w:color w:val="000000"/>
        </w:rPr>
        <w:t>i</w:t>
      </w:r>
      <w:r w:rsidR="00E30979">
        <w:rPr>
          <w:rFonts w:cstheme="minorHAnsi"/>
          <w:color w:val="000000"/>
        </w:rPr>
        <w:t>ch its NDC targets</w:t>
      </w:r>
      <w:r w:rsidR="00F20437">
        <w:rPr>
          <w:rFonts w:cstheme="minorHAnsi"/>
          <w:color w:val="000000"/>
        </w:rPr>
        <w:t xml:space="preserve"> can be achieved. These priority sector</w:t>
      </w:r>
      <w:r w:rsidR="008C4D01">
        <w:rPr>
          <w:rFonts w:cstheme="minorHAnsi"/>
          <w:color w:val="000000"/>
        </w:rPr>
        <w:t>s</w:t>
      </w:r>
      <w:r w:rsidR="00F20437">
        <w:rPr>
          <w:rFonts w:cstheme="minorHAnsi"/>
          <w:color w:val="000000"/>
        </w:rPr>
        <w:t xml:space="preserve"> either relate specifically t</w:t>
      </w:r>
      <w:r w:rsidR="009B4544">
        <w:rPr>
          <w:rFonts w:cstheme="minorHAnsi"/>
          <w:color w:val="000000"/>
        </w:rPr>
        <w:t xml:space="preserve">o </w:t>
      </w:r>
      <w:r w:rsidR="00F20437">
        <w:rPr>
          <w:rFonts w:cstheme="minorHAnsi"/>
          <w:color w:val="000000"/>
        </w:rPr>
        <w:t xml:space="preserve">the reduction of </w:t>
      </w:r>
      <w:r w:rsidR="009B4544">
        <w:rPr>
          <w:rFonts w:cstheme="minorHAnsi"/>
          <w:color w:val="000000"/>
        </w:rPr>
        <w:t xml:space="preserve">national greenhouse gas emissions through mitigations efforts or </w:t>
      </w:r>
      <w:r w:rsidR="00EB6C74">
        <w:rPr>
          <w:rFonts w:cstheme="minorHAnsi"/>
          <w:color w:val="000000"/>
        </w:rPr>
        <w:t>via the imposition o</w:t>
      </w:r>
      <w:r w:rsidR="00AA51CB">
        <w:rPr>
          <w:rFonts w:cstheme="minorHAnsi"/>
          <w:color w:val="000000"/>
        </w:rPr>
        <w:t xml:space="preserve">f </w:t>
      </w:r>
      <w:r w:rsidR="009B4544">
        <w:rPr>
          <w:rFonts w:cstheme="minorHAnsi"/>
          <w:color w:val="000000"/>
        </w:rPr>
        <w:t xml:space="preserve">adaptation </w:t>
      </w:r>
      <w:r w:rsidR="009F43A8">
        <w:rPr>
          <w:rFonts w:cstheme="minorHAnsi"/>
          <w:color w:val="000000"/>
        </w:rPr>
        <w:t xml:space="preserve">measures which support </w:t>
      </w:r>
      <w:r w:rsidR="007C57FE">
        <w:rPr>
          <w:rFonts w:cstheme="minorHAnsi"/>
          <w:color w:val="000000"/>
        </w:rPr>
        <w:t>climate change actions.</w:t>
      </w:r>
      <w:r w:rsidR="00AA51CB">
        <w:rPr>
          <w:rFonts w:cstheme="minorHAnsi"/>
          <w:color w:val="000000"/>
        </w:rPr>
        <w:t xml:space="preserve"> </w:t>
      </w:r>
      <w:r w:rsidR="00FA3E6B">
        <w:rPr>
          <w:rFonts w:cstheme="minorHAnsi"/>
          <w:color w:val="000000"/>
        </w:rPr>
        <w:t>The selected con</w:t>
      </w:r>
      <w:r w:rsidR="000814BB">
        <w:rPr>
          <w:rFonts w:cstheme="minorHAnsi"/>
          <w:color w:val="000000"/>
        </w:rPr>
        <w:t>sultant</w:t>
      </w:r>
      <w:r w:rsidR="00FA3E6B">
        <w:rPr>
          <w:rFonts w:cstheme="minorHAnsi"/>
          <w:color w:val="000000"/>
        </w:rPr>
        <w:t xml:space="preserve"> will therefore be required to </w:t>
      </w:r>
      <w:r w:rsidR="008228B5">
        <w:rPr>
          <w:rFonts w:cstheme="minorHAnsi"/>
          <w:color w:val="000000"/>
        </w:rPr>
        <w:t xml:space="preserve">outline in detail </w:t>
      </w:r>
      <w:r w:rsidR="00D95B67">
        <w:rPr>
          <w:rFonts w:cstheme="minorHAnsi"/>
          <w:color w:val="000000"/>
        </w:rPr>
        <w:t>all</w:t>
      </w:r>
      <w:r w:rsidR="008228B5">
        <w:rPr>
          <w:rFonts w:cstheme="minorHAnsi"/>
          <w:color w:val="000000"/>
        </w:rPr>
        <w:t xml:space="preserve"> the private sector investment opportunities which exist</w:t>
      </w:r>
      <w:r w:rsidR="000607DD">
        <w:rPr>
          <w:rFonts w:cstheme="minorHAnsi"/>
          <w:color w:val="000000"/>
        </w:rPr>
        <w:t xml:space="preserve"> and </w:t>
      </w:r>
      <w:r w:rsidR="00D54175">
        <w:rPr>
          <w:rFonts w:cstheme="minorHAnsi"/>
          <w:color w:val="000000"/>
        </w:rPr>
        <w:t xml:space="preserve">recommend </w:t>
      </w:r>
      <w:r w:rsidR="00086F64">
        <w:rPr>
          <w:rFonts w:cstheme="minorHAnsi"/>
          <w:color w:val="000000"/>
        </w:rPr>
        <w:t>other o</w:t>
      </w:r>
      <w:r w:rsidR="00744D45">
        <w:rPr>
          <w:rFonts w:cstheme="minorHAnsi"/>
          <w:color w:val="000000"/>
        </w:rPr>
        <w:t xml:space="preserve">pportunities </w:t>
      </w:r>
      <w:r w:rsidR="008228B5">
        <w:rPr>
          <w:rFonts w:cstheme="minorHAnsi"/>
          <w:color w:val="000000"/>
        </w:rPr>
        <w:t>across the priority sector</w:t>
      </w:r>
      <w:r w:rsidR="00476988">
        <w:rPr>
          <w:rFonts w:cstheme="minorHAnsi"/>
          <w:color w:val="000000"/>
        </w:rPr>
        <w:t>s</w:t>
      </w:r>
      <w:r w:rsidR="008228B5">
        <w:rPr>
          <w:rFonts w:cstheme="minorHAnsi"/>
          <w:color w:val="000000"/>
        </w:rPr>
        <w:t xml:space="preserve"> and sub-sectors listed within Saint Vincent and the Grenadines INDCs</w:t>
      </w:r>
      <w:r w:rsidR="00AA7105">
        <w:rPr>
          <w:rFonts w:cstheme="minorHAnsi"/>
          <w:color w:val="000000"/>
        </w:rPr>
        <w:t>.</w:t>
      </w:r>
      <w:r w:rsidR="008228B5">
        <w:rPr>
          <w:rFonts w:cstheme="minorHAnsi"/>
          <w:color w:val="000000"/>
        </w:rPr>
        <w:t xml:space="preserve"> </w:t>
      </w:r>
      <w:r w:rsidR="00C01B85">
        <w:rPr>
          <w:rFonts w:cstheme="minorHAnsi"/>
          <w:color w:val="000000"/>
        </w:rPr>
        <w:t xml:space="preserve">The existing or proposed </w:t>
      </w:r>
      <w:r w:rsidR="006304A4">
        <w:rPr>
          <w:rFonts w:cstheme="minorHAnsi"/>
          <w:color w:val="000000"/>
        </w:rPr>
        <w:t>investment opportunities may relate specifically to mitigation efforts associated with G</w:t>
      </w:r>
      <w:r w:rsidR="00273F84">
        <w:rPr>
          <w:rFonts w:cstheme="minorHAnsi"/>
          <w:color w:val="000000"/>
        </w:rPr>
        <w:t>HG emission reduction and</w:t>
      </w:r>
      <w:r w:rsidR="00754E24">
        <w:rPr>
          <w:rFonts w:cstheme="minorHAnsi"/>
          <w:color w:val="000000"/>
        </w:rPr>
        <w:t>/or adaptation efforts which support climate change.</w:t>
      </w:r>
    </w:p>
    <w:p w14:paraId="778EFE9A" w14:textId="555320CC" w:rsidR="00727FE7" w:rsidRDefault="00F647D9" w:rsidP="007C57FE">
      <w:pPr>
        <w:spacing w:before="240" w:after="240"/>
        <w:jc w:val="both"/>
        <w:rPr>
          <w:rFonts w:cstheme="minorHAnsi"/>
          <w:color w:val="000000"/>
        </w:rPr>
      </w:pPr>
      <w:r>
        <w:rPr>
          <w:rFonts w:cstheme="minorHAnsi"/>
          <w:color w:val="000000"/>
        </w:rPr>
        <w:t>In adopting a gender responsive approach to t</w:t>
      </w:r>
      <w:r w:rsidR="00D67131">
        <w:rPr>
          <w:rFonts w:cstheme="minorHAnsi"/>
          <w:color w:val="000000"/>
        </w:rPr>
        <w:t xml:space="preserve">his </w:t>
      </w:r>
      <w:r w:rsidR="00E732D7">
        <w:rPr>
          <w:rFonts w:cstheme="minorHAnsi"/>
          <w:color w:val="000000"/>
        </w:rPr>
        <w:t>consultancy,</w:t>
      </w:r>
      <w:r w:rsidR="00D67131">
        <w:rPr>
          <w:rFonts w:cstheme="minorHAnsi"/>
          <w:color w:val="000000"/>
        </w:rPr>
        <w:t xml:space="preserve"> it is </w:t>
      </w:r>
      <w:r w:rsidR="00620E10">
        <w:rPr>
          <w:rFonts w:cstheme="minorHAnsi"/>
          <w:color w:val="000000"/>
        </w:rPr>
        <w:t xml:space="preserve">not </w:t>
      </w:r>
      <w:r w:rsidR="00E732D7">
        <w:rPr>
          <w:rFonts w:cstheme="minorHAnsi"/>
          <w:color w:val="000000"/>
        </w:rPr>
        <w:t xml:space="preserve">adequate that the consultant alone identifies and presents </w:t>
      </w:r>
      <w:r w:rsidR="00647793">
        <w:rPr>
          <w:rFonts w:cstheme="minorHAnsi"/>
          <w:color w:val="000000"/>
        </w:rPr>
        <w:t>existing and other</w:t>
      </w:r>
      <w:r w:rsidR="00E732D7">
        <w:rPr>
          <w:rFonts w:cstheme="minorHAnsi"/>
          <w:color w:val="000000"/>
        </w:rPr>
        <w:t xml:space="preserve"> private sector opportunities which exist across the five (5) priority sectors </w:t>
      </w:r>
      <w:r w:rsidR="00113350">
        <w:rPr>
          <w:rFonts w:cstheme="minorHAnsi"/>
          <w:color w:val="000000"/>
        </w:rPr>
        <w:t>and related sub-sectors</w:t>
      </w:r>
      <w:r w:rsidR="00E732D7">
        <w:rPr>
          <w:rFonts w:cstheme="minorHAnsi"/>
          <w:color w:val="000000"/>
        </w:rPr>
        <w:t xml:space="preserve">. </w:t>
      </w:r>
      <w:r w:rsidR="00620E10">
        <w:rPr>
          <w:rFonts w:cstheme="minorHAnsi"/>
          <w:color w:val="000000"/>
        </w:rPr>
        <w:t xml:space="preserve"> </w:t>
      </w:r>
      <w:r w:rsidR="00113350">
        <w:rPr>
          <w:rFonts w:cstheme="minorHAnsi"/>
          <w:color w:val="000000"/>
        </w:rPr>
        <w:t xml:space="preserve">The </w:t>
      </w:r>
      <w:r w:rsidR="00FD4B09">
        <w:rPr>
          <w:rFonts w:cstheme="minorHAnsi"/>
          <w:color w:val="000000"/>
        </w:rPr>
        <w:t>consultant</w:t>
      </w:r>
      <w:r w:rsidR="007027EC">
        <w:rPr>
          <w:rFonts w:cstheme="minorHAnsi"/>
          <w:color w:val="000000"/>
        </w:rPr>
        <w:t xml:space="preserve"> must ensure that the private sector opportunities identified are gender responsive and hence</w:t>
      </w:r>
      <w:r w:rsidR="002C59D4">
        <w:rPr>
          <w:rFonts w:cstheme="minorHAnsi"/>
          <w:color w:val="000000"/>
        </w:rPr>
        <w:t xml:space="preserve"> </w:t>
      </w:r>
      <w:r w:rsidR="007027EC">
        <w:rPr>
          <w:rFonts w:cstheme="minorHAnsi"/>
          <w:color w:val="000000"/>
        </w:rPr>
        <w:t xml:space="preserve">supports the </w:t>
      </w:r>
      <w:r w:rsidR="00645C22">
        <w:rPr>
          <w:rFonts w:cstheme="minorHAnsi"/>
          <w:color w:val="000000"/>
        </w:rPr>
        <w:t>alleviation of</w:t>
      </w:r>
      <w:r w:rsidR="00FD4B09">
        <w:rPr>
          <w:rFonts w:cstheme="minorHAnsi"/>
          <w:color w:val="000000"/>
        </w:rPr>
        <w:t xml:space="preserve"> gender inequalities</w:t>
      </w:r>
      <w:r w:rsidR="00645C22">
        <w:rPr>
          <w:rFonts w:cstheme="minorHAnsi"/>
          <w:color w:val="000000"/>
        </w:rPr>
        <w:t xml:space="preserve"> rathe</w:t>
      </w:r>
      <w:r w:rsidR="00376A50">
        <w:rPr>
          <w:rFonts w:cstheme="minorHAnsi"/>
          <w:color w:val="000000"/>
        </w:rPr>
        <w:t>r than the exacerbation of them</w:t>
      </w:r>
      <w:r w:rsidR="00FD4B09">
        <w:rPr>
          <w:rFonts w:cstheme="minorHAnsi"/>
          <w:color w:val="000000"/>
        </w:rPr>
        <w:t xml:space="preserve"> </w:t>
      </w:r>
      <w:r w:rsidR="00470049">
        <w:rPr>
          <w:rFonts w:cstheme="minorHAnsi"/>
          <w:color w:val="000000"/>
        </w:rPr>
        <w:t>within Saint Vincent and the Grenadines.</w:t>
      </w:r>
      <w:r w:rsidR="00D93818">
        <w:rPr>
          <w:rFonts w:cstheme="minorHAnsi"/>
          <w:color w:val="000000"/>
        </w:rPr>
        <w:t xml:space="preserve"> To this end</w:t>
      </w:r>
      <w:r w:rsidR="00F31C10">
        <w:rPr>
          <w:rFonts w:cstheme="minorHAnsi"/>
          <w:color w:val="000000"/>
        </w:rPr>
        <w:t>,</w:t>
      </w:r>
      <w:r w:rsidR="00D93818">
        <w:rPr>
          <w:rFonts w:cstheme="minorHAnsi"/>
          <w:color w:val="000000"/>
        </w:rPr>
        <w:t xml:space="preserve"> the private investment opportunities </w:t>
      </w:r>
      <w:r w:rsidR="00FB7F8B">
        <w:rPr>
          <w:rFonts w:cstheme="minorHAnsi"/>
          <w:color w:val="000000"/>
        </w:rPr>
        <w:t>presented</w:t>
      </w:r>
      <w:r w:rsidR="00D93818">
        <w:rPr>
          <w:rFonts w:cstheme="minorHAnsi"/>
          <w:color w:val="000000"/>
        </w:rPr>
        <w:t xml:space="preserve"> should </w:t>
      </w:r>
      <w:r w:rsidR="00F10DE6">
        <w:rPr>
          <w:rFonts w:cstheme="minorHAnsi"/>
          <w:color w:val="000000"/>
        </w:rPr>
        <w:t>promote</w:t>
      </w:r>
      <w:r w:rsidR="00D93818">
        <w:rPr>
          <w:rFonts w:cstheme="minorHAnsi"/>
          <w:color w:val="000000"/>
        </w:rPr>
        <w:t xml:space="preserve"> </w:t>
      </w:r>
      <w:r w:rsidR="008700E2">
        <w:rPr>
          <w:rFonts w:cstheme="minorHAnsi"/>
          <w:color w:val="000000"/>
        </w:rPr>
        <w:t>the social and economic empowerment of</w:t>
      </w:r>
      <w:r w:rsidR="00DD51E0">
        <w:rPr>
          <w:rFonts w:cstheme="minorHAnsi"/>
          <w:color w:val="000000"/>
        </w:rPr>
        <w:t xml:space="preserve"> </w:t>
      </w:r>
      <w:r w:rsidR="008700E2">
        <w:rPr>
          <w:rFonts w:cstheme="minorHAnsi"/>
          <w:color w:val="000000"/>
        </w:rPr>
        <w:t>women and girls while</w:t>
      </w:r>
      <w:r w:rsidR="00F252D5">
        <w:rPr>
          <w:rFonts w:cstheme="minorHAnsi"/>
          <w:color w:val="000000"/>
        </w:rPr>
        <w:t xml:space="preserve"> also</w:t>
      </w:r>
      <w:r w:rsidR="008700E2">
        <w:rPr>
          <w:rFonts w:cstheme="minorHAnsi"/>
          <w:color w:val="000000"/>
        </w:rPr>
        <w:t xml:space="preserve"> recognizing th</w:t>
      </w:r>
      <w:r w:rsidR="00F10DE6">
        <w:rPr>
          <w:rFonts w:cstheme="minorHAnsi"/>
          <w:color w:val="000000"/>
        </w:rPr>
        <w:t>e</w:t>
      </w:r>
      <w:r w:rsidR="00AB4493">
        <w:rPr>
          <w:rFonts w:cstheme="minorHAnsi"/>
          <w:color w:val="000000"/>
        </w:rPr>
        <w:t xml:space="preserve"> gender vulnerabilities which exist among </w:t>
      </w:r>
      <w:r w:rsidR="00EB4FEB">
        <w:rPr>
          <w:rFonts w:cstheme="minorHAnsi"/>
          <w:color w:val="000000"/>
        </w:rPr>
        <w:t>unemploy</w:t>
      </w:r>
      <w:r w:rsidR="00F10DE6">
        <w:rPr>
          <w:rFonts w:cstheme="minorHAnsi"/>
          <w:color w:val="000000"/>
        </w:rPr>
        <w:t xml:space="preserve">ed </w:t>
      </w:r>
      <w:r w:rsidR="00EB4FEB">
        <w:rPr>
          <w:rFonts w:cstheme="minorHAnsi"/>
          <w:color w:val="000000"/>
        </w:rPr>
        <w:t>men and youth</w:t>
      </w:r>
      <w:r w:rsidR="00FB75E8">
        <w:rPr>
          <w:rFonts w:cstheme="minorHAnsi"/>
          <w:color w:val="000000"/>
        </w:rPr>
        <w:t>.</w:t>
      </w:r>
      <w:r w:rsidR="00F83F93">
        <w:rPr>
          <w:rFonts w:cstheme="minorHAnsi"/>
          <w:color w:val="000000"/>
        </w:rPr>
        <w:t xml:space="preserve"> </w:t>
      </w:r>
      <w:r w:rsidR="00ED455C">
        <w:rPr>
          <w:rFonts w:cstheme="minorHAnsi"/>
          <w:color w:val="000000"/>
        </w:rPr>
        <w:t>The NDC enhancement</w:t>
      </w:r>
      <w:r w:rsidR="00706C14">
        <w:rPr>
          <w:rFonts w:cstheme="minorHAnsi"/>
          <w:color w:val="000000"/>
        </w:rPr>
        <w:t xml:space="preserve"> process provides an opportunity for this gap </w:t>
      </w:r>
      <w:r w:rsidR="00752717">
        <w:rPr>
          <w:rFonts w:cstheme="minorHAnsi"/>
          <w:color w:val="000000"/>
        </w:rPr>
        <w:t>t</w:t>
      </w:r>
      <w:r w:rsidR="00706C14">
        <w:rPr>
          <w:rFonts w:cstheme="minorHAnsi"/>
          <w:color w:val="000000"/>
        </w:rPr>
        <w:t>o be addressed.</w:t>
      </w:r>
      <w:r w:rsidR="00D54579">
        <w:rPr>
          <w:rFonts w:cstheme="minorHAnsi"/>
          <w:color w:val="000000"/>
        </w:rPr>
        <w:t xml:space="preserve"> One of the core objectives of the Scoping Study</w:t>
      </w:r>
      <w:r w:rsidR="004F16AB">
        <w:rPr>
          <w:rFonts w:cstheme="minorHAnsi"/>
          <w:color w:val="000000"/>
        </w:rPr>
        <w:t xml:space="preserve">, </w:t>
      </w:r>
      <w:r w:rsidR="00DB4D57">
        <w:rPr>
          <w:rFonts w:cstheme="minorHAnsi"/>
          <w:color w:val="000000"/>
        </w:rPr>
        <w:t>therefore,</w:t>
      </w:r>
      <w:r w:rsidR="004F16AB">
        <w:rPr>
          <w:rFonts w:cstheme="minorHAnsi"/>
          <w:color w:val="000000"/>
        </w:rPr>
        <w:t xml:space="preserve"> is to ensure</w:t>
      </w:r>
      <w:r w:rsidR="00706C14">
        <w:rPr>
          <w:rFonts w:cstheme="minorHAnsi"/>
          <w:color w:val="000000"/>
        </w:rPr>
        <w:t xml:space="preserve"> </w:t>
      </w:r>
      <w:r w:rsidR="004F16AB">
        <w:rPr>
          <w:rFonts w:cstheme="minorHAnsi"/>
          <w:color w:val="000000"/>
        </w:rPr>
        <w:t>that the</w:t>
      </w:r>
      <w:r w:rsidR="007B05B5">
        <w:rPr>
          <w:rFonts w:cstheme="minorHAnsi"/>
          <w:color w:val="000000"/>
        </w:rPr>
        <w:t xml:space="preserve"> </w:t>
      </w:r>
      <w:r w:rsidR="00F83F93">
        <w:rPr>
          <w:rFonts w:cstheme="minorHAnsi"/>
          <w:color w:val="000000"/>
        </w:rPr>
        <w:t>investment opportunities</w:t>
      </w:r>
      <w:r w:rsidR="007B05B5">
        <w:rPr>
          <w:rFonts w:cstheme="minorHAnsi"/>
          <w:color w:val="000000"/>
        </w:rPr>
        <w:t xml:space="preserve"> presented</w:t>
      </w:r>
      <w:r w:rsidR="00F83F93">
        <w:rPr>
          <w:rFonts w:cstheme="minorHAnsi"/>
          <w:color w:val="000000"/>
        </w:rPr>
        <w:t xml:space="preserve"> are inclusive</w:t>
      </w:r>
      <w:r w:rsidR="00A34E49">
        <w:rPr>
          <w:rFonts w:cstheme="minorHAnsi"/>
          <w:color w:val="000000"/>
        </w:rPr>
        <w:t xml:space="preserve"> as well as </w:t>
      </w:r>
      <w:r w:rsidR="00740B47">
        <w:rPr>
          <w:rFonts w:cstheme="minorHAnsi"/>
          <w:color w:val="000000"/>
        </w:rPr>
        <w:t>appropriately balanced</w:t>
      </w:r>
      <w:r w:rsidR="00F83F93">
        <w:rPr>
          <w:rFonts w:cstheme="minorHAnsi"/>
          <w:color w:val="000000"/>
        </w:rPr>
        <w:t>.</w:t>
      </w:r>
      <w:r w:rsidR="00DB4D57">
        <w:rPr>
          <w:rFonts w:cstheme="minorHAnsi"/>
          <w:color w:val="000000"/>
        </w:rPr>
        <w:t xml:space="preserve"> This </w:t>
      </w:r>
      <w:r w:rsidR="00A56C2D">
        <w:rPr>
          <w:rFonts w:cstheme="minorHAnsi"/>
          <w:color w:val="000000"/>
        </w:rPr>
        <w:t>ultimately ensures that Saint Vincent and the Grenadines climate actions are effective.</w:t>
      </w:r>
      <w:r w:rsidR="00F83F93">
        <w:rPr>
          <w:rFonts w:cstheme="minorHAnsi"/>
          <w:color w:val="000000"/>
        </w:rPr>
        <w:t xml:space="preserve"> In undertaking such an </w:t>
      </w:r>
      <w:r w:rsidR="00B871A4">
        <w:rPr>
          <w:rFonts w:cstheme="minorHAnsi"/>
          <w:color w:val="000000"/>
        </w:rPr>
        <w:t>approach,</w:t>
      </w:r>
      <w:r w:rsidR="00F83F93">
        <w:rPr>
          <w:rFonts w:cstheme="minorHAnsi"/>
          <w:color w:val="000000"/>
        </w:rPr>
        <w:t xml:space="preserve"> the consultant shall</w:t>
      </w:r>
      <w:r w:rsidR="00074DC0">
        <w:rPr>
          <w:rFonts w:cstheme="minorHAnsi"/>
          <w:color w:val="000000"/>
        </w:rPr>
        <w:t xml:space="preserve"> consider the following:</w:t>
      </w:r>
    </w:p>
    <w:p w14:paraId="0F60D518" w14:textId="0615A40A" w:rsidR="00871967" w:rsidRDefault="00871967" w:rsidP="00AF5847">
      <w:pPr>
        <w:pStyle w:val="ListParagraph"/>
        <w:numPr>
          <w:ilvl w:val="0"/>
          <w:numId w:val="7"/>
        </w:numPr>
        <w:spacing w:before="240" w:after="240"/>
        <w:jc w:val="both"/>
        <w:rPr>
          <w:rFonts w:cstheme="minorHAnsi"/>
        </w:rPr>
      </w:pPr>
      <w:r>
        <w:rPr>
          <w:rFonts w:cstheme="minorHAnsi"/>
        </w:rPr>
        <w:lastRenderedPageBreak/>
        <w:t>Integrate a gender analysis in the identification of all</w:t>
      </w:r>
      <w:r w:rsidR="0081643C">
        <w:rPr>
          <w:rFonts w:cstheme="minorHAnsi"/>
        </w:rPr>
        <w:t xml:space="preserve"> (existing and proposed)</w:t>
      </w:r>
      <w:r>
        <w:rPr>
          <w:rFonts w:cstheme="minorHAnsi"/>
        </w:rPr>
        <w:t xml:space="preserve"> private sector investment opportunities at the sectoral and sub-sectoral level </w:t>
      </w:r>
      <w:r w:rsidR="00163708">
        <w:rPr>
          <w:rFonts w:cstheme="minorHAnsi"/>
        </w:rPr>
        <w:t>across each of</w:t>
      </w:r>
      <w:r>
        <w:rPr>
          <w:rFonts w:cstheme="minorHAnsi"/>
        </w:rPr>
        <w:t xml:space="preserve"> the five (5) priority areas identified under Saint Vincent and the Grenadines INDCs.</w:t>
      </w:r>
    </w:p>
    <w:p w14:paraId="27CC0F9F" w14:textId="77777777" w:rsidR="00143B38" w:rsidRDefault="00143B38" w:rsidP="00143B38">
      <w:pPr>
        <w:pStyle w:val="ListParagraph"/>
        <w:numPr>
          <w:ilvl w:val="0"/>
          <w:numId w:val="7"/>
        </w:numPr>
        <w:spacing w:before="240" w:after="240"/>
        <w:jc w:val="both"/>
        <w:rPr>
          <w:rFonts w:cstheme="minorHAnsi"/>
        </w:rPr>
      </w:pPr>
      <w:r>
        <w:rPr>
          <w:rFonts w:cstheme="minorHAnsi"/>
        </w:rPr>
        <w:t>Recognising the inherent gender inequalities and vulnerabilities which exist between and among women and men identify investment opportunities which can be equally led as well as supported by both women and men as the main project developers and beneficiaries.</w:t>
      </w:r>
    </w:p>
    <w:p w14:paraId="0742C6AA" w14:textId="3BA2CFE3" w:rsidR="00143B38" w:rsidRPr="00143B38" w:rsidRDefault="00143B38" w:rsidP="00143B38">
      <w:pPr>
        <w:pStyle w:val="ListParagraph"/>
        <w:numPr>
          <w:ilvl w:val="0"/>
          <w:numId w:val="7"/>
        </w:numPr>
        <w:spacing w:before="240" w:after="240"/>
        <w:jc w:val="both"/>
        <w:rPr>
          <w:rFonts w:cstheme="minorHAnsi"/>
        </w:rPr>
      </w:pPr>
      <w:r>
        <w:rPr>
          <w:rFonts w:cstheme="minorHAnsi"/>
        </w:rPr>
        <w:t xml:space="preserve">Recognising the inherent gender inequalities and vulnerabilities which exist between and among women and men identify investment opportunities which </w:t>
      </w:r>
      <w:r w:rsidR="0013387F">
        <w:rPr>
          <w:rFonts w:cstheme="minorHAnsi"/>
        </w:rPr>
        <w:t xml:space="preserve">support </w:t>
      </w:r>
      <w:r w:rsidR="00792C44">
        <w:rPr>
          <w:rFonts w:cstheme="minorHAnsi"/>
        </w:rPr>
        <w:t>inclusive and gender responsive actio</w:t>
      </w:r>
      <w:r w:rsidR="00800D02">
        <w:rPr>
          <w:rFonts w:cstheme="minorHAnsi"/>
        </w:rPr>
        <w:t>ns in the creation of jo</w:t>
      </w:r>
      <w:r w:rsidR="00E61131">
        <w:rPr>
          <w:rFonts w:cstheme="minorHAnsi"/>
        </w:rPr>
        <w:t>b opportunities within Saint Vincent an</w:t>
      </w:r>
      <w:r w:rsidR="009E34D2">
        <w:rPr>
          <w:rFonts w:cstheme="minorHAnsi"/>
        </w:rPr>
        <w:t>d the Grenadines.</w:t>
      </w:r>
    </w:p>
    <w:p w14:paraId="0D59F4EE" w14:textId="2643AD28" w:rsidR="00FD50A9" w:rsidRDefault="00FD50A9" w:rsidP="00AF5847">
      <w:pPr>
        <w:pStyle w:val="ListParagraph"/>
        <w:numPr>
          <w:ilvl w:val="0"/>
          <w:numId w:val="7"/>
        </w:numPr>
        <w:spacing w:before="240" w:after="240"/>
        <w:jc w:val="both"/>
        <w:rPr>
          <w:rFonts w:cstheme="minorHAnsi"/>
        </w:rPr>
      </w:pPr>
      <w:r w:rsidRPr="00FF4CAC">
        <w:rPr>
          <w:rFonts w:cstheme="minorHAnsi"/>
        </w:rPr>
        <w:t>Recognising the differential contributions, remunerated or not, made by men and women in the production of goods and services</w:t>
      </w:r>
      <w:r>
        <w:rPr>
          <w:rFonts w:cstheme="minorHAnsi"/>
        </w:rPr>
        <w:t xml:space="preserve"> should take this into account in the identification of private sector investment opportunities</w:t>
      </w:r>
      <w:r w:rsidR="00C70396">
        <w:rPr>
          <w:rFonts w:cstheme="minorHAnsi"/>
        </w:rPr>
        <w:t xml:space="preserve"> to ensure such gender inequalities </w:t>
      </w:r>
      <w:r w:rsidR="008E1934">
        <w:rPr>
          <w:rFonts w:cstheme="minorHAnsi"/>
        </w:rPr>
        <w:t xml:space="preserve">are </w:t>
      </w:r>
      <w:r w:rsidR="006B0332">
        <w:rPr>
          <w:rFonts w:cstheme="minorHAnsi"/>
        </w:rPr>
        <w:t>alleviated</w:t>
      </w:r>
      <w:r w:rsidR="008E1934">
        <w:rPr>
          <w:rFonts w:cstheme="minorHAnsi"/>
        </w:rPr>
        <w:t xml:space="preserve"> instead of reinforced</w:t>
      </w:r>
      <w:r>
        <w:rPr>
          <w:rFonts w:cstheme="minorHAnsi"/>
        </w:rPr>
        <w:t>.</w:t>
      </w:r>
    </w:p>
    <w:p w14:paraId="69F2B869" w14:textId="324A4C74" w:rsidR="007F3FF8" w:rsidRPr="00CB08C2" w:rsidRDefault="007F3FF8" w:rsidP="007F3FF8">
      <w:pPr>
        <w:spacing w:before="240" w:after="240"/>
        <w:jc w:val="both"/>
        <w:rPr>
          <w:rFonts w:cstheme="minorHAnsi"/>
          <w:u w:val="single"/>
        </w:rPr>
      </w:pPr>
      <w:r w:rsidRPr="00CB08C2">
        <w:rPr>
          <w:rFonts w:cstheme="minorHAnsi"/>
          <w:u w:val="single"/>
        </w:rPr>
        <w:t xml:space="preserve">2.2.2- Gender Analysis </w:t>
      </w:r>
    </w:p>
    <w:p w14:paraId="4D7B6DC0" w14:textId="7FF873B9" w:rsidR="006B0332" w:rsidRDefault="00CB08C2" w:rsidP="00BC7E12">
      <w:pPr>
        <w:jc w:val="both"/>
        <w:rPr>
          <w:rFonts w:cstheme="minorHAnsi"/>
          <w:shd w:val="clear" w:color="auto" w:fill="FFFFFF"/>
        </w:rPr>
      </w:pPr>
      <w:r>
        <w:rPr>
          <w:rFonts w:cstheme="minorHAnsi"/>
        </w:rPr>
        <w:t xml:space="preserve">A notable </w:t>
      </w:r>
      <w:r w:rsidR="00F8607F">
        <w:rPr>
          <w:rFonts w:cstheme="minorHAnsi"/>
        </w:rPr>
        <w:t>and central featur</w:t>
      </w:r>
      <w:r w:rsidR="00B10D82">
        <w:rPr>
          <w:rFonts w:cstheme="minorHAnsi"/>
        </w:rPr>
        <w:t>e o</w:t>
      </w:r>
      <w:r w:rsidR="00F8607F">
        <w:rPr>
          <w:rFonts w:cstheme="minorHAnsi"/>
        </w:rPr>
        <w:t xml:space="preserve">f the Private Sector Scoping Study is </w:t>
      </w:r>
      <w:r w:rsidR="000D07BF">
        <w:rPr>
          <w:rFonts w:cstheme="minorHAnsi"/>
        </w:rPr>
        <w:t>t</w:t>
      </w:r>
      <w:r w:rsidR="00FA2042">
        <w:rPr>
          <w:rFonts w:cstheme="minorHAnsi"/>
        </w:rPr>
        <w:t>he</w:t>
      </w:r>
      <w:r w:rsidR="000D07BF">
        <w:rPr>
          <w:rFonts w:cstheme="minorHAnsi"/>
        </w:rPr>
        <w:t xml:space="preserve"> gender analysis</w:t>
      </w:r>
      <w:r w:rsidR="00D956E1">
        <w:rPr>
          <w:rFonts w:cstheme="minorHAnsi"/>
        </w:rPr>
        <w:t>, which is meant to be incorporated intrinsically throughout the execution of the consultancy.</w:t>
      </w:r>
      <w:r w:rsidR="000D07BF">
        <w:rPr>
          <w:rFonts w:cstheme="minorHAnsi"/>
        </w:rPr>
        <w:t xml:space="preserve"> </w:t>
      </w:r>
      <w:r w:rsidR="00D956E1">
        <w:rPr>
          <w:rFonts w:cstheme="minorHAnsi"/>
        </w:rPr>
        <w:t>In this regard,</w:t>
      </w:r>
      <w:r w:rsidR="00D51CBF">
        <w:rPr>
          <w:rFonts w:cstheme="minorHAnsi"/>
        </w:rPr>
        <w:t xml:space="preserve"> </w:t>
      </w:r>
      <w:r w:rsidR="00BC7E12">
        <w:rPr>
          <w:rFonts w:cstheme="minorHAnsi"/>
        </w:rPr>
        <w:t>th</w:t>
      </w:r>
      <w:r w:rsidR="00D51CBF" w:rsidRPr="0005460F">
        <w:rPr>
          <w:rFonts w:cstheme="minorHAnsi"/>
        </w:rPr>
        <w:t>is analysis should consider the gender-based analysis plus (GBA+) approach</w:t>
      </w:r>
      <w:r w:rsidR="00D51CBF">
        <w:rPr>
          <w:rFonts w:cstheme="minorHAnsi"/>
        </w:rPr>
        <w:t xml:space="preserve"> in its methodology</w:t>
      </w:r>
      <w:r w:rsidR="00D51CBF" w:rsidRPr="0005460F">
        <w:rPr>
          <w:rFonts w:cstheme="minorHAnsi"/>
        </w:rPr>
        <w:t>. GBA+</w:t>
      </w:r>
      <w:r w:rsidR="00D51CBF">
        <w:rPr>
          <w:rFonts w:cstheme="minorHAnsi"/>
        </w:rPr>
        <w:t xml:space="preserve"> is </w:t>
      </w:r>
      <w:r w:rsidR="00D51CBF">
        <w:rPr>
          <w:rFonts w:cstheme="minorHAnsi"/>
          <w:shd w:val="clear" w:color="auto" w:fill="FFFFFF"/>
        </w:rPr>
        <w:t>“</w:t>
      </w:r>
      <w:r w:rsidR="00D51CBF" w:rsidRPr="0005460F">
        <w:rPr>
          <w:rFonts w:cstheme="minorHAnsi"/>
          <w:shd w:val="clear" w:color="auto" w:fill="FFFFFF"/>
        </w:rPr>
        <w:t xml:space="preserve">an analytical process that provides a rigorous method for the assessment of systemic inequalities, </w:t>
      </w:r>
      <w:r w:rsidR="00F4616D">
        <w:rPr>
          <w:rFonts w:cstheme="minorHAnsi"/>
          <w:shd w:val="clear" w:color="auto" w:fill="FFFFFF"/>
        </w:rPr>
        <w:t>in-addition to</w:t>
      </w:r>
      <w:r w:rsidR="00D51CBF" w:rsidRPr="0005460F">
        <w:rPr>
          <w:rFonts w:cstheme="minorHAnsi"/>
          <w:shd w:val="clear" w:color="auto" w:fill="FFFFFF"/>
        </w:rPr>
        <w:t xml:space="preserve"> assess</w:t>
      </w:r>
      <w:r w:rsidR="002137B7">
        <w:rPr>
          <w:rFonts w:cstheme="minorHAnsi"/>
          <w:shd w:val="clear" w:color="auto" w:fill="FFFFFF"/>
        </w:rPr>
        <w:t>ing</w:t>
      </w:r>
      <w:r w:rsidR="00D51CBF" w:rsidRPr="0005460F">
        <w:rPr>
          <w:rFonts w:cstheme="minorHAnsi"/>
          <w:shd w:val="clear" w:color="auto" w:fill="FFFFFF"/>
        </w:rPr>
        <w:t xml:space="preserve"> how </w:t>
      </w:r>
      <w:bookmarkStart w:id="1" w:name="_GoBack"/>
      <w:r w:rsidR="00D51CBF" w:rsidRPr="0005460F">
        <w:rPr>
          <w:rFonts w:cstheme="minorHAnsi"/>
          <w:shd w:val="clear" w:color="auto" w:fill="FFFFFF"/>
        </w:rPr>
        <w:t xml:space="preserve">diverse groups of women, men, and gender diverse people may experience policies, programs and </w:t>
      </w:r>
      <w:bookmarkEnd w:id="1"/>
      <w:r w:rsidR="00D51CBF" w:rsidRPr="0005460F">
        <w:rPr>
          <w:rFonts w:cstheme="minorHAnsi"/>
          <w:shd w:val="clear" w:color="auto" w:fill="FFFFFF"/>
        </w:rPr>
        <w:t>initiatives.</w:t>
      </w:r>
      <w:r w:rsidR="00D51CBF">
        <w:rPr>
          <w:rFonts w:cstheme="minorHAnsi"/>
          <w:shd w:val="clear" w:color="auto" w:fill="FFFFFF"/>
        </w:rPr>
        <w:t>”</w:t>
      </w:r>
      <w:r w:rsidR="00D51CBF">
        <w:rPr>
          <w:rStyle w:val="FootnoteReference"/>
          <w:rFonts w:cstheme="minorHAnsi"/>
          <w:shd w:val="clear" w:color="auto" w:fill="FFFFFF"/>
        </w:rPr>
        <w:footnoteReference w:id="9"/>
      </w:r>
      <w:r w:rsidR="00D51CBF" w:rsidRPr="0005460F">
        <w:rPr>
          <w:rFonts w:cstheme="minorHAnsi"/>
          <w:shd w:val="clear" w:color="auto" w:fill="FFFFFF"/>
        </w:rPr>
        <w:t xml:space="preserve"> Under the scope of this project the approach will help consider how other intersect</w:t>
      </w:r>
      <w:r w:rsidR="00D51CBF">
        <w:rPr>
          <w:rFonts w:cstheme="minorHAnsi"/>
          <w:shd w:val="clear" w:color="auto" w:fill="FFFFFF"/>
        </w:rPr>
        <w:t>ing identi</w:t>
      </w:r>
      <w:r w:rsidR="003A2C34">
        <w:rPr>
          <w:rFonts w:cstheme="minorHAnsi"/>
          <w:shd w:val="clear" w:color="auto" w:fill="FFFFFF"/>
        </w:rPr>
        <w:t>ty</w:t>
      </w:r>
      <w:r w:rsidR="00D51CBF" w:rsidRPr="0005460F">
        <w:rPr>
          <w:rFonts w:cstheme="minorHAnsi"/>
          <w:shd w:val="clear" w:color="auto" w:fill="FFFFFF"/>
        </w:rPr>
        <w:t xml:space="preserve"> factors such as</w:t>
      </w:r>
      <w:r w:rsidR="00D51CBF">
        <w:rPr>
          <w:rFonts w:cstheme="minorHAnsi"/>
          <w:shd w:val="clear" w:color="auto" w:fill="FFFFFF"/>
        </w:rPr>
        <w:t>:</w:t>
      </w:r>
      <w:r w:rsidR="00D51CBF" w:rsidRPr="0005460F">
        <w:rPr>
          <w:rFonts w:cstheme="minorHAnsi"/>
          <w:shd w:val="clear" w:color="auto" w:fill="FFFFFF"/>
        </w:rPr>
        <w:t xml:space="preserve"> race, ethnicity, religion, age or physical disabilit</w:t>
      </w:r>
      <w:r w:rsidR="00D51CBF">
        <w:rPr>
          <w:rFonts w:cstheme="minorHAnsi"/>
          <w:shd w:val="clear" w:color="auto" w:fill="FFFFFF"/>
        </w:rPr>
        <w:t>ies</w:t>
      </w:r>
      <w:r w:rsidR="00D51CBF" w:rsidRPr="0005460F">
        <w:rPr>
          <w:rFonts w:cstheme="minorHAnsi"/>
          <w:shd w:val="clear" w:color="auto" w:fill="FFFFFF"/>
        </w:rPr>
        <w:t xml:space="preserve"> influence</w:t>
      </w:r>
      <w:r w:rsidR="00D51CBF">
        <w:rPr>
          <w:rFonts w:cstheme="minorHAnsi"/>
          <w:shd w:val="clear" w:color="auto" w:fill="FFFFFF"/>
        </w:rPr>
        <w:t xml:space="preserve"> </w:t>
      </w:r>
      <w:r w:rsidR="00D51CBF" w:rsidRPr="0005460F">
        <w:rPr>
          <w:rFonts w:cstheme="minorHAnsi"/>
          <w:shd w:val="clear" w:color="auto" w:fill="FFFFFF"/>
        </w:rPr>
        <w:t>the way persons are impacted by</w:t>
      </w:r>
      <w:r w:rsidR="00D51CBF">
        <w:rPr>
          <w:rFonts w:cstheme="minorHAnsi"/>
          <w:shd w:val="clear" w:color="auto" w:fill="FFFFFF"/>
        </w:rPr>
        <w:t xml:space="preserve"> NDCs</w:t>
      </w:r>
      <w:r w:rsidR="00D51CBF" w:rsidRPr="0005460F">
        <w:rPr>
          <w:rFonts w:cstheme="minorHAnsi"/>
          <w:shd w:val="clear" w:color="auto" w:fill="FFFFFF"/>
        </w:rPr>
        <w:t>.</w:t>
      </w:r>
      <w:r w:rsidR="00D51CBF">
        <w:rPr>
          <w:rFonts w:cstheme="minorHAnsi"/>
          <w:shd w:val="clear" w:color="auto" w:fill="FFFFFF"/>
        </w:rPr>
        <w:t xml:space="preserve"> This is especially important under the scope of this project and in the case of the Saint Vincent and the Grenadines, </w:t>
      </w:r>
      <w:r w:rsidR="00D51CBF">
        <w:rPr>
          <w:rFonts w:cstheme="minorHAnsi"/>
        </w:rPr>
        <w:t>as the gender analysis provides a basis for identifying the systemic gender inequalities within the country’s NDC process, policies and programming</w:t>
      </w:r>
      <w:r w:rsidR="00B12BCC">
        <w:rPr>
          <w:rFonts w:cstheme="minorHAnsi"/>
        </w:rPr>
        <w:t>.</w:t>
      </w:r>
      <w:r w:rsidR="00D51CBF">
        <w:rPr>
          <w:rFonts w:cstheme="minorHAnsi"/>
        </w:rPr>
        <w:t xml:space="preserve"> </w:t>
      </w:r>
      <w:r w:rsidR="00257F55">
        <w:rPr>
          <w:rFonts w:cstheme="minorHAnsi"/>
        </w:rPr>
        <w:t xml:space="preserve">The integration of </w:t>
      </w:r>
      <w:r w:rsidR="00E06406">
        <w:rPr>
          <w:rFonts w:cstheme="minorHAnsi"/>
        </w:rPr>
        <w:t xml:space="preserve">a </w:t>
      </w:r>
      <w:r w:rsidR="00E06406" w:rsidRPr="007C10A3">
        <w:rPr>
          <w:rFonts w:cstheme="minorHAnsi"/>
          <w:b/>
          <w:bCs/>
        </w:rPr>
        <w:t xml:space="preserve">gender analysis throughout the conduct of the consultancy is </w:t>
      </w:r>
      <w:r w:rsidR="00743B67" w:rsidRPr="007C10A3">
        <w:rPr>
          <w:rFonts w:cstheme="minorHAnsi"/>
          <w:b/>
          <w:bCs/>
        </w:rPr>
        <w:t>critical and necessary</w:t>
      </w:r>
      <w:r w:rsidR="00743B67">
        <w:rPr>
          <w:rFonts w:cstheme="minorHAnsi"/>
        </w:rPr>
        <w:t xml:space="preserve"> in ensuring that the </w:t>
      </w:r>
      <w:r w:rsidR="00DD553C">
        <w:rPr>
          <w:rFonts w:cstheme="minorHAnsi"/>
        </w:rPr>
        <w:t>objectives of the Terms of Reference ar</w:t>
      </w:r>
      <w:r w:rsidR="00AB5B7D">
        <w:rPr>
          <w:rFonts w:cstheme="minorHAnsi"/>
        </w:rPr>
        <w:t xml:space="preserve">e </w:t>
      </w:r>
      <w:r w:rsidR="00DD553C">
        <w:rPr>
          <w:rFonts w:cstheme="minorHAnsi"/>
        </w:rPr>
        <w:t>achieved</w:t>
      </w:r>
      <w:r w:rsidR="00AB5B7D">
        <w:rPr>
          <w:rFonts w:cstheme="minorHAnsi"/>
        </w:rPr>
        <w:t>.</w:t>
      </w:r>
    </w:p>
    <w:p w14:paraId="3371F5F5" w14:textId="5B4BBC26" w:rsidR="00BC7E12" w:rsidRDefault="003F5C36" w:rsidP="00BC7E12">
      <w:pPr>
        <w:jc w:val="both"/>
        <w:rPr>
          <w:rFonts w:cstheme="minorHAnsi"/>
          <w:shd w:val="clear" w:color="auto" w:fill="FFFFFF"/>
        </w:rPr>
      </w:pPr>
      <w:r w:rsidRPr="007C10A3">
        <w:rPr>
          <w:rFonts w:cstheme="minorHAnsi"/>
          <w:u w:val="single"/>
          <w:shd w:val="clear" w:color="auto" w:fill="FFFFFF"/>
        </w:rPr>
        <w:t>2.2.3- Gender Responsive Stakeholder Participation</w:t>
      </w:r>
    </w:p>
    <w:p w14:paraId="0BE4352C" w14:textId="3B6F275A" w:rsidR="00BC7E12" w:rsidRPr="00BC7E12" w:rsidRDefault="00AB5B7D" w:rsidP="2C49C1BC">
      <w:pPr>
        <w:jc w:val="both"/>
        <w:rPr>
          <w:shd w:val="clear" w:color="auto" w:fill="FFFFFF"/>
        </w:rPr>
      </w:pPr>
      <w:r w:rsidRPr="2C49C1BC">
        <w:rPr>
          <w:shd w:val="clear" w:color="auto" w:fill="FFFFFF"/>
        </w:rPr>
        <w:t xml:space="preserve">Equally important is the facilitation of gender responsive stakeholder participation in the </w:t>
      </w:r>
      <w:r w:rsidR="00A512E7" w:rsidRPr="2C49C1BC">
        <w:rPr>
          <w:shd w:val="clear" w:color="auto" w:fill="FFFFFF"/>
        </w:rPr>
        <w:t xml:space="preserve">execution of the project activities and in the </w:t>
      </w:r>
      <w:r w:rsidR="0011591E" w:rsidRPr="2C49C1BC">
        <w:rPr>
          <w:shd w:val="clear" w:color="auto" w:fill="FFFFFF"/>
        </w:rPr>
        <w:t>design and eventual validation of</w:t>
      </w:r>
      <w:r w:rsidR="00626B96" w:rsidRPr="2C49C1BC">
        <w:rPr>
          <w:shd w:val="clear" w:color="auto" w:fill="FFFFFF"/>
        </w:rPr>
        <w:t xml:space="preserve"> the Scoping Study.</w:t>
      </w:r>
      <w:r w:rsidR="00A9669A" w:rsidRPr="2C49C1BC">
        <w:rPr>
          <w:shd w:val="clear" w:color="auto" w:fill="FFFFFF"/>
        </w:rPr>
        <w:t xml:space="preserve"> Stakeholder dialogues </w:t>
      </w:r>
      <w:r w:rsidR="00B53D1B" w:rsidRPr="2C49C1BC">
        <w:rPr>
          <w:shd w:val="clear" w:color="auto" w:fill="FFFFFF"/>
        </w:rPr>
        <w:t>are expected to</w:t>
      </w:r>
      <w:r w:rsidR="00A9669A" w:rsidRPr="2C49C1BC">
        <w:rPr>
          <w:shd w:val="clear" w:color="auto" w:fill="FFFFFF"/>
        </w:rPr>
        <w:t xml:space="preserve"> play an important role </w:t>
      </w:r>
      <w:r w:rsidR="00B53D1B" w:rsidRPr="2C49C1BC">
        <w:rPr>
          <w:shd w:val="clear" w:color="auto" w:fill="FFFFFF"/>
        </w:rPr>
        <w:t>in the execution of this consultan</w:t>
      </w:r>
      <w:r w:rsidR="00906036" w:rsidRPr="2C49C1BC">
        <w:rPr>
          <w:shd w:val="clear" w:color="auto" w:fill="FFFFFF"/>
        </w:rPr>
        <w:t>cy</w:t>
      </w:r>
      <w:r w:rsidR="00A861F5" w:rsidRPr="2C49C1BC">
        <w:rPr>
          <w:shd w:val="clear" w:color="auto" w:fill="FFFFFF"/>
        </w:rPr>
        <w:t xml:space="preserve">. </w:t>
      </w:r>
      <w:r w:rsidR="00B86E2D" w:rsidRPr="2C49C1BC">
        <w:rPr>
          <w:shd w:val="clear" w:color="auto" w:fill="FFFFFF"/>
        </w:rPr>
        <w:t>In view of the foregoing,</w:t>
      </w:r>
      <w:r w:rsidR="00E74204" w:rsidRPr="2C49C1BC">
        <w:rPr>
          <w:shd w:val="clear" w:color="auto" w:fill="FFFFFF"/>
        </w:rPr>
        <w:t xml:space="preserve"> the consultant </w:t>
      </w:r>
      <w:r w:rsidR="00E74204" w:rsidRPr="2C49C1BC">
        <w:rPr>
          <w:b/>
          <w:bCs/>
          <w:shd w:val="clear" w:color="auto" w:fill="FFFFFF"/>
        </w:rPr>
        <w:t>will be required to utilize such a</w:t>
      </w:r>
      <w:r w:rsidR="00542214" w:rsidRPr="2C49C1BC">
        <w:rPr>
          <w:b/>
          <w:bCs/>
          <w:shd w:val="clear" w:color="auto" w:fill="FFFFFF"/>
        </w:rPr>
        <w:t xml:space="preserve">n approach </w:t>
      </w:r>
      <w:r w:rsidR="003D41C8" w:rsidRPr="2C49C1BC">
        <w:rPr>
          <w:b/>
          <w:bCs/>
          <w:shd w:val="clear" w:color="auto" w:fill="FFFFFF"/>
        </w:rPr>
        <w:t>across the entire</w:t>
      </w:r>
      <w:r w:rsidR="00542214" w:rsidRPr="2C49C1BC">
        <w:rPr>
          <w:b/>
          <w:bCs/>
          <w:shd w:val="clear" w:color="auto" w:fill="FFFFFF"/>
        </w:rPr>
        <w:t xml:space="preserve"> scope of the project’s </w:t>
      </w:r>
      <w:r w:rsidR="008F58D2" w:rsidRPr="2C49C1BC">
        <w:rPr>
          <w:b/>
          <w:bCs/>
          <w:shd w:val="clear" w:color="auto" w:fill="FFFFFF"/>
        </w:rPr>
        <w:t>methodology</w:t>
      </w:r>
      <w:r w:rsidR="003B68C0" w:rsidRPr="2C49C1BC">
        <w:rPr>
          <w:shd w:val="clear" w:color="auto" w:fill="FFFFFF"/>
        </w:rPr>
        <w:t xml:space="preserve">. </w:t>
      </w:r>
      <w:r w:rsidR="00942E6A" w:rsidRPr="2C49C1BC">
        <w:rPr>
          <w:shd w:val="clear" w:color="auto" w:fill="FFFFFF"/>
        </w:rPr>
        <w:t xml:space="preserve"> </w:t>
      </w:r>
      <w:r w:rsidR="00174BD5" w:rsidRPr="2C49C1BC">
        <w:rPr>
          <w:shd w:val="clear" w:color="auto" w:fill="FFFFFF"/>
        </w:rPr>
        <w:t>The</w:t>
      </w:r>
      <w:r w:rsidR="009A0A63" w:rsidRPr="2C49C1BC">
        <w:rPr>
          <w:shd w:val="clear" w:color="auto" w:fill="FFFFFF"/>
        </w:rPr>
        <w:t xml:space="preserve"> gender responsive </w:t>
      </w:r>
      <w:r w:rsidR="002F627C" w:rsidRPr="2C49C1BC">
        <w:rPr>
          <w:shd w:val="clear" w:color="auto" w:fill="FFFFFF"/>
        </w:rPr>
        <w:t>stakeholder dialogues</w:t>
      </w:r>
      <w:r w:rsidR="005A514F" w:rsidRPr="2C49C1BC">
        <w:rPr>
          <w:shd w:val="clear" w:color="auto" w:fill="FFFFFF"/>
        </w:rPr>
        <w:t xml:space="preserve"> should </w:t>
      </w:r>
      <w:r w:rsidR="00297A35" w:rsidRPr="2C49C1BC">
        <w:rPr>
          <w:shd w:val="clear" w:color="auto" w:fill="FFFFFF"/>
        </w:rPr>
        <w:t xml:space="preserve">be inclusive and in doing so, ensure that </w:t>
      </w:r>
      <w:r w:rsidR="00F8488E" w:rsidRPr="2C49C1BC">
        <w:rPr>
          <w:shd w:val="clear" w:color="auto" w:fill="FFFFFF"/>
        </w:rPr>
        <w:t>adequate access</w:t>
      </w:r>
      <w:r w:rsidR="00152A7A" w:rsidRPr="2C49C1BC">
        <w:rPr>
          <w:shd w:val="clear" w:color="auto" w:fill="FFFFFF"/>
        </w:rPr>
        <w:t xml:space="preserve"> is provided</w:t>
      </w:r>
      <w:r w:rsidR="00F8488E" w:rsidRPr="2C49C1BC">
        <w:rPr>
          <w:shd w:val="clear" w:color="auto" w:fill="FFFFFF"/>
        </w:rPr>
        <w:t xml:space="preserve"> to </w:t>
      </w:r>
      <w:r w:rsidR="00B86E2D" w:rsidRPr="2C49C1BC">
        <w:rPr>
          <w:shd w:val="clear" w:color="auto" w:fill="FFFFFF"/>
        </w:rPr>
        <w:t>all</w:t>
      </w:r>
      <w:r w:rsidR="00FB1EB5" w:rsidRPr="2C49C1BC">
        <w:rPr>
          <w:shd w:val="clear" w:color="auto" w:fill="FFFFFF"/>
        </w:rPr>
        <w:t xml:space="preserve"> stakehold</w:t>
      </w:r>
      <w:r w:rsidR="007F0ADF" w:rsidRPr="2C49C1BC">
        <w:rPr>
          <w:shd w:val="clear" w:color="auto" w:fill="FFFFFF"/>
        </w:rPr>
        <w:t>ers</w:t>
      </w:r>
      <w:r w:rsidR="005D2801" w:rsidRPr="2C49C1BC">
        <w:rPr>
          <w:shd w:val="clear" w:color="auto" w:fill="FFFFFF"/>
        </w:rPr>
        <w:t xml:space="preserve"> </w:t>
      </w:r>
      <w:r w:rsidR="005121F5" w:rsidRPr="2C49C1BC">
        <w:rPr>
          <w:shd w:val="clear" w:color="auto" w:fill="FFFFFF"/>
        </w:rPr>
        <w:t xml:space="preserve">while ensuring transparency of the </w:t>
      </w:r>
      <w:r w:rsidR="002F17AE" w:rsidRPr="2C49C1BC">
        <w:rPr>
          <w:shd w:val="clear" w:color="auto" w:fill="FFFFFF"/>
        </w:rPr>
        <w:t>process</w:t>
      </w:r>
      <w:r w:rsidR="00FB1EB5" w:rsidRPr="2C49C1BC">
        <w:rPr>
          <w:shd w:val="clear" w:color="auto" w:fill="FFFFFF"/>
        </w:rPr>
        <w:t xml:space="preserve">. </w:t>
      </w:r>
      <w:r w:rsidR="002F17AE" w:rsidRPr="2C49C1BC">
        <w:rPr>
          <w:shd w:val="clear" w:color="auto" w:fill="FFFFFF"/>
        </w:rPr>
        <w:t xml:space="preserve"> In this regard,</w:t>
      </w:r>
      <w:r w:rsidR="002B3ECD" w:rsidRPr="2C49C1BC">
        <w:rPr>
          <w:shd w:val="clear" w:color="auto" w:fill="FFFFFF"/>
        </w:rPr>
        <w:t xml:space="preserve"> the</w:t>
      </w:r>
      <w:r w:rsidR="000F5CF6" w:rsidRPr="2C49C1BC">
        <w:rPr>
          <w:shd w:val="clear" w:color="auto" w:fill="FFFFFF"/>
        </w:rPr>
        <w:t xml:space="preserve"> diverse views</w:t>
      </w:r>
      <w:r w:rsidR="00CE4B89" w:rsidRPr="2C49C1BC">
        <w:rPr>
          <w:shd w:val="clear" w:color="auto" w:fill="FFFFFF"/>
        </w:rPr>
        <w:t xml:space="preserve"> of different stakeholders</w:t>
      </w:r>
      <w:r w:rsidR="000F5CF6" w:rsidRPr="2C49C1BC">
        <w:rPr>
          <w:shd w:val="clear" w:color="auto" w:fill="FFFFFF"/>
        </w:rPr>
        <w:t xml:space="preserve"> </w:t>
      </w:r>
      <w:r w:rsidR="002F17AE" w:rsidRPr="2C49C1BC">
        <w:rPr>
          <w:shd w:val="clear" w:color="auto" w:fill="FFFFFF"/>
        </w:rPr>
        <w:t>sh</w:t>
      </w:r>
      <w:r w:rsidR="00F559B7" w:rsidRPr="2C49C1BC">
        <w:rPr>
          <w:shd w:val="clear" w:color="auto" w:fill="FFFFFF"/>
        </w:rPr>
        <w:t>ou</w:t>
      </w:r>
      <w:r w:rsidR="00BE1938" w:rsidRPr="2C49C1BC">
        <w:rPr>
          <w:shd w:val="clear" w:color="auto" w:fill="FFFFFF"/>
        </w:rPr>
        <w:t>l</w:t>
      </w:r>
      <w:r w:rsidR="00F559B7" w:rsidRPr="2C49C1BC">
        <w:rPr>
          <w:shd w:val="clear" w:color="auto" w:fill="FFFFFF"/>
        </w:rPr>
        <w:t>d be</w:t>
      </w:r>
      <w:r w:rsidR="000F5CF6" w:rsidRPr="2C49C1BC">
        <w:rPr>
          <w:shd w:val="clear" w:color="auto" w:fill="FFFFFF"/>
        </w:rPr>
        <w:t xml:space="preserve"> captured,</w:t>
      </w:r>
      <w:r w:rsidR="00D65D34" w:rsidRPr="2C49C1BC">
        <w:rPr>
          <w:shd w:val="clear" w:color="auto" w:fill="FFFFFF"/>
        </w:rPr>
        <w:t xml:space="preserve"> in-addition to policy makers (government representatives)</w:t>
      </w:r>
      <w:r w:rsidR="00446113" w:rsidRPr="2C49C1BC">
        <w:rPr>
          <w:shd w:val="clear" w:color="auto" w:fill="FFFFFF"/>
        </w:rPr>
        <w:t>,</w:t>
      </w:r>
      <w:r w:rsidR="000F5CF6" w:rsidRPr="2C49C1BC">
        <w:rPr>
          <w:shd w:val="clear" w:color="auto" w:fill="FFFFFF"/>
        </w:rPr>
        <w:t xml:space="preserve"> the role of non -governmental</w:t>
      </w:r>
      <w:r w:rsidR="00B15821" w:rsidRPr="2C49C1BC">
        <w:rPr>
          <w:shd w:val="clear" w:color="auto" w:fill="FFFFFF"/>
        </w:rPr>
        <w:t xml:space="preserve"> organization</w:t>
      </w:r>
      <w:r w:rsidR="00851C75" w:rsidRPr="2C49C1BC">
        <w:rPr>
          <w:shd w:val="clear" w:color="auto" w:fill="FFFFFF"/>
        </w:rPr>
        <w:t>s</w:t>
      </w:r>
      <w:r w:rsidR="00B15821" w:rsidRPr="2C49C1BC">
        <w:rPr>
          <w:shd w:val="clear" w:color="auto" w:fill="FFFFFF"/>
        </w:rPr>
        <w:t xml:space="preserve"> and private sector associations</w:t>
      </w:r>
      <w:r w:rsidR="00CE4B89" w:rsidRPr="2C49C1BC">
        <w:rPr>
          <w:shd w:val="clear" w:color="auto" w:fill="FFFFFF"/>
        </w:rPr>
        <w:t xml:space="preserve"> is o</w:t>
      </w:r>
      <w:r w:rsidR="00393624" w:rsidRPr="2C49C1BC">
        <w:rPr>
          <w:shd w:val="clear" w:color="auto" w:fill="FFFFFF"/>
        </w:rPr>
        <w:t>f</w:t>
      </w:r>
      <w:r w:rsidR="00B62D4D" w:rsidRPr="2C49C1BC">
        <w:rPr>
          <w:shd w:val="clear" w:color="auto" w:fill="FFFFFF"/>
        </w:rPr>
        <w:t xml:space="preserve"> critical</w:t>
      </w:r>
      <w:r w:rsidR="00393624" w:rsidRPr="2C49C1BC">
        <w:rPr>
          <w:shd w:val="clear" w:color="auto" w:fill="FFFFFF"/>
        </w:rPr>
        <w:t xml:space="preserve"> importance</w:t>
      </w:r>
      <w:r w:rsidR="005041F2" w:rsidRPr="2C49C1BC">
        <w:rPr>
          <w:shd w:val="clear" w:color="auto" w:fill="FFFFFF"/>
        </w:rPr>
        <w:t xml:space="preserve"> here</w:t>
      </w:r>
      <w:r w:rsidR="000A7DE7" w:rsidRPr="2C49C1BC">
        <w:rPr>
          <w:shd w:val="clear" w:color="auto" w:fill="FFFFFF"/>
        </w:rPr>
        <w:t>,</w:t>
      </w:r>
      <w:r w:rsidR="007E3301" w:rsidRPr="2C49C1BC">
        <w:rPr>
          <w:shd w:val="clear" w:color="auto" w:fill="FFFFFF"/>
        </w:rPr>
        <w:t xml:space="preserve"> as these stakeholder groups</w:t>
      </w:r>
      <w:r w:rsidR="006E63D4" w:rsidRPr="2C49C1BC">
        <w:rPr>
          <w:shd w:val="clear" w:color="auto" w:fill="FFFFFF"/>
        </w:rPr>
        <w:t xml:space="preserve"> </w:t>
      </w:r>
      <w:r w:rsidR="00970B4E" w:rsidRPr="2C49C1BC">
        <w:rPr>
          <w:shd w:val="clear" w:color="auto" w:fill="FFFFFF"/>
        </w:rPr>
        <w:t>are an integral part</w:t>
      </w:r>
      <w:r w:rsidR="007E3301" w:rsidRPr="2C49C1BC">
        <w:rPr>
          <w:shd w:val="clear" w:color="auto" w:fill="FFFFFF"/>
        </w:rPr>
        <w:t xml:space="preserve"> of the</w:t>
      </w:r>
      <w:r w:rsidR="00B62D4D" w:rsidRPr="2C49C1BC">
        <w:rPr>
          <w:shd w:val="clear" w:color="auto" w:fill="FFFFFF"/>
        </w:rPr>
        <w:t xml:space="preserve"> project</w:t>
      </w:r>
      <w:r w:rsidR="008D1745" w:rsidRPr="2C49C1BC">
        <w:rPr>
          <w:shd w:val="clear" w:color="auto" w:fill="FFFFFF"/>
        </w:rPr>
        <w:t>’s</w:t>
      </w:r>
      <w:r w:rsidR="007E3301" w:rsidRPr="2C49C1BC">
        <w:rPr>
          <w:shd w:val="clear" w:color="auto" w:fill="FFFFFF"/>
        </w:rPr>
        <w:t xml:space="preserve"> consultative process. The</w:t>
      </w:r>
      <w:r w:rsidR="000D2CE4" w:rsidRPr="2C49C1BC">
        <w:rPr>
          <w:shd w:val="clear" w:color="auto" w:fill="FFFFFF"/>
        </w:rPr>
        <w:t xml:space="preserve"> </w:t>
      </w:r>
      <w:r w:rsidR="000D2CE4" w:rsidRPr="2C49C1BC">
        <w:rPr>
          <w:shd w:val="clear" w:color="auto" w:fill="FFFFFF"/>
        </w:rPr>
        <w:lastRenderedPageBreak/>
        <w:t>role of</w:t>
      </w:r>
      <w:r w:rsidR="00382F3B" w:rsidRPr="2C49C1BC">
        <w:rPr>
          <w:shd w:val="clear" w:color="auto" w:fill="FFFFFF"/>
        </w:rPr>
        <w:t xml:space="preserve"> other at</w:t>
      </w:r>
      <w:r w:rsidR="00994A23" w:rsidRPr="2C49C1BC">
        <w:rPr>
          <w:shd w:val="clear" w:color="auto" w:fill="FFFFFF"/>
        </w:rPr>
        <w:t>-</w:t>
      </w:r>
      <w:r w:rsidR="00382F3B" w:rsidRPr="2C49C1BC">
        <w:rPr>
          <w:shd w:val="clear" w:color="auto" w:fill="FFFFFF"/>
        </w:rPr>
        <w:t>risk groups such as women and youth</w:t>
      </w:r>
      <w:r w:rsidR="000D2CE4" w:rsidRPr="2C49C1BC">
        <w:rPr>
          <w:shd w:val="clear" w:color="auto" w:fill="FFFFFF"/>
        </w:rPr>
        <w:t xml:space="preserve"> are also equally important</w:t>
      </w:r>
      <w:r w:rsidR="005B253C" w:rsidRPr="2C49C1BC">
        <w:rPr>
          <w:shd w:val="clear" w:color="auto" w:fill="FFFFFF"/>
        </w:rPr>
        <w:t xml:space="preserve"> and hence </w:t>
      </w:r>
      <w:r w:rsidR="000D2CE4" w:rsidRPr="2C49C1BC">
        <w:rPr>
          <w:shd w:val="clear" w:color="auto" w:fill="FFFFFF"/>
        </w:rPr>
        <w:t xml:space="preserve">their interest </w:t>
      </w:r>
      <w:r w:rsidR="005B253C" w:rsidRPr="2C49C1BC">
        <w:rPr>
          <w:shd w:val="clear" w:color="auto" w:fill="FFFFFF"/>
        </w:rPr>
        <w:t>should be appropriately represented and considered given the scope of the consultancy and the p</w:t>
      </w:r>
      <w:r w:rsidR="00C62F0D" w:rsidRPr="2C49C1BC">
        <w:rPr>
          <w:shd w:val="clear" w:color="auto" w:fill="FFFFFF"/>
        </w:rPr>
        <w:t>otential</w:t>
      </w:r>
      <w:r w:rsidR="005B253C" w:rsidRPr="2C49C1BC">
        <w:rPr>
          <w:shd w:val="clear" w:color="auto" w:fill="FFFFFF"/>
        </w:rPr>
        <w:t xml:space="preserve"> benefits to </w:t>
      </w:r>
      <w:r w:rsidR="34116C4F" w:rsidRPr="2C49C1BC">
        <w:rPr>
          <w:shd w:val="clear" w:color="auto" w:fill="FFFFFF"/>
        </w:rPr>
        <w:t>be derived</w:t>
      </w:r>
      <w:r w:rsidR="005B253C" w:rsidRPr="2C49C1BC">
        <w:rPr>
          <w:shd w:val="clear" w:color="auto" w:fill="FFFFFF"/>
        </w:rPr>
        <w:t xml:space="preserve"> to </w:t>
      </w:r>
      <w:r w:rsidR="00A53082" w:rsidRPr="2C49C1BC">
        <w:rPr>
          <w:shd w:val="clear" w:color="auto" w:fill="FFFFFF"/>
        </w:rPr>
        <w:t>these two stakeholder groups in the conduct of the Gender responsive Private Sector Scoping Study for Saint Vincent and the Grenadines</w:t>
      </w:r>
      <w:r w:rsidR="0015763F" w:rsidRPr="2C49C1BC">
        <w:rPr>
          <w:shd w:val="clear" w:color="auto" w:fill="FFFFFF"/>
        </w:rPr>
        <w:t>.</w:t>
      </w:r>
      <w:r w:rsidR="00CA56B3" w:rsidRPr="2C49C1BC">
        <w:rPr>
          <w:shd w:val="clear" w:color="auto" w:fill="FFFFFF"/>
        </w:rPr>
        <w:t xml:space="preserve"> </w:t>
      </w:r>
      <w:r w:rsidR="007420BE" w:rsidRPr="2C49C1BC">
        <w:rPr>
          <w:shd w:val="clear" w:color="auto" w:fill="FFFFFF"/>
        </w:rPr>
        <w:t>The gender responsive approach</w:t>
      </w:r>
      <w:r w:rsidR="0039498F" w:rsidRPr="2C49C1BC">
        <w:rPr>
          <w:shd w:val="clear" w:color="auto" w:fill="FFFFFF"/>
        </w:rPr>
        <w:t xml:space="preserve"> should also ensure that</w:t>
      </w:r>
      <w:r w:rsidR="00621A37" w:rsidRPr="2C49C1BC">
        <w:rPr>
          <w:shd w:val="clear" w:color="auto" w:fill="FFFFFF"/>
        </w:rPr>
        <w:t xml:space="preserve"> the various stakeholder </w:t>
      </w:r>
      <w:r w:rsidR="0039498F" w:rsidRPr="2C49C1BC">
        <w:rPr>
          <w:shd w:val="clear" w:color="auto" w:fill="FFFFFF"/>
        </w:rPr>
        <w:t>groups have equitable influence in decisions, particularly those that are among</w:t>
      </w:r>
      <w:r w:rsidR="005E6714" w:rsidRPr="2C49C1BC">
        <w:rPr>
          <w:shd w:val="clear" w:color="auto" w:fill="FFFFFF"/>
        </w:rPr>
        <w:t xml:space="preserve"> the most vulnerable and marginalized within society</w:t>
      </w:r>
      <w:r w:rsidR="00B86E2D" w:rsidRPr="2C49C1BC">
        <w:rPr>
          <w:shd w:val="clear" w:color="auto" w:fill="FFFFFF"/>
        </w:rPr>
        <w:t>.</w:t>
      </w:r>
      <w:r w:rsidR="00621A37" w:rsidRPr="2C49C1BC">
        <w:rPr>
          <w:shd w:val="clear" w:color="auto" w:fill="FFFFFF"/>
        </w:rPr>
        <w:t xml:space="preserve"> This ultimately ensures that</w:t>
      </w:r>
      <w:r w:rsidR="003A4719" w:rsidRPr="2C49C1BC">
        <w:rPr>
          <w:shd w:val="clear" w:color="auto" w:fill="FFFFFF"/>
        </w:rPr>
        <w:t xml:space="preserve"> the process is effective, sustainable and inclusive.</w:t>
      </w:r>
      <w:r w:rsidR="00232087" w:rsidRPr="2C49C1BC">
        <w:rPr>
          <w:shd w:val="clear" w:color="auto" w:fill="FFFFFF"/>
        </w:rPr>
        <w:t xml:space="preserve"> </w:t>
      </w:r>
    </w:p>
    <w:p w14:paraId="37C9203A" w14:textId="32FF69FD" w:rsidR="00CA745B" w:rsidRDefault="00CA745B" w:rsidP="004A519F">
      <w:pPr>
        <w:autoSpaceDE w:val="0"/>
        <w:autoSpaceDN w:val="0"/>
        <w:adjustRightInd w:val="0"/>
        <w:spacing w:before="240" w:after="240"/>
        <w:jc w:val="both"/>
        <w:rPr>
          <w:rFonts w:ascii="Calibri" w:hAnsi="Calibri" w:cs="Calibri"/>
          <w:b/>
          <w:bCs/>
          <w:color w:val="000000"/>
        </w:rPr>
      </w:pPr>
      <w:r w:rsidRPr="007C57FE">
        <w:rPr>
          <w:rFonts w:ascii="Calibri" w:hAnsi="Calibri" w:cs="Calibri"/>
          <w:b/>
          <w:bCs/>
          <w:color w:val="000000"/>
        </w:rPr>
        <w:t>2.3 Phase II-</w:t>
      </w:r>
      <w:r w:rsidR="002C438E" w:rsidRPr="007C57FE">
        <w:rPr>
          <w:rFonts w:ascii="Calibri" w:hAnsi="Calibri" w:cs="Calibri"/>
          <w:b/>
          <w:bCs/>
          <w:color w:val="000000"/>
        </w:rPr>
        <w:t xml:space="preserve"> </w:t>
      </w:r>
      <w:r w:rsidR="000F3733" w:rsidRPr="007C57FE">
        <w:rPr>
          <w:rFonts w:ascii="Calibri" w:hAnsi="Calibri" w:cs="Calibri"/>
          <w:b/>
          <w:bCs/>
          <w:color w:val="000000"/>
        </w:rPr>
        <w:t xml:space="preserve">Mapping of the </w:t>
      </w:r>
      <w:r w:rsidR="007D77D3" w:rsidRPr="007C57FE">
        <w:rPr>
          <w:rFonts w:ascii="Calibri" w:hAnsi="Calibri" w:cs="Calibri"/>
          <w:b/>
          <w:bCs/>
          <w:color w:val="000000"/>
        </w:rPr>
        <w:t xml:space="preserve">Policy and Regulatory </w:t>
      </w:r>
      <w:r w:rsidR="00AB7104" w:rsidRPr="007C57FE">
        <w:rPr>
          <w:rFonts w:ascii="Calibri" w:hAnsi="Calibri" w:cs="Calibri"/>
          <w:b/>
          <w:bCs/>
          <w:color w:val="000000"/>
        </w:rPr>
        <w:t xml:space="preserve">Environment which exist in Saint Vincent and the Grenadines </w:t>
      </w:r>
      <w:r w:rsidR="003D514B" w:rsidRPr="007C57FE">
        <w:rPr>
          <w:rFonts w:ascii="Calibri" w:hAnsi="Calibri" w:cs="Calibri"/>
          <w:b/>
          <w:bCs/>
          <w:color w:val="000000"/>
        </w:rPr>
        <w:t xml:space="preserve">to identify the mechanisms which support </w:t>
      </w:r>
      <w:r w:rsidR="00941823">
        <w:rPr>
          <w:rFonts w:ascii="Calibri" w:hAnsi="Calibri" w:cs="Calibri"/>
          <w:b/>
          <w:bCs/>
          <w:color w:val="000000"/>
        </w:rPr>
        <w:t>or</w:t>
      </w:r>
      <w:r w:rsidR="00941823" w:rsidRPr="007C57FE">
        <w:rPr>
          <w:rFonts w:ascii="Calibri" w:hAnsi="Calibri" w:cs="Calibri"/>
          <w:b/>
          <w:bCs/>
          <w:color w:val="000000"/>
        </w:rPr>
        <w:t xml:space="preserve"> </w:t>
      </w:r>
      <w:r w:rsidR="003D514B" w:rsidRPr="007C57FE">
        <w:rPr>
          <w:rFonts w:ascii="Calibri" w:hAnsi="Calibri" w:cs="Calibri"/>
          <w:b/>
          <w:bCs/>
          <w:color w:val="000000"/>
        </w:rPr>
        <w:t xml:space="preserve">inhibit private sector </w:t>
      </w:r>
      <w:r w:rsidR="001C0191" w:rsidRPr="007C57FE">
        <w:rPr>
          <w:rFonts w:ascii="Calibri" w:hAnsi="Calibri" w:cs="Calibri"/>
          <w:b/>
          <w:bCs/>
          <w:color w:val="000000"/>
        </w:rPr>
        <w:t>climate finance.</w:t>
      </w:r>
    </w:p>
    <w:p w14:paraId="3724299E" w14:textId="11DA565B" w:rsidR="002F5C95" w:rsidRPr="002F5C95" w:rsidRDefault="002F5C95" w:rsidP="004A519F">
      <w:pPr>
        <w:autoSpaceDE w:val="0"/>
        <w:autoSpaceDN w:val="0"/>
        <w:adjustRightInd w:val="0"/>
        <w:spacing w:before="240" w:after="240"/>
        <w:jc w:val="both"/>
        <w:rPr>
          <w:rFonts w:ascii="Calibri" w:hAnsi="Calibri" w:cs="Calibri"/>
          <w:color w:val="000000"/>
        </w:rPr>
      </w:pPr>
      <w:r w:rsidRPr="002F5C95">
        <w:rPr>
          <w:rFonts w:ascii="Calibri" w:hAnsi="Calibri" w:cs="Calibri"/>
          <w:color w:val="000000"/>
        </w:rPr>
        <w:t>In-order to ensure that the</w:t>
      </w:r>
      <w:r w:rsidR="00B40DC4">
        <w:rPr>
          <w:rFonts w:ascii="Calibri" w:hAnsi="Calibri" w:cs="Calibri"/>
          <w:color w:val="000000"/>
        </w:rPr>
        <w:t xml:space="preserve"> gender-responsive</w:t>
      </w:r>
      <w:r w:rsidRPr="002F5C95">
        <w:rPr>
          <w:rFonts w:ascii="Calibri" w:hAnsi="Calibri" w:cs="Calibri"/>
          <w:color w:val="000000"/>
        </w:rPr>
        <w:t xml:space="preserve"> private sector investment opportunities identified under phase one of the cons</w:t>
      </w:r>
      <w:r w:rsidR="00B40DC4">
        <w:rPr>
          <w:rFonts w:ascii="Calibri" w:hAnsi="Calibri" w:cs="Calibri"/>
          <w:color w:val="000000"/>
        </w:rPr>
        <w:t xml:space="preserve">ultancy </w:t>
      </w:r>
      <w:r w:rsidR="00C071C9">
        <w:rPr>
          <w:rFonts w:ascii="Calibri" w:hAnsi="Calibri" w:cs="Calibri"/>
          <w:color w:val="000000"/>
        </w:rPr>
        <w:t xml:space="preserve">can be </w:t>
      </w:r>
      <w:r w:rsidR="003E3CD2">
        <w:rPr>
          <w:rFonts w:ascii="Calibri" w:hAnsi="Calibri" w:cs="Calibri"/>
          <w:color w:val="000000"/>
        </w:rPr>
        <w:t>appropriately</w:t>
      </w:r>
      <w:r w:rsidR="00C071C9">
        <w:rPr>
          <w:rFonts w:ascii="Calibri" w:hAnsi="Calibri" w:cs="Calibri"/>
          <w:color w:val="000000"/>
        </w:rPr>
        <w:t xml:space="preserve"> action</w:t>
      </w:r>
      <w:r w:rsidR="007E7E8B">
        <w:rPr>
          <w:rFonts w:ascii="Calibri" w:hAnsi="Calibri" w:cs="Calibri"/>
          <w:color w:val="000000"/>
        </w:rPr>
        <w:t>ed</w:t>
      </w:r>
      <w:r w:rsidR="009468D7">
        <w:rPr>
          <w:rFonts w:ascii="Calibri" w:hAnsi="Calibri" w:cs="Calibri"/>
          <w:color w:val="000000"/>
        </w:rPr>
        <w:t>, t</w:t>
      </w:r>
      <w:r w:rsidR="00F75ACF">
        <w:rPr>
          <w:rFonts w:ascii="Calibri" w:hAnsi="Calibri" w:cs="Calibri"/>
          <w:color w:val="000000"/>
        </w:rPr>
        <w:t>he second</w:t>
      </w:r>
      <w:r w:rsidR="00A74E4B">
        <w:rPr>
          <w:rFonts w:ascii="Calibri" w:hAnsi="Calibri" w:cs="Calibri"/>
          <w:color w:val="000000"/>
        </w:rPr>
        <w:t xml:space="preserve"> phase of this consultancy,</w:t>
      </w:r>
      <w:r w:rsidR="000140A4">
        <w:rPr>
          <w:rFonts w:ascii="Calibri" w:hAnsi="Calibri" w:cs="Calibri"/>
          <w:color w:val="000000"/>
        </w:rPr>
        <w:t xml:space="preserve"> will</w:t>
      </w:r>
      <w:r w:rsidR="00A74E4B">
        <w:rPr>
          <w:rFonts w:ascii="Calibri" w:hAnsi="Calibri" w:cs="Calibri"/>
          <w:color w:val="000000"/>
        </w:rPr>
        <w:t xml:space="preserve"> map the policy, legislative and regulatory regimes in place within Saint Vincent and the Grenadines, </w:t>
      </w:r>
      <w:r w:rsidR="00B73061">
        <w:rPr>
          <w:rFonts w:ascii="Calibri" w:hAnsi="Calibri" w:cs="Calibri"/>
          <w:color w:val="000000"/>
        </w:rPr>
        <w:t>across each of the five</w:t>
      </w:r>
      <w:r w:rsidR="000140A4">
        <w:rPr>
          <w:rFonts w:ascii="Calibri" w:hAnsi="Calibri" w:cs="Calibri"/>
          <w:color w:val="000000"/>
        </w:rPr>
        <w:t xml:space="preserve"> (5)</w:t>
      </w:r>
      <w:r w:rsidR="00B73061">
        <w:rPr>
          <w:rFonts w:ascii="Calibri" w:hAnsi="Calibri" w:cs="Calibri"/>
          <w:color w:val="000000"/>
        </w:rPr>
        <w:t xml:space="preserve"> priority sector</w:t>
      </w:r>
      <w:r w:rsidR="0015506D">
        <w:rPr>
          <w:rFonts w:ascii="Calibri" w:hAnsi="Calibri" w:cs="Calibri"/>
          <w:color w:val="000000"/>
        </w:rPr>
        <w:t>s</w:t>
      </w:r>
      <w:r w:rsidR="00B73061">
        <w:rPr>
          <w:rFonts w:ascii="Calibri" w:hAnsi="Calibri" w:cs="Calibri"/>
          <w:color w:val="000000"/>
        </w:rPr>
        <w:t xml:space="preserve"> identified</w:t>
      </w:r>
      <w:r w:rsidR="000140A4">
        <w:rPr>
          <w:rFonts w:ascii="Calibri" w:hAnsi="Calibri" w:cs="Calibri"/>
          <w:color w:val="000000"/>
        </w:rPr>
        <w:t xml:space="preserve"> in the country’s INDCs</w:t>
      </w:r>
      <w:r w:rsidR="00B73061">
        <w:rPr>
          <w:rFonts w:ascii="Calibri" w:hAnsi="Calibri" w:cs="Calibri"/>
          <w:color w:val="000000"/>
        </w:rPr>
        <w:t xml:space="preserve">, to determine whether the private sector opportunities </w:t>
      </w:r>
      <w:r w:rsidR="000140A4">
        <w:rPr>
          <w:rFonts w:ascii="Calibri" w:hAnsi="Calibri" w:cs="Calibri"/>
          <w:color w:val="000000"/>
        </w:rPr>
        <w:t>put-forward</w:t>
      </w:r>
      <w:r w:rsidR="00B73061">
        <w:rPr>
          <w:rFonts w:ascii="Calibri" w:hAnsi="Calibri" w:cs="Calibri"/>
          <w:color w:val="000000"/>
        </w:rPr>
        <w:t xml:space="preserve"> under</w:t>
      </w:r>
      <w:r w:rsidR="00605A8C">
        <w:rPr>
          <w:rFonts w:ascii="Calibri" w:hAnsi="Calibri" w:cs="Calibri"/>
          <w:color w:val="000000"/>
        </w:rPr>
        <w:t xml:space="preserve"> phase one can be appropriately actioned.</w:t>
      </w:r>
      <w:r w:rsidR="003E61B1">
        <w:rPr>
          <w:rFonts w:ascii="Calibri" w:hAnsi="Calibri" w:cs="Calibri"/>
          <w:color w:val="000000"/>
        </w:rPr>
        <w:t xml:space="preserve"> This phase of the assignment</w:t>
      </w:r>
      <w:r w:rsidR="002E49B1">
        <w:rPr>
          <w:rFonts w:ascii="Calibri" w:hAnsi="Calibri" w:cs="Calibri"/>
          <w:color w:val="000000"/>
        </w:rPr>
        <w:t xml:space="preserve"> fo</w:t>
      </w:r>
      <w:r w:rsidR="00FE5ADF">
        <w:rPr>
          <w:rFonts w:ascii="Calibri" w:hAnsi="Calibri" w:cs="Calibri"/>
          <w:color w:val="000000"/>
        </w:rPr>
        <w:t>cus</w:t>
      </w:r>
      <w:r w:rsidR="00566E0E">
        <w:rPr>
          <w:rFonts w:ascii="Calibri" w:hAnsi="Calibri" w:cs="Calibri"/>
          <w:color w:val="000000"/>
        </w:rPr>
        <w:t>es</w:t>
      </w:r>
      <w:r w:rsidR="00FE5ADF">
        <w:rPr>
          <w:rFonts w:ascii="Calibri" w:hAnsi="Calibri" w:cs="Calibri"/>
          <w:color w:val="000000"/>
        </w:rPr>
        <w:t xml:space="preserve"> on dete</w:t>
      </w:r>
      <w:r w:rsidR="00AE753E">
        <w:rPr>
          <w:rFonts w:ascii="Calibri" w:hAnsi="Calibri" w:cs="Calibri"/>
          <w:color w:val="000000"/>
        </w:rPr>
        <w:t>rmining the country’s investment readiness to support gender-responsive private sector investment in climate change action</w:t>
      </w:r>
      <w:r w:rsidR="00EC3F5E">
        <w:rPr>
          <w:rFonts w:ascii="Calibri" w:hAnsi="Calibri" w:cs="Calibri"/>
          <w:color w:val="000000"/>
        </w:rPr>
        <w:t>s</w:t>
      </w:r>
      <w:r w:rsidR="00AE753E">
        <w:rPr>
          <w:rFonts w:ascii="Calibri" w:hAnsi="Calibri" w:cs="Calibri"/>
          <w:color w:val="000000"/>
        </w:rPr>
        <w:t>.</w:t>
      </w:r>
    </w:p>
    <w:p w14:paraId="302FE311" w14:textId="64613C84" w:rsidR="00E85AC0" w:rsidRDefault="008C7F94" w:rsidP="004A519F">
      <w:pPr>
        <w:autoSpaceDE w:val="0"/>
        <w:autoSpaceDN w:val="0"/>
        <w:adjustRightInd w:val="0"/>
        <w:spacing w:before="240" w:after="240"/>
        <w:jc w:val="both"/>
        <w:rPr>
          <w:rFonts w:ascii="Calibri" w:hAnsi="Calibri" w:cs="Calibri"/>
          <w:color w:val="000000"/>
        </w:rPr>
      </w:pPr>
      <w:r w:rsidRPr="2C49C1BC">
        <w:rPr>
          <w:rFonts w:ascii="Calibri" w:hAnsi="Calibri" w:cs="Calibri"/>
          <w:color w:val="000000" w:themeColor="text1"/>
        </w:rPr>
        <w:t>In</w:t>
      </w:r>
      <w:r w:rsidR="00987A79" w:rsidRPr="2C49C1BC">
        <w:rPr>
          <w:rFonts w:ascii="Calibri" w:hAnsi="Calibri" w:cs="Calibri"/>
          <w:color w:val="000000" w:themeColor="text1"/>
        </w:rPr>
        <w:t xml:space="preserve"> undertaking the mapping, the consultant</w:t>
      </w:r>
      <w:r w:rsidR="003C582F" w:rsidRPr="2C49C1BC">
        <w:rPr>
          <w:rFonts w:ascii="Calibri" w:hAnsi="Calibri" w:cs="Calibri"/>
          <w:color w:val="000000" w:themeColor="text1"/>
        </w:rPr>
        <w:t xml:space="preserve"> will </w:t>
      </w:r>
      <w:r w:rsidR="00753E64" w:rsidRPr="2C49C1BC">
        <w:rPr>
          <w:rFonts w:ascii="Calibri" w:hAnsi="Calibri" w:cs="Calibri"/>
          <w:color w:val="000000" w:themeColor="text1"/>
        </w:rPr>
        <w:t>firstly conduct</w:t>
      </w:r>
      <w:r w:rsidR="00235738" w:rsidRPr="2C49C1BC">
        <w:rPr>
          <w:rFonts w:ascii="Calibri" w:hAnsi="Calibri" w:cs="Calibri"/>
          <w:color w:val="000000" w:themeColor="text1"/>
        </w:rPr>
        <w:t xml:space="preserve"> a high</w:t>
      </w:r>
      <w:r w:rsidR="00D346C1" w:rsidRPr="2C49C1BC">
        <w:rPr>
          <w:rFonts w:ascii="Calibri" w:hAnsi="Calibri" w:cs="Calibri"/>
          <w:color w:val="000000" w:themeColor="text1"/>
        </w:rPr>
        <w:t>-</w:t>
      </w:r>
      <w:r w:rsidR="00235738" w:rsidRPr="2C49C1BC">
        <w:rPr>
          <w:rFonts w:ascii="Calibri" w:hAnsi="Calibri" w:cs="Calibri"/>
          <w:color w:val="000000" w:themeColor="text1"/>
        </w:rPr>
        <w:t>level assessment of the</w:t>
      </w:r>
      <w:r w:rsidR="004400C2" w:rsidRPr="2C49C1BC">
        <w:rPr>
          <w:rFonts w:ascii="Calibri" w:hAnsi="Calibri" w:cs="Calibri"/>
          <w:color w:val="000000" w:themeColor="text1"/>
        </w:rPr>
        <w:t xml:space="preserve"> overall</w:t>
      </w:r>
      <w:r w:rsidR="00235738" w:rsidRPr="2C49C1BC">
        <w:rPr>
          <w:rFonts w:ascii="Calibri" w:hAnsi="Calibri" w:cs="Calibri"/>
          <w:color w:val="000000" w:themeColor="text1"/>
        </w:rPr>
        <w:t xml:space="preserve"> policy</w:t>
      </w:r>
      <w:r w:rsidR="00753E64" w:rsidRPr="2C49C1BC">
        <w:rPr>
          <w:rFonts w:ascii="Calibri" w:hAnsi="Calibri" w:cs="Calibri"/>
          <w:color w:val="000000" w:themeColor="text1"/>
        </w:rPr>
        <w:t>, legislative</w:t>
      </w:r>
      <w:r w:rsidR="00235738" w:rsidRPr="2C49C1BC">
        <w:rPr>
          <w:rFonts w:ascii="Calibri" w:hAnsi="Calibri" w:cs="Calibri"/>
          <w:color w:val="000000" w:themeColor="text1"/>
        </w:rPr>
        <w:t xml:space="preserve"> and regulatory en</w:t>
      </w:r>
      <w:r w:rsidR="00D03FCB" w:rsidRPr="2C49C1BC">
        <w:rPr>
          <w:rFonts w:ascii="Calibri" w:hAnsi="Calibri" w:cs="Calibri"/>
          <w:color w:val="000000" w:themeColor="text1"/>
        </w:rPr>
        <w:t>vironment</w:t>
      </w:r>
      <w:r w:rsidR="00753E64" w:rsidRPr="2C49C1BC">
        <w:rPr>
          <w:rFonts w:ascii="Calibri" w:hAnsi="Calibri" w:cs="Calibri"/>
          <w:color w:val="000000" w:themeColor="text1"/>
        </w:rPr>
        <w:t xml:space="preserve"> in place within </w:t>
      </w:r>
      <w:r w:rsidR="00D03FCB" w:rsidRPr="2C49C1BC">
        <w:rPr>
          <w:rFonts w:ascii="Calibri" w:hAnsi="Calibri" w:cs="Calibri"/>
          <w:color w:val="000000" w:themeColor="text1"/>
        </w:rPr>
        <w:t>Saint Vincent and the Grenadines</w:t>
      </w:r>
      <w:r w:rsidR="00D346C1" w:rsidRPr="2C49C1BC">
        <w:rPr>
          <w:rFonts w:ascii="Calibri" w:hAnsi="Calibri" w:cs="Calibri"/>
          <w:color w:val="000000" w:themeColor="text1"/>
        </w:rPr>
        <w:t xml:space="preserve"> to support private sector investment</w:t>
      </w:r>
      <w:r w:rsidR="006708B0" w:rsidRPr="2C49C1BC">
        <w:rPr>
          <w:rFonts w:ascii="Calibri" w:hAnsi="Calibri" w:cs="Calibri"/>
          <w:color w:val="000000" w:themeColor="text1"/>
        </w:rPr>
        <w:t>.</w:t>
      </w:r>
      <w:r w:rsidR="00D346C1" w:rsidRPr="2C49C1BC">
        <w:rPr>
          <w:rFonts w:ascii="Calibri" w:hAnsi="Calibri" w:cs="Calibri"/>
          <w:color w:val="000000" w:themeColor="text1"/>
        </w:rPr>
        <w:t xml:space="preserve"> Th</w:t>
      </w:r>
      <w:r w:rsidR="00BA4F01" w:rsidRPr="2C49C1BC">
        <w:rPr>
          <w:rFonts w:ascii="Calibri" w:hAnsi="Calibri" w:cs="Calibri"/>
          <w:color w:val="000000" w:themeColor="text1"/>
        </w:rPr>
        <w:t>is</w:t>
      </w:r>
      <w:r w:rsidR="00D346C1" w:rsidRPr="2C49C1BC">
        <w:rPr>
          <w:rFonts w:ascii="Calibri" w:hAnsi="Calibri" w:cs="Calibri"/>
          <w:color w:val="000000" w:themeColor="text1"/>
        </w:rPr>
        <w:t xml:space="preserve"> high</w:t>
      </w:r>
      <w:r w:rsidR="00EF01E0" w:rsidRPr="2C49C1BC">
        <w:rPr>
          <w:rFonts w:ascii="Calibri" w:hAnsi="Calibri" w:cs="Calibri"/>
          <w:color w:val="000000" w:themeColor="text1"/>
        </w:rPr>
        <w:t>-</w:t>
      </w:r>
      <w:r w:rsidR="00D346C1" w:rsidRPr="2C49C1BC">
        <w:rPr>
          <w:rFonts w:ascii="Calibri" w:hAnsi="Calibri" w:cs="Calibri"/>
          <w:color w:val="000000" w:themeColor="text1"/>
        </w:rPr>
        <w:t>level assessment will suppo</w:t>
      </w:r>
      <w:r w:rsidR="00EF01E0" w:rsidRPr="2C49C1BC">
        <w:rPr>
          <w:rFonts w:ascii="Calibri" w:hAnsi="Calibri" w:cs="Calibri"/>
          <w:color w:val="000000" w:themeColor="text1"/>
        </w:rPr>
        <w:t>r</w:t>
      </w:r>
      <w:r w:rsidR="00D346C1" w:rsidRPr="2C49C1BC">
        <w:rPr>
          <w:rFonts w:ascii="Calibri" w:hAnsi="Calibri" w:cs="Calibri"/>
          <w:color w:val="000000" w:themeColor="text1"/>
        </w:rPr>
        <w:t xml:space="preserve">t the </w:t>
      </w:r>
      <w:r w:rsidR="00EF01E0" w:rsidRPr="2C49C1BC">
        <w:rPr>
          <w:rFonts w:ascii="Calibri" w:hAnsi="Calibri" w:cs="Calibri"/>
          <w:color w:val="000000" w:themeColor="text1"/>
        </w:rPr>
        <w:t>identification of</w:t>
      </w:r>
      <w:r w:rsidR="00170B94" w:rsidRPr="2C49C1BC">
        <w:rPr>
          <w:rFonts w:ascii="Calibri" w:hAnsi="Calibri" w:cs="Calibri"/>
          <w:color w:val="000000" w:themeColor="text1"/>
        </w:rPr>
        <w:t xml:space="preserve"> </w:t>
      </w:r>
      <w:r w:rsidR="00EF01E0" w:rsidRPr="2C49C1BC">
        <w:rPr>
          <w:rFonts w:ascii="Calibri" w:hAnsi="Calibri" w:cs="Calibri"/>
          <w:color w:val="000000" w:themeColor="text1"/>
        </w:rPr>
        <w:t>financial, technical and institutional barriers which exist</w:t>
      </w:r>
      <w:r w:rsidR="00023CCD" w:rsidRPr="2C49C1BC">
        <w:rPr>
          <w:rFonts w:ascii="Calibri" w:hAnsi="Calibri" w:cs="Calibri"/>
          <w:color w:val="000000" w:themeColor="text1"/>
        </w:rPr>
        <w:t xml:space="preserve"> </w:t>
      </w:r>
      <w:r w:rsidR="005977CB" w:rsidRPr="2C49C1BC">
        <w:rPr>
          <w:rFonts w:ascii="Calibri" w:hAnsi="Calibri" w:cs="Calibri"/>
          <w:color w:val="000000" w:themeColor="text1"/>
        </w:rPr>
        <w:t>a</w:t>
      </w:r>
      <w:r w:rsidR="00274A15" w:rsidRPr="2C49C1BC">
        <w:rPr>
          <w:rFonts w:ascii="Calibri" w:hAnsi="Calibri" w:cs="Calibri"/>
          <w:color w:val="000000" w:themeColor="text1"/>
        </w:rPr>
        <w:t>cross</w:t>
      </w:r>
      <w:r w:rsidR="00406CBE" w:rsidRPr="2C49C1BC">
        <w:rPr>
          <w:rFonts w:ascii="Calibri" w:hAnsi="Calibri" w:cs="Calibri"/>
          <w:color w:val="000000" w:themeColor="text1"/>
        </w:rPr>
        <w:t xml:space="preserve"> Saint Vincent and the Grenadines</w:t>
      </w:r>
      <w:r w:rsidR="0091225F" w:rsidRPr="2C49C1BC">
        <w:rPr>
          <w:rFonts w:ascii="Calibri" w:hAnsi="Calibri" w:cs="Calibri"/>
          <w:color w:val="000000" w:themeColor="text1"/>
        </w:rPr>
        <w:t>’</w:t>
      </w:r>
      <w:r w:rsidR="007D6E29" w:rsidRPr="2C49C1BC">
        <w:rPr>
          <w:rFonts w:ascii="Calibri" w:hAnsi="Calibri" w:cs="Calibri"/>
          <w:color w:val="000000" w:themeColor="text1"/>
        </w:rPr>
        <w:t xml:space="preserve"> overall</w:t>
      </w:r>
      <w:r w:rsidR="00406CBE" w:rsidRPr="2C49C1BC">
        <w:rPr>
          <w:rFonts w:ascii="Calibri" w:hAnsi="Calibri" w:cs="Calibri"/>
          <w:color w:val="000000" w:themeColor="text1"/>
        </w:rPr>
        <w:t xml:space="preserve"> business development landscape</w:t>
      </w:r>
      <w:r w:rsidR="00E5642A" w:rsidRPr="2C49C1BC">
        <w:rPr>
          <w:rFonts w:ascii="Calibri" w:hAnsi="Calibri" w:cs="Calibri"/>
          <w:color w:val="000000" w:themeColor="text1"/>
        </w:rPr>
        <w:t>.</w:t>
      </w:r>
      <w:r w:rsidR="00DE25F3" w:rsidRPr="2C49C1BC">
        <w:rPr>
          <w:rFonts w:ascii="Calibri" w:hAnsi="Calibri" w:cs="Calibri"/>
          <w:color w:val="000000" w:themeColor="text1"/>
        </w:rPr>
        <w:t xml:space="preserve"> </w:t>
      </w:r>
      <w:r w:rsidR="007D6E29" w:rsidRPr="2C49C1BC">
        <w:rPr>
          <w:rFonts w:ascii="Calibri" w:hAnsi="Calibri" w:cs="Calibri"/>
          <w:color w:val="000000" w:themeColor="text1"/>
        </w:rPr>
        <w:t>The aim of which is to</w:t>
      </w:r>
      <w:r w:rsidR="002800C1" w:rsidRPr="2C49C1BC">
        <w:rPr>
          <w:rFonts w:ascii="Calibri" w:hAnsi="Calibri" w:cs="Calibri"/>
          <w:color w:val="000000" w:themeColor="text1"/>
        </w:rPr>
        <w:t xml:space="preserve"> firstly </w:t>
      </w:r>
      <w:r w:rsidR="00C95A6E" w:rsidRPr="2C49C1BC">
        <w:rPr>
          <w:rFonts w:ascii="Calibri" w:hAnsi="Calibri" w:cs="Calibri"/>
          <w:color w:val="000000" w:themeColor="text1"/>
        </w:rPr>
        <w:t xml:space="preserve">assess </w:t>
      </w:r>
      <w:r w:rsidR="002800C1" w:rsidRPr="2C49C1BC">
        <w:rPr>
          <w:rFonts w:ascii="Calibri" w:hAnsi="Calibri" w:cs="Calibri"/>
          <w:color w:val="000000" w:themeColor="text1"/>
        </w:rPr>
        <w:t xml:space="preserve">the ease of </w:t>
      </w:r>
      <w:r w:rsidR="00B041FA" w:rsidRPr="2C49C1BC">
        <w:rPr>
          <w:rFonts w:ascii="Calibri" w:hAnsi="Calibri" w:cs="Calibri"/>
          <w:color w:val="000000" w:themeColor="text1"/>
        </w:rPr>
        <w:t>doing</w:t>
      </w:r>
      <w:r w:rsidR="002800C1" w:rsidRPr="2C49C1BC">
        <w:rPr>
          <w:rFonts w:ascii="Calibri" w:hAnsi="Calibri" w:cs="Calibri"/>
          <w:color w:val="000000" w:themeColor="text1"/>
        </w:rPr>
        <w:t xml:space="preserve"> business</w:t>
      </w:r>
      <w:r w:rsidR="00C95A6E" w:rsidRPr="2C49C1BC">
        <w:rPr>
          <w:rFonts w:ascii="Calibri" w:hAnsi="Calibri" w:cs="Calibri"/>
          <w:color w:val="000000" w:themeColor="text1"/>
        </w:rPr>
        <w:t xml:space="preserve"> with</w:t>
      </w:r>
      <w:r w:rsidR="002800C1" w:rsidRPr="2C49C1BC">
        <w:rPr>
          <w:rFonts w:ascii="Calibri" w:hAnsi="Calibri" w:cs="Calibri"/>
          <w:color w:val="000000" w:themeColor="text1"/>
        </w:rPr>
        <w:t>in Saint Vincent and the Grenadines</w:t>
      </w:r>
      <w:r w:rsidR="00D21372" w:rsidRPr="2C49C1BC">
        <w:rPr>
          <w:rFonts w:ascii="Calibri" w:hAnsi="Calibri" w:cs="Calibri"/>
          <w:color w:val="000000" w:themeColor="text1"/>
        </w:rPr>
        <w:t xml:space="preserve"> </w:t>
      </w:r>
      <w:r w:rsidR="005E1132" w:rsidRPr="2C49C1BC">
        <w:rPr>
          <w:rFonts w:ascii="Calibri" w:hAnsi="Calibri" w:cs="Calibri"/>
          <w:color w:val="000000" w:themeColor="text1"/>
        </w:rPr>
        <w:t>a</w:t>
      </w:r>
      <w:r w:rsidR="00A6531F" w:rsidRPr="2C49C1BC">
        <w:rPr>
          <w:rFonts w:ascii="Calibri" w:hAnsi="Calibri" w:cs="Calibri"/>
          <w:color w:val="000000" w:themeColor="text1"/>
        </w:rPr>
        <w:t>nd</w:t>
      </w:r>
      <w:r w:rsidR="00C41949" w:rsidRPr="2C49C1BC">
        <w:rPr>
          <w:rFonts w:ascii="Calibri" w:hAnsi="Calibri" w:cs="Calibri"/>
          <w:color w:val="000000" w:themeColor="text1"/>
        </w:rPr>
        <w:t xml:space="preserve"> secondly,</w:t>
      </w:r>
      <w:r w:rsidR="00B06801" w:rsidRPr="2C49C1BC">
        <w:rPr>
          <w:rFonts w:ascii="Calibri" w:hAnsi="Calibri" w:cs="Calibri"/>
          <w:color w:val="000000" w:themeColor="text1"/>
        </w:rPr>
        <w:t xml:space="preserve"> to determine</w:t>
      </w:r>
      <w:r w:rsidR="007D6E29" w:rsidRPr="2C49C1BC">
        <w:rPr>
          <w:rFonts w:ascii="Calibri" w:hAnsi="Calibri" w:cs="Calibri"/>
          <w:color w:val="000000" w:themeColor="text1"/>
        </w:rPr>
        <w:t xml:space="preserve"> </w:t>
      </w:r>
      <w:r w:rsidR="009606C1" w:rsidRPr="2C49C1BC">
        <w:rPr>
          <w:rFonts w:ascii="Calibri" w:hAnsi="Calibri" w:cs="Calibri"/>
          <w:color w:val="000000" w:themeColor="text1"/>
        </w:rPr>
        <w:t>the</w:t>
      </w:r>
      <w:r w:rsidR="00331286" w:rsidRPr="2C49C1BC">
        <w:rPr>
          <w:rFonts w:ascii="Calibri" w:hAnsi="Calibri" w:cs="Calibri"/>
          <w:color w:val="000000" w:themeColor="text1"/>
        </w:rPr>
        <w:t xml:space="preserve"> appropriate </w:t>
      </w:r>
      <w:r w:rsidR="000E64CD" w:rsidRPr="2C49C1BC">
        <w:rPr>
          <w:rFonts w:ascii="Calibri" w:hAnsi="Calibri" w:cs="Calibri"/>
          <w:color w:val="000000" w:themeColor="text1"/>
        </w:rPr>
        <w:t xml:space="preserve">policy, legislative and regulatory changes </w:t>
      </w:r>
      <w:r w:rsidR="005550B7" w:rsidRPr="2C49C1BC">
        <w:rPr>
          <w:rFonts w:ascii="Calibri" w:hAnsi="Calibri" w:cs="Calibri"/>
          <w:color w:val="000000" w:themeColor="text1"/>
        </w:rPr>
        <w:t>to be undertaken</w:t>
      </w:r>
      <w:r w:rsidR="00F46A3D" w:rsidRPr="2C49C1BC">
        <w:rPr>
          <w:rFonts w:ascii="Calibri" w:hAnsi="Calibri" w:cs="Calibri"/>
          <w:color w:val="000000" w:themeColor="text1"/>
        </w:rPr>
        <w:t xml:space="preserve"> in order</w:t>
      </w:r>
      <w:r w:rsidR="00F443A4" w:rsidRPr="2C49C1BC">
        <w:rPr>
          <w:rFonts w:ascii="Calibri" w:hAnsi="Calibri" w:cs="Calibri"/>
          <w:color w:val="000000" w:themeColor="text1"/>
        </w:rPr>
        <w:t xml:space="preserve"> to</w:t>
      </w:r>
      <w:r w:rsidR="00235B2F" w:rsidRPr="2C49C1BC">
        <w:rPr>
          <w:rFonts w:ascii="Calibri" w:hAnsi="Calibri" w:cs="Calibri"/>
          <w:color w:val="000000" w:themeColor="text1"/>
        </w:rPr>
        <w:t xml:space="preserve"> </w:t>
      </w:r>
      <w:r w:rsidR="00F46A3D" w:rsidRPr="2C49C1BC">
        <w:rPr>
          <w:rFonts w:ascii="Calibri" w:hAnsi="Calibri" w:cs="Calibri"/>
          <w:color w:val="000000" w:themeColor="text1"/>
        </w:rPr>
        <w:t>mobilize</w:t>
      </w:r>
      <w:r w:rsidR="008A1017" w:rsidRPr="2C49C1BC">
        <w:rPr>
          <w:rFonts w:ascii="Calibri" w:hAnsi="Calibri" w:cs="Calibri"/>
          <w:color w:val="000000" w:themeColor="text1"/>
        </w:rPr>
        <w:t xml:space="preserve"> private sector investment.</w:t>
      </w:r>
      <w:r w:rsidR="00CB236A" w:rsidRPr="2C49C1BC">
        <w:rPr>
          <w:rFonts w:ascii="Calibri" w:hAnsi="Calibri" w:cs="Calibri"/>
          <w:color w:val="000000" w:themeColor="text1"/>
        </w:rPr>
        <w:t xml:space="preserve"> </w:t>
      </w:r>
      <w:r w:rsidR="00332E40" w:rsidRPr="2C49C1BC">
        <w:rPr>
          <w:rFonts w:ascii="Calibri" w:hAnsi="Calibri" w:cs="Calibri"/>
          <w:color w:val="000000" w:themeColor="text1"/>
        </w:rPr>
        <w:t xml:space="preserve"> </w:t>
      </w:r>
      <w:r w:rsidR="00775E97" w:rsidRPr="2C49C1BC">
        <w:rPr>
          <w:rFonts w:ascii="Calibri" w:hAnsi="Calibri" w:cs="Calibri"/>
          <w:color w:val="000000" w:themeColor="text1"/>
        </w:rPr>
        <w:t>The consultant will also</w:t>
      </w:r>
      <w:r w:rsidR="00C8522C" w:rsidRPr="2C49C1BC">
        <w:rPr>
          <w:rFonts w:ascii="Calibri" w:hAnsi="Calibri" w:cs="Calibri"/>
          <w:color w:val="000000" w:themeColor="text1"/>
        </w:rPr>
        <w:t xml:space="preserve"> be expected to undertake a more detail a</w:t>
      </w:r>
      <w:r w:rsidR="00070B6A" w:rsidRPr="2C49C1BC">
        <w:rPr>
          <w:rFonts w:ascii="Calibri" w:hAnsi="Calibri" w:cs="Calibri"/>
          <w:color w:val="000000" w:themeColor="text1"/>
        </w:rPr>
        <w:t>sses</w:t>
      </w:r>
      <w:r w:rsidR="00E851AC" w:rsidRPr="2C49C1BC">
        <w:rPr>
          <w:rFonts w:ascii="Calibri" w:hAnsi="Calibri" w:cs="Calibri"/>
          <w:color w:val="000000" w:themeColor="text1"/>
        </w:rPr>
        <w:t>sment</w:t>
      </w:r>
      <w:r w:rsidR="00070B6A" w:rsidRPr="2C49C1BC">
        <w:rPr>
          <w:rFonts w:ascii="Calibri" w:hAnsi="Calibri" w:cs="Calibri"/>
          <w:color w:val="000000" w:themeColor="text1"/>
        </w:rPr>
        <w:t xml:space="preserve"> of the policy, legislative and regulatory regimes which exist specific to the priority sectors identified </w:t>
      </w:r>
      <w:r w:rsidR="00CB236A" w:rsidRPr="2C49C1BC">
        <w:rPr>
          <w:rFonts w:ascii="Calibri" w:hAnsi="Calibri" w:cs="Calibri"/>
          <w:color w:val="000000" w:themeColor="text1"/>
        </w:rPr>
        <w:t>under Saint Vincent and the Gre</w:t>
      </w:r>
      <w:r w:rsidR="00280239" w:rsidRPr="2C49C1BC">
        <w:rPr>
          <w:rFonts w:ascii="Calibri" w:hAnsi="Calibri" w:cs="Calibri"/>
          <w:color w:val="000000" w:themeColor="text1"/>
        </w:rPr>
        <w:t>na</w:t>
      </w:r>
      <w:r w:rsidR="00CB236A" w:rsidRPr="2C49C1BC">
        <w:rPr>
          <w:rFonts w:ascii="Calibri" w:hAnsi="Calibri" w:cs="Calibri"/>
          <w:color w:val="000000" w:themeColor="text1"/>
        </w:rPr>
        <w:t xml:space="preserve">dines INDCs. For </w:t>
      </w:r>
      <w:r w:rsidR="733FA955" w:rsidRPr="2C49C1BC">
        <w:rPr>
          <w:rFonts w:ascii="Calibri" w:hAnsi="Calibri" w:cs="Calibri"/>
          <w:color w:val="000000" w:themeColor="text1"/>
        </w:rPr>
        <w:t>example,</w:t>
      </w:r>
      <w:r w:rsidR="00133122" w:rsidRPr="2C49C1BC">
        <w:rPr>
          <w:rFonts w:ascii="Calibri" w:hAnsi="Calibri" w:cs="Calibri"/>
          <w:color w:val="000000" w:themeColor="text1"/>
        </w:rPr>
        <w:t xml:space="preserve"> in prioritizing the energy sector</w:t>
      </w:r>
      <w:r w:rsidR="001D4837" w:rsidRPr="2C49C1BC">
        <w:rPr>
          <w:rFonts w:ascii="Calibri" w:hAnsi="Calibri" w:cs="Calibri"/>
          <w:color w:val="000000" w:themeColor="text1"/>
        </w:rPr>
        <w:t xml:space="preserve"> an</w:t>
      </w:r>
      <w:r w:rsidR="00BA4F69" w:rsidRPr="2C49C1BC">
        <w:rPr>
          <w:rFonts w:ascii="Calibri" w:hAnsi="Calibri" w:cs="Calibri"/>
          <w:color w:val="000000" w:themeColor="text1"/>
        </w:rPr>
        <w:t xml:space="preserve">d utilizing the renewable energy sub-sector as a case study example. </w:t>
      </w:r>
      <w:r w:rsidR="00422871" w:rsidRPr="2C49C1BC">
        <w:rPr>
          <w:rFonts w:ascii="Calibri" w:hAnsi="Calibri" w:cs="Calibri"/>
          <w:color w:val="000000" w:themeColor="text1"/>
        </w:rPr>
        <w:t xml:space="preserve"> Some of the </w:t>
      </w:r>
      <w:r w:rsidR="00BB7A7E" w:rsidRPr="2C49C1BC">
        <w:rPr>
          <w:rFonts w:ascii="Calibri" w:hAnsi="Calibri" w:cs="Calibri"/>
          <w:color w:val="000000" w:themeColor="text1"/>
        </w:rPr>
        <w:t>not</w:t>
      </w:r>
      <w:r w:rsidR="009A55F0" w:rsidRPr="2C49C1BC">
        <w:rPr>
          <w:rFonts w:ascii="Calibri" w:hAnsi="Calibri" w:cs="Calibri"/>
          <w:color w:val="000000" w:themeColor="text1"/>
        </w:rPr>
        <w:t>able</w:t>
      </w:r>
      <w:r w:rsidR="000A64D3" w:rsidRPr="2C49C1BC">
        <w:rPr>
          <w:rFonts w:ascii="Calibri" w:hAnsi="Calibri" w:cs="Calibri"/>
          <w:color w:val="000000" w:themeColor="text1"/>
        </w:rPr>
        <w:t xml:space="preserve"> questions, which the contractor will need</w:t>
      </w:r>
      <w:r w:rsidR="00AC58C9" w:rsidRPr="2C49C1BC">
        <w:rPr>
          <w:rFonts w:ascii="Calibri" w:hAnsi="Calibri" w:cs="Calibri"/>
          <w:color w:val="000000" w:themeColor="text1"/>
        </w:rPr>
        <w:t xml:space="preserve"> to determine </w:t>
      </w:r>
      <w:r w:rsidR="00F423C2" w:rsidRPr="2C49C1BC">
        <w:rPr>
          <w:rFonts w:ascii="Calibri" w:hAnsi="Calibri" w:cs="Calibri"/>
          <w:color w:val="000000" w:themeColor="text1"/>
        </w:rPr>
        <w:t>include: Does</w:t>
      </w:r>
      <w:r w:rsidR="00133122" w:rsidRPr="2C49C1BC">
        <w:rPr>
          <w:rFonts w:ascii="Calibri" w:hAnsi="Calibri" w:cs="Calibri"/>
          <w:color w:val="000000" w:themeColor="text1"/>
        </w:rPr>
        <w:t xml:space="preserve"> a</w:t>
      </w:r>
      <w:r w:rsidR="00CB236A" w:rsidRPr="2C49C1BC">
        <w:rPr>
          <w:rFonts w:ascii="Calibri" w:hAnsi="Calibri" w:cs="Calibri"/>
          <w:color w:val="000000" w:themeColor="text1"/>
        </w:rPr>
        <w:t xml:space="preserve"> </w:t>
      </w:r>
      <w:r w:rsidR="00C0406F" w:rsidRPr="2C49C1BC">
        <w:rPr>
          <w:rFonts w:ascii="Calibri" w:hAnsi="Calibri" w:cs="Calibri"/>
          <w:color w:val="000000" w:themeColor="text1"/>
        </w:rPr>
        <w:t>national</w:t>
      </w:r>
      <w:r w:rsidR="005601A7" w:rsidRPr="2C49C1BC">
        <w:rPr>
          <w:rFonts w:ascii="Calibri" w:hAnsi="Calibri" w:cs="Calibri"/>
          <w:color w:val="000000" w:themeColor="text1"/>
        </w:rPr>
        <w:t xml:space="preserve"> energy</w:t>
      </w:r>
      <w:r w:rsidR="00C0406F" w:rsidRPr="2C49C1BC">
        <w:rPr>
          <w:rFonts w:ascii="Calibri" w:hAnsi="Calibri" w:cs="Calibri"/>
          <w:color w:val="000000" w:themeColor="text1"/>
        </w:rPr>
        <w:t xml:space="preserve"> policy </w:t>
      </w:r>
      <w:r w:rsidR="00656773" w:rsidRPr="2C49C1BC">
        <w:rPr>
          <w:rFonts w:ascii="Calibri" w:hAnsi="Calibri" w:cs="Calibri"/>
          <w:color w:val="000000" w:themeColor="text1"/>
        </w:rPr>
        <w:t>exist,</w:t>
      </w:r>
      <w:r w:rsidR="00C0242E" w:rsidRPr="2C49C1BC">
        <w:rPr>
          <w:rFonts w:ascii="Calibri" w:hAnsi="Calibri" w:cs="Calibri"/>
          <w:color w:val="000000" w:themeColor="text1"/>
        </w:rPr>
        <w:t xml:space="preserve"> </w:t>
      </w:r>
      <w:r w:rsidR="00C0406F" w:rsidRPr="2C49C1BC">
        <w:rPr>
          <w:rFonts w:ascii="Calibri" w:hAnsi="Calibri" w:cs="Calibri"/>
          <w:color w:val="000000" w:themeColor="text1"/>
        </w:rPr>
        <w:t>which support</w:t>
      </w:r>
      <w:r w:rsidR="005601A7" w:rsidRPr="2C49C1BC">
        <w:rPr>
          <w:rFonts w:ascii="Calibri" w:hAnsi="Calibri" w:cs="Calibri"/>
          <w:color w:val="000000" w:themeColor="text1"/>
        </w:rPr>
        <w:t>s</w:t>
      </w:r>
      <w:r w:rsidR="00C0406F" w:rsidRPr="2C49C1BC">
        <w:rPr>
          <w:rFonts w:ascii="Calibri" w:hAnsi="Calibri" w:cs="Calibri"/>
          <w:color w:val="000000" w:themeColor="text1"/>
        </w:rPr>
        <w:t xml:space="preserve"> the integration of</w:t>
      </w:r>
      <w:r w:rsidR="005601A7" w:rsidRPr="2C49C1BC">
        <w:rPr>
          <w:rFonts w:ascii="Calibri" w:hAnsi="Calibri" w:cs="Calibri"/>
          <w:color w:val="000000" w:themeColor="text1"/>
        </w:rPr>
        <w:t xml:space="preserve"> renewable energy technologies and energy efficiency measures within Saint Vincent and the Grenadines? </w:t>
      </w:r>
      <w:r w:rsidR="00424A1A" w:rsidRPr="2C49C1BC">
        <w:rPr>
          <w:rFonts w:ascii="Calibri" w:hAnsi="Calibri" w:cs="Calibri"/>
          <w:color w:val="000000" w:themeColor="text1"/>
        </w:rPr>
        <w:t>Does the appropriate legislative framework exist to support private sector investment in renewables</w:t>
      </w:r>
      <w:r w:rsidR="009208A7" w:rsidRPr="2C49C1BC">
        <w:rPr>
          <w:rFonts w:ascii="Calibri" w:hAnsi="Calibri" w:cs="Calibri"/>
          <w:color w:val="000000" w:themeColor="text1"/>
        </w:rPr>
        <w:t>?</w:t>
      </w:r>
      <w:r w:rsidR="00424A1A" w:rsidRPr="2C49C1BC">
        <w:rPr>
          <w:rFonts w:ascii="Calibri" w:hAnsi="Calibri" w:cs="Calibri"/>
          <w:color w:val="000000" w:themeColor="text1"/>
        </w:rPr>
        <w:t xml:space="preserve"> (for </w:t>
      </w:r>
      <w:r w:rsidR="009208A7" w:rsidRPr="2C49C1BC">
        <w:rPr>
          <w:rFonts w:ascii="Calibri" w:hAnsi="Calibri" w:cs="Calibri"/>
          <w:color w:val="000000" w:themeColor="text1"/>
        </w:rPr>
        <w:t>example,</w:t>
      </w:r>
      <w:r w:rsidR="00424A1A" w:rsidRPr="2C49C1BC">
        <w:rPr>
          <w:rFonts w:ascii="Calibri" w:hAnsi="Calibri" w:cs="Calibri"/>
          <w:color w:val="000000" w:themeColor="text1"/>
        </w:rPr>
        <w:t xml:space="preserve"> </w:t>
      </w:r>
      <w:r w:rsidR="00162E44" w:rsidRPr="2C49C1BC">
        <w:rPr>
          <w:rFonts w:ascii="Calibri" w:hAnsi="Calibri" w:cs="Calibri"/>
          <w:color w:val="000000" w:themeColor="text1"/>
        </w:rPr>
        <w:t xml:space="preserve">Amendment to the Electric </w:t>
      </w:r>
      <w:r w:rsidR="00291E12" w:rsidRPr="2C49C1BC">
        <w:rPr>
          <w:rFonts w:ascii="Calibri" w:hAnsi="Calibri" w:cs="Calibri"/>
          <w:color w:val="000000" w:themeColor="text1"/>
        </w:rPr>
        <w:t>Power Act and/or</w:t>
      </w:r>
      <w:r w:rsidR="000D1E96" w:rsidRPr="2C49C1BC">
        <w:rPr>
          <w:rFonts w:ascii="Calibri" w:hAnsi="Calibri" w:cs="Calibri"/>
          <w:color w:val="000000" w:themeColor="text1"/>
        </w:rPr>
        <w:t xml:space="preserve"> Power Purchase Agreements (PPA)</w:t>
      </w:r>
      <w:r w:rsidR="009208A7" w:rsidRPr="2C49C1BC">
        <w:rPr>
          <w:rFonts w:ascii="Calibri" w:hAnsi="Calibri" w:cs="Calibri"/>
          <w:color w:val="000000" w:themeColor="text1"/>
        </w:rPr>
        <w:t>,</w:t>
      </w:r>
      <w:r w:rsidR="00821B8C" w:rsidRPr="2C49C1BC">
        <w:rPr>
          <w:rFonts w:ascii="Calibri" w:hAnsi="Calibri" w:cs="Calibri"/>
          <w:color w:val="000000" w:themeColor="text1"/>
        </w:rPr>
        <w:t xml:space="preserve"> </w:t>
      </w:r>
      <w:r w:rsidR="009208A7" w:rsidRPr="2C49C1BC">
        <w:rPr>
          <w:rFonts w:ascii="Calibri" w:hAnsi="Calibri" w:cs="Calibri"/>
          <w:color w:val="000000" w:themeColor="text1"/>
        </w:rPr>
        <w:t xml:space="preserve">Does the regulatory framework </w:t>
      </w:r>
      <w:r w:rsidR="003C6D2A" w:rsidRPr="2C49C1BC">
        <w:rPr>
          <w:rFonts w:ascii="Calibri" w:hAnsi="Calibri" w:cs="Calibri"/>
          <w:color w:val="000000" w:themeColor="text1"/>
        </w:rPr>
        <w:t>provide a stable, affordable and</w:t>
      </w:r>
      <w:r w:rsidR="00A129D0" w:rsidRPr="2C49C1BC">
        <w:rPr>
          <w:rFonts w:ascii="Calibri" w:hAnsi="Calibri" w:cs="Calibri"/>
          <w:color w:val="000000" w:themeColor="text1"/>
        </w:rPr>
        <w:t xml:space="preserve"> guaranteed price for the purchase of renewable energy investments</w:t>
      </w:r>
      <w:r w:rsidR="00B1431C" w:rsidRPr="2C49C1BC">
        <w:rPr>
          <w:rFonts w:ascii="Calibri" w:hAnsi="Calibri" w:cs="Calibri"/>
          <w:color w:val="000000" w:themeColor="text1"/>
        </w:rPr>
        <w:t>?</w:t>
      </w:r>
      <w:r w:rsidR="00B816E5" w:rsidRPr="2C49C1BC">
        <w:rPr>
          <w:rFonts w:ascii="Calibri" w:hAnsi="Calibri" w:cs="Calibri"/>
          <w:color w:val="000000" w:themeColor="text1"/>
        </w:rPr>
        <w:t xml:space="preserve"> </w:t>
      </w:r>
      <w:r w:rsidR="000D1755" w:rsidRPr="2C49C1BC">
        <w:rPr>
          <w:rFonts w:ascii="Calibri" w:hAnsi="Calibri" w:cs="Calibri"/>
          <w:color w:val="000000" w:themeColor="text1"/>
        </w:rPr>
        <w:t>(</w:t>
      </w:r>
      <w:r w:rsidR="7B7CFC2B" w:rsidRPr="2C49C1BC">
        <w:rPr>
          <w:rFonts w:ascii="Calibri" w:hAnsi="Calibri" w:cs="Calibri"/>
          <w:color w:val="000000" w:themeColor="text1"/>
        </w:rPr>
        <w:t>i.e.,</w:t>
      </w:r>
      <w:r w:rsidR="000D1755" w:rsidRPr="2C49C1BC">
        <w:rPr>
          <w:rFonts w:ascii="Calibri" w:hAnsi="Calibri" w:cs="Calibri"/>
          <w:color w:val="000000" w:themeColor="text1"/>
        </w:rPr>
        <w:t xml:space="preserve"> </w:t>
      </w:r>
      <w:r w:rsidR="00746657" w:rsidRPr="2C49C1BC">
        <w:rPr>
          <w:rFonts w:ascii="Calibri" w:hAnsi="Calibri" w:cs="Calibri"/>
          <w:color w:val="000000" w:themeColor="text1"/>
        </w:rPr>
        <w:t xml:space="preserve">is a </w:t>
      </w:r>
      <w:r w:rsidR="00B816E5" w:rsidRPr="2C49C1BC">
        <w:rPr>
          <w:rFonts w:ascii="Calibri" w:hAnsi="Calibri" w:cs="Calibri"/>
          <w:color w:val="000000" w:themeColor="text1"/>
        </w:rPr>
        <w:t xml:space="preserve">tariff </w:t>
      </w:r>
      <w:r w:rsidR="002C4E55" w:rsidRPr="2C49C1BC">
        <w:rPr>
          <w:rFonts w:ascii="Calibri" w:hAnsi="Calibri" w:cs="Calibri"/>
          <w:color w:val="000000" w:themeColor="text1"/>
        </w:rPr>
        <w:t>structure</w:t>
      </w:r>
      <w:r w:rsidR="000D1755" w:rsidRPr="2C49C1BC">
        <w:rPr>
          <w:rFonts w:ascii="Calibri" w:hAnsi="Calibri" w:cs="Calibri"/>
          <w:color w:val="000000" w:themeColor="text1"/>
        </w:rPr>
        <w:t xml:space="preserve"> in place</w:t>
      </w:r>
      <w:r w:rsidR="002C4E55" w:rsidRPr="2C49C1BC">
        <w:rPr>
          <w:rFonts w:ascii="Calibri" w:hAnsi="Calibri" w:cs="Calibri"/>
          <w:color w:val="000000" w:themeColor="text1"/>
        </w:rPr>
        <w:t xml:space="preserve"> for the application of rates</w:t>
      </w:r>
      <w:r w:rsidR="000D1755" w:rsidRPr="2C49C1BC">
        <w:rPr>
          <w:rFonts w:ascii="Calibri" w:hAnsi="Calibri" w:cs="Calibri"/>
          <w:color w:val="000000" w:themeColor="text1"/>
        </w:rPr>
        <w:t>?)</w:t>
      </w:r>
      <w:r w:rsidR="00B1431C" w:rsidRPr="2C49C1BC">
        <w:rPr>
          <w:rFonts w:ascii="Calibri" w:hAnsi="Calibri" w:cs="Calibri"/>
          <w:color w:val="000000" w:themeColor="text1"/>
        </w:rPr>
        <w:t xml:space="preserve"> and where this is non-existen</w:t>
      </w:r>
      <w:r w:rsidR="008D172B" w:rsidRPr="2C49C1BC">
        <w:rPr>
          <w:rFonts w:ascii="Calibri" w:hAnsi="Calibri" w:cs="Calibri"/>
          <w:color w:val="000000" w:themeColor="text1"/>
        </w:rPr>
        <w:t>t</w:t>
      </w:r>
      <w:r w:rsidR="00B1431C" w:rsidRPr="2C49C1BC">
        <w:rPr>
          <w:rFonts w:ascii="Calibri" w:hAnsi="Calibri" w:cs="Calibri"/>
          <w:color w:val="000000" w:themeColor="text1"/>
        </w:rPr>
        <w:t xml:space="preserve"> </w:t>
      </w:r>
      <w:r w:rsidR="009A3957" w:rsidRPr="2C49C1BC">
        <w:rPr>
          <w:rFonts w:ascii="Calibri" w:hAnsi="Calibri" w:cs="Calibri"/>
          <w:color w:val="000000" w:themeColor="text1"/>
        </w:rPr>
        <w:t>w</w:t>
      </w:r>
      <w:r w:rsidR="00B1431C" w:rsidRPr="2C49C1BC">
        <w:rPr>
          <w:rFonts w:ascii="Calibri" w:hAnsi="Calibri" w:cs="Calibri"/>
          <w:color w:val="000000" w:themeColor="text1"/>
        </w:rPr>
        <w:t>hat is required to support such</w:t>
      </w:r>
      <w:r w:rsidR="00DF2950" w:rsidRPr="2C49C1BC">
        <w:rPr>
          <w:rFonts w:ascii="Calibri" w:hAnsi="Calibri" w:cs="Calibri"/>
          <w:color w:val="000000" w:themeColor="text1"/>
        </w:rPr>
        <w:t xml:space="preserve"> in both cases</w:t>
      </w:r>
      <w:r w:rsidR="00B1431C" w:rsidRPr="2C49C1BC">
        <w:rPr>
          <w:rFonts w:ascii="Calibri" w:hAnsi="Calibri" w:cs="Calibri"/>
          <w:color w:val="000000" w:themeColor="text1"/>
        </w:rPr>
        <w:t xml:space="preserve">? This type of </w:t>
      </w:r>
      <w:r w:rsidR="00084C50" w:rsidRPr="2C49C1BC">
        <w:rPr>
          <w:rFonts w:ascii="Calibri" w:hAnsi="Calibri" w:cs="Calibri"/>
          <w:color w:val="000000" w:themeColor="text1"/>
        </w:rPr>
        <w:t xml:space="preserve">detail analysis </w:t>
      </w:r>
      <w:r w:rsidR="00FB6E10" w:rsidRPr="2C49C1BC">
        <w:rPr>
          <w:rFonts w:ascii="Calibri" w:hAnsi="Calibri" w:cs="Calibri"/>
          <w:color w:val="000000" w:themeColor="text1"/>
        </w:rPr>
        <w:t>is required</w:t>
      </w:r>
      <w:r w:rsidR="005E56AD" w:rsidRPr="2C49C1BC">
        <w:rPr>
          <w:rFonts w:ascii="Calibri" w:hAnsi="Calibri" w:cs="Calibri"/>
          <w:color w:val="000000" w:themeColor="text1"/>
        </w:rPr>
        <w:t xml:space="preserve"> across each of the priority sector</w:t>
      </w:r>
      <w:r w:rsidR="00536ED5" w:rsidRPr="2C49C1BC">
        <w:rPr>
          <w:rFonts w:ascii="Calibri" w:hAnsi="Calibri" w:cs="Calibri"/>
          <w:color w:val="000000" w:themeColor="text1"/>
        </w:rPr>
        <w:t>s</w:t>
      </w:r>
      <w:r w:rsidR="005E56AD" w:rsidRPr="2C49C1BC">
        <w:rPr>
          <w:rFonts w:ascii="Calibri" w:hAnsi="Calibri" w:cs="Calibri"/>
          <w:color w:val="000000" w:themeColor="text1"/>
        </w:rPr>
        <w:t xml:space="preserve"> identified and</w:t>
      </w:r>
      <w:r w:rsidR="00FB6E10" w:rsidRPr="2C49C1BC">
        <w:rPr>
          <w:rFonts w:ascii="Calibri" w:hAnsi="Calibri" w:cs="Calibri"/>
          <w:color w:val="000000" w:themeColor="text1"/>
        </w:rPr>
        <w:t xml:space="preserve"> at this phase of the </w:t>
      </w:r>
      <w:r w:rsidR="00771AD8" w:rsidRPr="2C49C1BC">
        <w:rPr>
          <w:rFonts w:ascii="Calibri" w:hAnsi="Calibri" w:cs="Calibri"/>
          <w:color w:val="000000" w:themeColor="text1"/>
        </w:rPr>
        <w:t>consultancy</w:t>
      </w:r>
      <w:r w:rsidR="00C422E4" w:rsidRPr="2C49C1BC">
        <w:rPr>
          <w:rFonts w:ascii="Calibri" w:hAnsi="Calibri" w:cs="Calibri"/>
          <w:color w:val="000000" w:themeColor="text1"/>
        </w:rPr>
        <w:t>,</w:t>
      </w:r>
      <w:r w:rsidR="00084C50" w:rsidRPr="2C49C1BC">
        <w:rPr>
          <w:rFonts w:ascii="Calibri" w:hAnsi="Calibri" w:cs="Calibri"/>
          <w:color w:val="000000" w:themeColor="text1"/>
        </w:rPr>
        <w:t xml:space="preserve"> </w:t>
      </w:r>
      <w:r w:rsidR="00973A30" w:rsidRPr="2C49C1BC">
        <w:rPr>
          <w:rFonts w:ascii="Calibri" w:hAnsi="Calibri" w:cs="Calibri"/>
          <w:color w:val="000000" w:themeColor="text1"/>
        </w:rPr>
        <w:t>to</w:t>
      </w:r>
      <w:r w:rsidR="00DA2F69" w:rsidRPr="2C49C1BC">
        <w:rPr>
          <w:rFonts w:ascii="Calibri" w:hAnsi="Calibri" w:cs="Calibri"/>
          <w:color w:val="000000" w:themeColor="text1"/>
        </w:rPr>
        <w:t xml:space="preserve"> help</w:t>
      </w:r>
      <w:r w:rsidR="00973A30" w:rsidRPr="2C49C1BC">
        <w:rPr>
          <w:rFonts w:ascii="Calibri" w:hAnsi="Calibri" w:cs="Calibri"/>
          <w:color w:val="000000" w:themeColor="text1"/>
        </w:rPr>
        <w:t xml:space="preserve"> determine </w:t>
      </w:r>
      <w:r w:rsidR="001B40C9" w:rsidRPr="2C49C1BC">
        <w:rPr>
          <w:rFonts w:ascii="Calibri" w:hAnsi="Calibri" w:cs="Calibri"/>
          <w:color w:val="000000" w:themeColor="text1"/>
        </w:rPr>
        <w:t>the</w:t>
      </w:r>
      <w:r w:rsidR="00EB0890" w:rsidRPr="2C49C1BC">
        <w:rPr>
          <w:rFonts w:ascii="Calibri" w:hAnsi="Calibri" w:cs="Calibri"/>
          <w:color w:val="000000" w:themeColor="text1"/>
        </w:rPr>
        <w:t xml:space="preserve"> country’s</w:t>
      </w:r>
      <w:r w:rsidR="001B40C9" w:rsidRPr="2C49C1BC">
        <w:rPr>
          <w:rFonts w:ascii="Calibri" w:hAnsi="Calibri" w:cs="Calibri"/>
          <w:color w:val="000000" w:themeColor="text1"/>
        </w:rPr>
        <w:t xml:space="preserve"> readiness</w:t>
      </w:r>
      <w:r w:rsidR="00D77A37" w:rsidRPr="2C49C1BC">
        <w:rPr>
          <w:rFonts w:ascii="Calibri" w:hAnsi="Calibri" w:cs="Calibri"/>
          <w:color w:val="000000" w:themeColor="text1"/>
        </w:rPr>
        <w:t xml:space="preserve"> in enabling private sector</w:t>
      </w:r>
      <w:r w:rsidR="00B331F3" w:rsidRPr="2C49C1BC">
        <w:rPr>
          <w:rFonts w:ascii="Calibri" w:hAnsi="Calibri" w:cs="Calibri"/>
          <w:color w:val="000000" w:themeColor="text1"/>
        </w:rPr>
        <w:t xml:space="preserve"> investment and in supporting the implementation of </w:t>
      </w:r>
      <w:r w:rsidR="00143F6C" w:rsidRPr="2C49C1BC">
        <w:rPr>
          <w:rFonts w:ascii="Calibri" w:hAnsi="Calibri" w:cs="Calibri"/>
          <w:color w:val="000000" w:themeColor="text1"/>
        </w:rPr>
        <w:t>projects from</w:t>
      </w:r>
      <w:r w:rsidR="001B40C9" w:rsidRPr="2C49C1BC">
        <w:rPr>
          <w:rFonts w:ascii="Calibri" w:hAnsi="Calibri" w:cs="Calibri"/>
          <w:color w:val="000000" w:themeColor="text1"/>
        </w:rPr>
        <w:t xml:space="preserve"> the</w:t>
      </w:r>
      <w:r w:rsidR="00BC07C0" w:rsidRPr="2C49C1BC">
        <w:rPr>
          <w:rFonts w:ascii="Calibri" w:hAnsi="Calibri" w:cs="Calibri"/>
          <w:color w:val="000000" w:themeColor="text1"/>
        </w:rPr>
        <w:t xml:space="preserve"> private investment opportunities identified</w:t>
      </w:r>
      <w:r w:rsidR="006B2AD7" w:rsidRPr="2C49C1BC">
        <w:rPr>
          <w:rFonts w:ascii="Calibri" w:hAnsi="Calibri" w:cs="Calibri"/>
          <w:color w:val="000000" w:themeColor="text1"/>
        </w:rPr>
        <w:t>.</w:t>
      </w:r>
      <w:r w:rsidR="002616A1" w:rsidRPr="2C49C1BC">
        <w:rPr>
          <w:rFonts w:ascii="Calibri" w:hAnsi="Calibri" w:cs="Calibri"/>
          <w:color w:val="000000" w:themeColor="text1"/>
        </w:rPr>
        <w:t xml:space="preserve"> </w:t>
      </w:r>
    </w:p>
    <w:p w14:paraId="1E27EF2E" w14:textId="5EF87304" w:rsidR="006D3E02" w:rsidRDefault="00E85AC0" w:rsidP="004A519F">
      <w:pPr>
        <w:autoSpaceDE w:val="0"/>
        <w:autoSpaceDN w:val="0"/>
        <w:adjustRightInd w:val="0"/>
        <w:spacing w:before="240" w:after="240"/>
        <w:jc w:val="both"/>
        <w:rPr>
          <w:rFonts w:ascii="Calibri" w:hAnsi="Calibri" w:cs="Calibri"/>
          <w:color w:val="000000"/>
        </w:rPr>
      </w:pPr>
      <w:r>
        <w:rPr>
          <w:rFonts w:ascii="Calibri" w:hAnsi="Calibri" w:cs="Calibri"/>
          <w:color w:val="000000"/>
        </w:rPr>
        <w:lastRenderedPageBreak/>
        <w:t>Equally important at this stage of the consultancy is t</w:t>
      </w:r>
      <w:r w:rsidR="00411F8F">
        <w:rPr>
          <w:rFonts w:ascii="Calibri" w:hAnsi="Calibri" w:cs="Calibri"/>
          <w:color w:val="000000"/>
        </w:rPr>
        <w:t xml:space="preserve">he </w:t>
      </w:r>
      <w:r w:rsidR="004C22F3">
        <w:rPr>
          <w:rFonts w:ascii="Calibri" w:hAnsi="Calibri" w:cs="Calibri"/>
          <w:color w:val="000000"/>
        </w:rPr>
        <w:t>integration of the gender analysis</w:t>
      </w:r>
      <w:r w:rsidR="00411F8F">
        <w:rPr>
          <w:rFonts w:ascii="Calibri" w:hAnsi="Calibri" w:cs="Calibri"/>
          <w:color w:val="000000"/>
        </w:rPr>
        <w:t xml:space="preserve"> within the policy, legislative and </w:t>
      </w:r>
      <w:r w:rsidR="00397881">
        <w:rPr>
          <w:rFonts w:ascii="Calibri" w:hAnsi="Calibri" w:cs="Calibri"/>
          <w:color w:val="000000"/>
        </w:rPr>
        <w:t xml:space="preserve">regulatory mapping. </w:t>
      </w:r>
      <w:r w:rsidR="00352603">
        <w:rPr>
          <w:rFonts w:ascii="Calibri" w:hAnsi="Calibri" w:cs="Calibri"/>
          <w:color w:val="000000"/>
        </w:rPr>
        <w:t xml:space="preserve">In mapping the private sector opportunities available relative to the policy, </w:t>
      </w:r>
      <w:r w:rsidR="00D872B9">
        <w:rPr>
          <w:rFonts w:ascii="Calibri" w:hAnsi="Calibri" w:cs="Calibri"/>
          <w:color w:val="000000"/>
        </w:rPr>
        <w:t>legislative</w:t>
      </w:r>
      <w:r w:rsidR="00352603">
        <w:rPr>
          <w:rFonts w:ascii="Calibri" w:hAnsi="Calibri" w:cs="Calibri"/>
          <w:color w:val="000000"/>
        </w:rPr>
        <w:t xml:space="preserve"> and regulatory environment, the consultant must ascertain to what</w:t>
      </w:r>
      <w:r w:rsidR="00D872B9">
        <w:rPr>
          <w:rFonts w:ascii="Calibri" w:hAnsi="Calibri" w:cs="Calibri"/>
          <w:color w:val="000000"/>
        </w:rPr>
        <w:t xml:space="preserve"> extent does the</w:t>
      </w:r>
      <w:r w:rsidR="00E72807">
        <w:rPr>
          <w:rFonts w:ascii="Calibri" w:hAnsi="Calibri" w:cs="Calibri"/>
          <w:color w:val="000000"/>
        </w:rPr>
        <w:t xml:space="preserve"> existing frameworks</w:t>
      </w:r>
      <w:r w:rsidR="00374C0C">
        <w:rPr>
          <w:rFonts w:ascii="Calibri" w:hAnsi="Calibri" w:cs="Calibri"/>
          <w:color w:val="000000"/>
        </w:rPr>
        <w:t xml:space="preserve"> promote and</w:t>
      </w:r>
      <w:r w:rsidR="005A7CE9">
        <w:rPr>
          <w:rFonts w:ascii="Calibri" w:hAnsi="Calibri" w:cs="Calibri"/>
          <w:color w:val="000000"/>
        </w:rPr>
        <w:t>/or</w:t>
      </w:r>
      <w:r w:rsidR="00374C0C">
        <w:rPr>
          <w:rFonts w:ascii="Calibri" w:hAnsi="Calibri" w:cs="Calibri"/>
          <w:color w:val="000000"/>
        </w:rPr>
        <w:t xml:space="preserve"> reinforce gender inequalities rather than remove them.</w:t>
      </w:r>
      <w:r w:rsidR="005A7CE9">
        <w:rPr>
          <w:rFonts w:ascii="Calibri" w:hAnsi="Calibri" w:cs="Calibri"/>
          <w:color w:val="000000"/>
        </w:rPr>
        <w:t xml:space="preserve"> Where such barriers </w:t>
      </w:r>
      <w:r w:rsidR="00C547F0">
        <w:rPr>
          <w:rFonts w:ascii="Calibri" w:hAnsi="Calibri" w:cs="Calibri"/>
          <w:color w:val="000000"/>
        </w:rPr>
        <w:t>exist,</w:t>
      </w:r>
      <w:r w:rsidR="005A7CE9">
        <w:rPr>
          <w:rFonts w:ascii="Calibri" w:hAnsi="Calibri" w:cs="Calibri"/>
          <w:color w:val="000000"/>
        </w:rPr>
        <w:t xml:space="preserve"> they should be appropriately ident</w:t>
      </w:r>
      <w:r w:rsidR="00C547F0">
        <w:rPr>
          <w:rFonts w:ascii="Calibri" w:hAnsi="Calibri" w:cs="Calibri"/>
          <w:color w:val="000000"/>
        </w:rPr>
        <w:t>ified with</w:t>
      </w:r>
      <w:r w:rsidR="006D3E02">
        <w:rPr>
          <w:rFonts w:ascii="Calibri" w:hAnsi="Calibri" w:cs="Calibri"/>
          <w:color w:val="000000"/>
        </w:rPr>
        <w:t>in</w:t>
      </w:r>
      <w:r w:rsidR="00C547F0">
        <w:rPr>
          <w:rFonts w:ascii="Calibri" w:hAnsi="Calibri" w:cs="Calibri"/>
          <w:color w:val="000000"/>
        </w:rPr>
        <w:t xml:space="preserve"> this phase of the consultancy and recommendations propose</w:t>
      </w:r>
      <w:r w:rsidR="005008AF">
        <w:rPr>
          <w:rFonts w:ascii="Calibri" w:hAnsi="Calibri" w:cs="Calibri"/>
          <w:color w:val="000000"/>
        </w:rPr>
        <w:t>d</w:t>
      </w:r>
      <w:r w:rsidR="00C547F0">
        <w:rPr>
          <w:rFonts w:ascii="Calibri" w:hAnsi="Calibri" w:cs="Calibri"/>
          <w:color w:val="000000"/>
        </w:rPr>
        <w:t xml:space="preserve"> for their amendment.</w:t>
      </w:r>
      <w:r w:rsidR="00C129EB">
        <w:rPr>
          <w:rFonts w:ascii="Calibri" w:hAnsi="Calibri" w:cs="Calibri"/>
          <w:color w:val="000000"/>
        </w:rPr>
        <w:t xml:space="preserve"> Considering that</w:t>
      </w:r>
      <w:r w:rsidR="00CC4B6B">
        <w:rPr>
          <w:rFonts w:ascii="Calibri" w:hAnsi="Calibri" w:cs="Calibri"/>
          <w:color w:val="000000"/>
        </w:rPr>
        <w:t xml:space="preserve"> private sector investment</w:t>
      </w:r>
      <w:r w:rsidR="001F1D97">
        <w:rPr>
          <w:rFonts w:ascii="Calibri" w:hAnsi="Calibri" w:cs="Calibri"/>
          <w:color w:val="000000"/>
        </w:rPr>
        <w:t xml:space="preserve"> includes both foreign direct investment (FDI) </w:t>
      </w:r>
      <w:r w:rsidR="00692F1F">
        <w:rPr>
          <w:rFonts w:ascii="Calibri" w:hAnsi="Calibri" w:cs="Calibri"/>
          <w:color w:val="000000"/>
        </w:rPr>
        <w:t>as well as domestic</w:t>
      </w:r>
      <w:r w:rsidR="00D8704D">
        <w:rPr>
          <w:rStyle w:val="FootnoteReference"/>
          <w:rFonts w:ascii="Calibri" w:hAnsi="Calibri" w:cs="Calibri"/>
          <w:color w:val="000000"/>
        </w:rPr>
        <w:footnoteReference w:id="10"/>
      </w:r>
      <w:r w:rsidR="00692F1F">
        <w:rPr>
          <w:rFonts w:ascii="Calibri" w:hAnsi="Calibri" w:cs="Calibri"/>
          <w:color w:val="000000"/>
        </w:rPr>
        <w:t xml:space="preserve"> investment </w:t>
      </w:r>
      <w:r w:rsidR="00D37158">
        <w:rPr>
          <w:rFonts w:ascii="Calibri" w:hAnsi="Calibri" w:cs="Calibri"/>
          <w:color w:val="000000"/>
        </w:rPr>
        <w:t>inflows, it is important that the consultant</w:t>
      </w:r>
      <w:r w:rsidR="000E35EC">
        <w:rPr>
          <w:rFonts w:ascii="Calibri" w:hAnsi="Calibri" w:cs="Calibri"/>
          <w:color w:val="000000"/>
        </w:rPr>
        <w:t xml:space="preserve"> considers this when undertaking the</w:t>
      </w:r>
      <w:r w:rsidR="00804905">
        <w:rPr>
          <w:rFonts w:ascii="Calibri" w:hAnsi="Calibri" w:cs="Calibri"/>
          <w:color w:val="000000"/>
        </w:rPr>
        <w:t xml:space="preserve"> mapping. </w:t>
      </w:r>
      <w:r w:rsidR="00C55148">
        <w:rPr>
          <w:rFonts w:ascii="Calibri" w:hAnsi="Calibri" w:cs="Calibri"/>
          <w:color w:val="000000"/>
        </w:rPr>
        <w:t>In this regard, the</w:t>
      </w:r>
      <w:r w:rsidR="00D410B7">
        <w:rPr>
          <w:rFonts w:ascii="Calibri" w:hAnsi="Calibri" w:cs="Calibri"/>
          <w:color w:val="000000"/>
        </w:rPr>
        <w:t xml:space="preserve"> analysis provided by the</w:t>
      </w:r>
      <w:r w:rsidR="00C55148">
        <w:rPr>
          <w:rFonts w:ascii="Calibri" w:hAnsi="Calibri" w:cs="Calibri"/>
          <w:color w:val="000000"/>
        </w:rPr>
        <w:t xml:space="preserve"> selected consultant should </w:t>
      </w:r>
      <w:r w:rsidR="00711F45">
        <w:rPr>
          <w:rFonts w:ascii="Calibri" w:hAnsi="Calibri" w:cs="Calibri"/>
          <w:color w:val="000000"/>
        </w:rPr>
        <w:t xml:space="preserve">outline </w:t>
      </w:r>
      <w:r w:rsidR="007B734D">
        <w:rPr>
          <w:rFonts w:ascii="Calibri" w:hAnsi="Calibri" w:cs="Calibri"/>
          <w:color w:val="000000"/>
        </w:rPr>
        <w:t>where</w:t>
      </w:r>
      <w:r w:rsidR="00DA18D9">
        <w:rPr>
          <w:rFonts w:ascii="Calibri" w:hAnsi="Calibri" w:cs="Calibri"/>
          <w:color w:val="000000"/>
        </w:rPr>
        <w:t xml:space="preserve"> </w:t>
      </w:r>
      <w:r w:rsidR="00D1747D">
        <w:rPr>
          <w:rFonts w:ascii="Calibri" w:hAnsi="Calibri" w:cs="Calibri"/>
          <w:color w:val="000000"/>
        </w:rPr>
        <w:t xml:space="preserve">existing </w:t>
      </w:r>
      <w:r w:rsidR="003D2D64">
        <w:rPr>
          <w:rFonts w:ascii="Calibri" w:hAnsi="Calibri" w:cs="Calibri"/>
          <w:color w:val="000000"/>
        </w:rPr>
        <w:t xml:space="preserve">policy, </w:t>
      </w:r>
      <w:r w:rsidR="00104990">
        <w:rPr>
          <w:rFonts w:ascii="Calibri" w:hAnsi="Calibri" w:cs="Calibri"/>
          <w:color w:val="000000"/>
        </w:rPr>
        <w:t>legislative and regulatory frameworks differ depending on the type of</w:t>
      </w:r>
      <w:r w:rsidR="00505525">
        <w:rPr>
          <w:rFonts w:ascii="Calibri" w:hAnsi="Calibri" w:cs="Calibri"/>
          <w:color w:val="000000"/>
        </w:rPr>
        <w:t xml:space="preserve"> investment inflows and propose any </w:t>
      </w:r>
      <w:r w:rsidR="00763619">
        <w:rPr>
          <w:rFonts w:ascii="Calibri" w:hAnsi="Calibri" w:cs="Calibri"/>
          <w:color w:val="000000"/>
        </w:rPr>
        <w:t>applicable recommendations where necessary,</w:t>
      </w:r>
      <w:r w:rsidR="00CF2701">
        <w:rPr>
          <w:rFonts w:ascii="Calibri" w:hAnsi="Calibri" w:cs="Calibri"/>
          <w:color w:val="000000"/>
        </w:rPr>
        <w:t xml:space="preserve"> with the aim of creating a conducive enabling environment which suppor</w:t>
      </w:r>
      <w:r w:rsidR="001D0EFF">
        <w:rPr>
          <w:rFonts w:ascii="Calibri" w:hAnsi="Calibri" w:cs="Calibri"/>
          <w:color w:val="000000"/>
        </w:rPr>
        <w:t>t</w:t>
      </w:r>
      <w:r w:rsidR="00B620FE">
        <w:rPr>
          <w:rFonts w:ascii="Calibri" w:hAnsi="Calibri" w:cs="Calibri"/>
          <w:color w:val="000000"/>
        </w:rPr>
        <w:t>s</w:t>
      </w:r>
      <w:r w:rsidR="001D0EFF">
        <w:rPr>
          <w:rFonts w:ascii="Calibri" w:hAnsi="Calibri" w:cs="Calibri"/>
          <w:color w:val="000000"/>
        </w:rPr>
        <w:t xml:space="preserve"> both</w:t>
      </w:r>
      <w:r w:rsidR="00CF2701">
        <w:rPr>
          <w:rFonts w:ascii="Calibri" w:hAnsi="Calibri" w:cs="Calibri"/>
          <w:color w:val="000000"/>
        </w:rPr>
        <w:t xml:space="preserve"> foreign direct</w:t>
      </w:r>
      <w:r w:rsidR="00B620FE">
        <w:rPr>
          <w:rFonts w:ascii="Calibri" w:hAnsi="Calibri" w:cs="Calibri"/>
          <w:color w:val="000000"/>
        </w:rPr>
        <w:t xml:space="preserve"> investment</w:t>
      </w:r>
      <w:r w:rsidR="00CF2701">
        <w:rPr>
          <w:rFonts w:ascii="Calibri" w:hAnsi="Calibri" w:cs="Calibri"/>
          <w:color w:val="000000"/>
        </w:rPr>
        <w:t xml:space="preserve"> as well as domestic </w:t>
      </w:r>
      <w:r w:rsidR="00753AD1">
        <w:rPr>
          <w:rFonts w:ascii="Calibri" w:hAnsi="Calibri" w:cs="Calibri"/>
          <w:color w:val="000000"/>
        </w:rPr>
        <w:t>private sector inflows</w:t>
      </w:r>
      <w:r w:rsidR="00CF2701">
        <w:rPr>
          <w:rFonts w:ascii="Calibri" w:hAnsi="Calibri" w:cs="Calibri"/>
          <w:color w:val="000000"/>
        </w:rPr>
        <w:t xml:space="preserve"> in the implementation of Saint Vincent and the Grenadines</w:t>
      </w:r>
      <w:r w:rsidR="00B86C71">
        <w:rPr>
          <w:rFonts w:ascii="Calibri" w:hAnsi="Calibri" w:cs="Calibri"/>
          <w:color w:val="000000"/>
        </w:rPr>
        <w:t>’</w:t>
      </w:r>
      <w:r w:rsidR="00DD1B72">
        <w:rPr>
          <w:rFonts w:ascii="Calibri" w:hAnsi="Calibri" w:cs="Calibri"/>
          <w:color w:val="000000"/>
        </w:rPr>
        <w:t xml:space="preserve"> climate actions under its NDCs.</w:t>
      </w:r>
    </w:p>
    <w:p w14:paraId="7CA5F2AD" w14:textId="042B92A4" w:rsidR="00541E63" w:rsidRPr="00D03FCB" w:rsidRDefault="00541E63" w:rsidP="004A519F">
      <w:pPr>
        <w:autoSpaceDE w:val="0"/>
        <w:autoSpaceDN w:val="0"/>
        <w:adjustRightInd w:val="0"/>
        <w:spacing w:before="240" w:after="240"/>
        <w:jc w:val="both"/>
        <w:rPr>
          <w:rFonts w:ascii="Calibri" w:hAnsi="Calibri" w:cs="Calibri"/>
          <w:b/>
          <w:bCs/>
          <w:color w:val="000000"/>
        </w:rPr>
      </w:pPr>
      <w:r w:rsidRPr="00D03FCB">
        <w:rPr>
          <w:rFonts w:ascii="Calibri" w:hAnsi="Calibri" w:cs="Calibri"/>
          <w:b/>
          <w:bCs/>
          <w:color w:val="000000"/>
        </w:rPr>
        <w:t>2.4 Phase III-</w:t>
      </w:r>
      <w:r w:rsidR="0032053B" w:rsidRPr="00D03FCB">
        <w:rPr>
          <w:rFonts w:ascii="Calibri" w:hAnsi="Calibri" w:cs="Calibri"/>
          <w:b/>
          <w:bCs/>
          <w:color w:val="000000"/>
        </w:rPr>
        <w:t xml:space="preserve"> </w:t>
      </w:r>
      <w:r w:rsidR="00444102" w:rsidRPr="00D03FCB">
        <w:rPr>
          <w:rFonts w:ascii="Calibri" w:hAnsi="Calibri" w:cs="Calibri"/>
          <w:b/>
          <w:bCs/>
          <w:color w:val="000000"/>
        </w:rPr>
        <w:t>Preparation and Proposal</w:t>
      </w:r>
      <w:r w:rsidR="00723C40" w:rsidRPr="00D03FCB">
        <w:rPr>
          <w:rFonts w:ascii="Calibri" w:hAnsi="Calibri" w:cs="Calibri"/>
          <w:b/>
          <w:bCs/>
          <w:color w:val="000000"/>
        </w:rPr>
        <w:t xml:space="preserve"> of</w:t>
      </w:r>
      <w:r w:rsidR="00444102" w:rsidRPr="00D03FCB">
        <w:rPr>
          <w:rFonts w:ascii="Calibri" w:hAnsi="Calibri" w:cs="Calibri"/>
          <w:b/>
          <w:bCs/>
          <w:color w:val="000000"/>
        </w:rPr>
        <w:t xml:space="preserve"> applicable</w:t>
      </w:r>
      <w:r w:rsidR="00723C40" w:rsidRPr="00D03FCB">
        <w:rPr>
          <w:rFonts w:ascii="Calibri" w:hAnsi="Calibri" w:cs="Calibri"/>
          <w:b/>
          <w:bCs/>
          <w:color w:val="000000"/>
        </w:rPr>
        <w:t xml:space="preserve"> </w:t>
      </w:r>
      <w:r w:rsidR="00444102" w:rsidRPr="00D03FCB">
        <w:rPr>
          <w:rFonts w:ascii="Calibri" w:hAnsi="Calibri" w:cs="Calibri"/>
          <w:b/>
          <w:bCs/>
          <w:color w:val="000000"/>
        </w:rPr>
        <w:t>ma</w:t>
      </w:r>
      <w:r w:rsidR="00723C40" w:rsidRPr="00D03FCB">
        <w:rPr>
          <w:rFonts w:ascii="Calibri" w:hAnsi="Calibri" w:cs="Calibri"/>
          <w:b/>
          <w:bCs/>
          <w:color w:val="000000"/>
        </w:rPr>
        <w:t xml:space="preserve">rket </w:t>
      </w:r>
      <w:r w:rsidR="00444102" w:rsidRPr="00D03FCB">
        <w:rPr>
          <w:rFonts w:ascii="Calibri" w:hAnsi="Calibri" w:cs="Calibri"/>
          <w:b/>
          <w:bCs/>
          <w:color w:val="000000"/>
        </w:rPr>
        <w:t>m</w:t>
      </w:r>
      <w:r w:rsidR="00723C40" w:rsidRPr="00D03FCB">
        <w:rPr>
          <w:rFonts w:ascii="Calibri" w:hAnsi="Calibri" w:cs="Calibri"/>
          <w:b/>
          <w:bCs/>
          <w:color w:val="000000"/>
        </w:rPr>
        <w:t xml:space="preserve">echanisms which </w:t>
      </w:r>
      <w:r w:rsidR="00341998" w:rsidRPr="00D03FCB">
        <w:rPr>
          <w:rFonts w:ascii="Calibri" w:hAnsi="Calibri" w:cs="Calibri"/>
          <w:b/>
          <w:bCs/>
          <w:color w:val="000000"/>
        </w:rPr>
        <w:t>incentiv</w:t>
      </w:r>
      <w:r w:rsidR="00341998">
        <w:rPr>
          <w:rFonts w:ascii="Calibri" w:hAnsi="Calibri" w:cs="Calibri"/>
          <w:b/>
          <w:bCs/>
          <w:color w:val="000000"/>
        </w:rPr>
        <w:t>ize</w:t>
      </w:r>
      <w:r w:rsidR="00341998" w:rsidRPr="00D03FCB">
        <w:rPr>
          <w:rFonts w:ascii="Calibri" w:hAnsi="Calibri" w:cs="Calibri"/>
          <w:b/>
          <w:bCs/>
          <w:color w:val="000000"/>
        </w:rPr>
        <w:t xml:space="preserve"> private</w:t>
      </w:r>
      <w:r w:rsidR="00002FFB" w:rsidRPr="00D03FCB">
        <w:rPr>
          <w:rFonts w:ascii="Calibri" w:hAnsi="Calibri" w:cs="Calibri"/>
          <w:b/>
          <w:bCs/>
          <w:color w:val="000000"/>
        </w:rPr>
        <w:t xml:space="preserve"> sector investment</w:t>
      </w:r>
      <w:r w:rsidR="00EC7510" w:rsidRPr="00D03FCB">
        <w:rPr>
          <w:rFonts w:ascii="Calibri" w:hAnsi="Calibri" w:cs="Calibri"/>
          <w:b/>
          <w:bCs/>
          <w:color w:val="000000"/>
        </w:rPr>
        <w:t xml:space="preserve"> in Saint Vincent and the Grenadines INDCs.</w:t>
      </w:r>
    </w:p>
    <w:p w14:paraId="4DCBDF3E" w14:textId="5B8EF415" w:rsidR="00DB02DA" w:rsidRDefault="00DB02DA" w:rsidP="004A519F">
      <w:pPr>
        <w:autoSpaceDE w:val="0"/>
        <w:autoSpaceDN w:val="0"/>
        <w:adjustRightInd w:val="0"/>
        <w:spacing w:before="240" w:after="240"/>
        <w:jc w:val="both"/>
        <w:rPr>
          <w:rFonts w:ascii="Calibri" w:hAnsi="Calibri" w:cs="Calibri"/>
          <w:color w:val="000000"/>
        </w:rPr>
      </w:pPr>
      <w:r w:rsidRPr="2C49C1BC">
        <w:rPr>
          <w:rFonts w:ascii="Calibri" w:hAnsi="Calibri" w:cs="Calibri"/>
          <w:color w:val="000000" w:themeColor="text1"/>
        </w:rPr>
        <w:t>The third phase of the consultancy focuses on identifying the appropriate market structures needed to stimulate private sector investment within Saint Vincent and the Grenadines. This is an important part of the Scoping Study,</w:t>
      </w:r>
      <w:r w:rsidR="005E196F" w:rsidRPr="2C49C1BC">
        <w:rPr>
          <w:rFonts w:ascii="Calibri" w:hAnsi="Calibri" w:cs="Calibri"/>
          <w:color w:val="000000" w:themeColor="text1"/>
        </w:rPr>
        <w:t xml:space="preserve"> because the attractiveness of a project or programme to an investor will largely depend on the </w:t>
      </w:r>
      <w:r w:rsidR="00CC6632" w:rsidRPr="2C49C1BC">
        <w:rPr>
          <w:rFonts w:ascii="Calibri" w:hAnsi="Calibri" w:cs="Calibri"/>
          <w:color w:val="000000" w:themeColor="text1"/>
        </w:rPr>
        <w:t>legislative, policy</w:t>
      </w:r>
      <w:r w:rsidR="005E196F" w:rsidRPr="2C49C1BC">
        <w:rPr>
          <w:rFonts w:ascii="Calibri" w:hAnsi="Calibri" w:cs="Calibri"/>
          <w:color w:val="000000" w:themeColor="text1"/>
        </w:rPr>
        <w:t xml:space="preserve"> and regulatory regime in place within country. After having identified under phase two the </w:t>
      </w:r>
      <w:r w:rsidR="00A641A2" w:rsidRPr="2C49C1BC">
        <w:rPr>
          <w:rFonts w:ascii="Calibri" w:hAnsi="Calibri" w:cs="Calibri"/>
          <w:color w:val="000000" w:themeColor="text1"/>
        </w:rPr>
        <w:t>financial, technica</w:t>
      </w:r>
      <w:r w:rsidR="00353324" w:rsidRPr="2C49C1BC">
        <w:rPr>
          <w:rFonts w:ascii="Calibri" w:hAnsi="Calibri" w:cs="Calibri"/>
          <w:color w:val="000000" w:themeColor="text1"/>
        </w:rPr>
        <w:t>l and i</w:t>
      </w:r>
      <w:r w:rsidR="00CC6632" w:rsidRPr="2C49C1BC">
        <w:rPr>
          <w:rFonts w:ascii="Calibri" w:hAnsi="Calibri" w:cs="Calibri"/>
          <w:color w:val="000000" w:themeColor="text1"/>
        </w:rPr>
        <w:t>nstitutional barriers which exist</w:t>
      </w:r>
      <w:r w:rsidR="00E74EB6" w:rsidRPr="2C49C1BC">
        <w:rPr>
          <w:rFonts w:ascii="Calibri" w:hAnsi="Calibri" w:cs="Calibri"/>
          <w:color w:val="000000" w:themeColor="text1"/>
        </w:rPr>
        <w:t xml:space="preserve"> across</w:t>
      </w:r>
      <w:r w:rsidR="005B74F8" w:rsidRPr="2C49C1BC">
        <w:rPr>
          <w:rFonts w:ascii="Calibri" w:hAnsi="Calibri" w:cs="Calibri"/>
          <w:color w:val="000000" w:themeColor="text1"/>
        </w:rPr>
        <w:t xml:space="preserve"> </w:t>
      </w:r>
      <w:r w:rsidR="004955A7" w:rsidRPr="2C49C1BC">
        <w:rPr>
          <w:rFonts w:ascii="Calibri" w:hAnsi="Calibri" w:cs="Calibri"/>
          <w:color w:val="000000" w:themeColor="text1"/>
        </w:rPr>
        <w:t>the country’s</w:t>
      </w:r>
      <w:r w:rsidR="005B74F8" w:rsidRPr="2C49C1BC">
        <w:rPr>
          <w:rFonts w:ascii="Calibri" w:hAnsi="Calibri" w:cs="Calibri"/>
          <w:color w:val="000000" w:themeColor="text1"/>
        </w:rPr>
        <w:t xml:space="preserve"> investment landscape</w:t>
      </w:r>
      <w:r w:rsidR="002F57F2" w:rsidRPr="2C49C1BC">
        <w:rPr>
          <w:rFonts w:ascii="Calibri" w:hAnsi="Calibri" w:cs="Calibri"/>
          <w:color w:val="000000" w:themeColor="text1"/>
        </w:rPr>
        <w:t>,</w:t>
      </w:r>
      <w:r w:rsidR="005B74F8" w:rsidRPr="2C49C1BC">
        <w:rPr>
          <w:rFonts w:ascii="Calibri" w:hAnsi="Calibri" w:cs="Calibri"/>
          <w:color w:val="000000" w:themeColor="text1"/>
        </w:rPr>
        <w:t xml:space="preserve"> </w:t>
      </w:r>
      <w:r w:rsidR="002F57F2" w:rsidRPr="2C49C1BC">
        <w:rPr>
          <w:rFonts w:ascii="Calibri" w:hAnsi="Calibri" w:cs="Calibri"/>
          <w:color w:val="000000" w:themeColor="text1"/>
        </w:rPr>
        <w:t>t</w:t>
      </w:r>
      <w:r w:rsidR="005B74F8" w:rsidRPr="2C49C1BC">
        <w:rPr>
          <w:rFonts w:ascii="Calibri" w:hAnsi="Calibri" w:cs="Calibri"/>
          <w:color w:val="000000" w:themeColor="text1"/>
        </w:rPr>
        <w:t xml:space="preserve">he policy, </w:t>
      </w:r>
      <w:r w:rsidR="001A564A" w:rsidRPr="2C49C1BC">
        <w:rPr>
          <w:rFonts w:ascii="Calibri" w:hAnsi="Calibri" w:cs="Calibri"/>
          <w:color w:val="000000" w:themeColor="text1"/>
        </w:rPr>
        <w:t>legislative</w:t>
      </w:r>
      <w:r w:rsidR="005B74F8" w:rsidRPr="2C49C1BC">
        <w:rPr>
          <w:rFonts w:ascii="Calibri" w:hAnsi="Calibri" w:cs="Calibri"/>
          <w:color w:val="000000" w:themeColor="text1"/>
        </w:rPr>
        <w:t xml:space="preserve"> and regulatory barriers </w:t>
      </w:r>
      <w:r w:rsidR="001A564A" w:rsidRPr="2C49C1BC">
        <w:rPr>
          <w:rFonts w:ascii="Calibri" w:hAnsi="Calibri" w:cs="Calibri"/>
          <w:color w:val="000000" w:themeColor="text1"/>
        </w:rPr>
        <w:t>also</w:t>
      </w:r>
      <w:r w:rsidR="005B74F8" w:rsidRPr="2C49C1BC">
        <w:rPr>
          <w:rFonts w:ascii="Calibri" w:hAnsi="Calibri" w:cs="Calibri"/>
          <w:color w:val="000000" w:themeColor="text1"/>
        </w:rPr>
        <w:t xml:space="preserve"> identified in the </w:t>
      </w:r>
      <w:r w:rsidR="001A564A" w:rsidRPr="2C49C1BC">
        <w:rPr>
          <w:rFonts w:ascii="Calibri" w:hAnsi="Calibri" w:cs="Calibri"/>
          <w:color w:val="000000" w:themeColor="text1"/>
        </w:rPr>
        <w:t xml:space="preserve">preceding phase of the consultancy should be appropriately assessed </w:t>
      </w:r>
      <w:r w:rsidR="00686193" w:rsidRPr="2C49C1BC">
        <w:rPr>
          <w:rFonts w:ascii="Calibri" w:hAnsi="Calibri" w:cs="Calibri"/>
          <w:color w:val="000000" w:themeColor="text1"/>
        </w:rPr>
        <w:t>to determine the market reforms and structures</w:t>
      </w:r>
      <w:r w:rsidR="0068538B" w:rsidRPr="2C49C1BC">
        <w:rPr>
          <w:rFonts w:ascii="Calibri" w:hAnsi="Calibri" w:cs="Calibri"/>
          <w:color w:val="000000" w:themeColor="text1"/>
        </w:rPr>
        <w:t xml:space="preserve"> which </w:t>
      </w:r>
      <w:r w:rsidR="1F2D5EEA" w:rsidRPr="2C49C1BC">
        <w:rPr>
          <w:rFonts w:ascii="Calibri" w:hAnsi="Calibri" w:cs="Calibri"/>
          <w:color w:val="000000" w:themeColor="text1"/>
        </w:rPr>
        <w:t>will be</w:t>
      </w:r>
      <w:r w:rsidR="00B22BC1" w:rsidRPr="2C49C1BC">
        <w:rPr>
          <w:rFonts w:ascii="Calibri" w:hAnsi="Calibri" w:cs="Calibri"/>
          <w:color w:val="000000" w:themeColor="text1"/>
        </w:rPr>
        <w:t xml:space="preserve"> best suited and are needed in-order</w:t>
      </w:r>
      <w:r w:rsidR="00686193" w:rsidRPr="2C49C1BC">
        <w:rPr>
          <w:rFonts w:ascii="Calibri" w:hAnsi="Calibri" w:cs="Calibri"/>
          <w:color w:val="000000" w:themeColor="text1"/>
        </w:rPr>
        <w:t xml:space="preserve"> to </w:t>
      </w:r>
      <w:r w:rsidR="00930375" w:rsidRPr="2C49C1BC">
        <w:rPr>
          <w:rFonts w:ascii="Calibri" w:hAnsi="Calibri" w:cs="Calibri"/>
          <w:color w:val="000000" w:themeColor="text1"/>
        </w:rPr>
        <w:t>incentiv</w:t>
      </w:r>
      <w:r w:rsidR="002805A2" w:rsidRPr="2C49C1BC">
        <w:rPr>
          <w:rFonts w:ascii="Calibri" w:hAnsi="Calibri" w:cs="Calibri"/>
          <w:color w:val="000000" w:themeColor="text1"/>
        </w:rPr>
        <w:t>ise</w:t>
      </w:r>
      <w:r w:rsidR="00930375" w:rsidRPr="2C49C1BC">
        <w:rPr>
          <w:rFonts w:ascii="Calibri" w:hAnsi="Calibri" w:cs="Calibri"/>
          <w:color w:val="000000" w:themeColor="text1"/>
        </w:rPr>
        <w:t xml:space="preserve"> private sector investment in Saint Vincent and the Grenadines</w:t>
      </w:r>
      <w:r w:rsidR="00AE5D2A" w:rsidRPr="2C49C1BC">
        <w:rPr>
          <w:rFonts w:ascii="Calibri" w:hAnsi="Calibri" w:cs="Calibri"/>
          <w:color w:val="000000" w:themeColor="text1"/>
        </w:rPr>
        <w:t>.</w:t>
      </w:r>
      <w:r w:rsidR="001B59EA" w:rsidRPr="2C49C1BC">
        <w:rPr>
          <w:rFonts w:ascii="Calibri" w:hAnsi="Calibri" w:cs="Calibri"/>
          <w:color w:val="000000" w:themeColor="text1"/>
        </w:rPr>
        <w:t xml:space="preserve"> The </w:t>
      </w:r>
      <w:r w:rsidR="0038767A" w:rsidRPr="2C49C1BC">
        <w:rPr>
          <w:rFonts w:ascii="Calibri" w:hAnsi="Calibri" w:cs="Calibri"/>
          <w:color w:val="000000" w:themeColor="text1"/>
        </w:rPr>
        <w:t xml:space="preserve">proposal of such market reforms </w:t>
      </w:r>
      <w:r w:rsidR="006034FE" w:rsidRPr="2C49C1BC">
        <w:rPr>
          <w:rFonts w:ascii="Calibri" w:hAnsi="Calibri" w:cs="Calibri"/>
          <w:color w:val="000000" w:themeColor="text1"/>
        </w:rPr>
        <w:t>is</w:t>
      </w:r>
      <w:r w:rsidR="0038767A" w:rsidRPr="2C49C1BC">
        <w:rPr>
          <w:rFonts w:ascii="Calibri" w:hAnsi="Calibri" w:cs="Calibri"/>
          <w:color w:val="000000" w:themeColor="text1"/>
        </w:rPr>
        <w:t xml:space="preserve"> important</w:t>
      </w:r>
      <w:r w:rsidR="00DA30E7" w:rsidRPr="2C49C1BC">
        <w:rPr>
          <w:rFonts w:ascii="Calibri" w:hAnsi="Calibri" w:cs="Calibri"/>
          <w:color w:val="000000" w:themeColor="text1"/>
        </w:rPr>
        <w:t xml:space="preserve"> because they have been</w:t>
      </w:r>
      <w:r w:rsidR="007A0DE8" w:rsidRPr="2C49C1BC">
        <w:rPr>
          <w:rFonts w:ascii="Calibri" w:hAnsi="Calibri" w:cs="Calibri"/>
          <w:color w:val="000000" w:themeColor="text1"/>
        </w:rPr>
        <w:t xml:space="preserve"> widely</w:t>
      </w:r>
      <w:r w:rsidR="00DA30E7" w:rsidRPr="2C49C1BC">
        <w:rPr>
          <w:rFonts w:ascii="Calibri" w:hAnsi="Calibri" w:cs="Calibri"/>
          <w:color w:val="000000" w:themeColor="text1"/>
        </w:rPr>
        <w:t xml:space="preserve"> used as successful tools</w:t>
      </w:r>
      <w:r w:rsidR="007A0DE8" w:rsidRPr="2C49C1BC">
        <w:rPr>
          <w:rFonts w:ascii="Calibri" w:hAnsi="Calibri" w:cs="Calibri"/>
          <w:color w:val="000000" w:themeColor="text1"/>
        </w:rPr>
        <w:t xml:space="preserve"> to</w:t>
      </w:r>
      <w:r w:rsidR="000554F4" w:rsidRPr="2C49C1BC">
        <w:rPr>
          <w:rFonts w:ascii="Calibri" w:hAnsi="Calibri" w:cs="Calibri"/>
          <w:color w:val="000000" w:themeColor="text1"/>
        </w:rPr>
        <w:t xml:space="preserve"> engage the private sector in myriad of roles which </w:t>
      </w:r>
      <w:r w:rsidR="009B5F74" w:rsidRPr="2C49C1BC">
        <w:rPr>
          <w:rFonts w:ascii="Calibri" w:hAnsi="Calibri" w:cs="Calibri"/>
          <w:color w:val="000000" w:themeColor="text1"/>
        </w:rPr>
        <w:t>range from investment, proj</w:t>
      </w:r>
      <w:r w:rsidR="001A4A92" w:rsidRPr="2C49C1BC">
        <w:rPr>
          <w:rFonts w:ascii="Calibri" w:hAnsi="Calibri" w:cs="Calibri"/>
          <w:color w:val="000000" w:themeColor="text1"/>
        </w:rPr>
        <w:t>e</w:t>
      </w:r>
      <w:r w:rsidR="009B5F74" w:rsidRPr="2C49C1BC">
        <w:rPr>
          <w:rFonts w:ascii="Calibri" w:hAnsi="Calibri" w:cs="Calibri"/>
          <w:color w:val="000000" w:themeColor="text1"/>
        </w:rPr>
        <w:t xml:space="preserve">ct </w:t>
      </w:r>
      <w:r w:rsidR="001A4A92" w:rsidRPr="2C49C1BC">
        <w:rPr>
          <w:rFonts w:ascii="Calibri" w:hAnsi="Calibri" w:cs="Calibri"/>
          <w:color w:val="000000" w:themeColor="text1"/>
        </w:rPr>
        <w:t>conceptualisation</w:t>
      </w:r>
      <w:r w:rsidR="009B5F74" w:rsidRPr="2C49C1BC">
        <w:rPr>
          <w:rFonts w:ascii="Calibri" w:hAnsi="Calibri" w:cs="Calibri"/>
          <w:color w:val="000000" w:themeColor="text1"/>
        </w:rPr>
        <w:t xml:space="preserve"> and</w:t>
      </w:r>
      <w:r w:rsidR="001A4A92" w:rsidRPr="2C49C1BC">
        <w:rPr>
          <w:rFonts w:ascii="Calibri" w:hAnsi="Calibri" w:cs="Calibri"/>
          <w:color w:val="000000" w:themeColor="text1"/>
        </w:rPr>
        <w:t xml:space="preserve"> verification.</w:t>
      </w:r>
      <w:r w:rsidR="00CD36DD" w:rsidRPr="2C49C1BC">
        <w:rPr>
          <w:rFonts w:ascii="Calibri" w:hAnsi="Calibri" w:cs="Calibri"/>
          <w:color w:val="000000" w:themeColor="text1"/>
        </w:rPr>
        <w:t xml:space="preserve"> The consultant </w:t>
      </w:r>
      <w:r w:rsidR="00223258" w:rsidRPr="2C49C1BC">
        <w:rPr>
          <w:rFonts w:ascii="Calibri" w:hAnsi="Calibri" w:cs="Calibri"/>
          <w:color w:val="000000" w:themeColor="text1"/>
        </w:rPr>
        <w:t>is</w:t>
      </w:r>
      <w:r w:rsidR="005647FA" w:rsidRPr="2C49C1BC">
        <w:rPr>
          <w:rFonts w:ascii="Calibri" w:hAnsi="Calibri" w:cs="Calibri"/>
          <w:color w:val="000000" w:themeColor="text1"/>
        </w:rPr>
        <w:t xml:space="preserve"> therefore</w:t>
      </w:r>
      <w:r w:rsidR="00CD36DD" w:rsidRPr="2C49C1BC">
        <w:rPr>
          <w:rFonts w:ascii="Calibri" w:hAnsi="Calibri" w:cs="Calibri"/>
          <w:color w:val="000000" w:themeColor="text1"/>
        </w:rPr>
        <w:t xml:space="preserve"> required to identify and propose the necessary market reforms needed at the policy, legislative and regulatory</w:t>
      </w:r>
      <w:r w:rsidR="000B4C67" w:rsidRPr="2C49C1BC">
        <w:rPr>
          <w:rFonts w:ascii="Calibri" w:hAnsi="Calibri" w:cs="Calibri"/>
          <w:color w:val="000000" w:themeColor="text1"/>
        </w:rPr>
        <w:t xml:space="preserve"> levels</w:t>
      </w:r>
      <w:r w:rsidR="001A3731" w:rsidRPr="2C49C1BC">
        <w:rPr>
          <w:rFonts w:ascii="Calibri" w:hAnsi="Calibri" w:cs="Calibri"/>
          <w:color w:val="000000" w:themeColor="text1"/>
        </w:rPr>
        <w:t xml:space="preserve"> </w:t>
      </w:r>
      <w:r w:rsidR="00C94168" w:rsidRPr="2C49C1BC">
        <w:rPr>
          <w:rFonts w:ascii="Calibri" w:hAnsi="Calibri" w:cs="Calibri"/>
          <w:color w:val="000000" w:themeColor="text1"/>
        </w:rPr>
        <w:t xml:space="preserve">in the creation of an enabling environment </w:t>
      </w:r>
      <w:r w:rsidR="00F71ACD" w:rsidRPr="2C49C1BC">
        <w:rPr>
          <w:rFonts w:ascii="Calibri" w:hAnsi="Calibri" w:cs="Calibri"/>
          <w:color w:val="000000" w:themeColor="text1"/>
        </w:rPr>
        <w:t>which support</w:t>
      </w:r>
      <w:r w:rsidR="00F11336" w:rsidRPr="2C49C1BC">
        <w:rPr>
          <w:rFonts w:ascii="Calibri" w:hAnsi="Calibri" w:cs="Calibri"/>
          <w:color w:val="000000" w:themeColor="text1"/>
        </w:rPr>
        <w:t>s</w:t>
      </w:r>
      <w:r w:rsidR="00F71ACD" w:rsidRPr="2C49C1BC">
        <w:rPr>
          <w:rFonts w:ascii="Calibri" w:hAnsi="Calibri" w:cs="Calibri"/>
          <w:color w:val="000000" w:themeColor="text1"/>
        </w:rPr>
        <w:t xml:space="preserve"> private sector investment and gender responsive NDC implementation.</w:t>
      </w:r>
      <w:r w:rsidR="002E1520" w:rsidRPr="2C49C1BC">
        <w:rPr>
          <w:rFonts w:ascii="Calibri" w:hAnsi="Calibri" w:cs="Calibri"/>
          <w:color w:val="000000" w:themeColor="text1"/>
        </w:rPr>
        <w:t xml:space="preserve"> Where </w:t>
      </w:r>
      <w:r w:rsidR="005C1A8A" w:rsidRPr="2C49C1BC">
        <w:rPr>
          <w:rFonts w:ascii="Calibri" w:hAnsi="Calibri" w:cs="Calibri"/>
          <w:color w:val="000000" w:themeColor="text1"/>
        </w:rPr>
        <w:t>differential market reforms</w:t>
      </w:r>
      <w:r w:rsidR="00F819EC" w:rsidRPr="2C49C1BC">
        <w:rPr>
          <w:rFonts w:ascii="Calibri" w:hAnsi="Calibri" w:cs="Calibri"/>
          <w:color w:val="000000" w:themeColor="text1"/>
        </w:rPr>
        <w:t xml:space="preserve"> are required to support the type of investment (</w:t>
      </w:r>
      <w:r w:rsidR="06B074E8" w:rsidRPr="2C49C1BC">
        <w:rPr>
          <w:rFonts w:ascii="Calibri" w:hAnsi="Calibri" w:cs="Calibri"/>
          <w:color w:val="000000" w:themeColor="text1"/>
        </w:rPr>
        <w:t>i.e.,</w:t>
      </w:r>
      <w:r w:rsidR="00F819EC" w:rsidRPr="2C49C1BC">
        <w:rPr>
          <w:rFonts w:ascii="Calibri" w:hAnsi="Calibri" w:cs="Calibri"/>
          <w:color w:val="000000" w:themeColor="text1"/>
        </w:rPr>
        <w:t xml:space="preserve"> foreign in</w:t>
      </w:r>
      <w:r w:rsidR="00537945" w:rsidRPr="2C49C1BC">
        <w:rPr>
          <w:rFonts w:ascii="Calibri" w:hAnsi="Calibri" w:cs="Calibri"/>
          <w:color w:val="000000" w:themeColor="text1"/>
        </w:rPr>
        <w:t>vestment</w:t>
      </w:r>
      <w:r w:rsidR="005E30F9" w:rsidRPr="2C49C1BC">
        <w:rPr>
          <w:rFonts w:ascii="Calibri" w:hAnsi="Calibri" w:cs="Calibri"/>
          <w:color w:val="000000" w:themeColor="text1"/>
        </w:rPr>
        <w:t xml:space="preserve"> inflows</w:t>
      </w:r>
      <w:r w:rsidR="00537945" w:rsidRPr="2C49C1BC">
        <w:rPr>
          <w:rFonts w:ascii="Calibri" w:hAnsi="Calibri" w:cs="Calibri"/>
          <w:color w:val="000000" w:themeColor="text1"/>
        </w:rPr>
        <w:t xml:space="preserve"> vis</w:t>
      </w:r>
      <w:r w:rsidR="00BA2600" w:rsidRPr="2C49C1BC">
        <w:rPr>
          <w:rFonts w:ascii="Calibri" w:hAnsi="Calibri" w:cs="Calibri"/>
          <w:color w:val="000000" w:themeColor="text1"/>
        </w:rPr>
        <w:t>-a-</w:t>
      </w:r>
      <w:r w:rsidR="00537945" w:rsidRPr="2C49C1BC">
        <w:rPr>
          <w:rFonts w:ascii="Calibri" w:hAnsi="Calibri" w:cs="Calibri"/>
          <w:color w:val="000000" w:themeColor="text1"/>
        </w:rPr>
        <w:t xml:space="preserve"> </w:t>
      </w:r>
      <w:r w:rsidR="00BA2600" w:rsidRPr="2C49C1BC">
        <w:rPr>
          <w:rFonts w:ascii="Calibri" w:hAnsi="Calibri" w:cs="Calibri"/>
          <w:color w:val="000000" w:themeColor="text1"/>
        </w:rPr>
        <w:t>vis</w:t>
      </w:r>
      <w:r w:rsidR="00537945" w:rsidRPr="2C49C1BC">
        <w:rPr>
          <w:rFonts w:ascii="Calibri" w:hAnsi="Calibri" w:cs="Calibri"/>
          <w:color w:val="000000" w:themeColor="text1"/>
        </w:rPr>
        <w:t xml:space="preserve"> domestic investment) this should be detailed and appropriately specified within the </w:t>
      </w:r>
      <w:r w:rsidR="0064717D" w:rsidRPr="2C49C1BC">
        <w:rPr>
          <w:rFonts w:ascii="Calibri" w:hAnsi="Calibri" w:cs="Calibri"/>
          <w:color w:val="000000" w:themeColor="text1"/>
        </w:rPr>
        <w:t>Scoping Study.</w:t>
      </w:r>
      <w:r w:rsidR="003C3825" w:rsidRPr="2C49C1BC">
        <w:rPr>
          <w:rFonts w:ascii="Calibri" w:hAnsi="Calibri" w:cs="Calibri"/>
          <w:color w:val="000000" w:themeColor="text1"/>
        </w:rPr>
        <w:t xml:space="preserve"> This phase of the </w:t>
      </w:r>
      <w:r w:rsidR="00714CB1" w:rsidRPr="2C49C1BC">
        <w:rPr>
          <w:rFonts w:ascii="Calibri" w:hAnsi="Calibri" w:cs="Calibri"/>
          <w:color w:val="000000" w:themeColor="text1"/>
        </w:rPr>
        <w:t>consultancy is</w:t>
      </w:r>
      <w:r w:rsidR="005633E4" w:rsidRPr="2C49C1BC">
        <w:rPr>
          <w:rFonts w:ascii="Calibri" w:hAnsi="Calibri" w:cs="Calibri"/>
          <w:color w:val="000000" w:themeColor="text1"/>
        </w:rPr>
        <w:t xml:space="preserve"> also</w:t>
      </w:r>
      <w:r w:rsidR="00714CB1" w:rsidRPr="2C49C1BC">
        <w:rPr>
          <w:rFonts w:ascii="Calibri" w:hAnsi="Calibri" w:cs="Calibri"/>
          <w:color w:val="000000" w:themeColor="text1"/>
        </w:rPr>
        <w:t xml:space="preserve"> expected to support the country</w:t>
      </w:r>
      <w:r w:rsidR="007A41E8" w:rsidRPr="2C49C1BC">
        <w:rPr>
          <w:rFonts w:ascii="Calibri" w:hAnsi="Calibri" w:cs="Calibri"/>
          <w:color w:val="000000" w:themeColor="text1"/>
        </w:rPr>
        <w:t>’s</w:t>
      </w:r>
      <w:r w:rsidR="00714CB1" w:rsidRPr="2C49C1BC">
        <w:rPr>
          <w:rFonts w:ascii="Calibri" w:hAnsi="Calibri" w:cs="Calibri"/>
          <w:color w:val="000000" w:themeColor="text1"/>
        </w:rPr>
        <w:t xml:space="preserve"> capacity efforts</w:t>
      </w:r>
      <w:r w:rsidR="00BA0E3C" w:rsidRPr="2C49C1BC">
        <w:rPr>
          <w:rFonts w:ascii="Calibri" w:hAnsi="Calibri" w:cs="Calibri"/>
          <w:color w:val="000000" w:themeColor="text1"/>
        </w:rPr>
        <w:t xml:space="preserve"> towards</w:t>
      </w:r>
      <w:r w:rsidR="00175D75" w:rsidRPr="2C49C1BC">
        <w:rPr>
          <w:rFonts w:ascii="Calibri" w:hAnsi="Calibri" w:cs="Calibri"/>
          <w:color w:val="000000" w:themeColor="text1"/>
        </w:rPr>
        <w:t xml:space="preserve"> an enhance</w:t>
      </w:r>
      <w:r w:rsidR="001E4ED6" w:rsidRPr="2C49C1BC">
        <w:rPr>
          <w:rFonts w:ascii="Calibri" w:hAnsi="Calibri" w:cs="Calibri"/>
          <w:color w:val="000000" w:themeColor="text1"/>
        </w:rPr>
        <w:t>d</w:t>
      </w:r>
      <w:r w:rsidR="00175D75" w:rsidRPr="2C49C1BC">
        <w:rPr>
          <w:rFonts w:ascii="Calibri" w:hAnsi="Calibri" w:cs="Calibri"/>
          <w:color w:val="000000" w:themeColor="text1"/>
        </w:rPr>
        <w:t xml:space="preserve"> understanding of the market requirements </w:t>
      </w:r>
      <w:r w:rsidR="0007505B" w:rsidRPr="2C49C1BC">
        <w:rPr>
          <w:rFonts w:ascii="Calibri" w:hAnsi="Calibri" w:cs="Calibri"/>
          <w:color w:val="000000" w:themeColor="text1"/>
        </w:rPr>
        <w:t xml:space="preserve">needed </w:t>
      </w:r>
      <w:r w:rsidR="00F70955" w:rsidRPr="2C49C1BC">
        <w:rPr>
          <w:rFonts w:ascii="Calibri" w:hAnsi="Calibri" w:cs="Calibri"/>
          <w:color w:val="000000" w:themeColor="text1"/>
        </w:rPr>
        <w:t>to support meaningful private sector investment and participation in Saint Vincent and the Grenadines</w:t>
      </w:r>
      <w:r w:rsidR="002D49F5" w:rsidRPr="2C49C1BC">
        <w:rPr>
          <w:rFonts w:ascii="Calibri" w:hAnsi="Calibri" w:cs="Calibri"/>
          <w:color w:val="000000" w:themeColor="text1"/>
        </w:rPr>
        <w:t>’ climate actions.</w:t>
      </w:r>
    </w:p>
    <w:p w14:paraId="5D9992DA" w14:textId="764D5F67" w:rsidR="00E50A20" w:rsidRDefault="006B2AD7" w:rsidP="004A519F">
      <w:pPr>
        <w:autoSpaceDE w:val="0"/>
        <w:autoSpaceDN w:val="0"/>
        <w:adjustRightInd w:val="0"/>
        <w:spacing w:before="240" w:after="240"/>
        <w:jc w:val="both"/>
        <w:rPr>
          <w:rFonts w:ascii="Calibri" w:hAnsi="Calibri" w:cs="Calibri"/>
          <w:color w:val="000000"/>
        </w:rPr>
      </w:pPr>
      <w:r>
        <w:rPr>
          <w:rFonts w:ascii="Calibri" w:hAnsi="Calibri" w:cs="Calibri"/>
          <w:color w:val="000000"/>
        </w:rPr>
        <w:t xml:space="preserve">A central feature of this phase of the consultancy is </w:t>
      </w:r>
      <w:r w:rsidR="00C947AE">
        <w:rPr>
          <w:rFonts w:ascii="Calibri" w:hAnsi="Calibri" w:cs="Calibri"/>
          <w:color w:val="000000"/>
        </w:rPr>
        <w:t>that of gender responsive stakeholder dialogues. The preparation and proposal of</w:t>
      </w:r>
      <w:r w:rsidR="00E60DA9">
        <w:rPr>
          <w:rFonts w:ascii="Calibri" w:hAnsi="Calibri" w:cs="Calibri"/>
          <w:color w:val="000000"/>
        </w:rPr>
        <w:t xml:space="preserve"> the</w:t>
      </w:r>
      <w:r w:rsidR="00C947AE">
        <w:rPr>
          <w:rFonts w:ascii="Calibri" w:hAnsi="Calibri" w:cs="Calibri"/>
          <w:color w:val="000000"/>
        </w:rPr>
        <w:t xml:space="preserve"> market mechanisms and structures p</w:t>
      </w:r>
      <w:r w:rsidR="00586A86">
        <w:rPr>
          <w:rFonts w:ascii="Calibri" w:hAnsi="Calibri" w:cs="Calibri"/>
          <w:color w:val="000000"/>
        </w:rPr>
        <w:t>ut</w:t>
      </w:r>
      <w:r w:rsidR="00C50408">
        <w:rPr>
          <w:rFonts w:ascii="Calibri" w:hAnsi="Calibri" w:cs="Calibri"/>
          <w:color w:val="000000"/>
        </w:rPr>
        <w:t>-</w:t>
      </w:r>
      <w:r w:rsidR="00C947AE">
        <w:rPr>
          <w:rFonts w:ascii="Calibri" w:hAnsi="Calibri" w:cs="Calibri"/>
          <w:color w:val="000000"/>
        </w:rPr>
        <w:t>forward</w:t>
      </w:r>
      <w:r w:rsidR="00D60FA7">
        <w:rPr>
          <w:rFonts w:ascii="Calibri" w:hAnsi="Calibri" w:cs="Calibri"/>
          <w:color w:val="000000"/>
        </w:rPr>
        <w:t>,</w:t>
      </w:r>
      <w:r w:rsidR="00C947AE">
        <w:rPr>
          <w:rFonts w:ascii="Calibri" w:hAnsi="Calibri" w:cs="Calibri"/>
          <w:color w:val="000000"/>
        </w:rPr>
        <w:t xml:space="preserve"> should </w:t>
      </w:r>
      <w:r w:rsidR="00B32BFB">
        <w:rPr>
          <w:rFonts w:ascii="Calibri" w:hAnsi="Calibri" w:cs="Calibri"/>
          <w:color w:val="000000"/>
        </w:rPr>
        <w:t xml:space="preserve">be developed </w:t>
      </w:r>
      <w:r w:rsidR="00B32BFB">
        <w:rPr>
          <w:rFonts w:ascii="Calibri" w:hAnsi="Calibri" w:cs="Calibri"/>
          <w:color w:val="000000"/>
        </w:rPr>
        <w:lastRenderedPageBreak/>
        <w:t>through</w:t>
      </w:r>
      <w:r w:rsidR="00CB6A1B">
        <w:rPr>
          <w:rFonts w:ascii="Calibri" w:hAnsi="Calibri" w:cs="Calibri"/>
          <w:color w:val="000000"/>
        </w:rPr>
        <w:t xml:space="preserve"> a comprehensive gender consulta</w:t>
      </w:r>
      <w:r w:rsidR="0031242F">
        <w:rPr>
          <w:rFonts w:ascii="Calibri" w:hAnsi="Calibri" w:cs="Calibri"/>
          <w:color w:val="000000"/>
        </w:rPr>
        <w:t>tive</w:t>
      </w:r>
      <w:r w:rsidR="00CB6A1B">
        <w:rPr>
          <w:rFonts w:ascii="Calibri" w:hAnsi="Calibri" w:cs="Calibri"/>
          <w:color w:val="000000"/>
        </w:rPr>
        <w:t xml:space="preserve"> </w:t>
      </w:r>
      <w:r w:rsidR="0031242F">
        <w:rPr>
          <w:rFonts w:ascii="Calibri" w:hAnsi="Calibri" w:cs="Calibri"/>
          <w:color w:val="000000"/>
        </w:rPr>
        <w:t>approach.</w:t>
      </w:r>
      <w:r w:rsidR="0094738E">
        <w:rPr>
          <w:rFonts w:ascii="Calibri" w:hAnsi="Calibri" w:cs="Calibri"/>
          <w:color w:val="000000"/>
        </w:rPr>
        <w:t xml:space="preserve"> </w:t>
      </w:r>
      <w:r w:rsidR="0031242F">
        <w:rPr>
          <w:rFonts w:ascii="Calibri" w:hAnsi="Calibri" w:cs="Calibri"/>
          <w:color w:val="000000"/>
        </w:rPr>
        <w:t>M</w:t>
      </w:r>
      <w:r w:rsidR="0094738E">
        <w:rPr>
          <w:rFonts w:ascii="Calibri" w:hAnsi="Calibri" w:cs="Calibri"/>
          <w:color w:val="000000"/>
        </w:rPr>
        <w:t xml:space="preserve">any of the project’s intended beneficiaries and key stakeholder groups identified </w:t>
      </w:r>
      <w:r w:rsidR="0031242F">
        <w:rPr>
          <w:rFonts w:ascii="Calibri" w:hAnsi="Calibri" w:cs="Calibri"/>
          <w:color w:val="000000"/>
        </w:rPr>
        <w:t>under the</w:t>
      </w:r>
      <w:r w:rsidR="0094738E">
        <w:rPr>
          <w:rFonts w:ascii="Calibri" w:hAnsi="Calibri" w:cs="Calibri"/>
          <w:color w:val="000000"/>
        </w:rPr>
        <w:t xml:space="preserve"> previous project phases</w:t>
      </w:r>
      <w:r w:rsidR="003F62BD">
        <w:rPr>
          <w:rFonts w:ascii="Calibri" w:hAnsi="Calibri" w:cs="Calibri"/>
          <w:color w:val="000000"/>
        </w:rPr>
        <w:t xml:space="preserve"> </w:t>
      </w:r>
      <w:r w:rsidR="0031242F">
        <w:rPr>
          <w:rFonts w:ascii="Calibri" w:hAnsi="Calibri" w:cs="Calibri"/>
          <w:color w:val="000000"/>
        </w:rPr>
        <w:t xml:space="preserve">should be </w:t>
      </w:r>
      <w:r w:rsidR="00EB26EB">
        <w:rPr>
          <w:rFonts w:ascii="Calibri" w:hAnsi="Calibri" w:cs="Calibri"/>
          <w:color w:val="000000"/>
        </w:rPr>
        <w:t>consulted</w:t>
      </w:r>
      <w:r w:rsidR="0031242F">
        <w:rPr>
          <w:rFonts w:ascii="Calibri" w:hAnsi="Calibri" w:cs="Calibri"/>
          <w:color w:val="000000"/>
        </w:rPr>
        <w:t>.</w:t>
      </w:r>
      <w:r w:rsidR="00365146">
        <w:rPr>
          <w:rFonts w:ascii="Calibri" w:hAnsi="Calibri" w:cs="Calibri"/>
          <w:color w:val="000000"/>
        </w:rPr>
        <w:t xml:space="preserve"> </w:t>
      </w:r>
      <w:r w:rsidR="00BF4058">
        <w:rPr>
          <w:rFonts w:ascii="Calibri" w:hAnsi="Calibri" w:cs="Calibri"/>
          <w:color w:val="000000"/>
        </w:rPr>
        <w:t xml:space="preserve">Stakeholder dialogues with </w:t>
      </w:r>
      <w:r w:rsidR="00812654">
        <w:rPr>
          <w:rFonts w:ascii="Calibri" w:hAnsi="Calibri" w:cs="Calibri"/>
          <w:color w:val="000000"/>
        </w:rPr>
        <w:t>key</w:t>
      </w:r>
      <w:r w:rsidR="00365146">
        <w:rPr>
          <w:rFonts w:ascii="Calibri" w:hAnsi="Calibri" w:cs="Calibri"/>
          <w:color w:val="000000"/>
        </w:rPr>
        <w:t xml:space="preserve"> private sector </w:t>
      </w:r>
      <w:r w:rsidR="00D0654D">
        <w:rPr>
          <w:rFonts w:ascii="Calibri" w:hAnsi="Calibri" w:cs="Calibri"/>
          <w:color w:val="000000"/>
        </w:rPr>
        <w:t>organizations such as the</w:t>
      </w:r>
      <w:r w:rsidR="005E39AC">
        <w:rPr>
          <w:rFonts w:ascii="Calibri" w:hAnsi="Calibri" w:cs="Calibri"/>
          <w:color w:val="000000"/>
        </w:rPr>
        <w:t xml:space="preserve"> Saint Vincent and the Grenadines</w:t>
      </w:r>
      <w:r w:rsidR="00D0654D">
        <w:rPr>
          <w:rFonts w:ascii="Calibri" w:hAnsi="Calibri" w:cs="Calibri"/>
          <w:color w:val="000000"/>
        </w:rPr>
        <w:t xml:space="preserve"> Chamber of </w:t>
      </w:r>
      <w:r w:rsidR="005E0BCD">
        <w:rPr>
          <w:rFonts w:ascii="Calibri" w:hAnsi="Calibri" w:cs="Calibri"/>
          <w:color w:val="000000"/>
        </w:rPr>
        <w:t xml:space="preserve">Industry and </w:t>
      </w:r>
      <w:r w:rsidR="00D0654D">
        <w:rPr>
          <w:rFonts w:ascii="Calibri" w:hAnsi="Calibri" w:cs="Calibri"/>
          <w:color w:val="000000"/>
        </w:rPr>
        <w:t>Commerce a</w:t>
      </w:r>
      <w:r w:rsidR="00812654">
        <w:rPr>
          <w:rFonts w:ascii="Calibri" w:hAnsi="Calibri" w:cs="Calibri"/>
          <w:color w:val="000000"/>
        </w:rPr>
        <w:t xml:space="preserve">s </w:t>
      </w:r>
      <w:r w:rsidR="00303BCC">
        <w:rPr>
          <w:rFonts w:ascii="Calibri" w:hAnsi="Calibri" w:cs="Calibri"/>
          <w:color w:val="000000"/>
        </w:rPr>
        <w:t>well as relevant government Ministries and</w:t>
      </w:r>
      <w:r w:rsidR="00A024C8">
        <w:rPr>
          <w:rFonts w:ascii="Calibri" w:hAnsi="Calibri" w:cs="Calibri"/>
          <w:color w:val="000000"/>
        </w:rPr>
        <w:t xml:space="preserve"> other</w:t>
      </w:r>
      <w:r w:rsidR="00303BCC">
        <w:rPr>
          <w:rFonts w:ascii="Calibri" w:hAnsi="Calibri" w:cs="Calibri"/>
          <w:color w:val="000000"/>
        </w:rPr>
        <w:t xml:space="preserve"> </w:t>
      </w:r>
      <w:r w:rsidR="008E6581">
        <w:rPr>
          <w:rFonts w:ascii="Calibri" w:hAnsi="Calibri" w:cs="Calibri"/>
          <w:color w:val="000000"/>
        </w:rPr>
        <w:t>private sector</w:t>
      </w:r>
      <w:r w:rsidR="00D41FA1">
        <w:rPr>
          <w:rFonts w:ascii="Calibri" w:hAnsi="Calibri" w:cs="Calibri"/>
          <w:color w:val="000000"/>
        </w:rPr>
        <w:t xml:space="preserve"> businesses are all key stakeholder groups which</w:t>
      </w:r>
      <w:r w:rsidR="00303BCC">
        <w:rPr>
          <w:rFonts w:ascii="Calibri" w:hAnsi="Calibri" w:cs="Calibri"/>
          <w:color w:val="000000"/>
        </w:rPr>
        <w:t xml:space="preserve"> should </w:t>
      </w:r>
      <w:r w:rsidR="00A65604">
        <w:rPr>
          <w:rFonts w:ascii="Calibri" w:hAnsi="Calibri" w:cs="Calibri"/>
          <w:color w:val="000000"/>
        </w:rPr>
        <w:t>form</w:t>
      </w:r>
      <w:r w:rsidR="00C3280C">
        <w:rPr>
          <w:rFonts w:ascii="Calibri" w:hAnsi="Calibri" w:cs="Calibri"/>
          <w:color w:val="000000"/>
        </w:rPr>
        <w:t xml:space="preserve"> a</w:t>
      </w:r>
      <w:r w:rsidR="00A65604">
        <w:rPr>
          <w:rFonts w:ascii="Calibri" w:hAnsi="Calibri" w:cs="Calibri"/>
          <w:color w:val="000000"/>
        </w:rPr>
        <w:t xml:space="preserve"> core part of the stakeholder dialogues.</w:t>
      </w:r>
      <w:r w:rsidR="008D1745">
        <w:rPr>
          <w:rFonts w:ascii="Calibri" w:hAnsi="Calibri" w:cs="Calibri"/>
          <w:color w:val="000000"/>
        </w:rPr>
        <w:t xml:space="preserve"> </w:t>
      </w:r>
      <w:r w:rsidR="0094738E">
        <w:rPr>
          <w:rFonts w:ascii="Calibri" w:hAnsi="Calibri" w:cs="Calibri"/>
          <w:color w:val="000000"/>
        </w:rPr>
        <w:t xml:space="preserve"> Such an approach ensure</w:t>
      </w:r>
      <w:r w:rsidR="00A65604">
        <w:rPr>
          <w:rFonts w:ascii="Calibri" w:hAnsi="Calibri" w:cs="Calibri"/>
          <w:color w:val="000000"/>
        </w:rPr>
        <w:t>s</w:t>
      </w:r>
      <w:r w:rsidR="0094738E">
        <w:rPr>
          <w:rFonts w:ascii="Calibri" w:hAnsi="Calibri" w:cs="Calibri"/>
          <w:color w:val="000000"/>
        </w:rPr>
        <w:t xml:space="preserve"> that the market mechanisms and structures proposed are relevant and applicable within the Saint Vincent and the Grenadines country context</w:t>
      </w:r>
      <w:r w:rsidR="00F97E0F">
        <w:rPr>
          <w:rFonts w:ascii="Calibri" w:hAnsi="Calibri" w:cs="Calibri"/>
          <w:color w:val="000000"/>
        </w:rPr>
        <w:t>, resulting in</w:t>
      </w:r>
      <w:r w:rsidR="00CA596C">
        <w:rPr>
          <w:rFonts w:ascii="Calibri" w:hAnsi="Calibri" w:cs="Calibri"/>
          <w:color w:val="000000"/>
        </w:rPr>
        <w:t xml:space="preserve"> the</w:t>
      </w:r>
      <w:r w:rsidR="00F97E0F">
        <w:rPr>
          <w:rFonts w:ascii="Calibri" w:hAnsi="Calibri" w:cs="Calibri"/>
          <w:color w:val="000000"/>
        </w:rPr>
        <w:t xml:space="preserve"> eas</w:t>
      </w:r>
      <w:r w:rsidR="00F332C8">
        <w:rPr>
          <w:rFonts w:ascii="Calibri" w:hAnsi="Calibri" w:cs="Calibri"/>
          <w:color w:val="000000"/>
        </w:rPr>
        <w:t>e</w:t>
      </w:r>
      <w:r w:rsidR="00F97E0F">
        <w:rPr>
          <w:rFonts w:ascii="Calibri" w:hAnsi="Calibri" w:cs="Calibri"/>
          <w:color w:val="000000"/>
        </w:rPr>
        <w:t xml:space="preserve"> of implementation thereafter</w:t>
      </w:r>
      <w:r w:rsidR="00C50408">
        <w:rPr>
          <w:rFonts w:ascii="Calibri" w:hAnsi="Calibri" w:cs="Calibri"/>
          <w:color w:val="000000"/>
        </w:rPr>
        <w:t>.</w:t>
      </w:r>
    </w:p>
    <w:p w14:paraId="62B7284D" w14:textId="79F69361" w:rsidR="00541E63" w:rsidRDefault="00541E63" w:rsidP="004A519F">
      <w:pPr>
        <w:autoSpaceDE w:val="0"/>
        <w:autoSpaceDN w:val="0"/>
        <w:adjustRightInd w:val="0"/>
        <w:spacing w:before="240" w:after="240"/>
        <w:jc w:val="both"/>
        <w:rPr>
          <w:rFonts w:ascii="Calibri" w:hAnsi="Calibri" w:cs="Calibri"/>
          <w:b/>
          <w:bCs/>
          <w:color w:val="000000"/>
        </w:rPr>
      </w:pPr>
      <w:r w:rsidRPr="006D3E02">
        <w:rPr>
          <w:rFonts w:ascii="Calibri" w:hAnsi="Calibri" w:cs="Calibri"/>
          <w:b/>
          <w:bCs/>
          <w:color w:val="000000"/>
        </w:rPr>
        <w:t>2.5 Phase IV-</w:t>
      </w:r>
      <w:r w:rsidR="00777E10" w:rsidRPr="006D3E02">
        <w:rPr>
          <w:rFonts w:ascii="Calibri" w:hAnsi="Calibri" w:cs="Calibri"/>
          <w:b/>
          <w:bCs/>
          <w:color w:val="000000"/>
        </w:rPr>
        <w:t xml:space="preserve"> Develop</w:t>
      </w:r>
      <w:r w:rsidR="00A732B2" w:rsidRPr="006D3E02">
        <w:rPr>
          <w:rFonts w:ascii="Calibri" w:hAnsi="Calibri" w:cs="Calibri"/>
          <w:b/>
          <w:bCs/>
          <w:color w:val="000000"/>
        </w:rPr>
        <w:t xml:space="preserve"> </w:t>
      </w:r>
      <w:r w:rsidR="00A732B2" w:rsidRPr="00FB4808">
        <w:rPr>
          <w:rFonts w:ascii="Calibri" w:hAnsi="Calibri" w:cs="Calibri"/>
          <w:b/>
          <w:bCs/>
          <w:color w:val="000000"/>
          <w:u w:val="single"/>
        </w:rPr>
        <w:t>concept</w:t>
      </w:r>
      <w:r w:rsidR="00F97E0F">
        <w:rPr>
          <w:rStyle w:val="FootnoteReference"/>
          <w:rFonts w:ascii="Calibri" w:hAnsi="Calibri" w:cs="Calibri"/>
          <w:b/>
          <w:bCs/>
          <w:color w:val="000000"/>
          <w:u w:val="single"/>
        </w:rPr>
        <w:footnoteReference w:id="11"/>
      </w:r>
      <w:r w:rsidR="00A732B2" w:rsidRPr="00FB4808">
        <w:rPr>
          <w:rFonts w:ascii="Calibri" w:hAnsi="Calibri" w:cs="Calibri"/>
          <w:b/>
          <w:bCs/>
          <w:color w:val="000000"/>
          <w:u w:val="single"/>
        </w:rPr>
        <w:t xml:space="preserve"> </w:t>
      </w:r>
      <w:r w:rsidR="00AA235D" w:rsidRPr="006D3E02">
        <w:rPr>
          <w:rFonts w:ascii="Calibri" w:hAnsi="Calibri" w:cs="Calibri"/>
          <w:b/>
          <w:bCs/>
          <w:color w:val="000000"/>
        </w:rPr>
        <w:t xml:space="preserve">finance and investment business cases to support private sector financing of climate </w:t>
      </w:r>
      <w:r w:rsidR="00B56762" w:rsidRPr="006D3E02">
        <w:rPr>
          <w:rFonts w:ascii="Calibri" w:hAnsi="Calibri" w:cs="Calibri"/>
          <w:b/>
          <w:bCs/>
          <w:color w:val="000000"/>
        </w:rPr>
        <w:t>change projects</w:t>
      </w:r>
      <w:r w:rsidR="007D3722" w:rsidRPr="006D3E02">
        <w:rPr>
          <w:rFonts w:ascii="Calibri" w:hAnsi="Calibri" w:cs="Calibri"/>
          <w:b/>
          <w:bCs/>
          <w:color w:val="000000"/>
        </w:rPr>
        <w:t>.</w:t>
      </w:r>
    </w:p>
    <w:p w14:paraId="4DA0791F" w14:textId="105B6C25" w:rsidR="000208BF" w:rsidRPr="0007060C" w:rsidRDefault="00F71ACD" w:rsidP="004A519F">
      <w:pPr>
        <w:autoSpaceDE w:val="0"/>
        <w:autoSpaceDN w:val="0"/>
        <w:adjustRightInd w:val="0"/>
        <w:spacing w:before="240" w:after="240"/>
        <w:jc w:val="both"/>
        <w:rPr>
          <w:rFonts w:ascii="Calibri" w:hAnsi="Calibri" w:cs="Calibri"/>
          <w:color w:val="000000"/>
        </w:rPr>
      </w:pPr>
      <w:r w:rsidRPr="00073550">
        <w:rPr>
          <w:rFonts w:ascii="Calibri" w:hAnsi="Calibri" w:cs="Calibri"/>
          <w:color w:val="000000"/>
        </w:rPr>
        <w:t>One of th</w:t>
      </w:r>
      <w:r w:rsidR="00A95962" w:rsidRPr="00073550">
        <w:rPr>
          <w:rFonts w:ascii="Calibri" w:hAnsi="Calibri" w:cs="Calibri"/>
          <w:color w:val="000000"/>
        </w:rPr>
        <w:t>e core objectives of the Climate Promise Programme is to support countries</w:t>
      </w:r>
      <w:r w:rsidRPr="00073550">
        <w:rPr>
          <w:rFonts w:ascii="Calibri" w:hAnsi="Calibri" w:cs="Calibri"/>
          <w:color w:val="000000"/>
        </w:rPr>
        <w:t xml:space="preserve"> </w:t>
      </w:r>
      <w:r w:rsidR="00960BFA">
        <w:rPr>
          <w:rFonts w:ascii="Calibri" w:hAnsi="Calibri" w:cs="Calibri"/>
          <w:color w:val="000000"/>
        </w:rPr>
        <w:t>in their costing actions</w:t>
      </w:r>
      <w:r w:rsidR="00A316D7">
        <w:rPr>
          <w:rFonts w:ascii="Calibri" w:hAnsi="Calibri" w:cs="Calibri"/>
          <w:color w:val="000000"/>
        </w:rPr>
        <w:t xml:space="preserve">, </w:t>
      </w:r>
      <w:r w:rsidR="004B6950">
        <w:rPr>
          <w:rFonts w:ascii="Calibri" w:hAnsi="Calibri" w:cs="Calibri"/>
          <w:color w:val="000000"/>
        </w:rPr>
        <w:t>resulting in the development of financing and investment cases for</w:t>
      </w:r>
      <w:r w:rsidR="009C031D">
        <w:rPr>
          <w:rFonts w:ascii="Calibri" w:hAnsi="Calibri" w:cs="Calibri"/>
          <w:color w:val="000000"/>
        </w:rPr>
        <w:t xml:space="preserve"> priority sectors identified under a country’s NDCs.</w:t>
      </w:r>
      <w:r w:rsidR="00981D64">
        <w:rPr>
          <w:rFonts w:ascii="Calibri" w:hAnsi="Calibri" w:cs="Calibri"/>
          <w:color w:val="000000"/>
        </w:rPr>
        <w:t xml:space="preserve"> </w:t>
      </w:r>
      <w:r w:rsidR="009061B3">
        <w:rPr>
          <w:rFonts w:ascii="Calibri" w:hAnsi="Calibri" w:cs="Calibri"/>
          <w:color w:val="000000"/>
        </w:rPr>
        <w:t xml:space="preserve"> </w:t>
      </w:r>
      <w:r w:rsidR="00AA17BF">
        <w:rPr>
          <w:rFonts w:ascii="Calibri" w:hAnsi="Calibri" w:cs="Calibri"/>
          <w:color w:val="000000"/>
        </w:rPr>
        <w:t xml:space="preserve">For some countries, </w:t>
      </w:r>
      <w:r w:rsidR="00C600CA">
        <w:rPr>
          <w:rFonts w:ascii="Calibri" w:hAnsi="Calibri" w:cs="Calibri"/>
          <w:color w:val="000000"/>
        </w:rPr>
        <w:t>“</w:t>
      </w:r>
      <w:r w:rsidR="00AA17BF">
        <w:rPr>
          <w:rFonts w:ascii="Calibri" w:hAnsi="Calibri" w:cs="Calibri"/>
          <w:color w:val="000000"/>
        </w:rPr>
        <w:t xml:space="preserve">the </w:t>
      </w:r>
      <w:r w:rsidR="0076708D">
        <w:rPr>
          <w:rFonts w:ascii="Calibri" w:hAnsi="Calibri" w:cs="Calibri"/>
          <w:color w:val="000000"/>
        </w:rPr>
        <w:t>cost of nat</w:t>
      </w:r>
      <w:r w:rsidR="001C754A">
        <w:rPr>
          <w:rFonts w:ascii="Calibri" w:hAnsi="Calibri" w:cs="Calibri"/>
          <w:color w:val="000000"/>
        </w:rPr>
        <w:t>i</w:t>
      </w:r>
      <w:r w:rsidR="0076708D">
        <w:rPr>
          <w:rFonts w:ascii="Calibri" w:hAnsi="Calibri" w:cs="Calibri"/>
          <w:color w:val="000000"/>
        </w:rPr>
        <w:t xml:space="preserve">onal </w:t>
      </w:r>
      <w:r w:rsidR="00106CE4">
        <w:rPr>
          <w:rFonts w:ascii="Calibri" w:hAnsi="Calibri" w:cs="Calibri"/>
          <w:color w:val="000000"/>
        </w:rPr>
        <w:t>implementation</w:t>
      </w:r>
      <w:r w:rsidR="0076708D">
        <w:rPr>
          <w:rFonts w:ascii="Calibri" w:hAnsi="Calibri" w:cs="Calibri"/>
          <w:color w:val="000000"/>
        </w:rPr>
        <w:t xml:space="preserve"> has been estimated as a grand total, with little disaggregation of the financial needs at a </w:t>
      </w:r>
      <w:r w:rsidR="001C754A">
        <w:rPr>
          <w:rFonts w:ascii="Calibri" w:hAnsi="Calibri" w:cs="Calibri"/>
          <w:color w:val="000000"/>
        </w:rPr>
        <w:t>sectoral or even at an individual priority NDC action</w:t>
      </w:r>
      <w:r w:rsidR="00F02A70">
        <w:rPr>
          <w:rFonts w:ascii="Calibri" w:hAnsi="Calibri" w:cs="Calibri"/>
          <w:color w:val="000000"/>
        </w:rPr>
        <w:t xml:space="preserve"> level</w:t>
      </w:r>
      <w:r w:rsidR="001C754A">
        <w:rPr>
          <w:rFonts w:ascii="Calibri" w:hAnsi="Calibri" w:cs="Calibri"/>
          <w:color w:val="000000"/>
        </w:rPr>
        <w:t>.</w:t>
      </w:r>
      <w:r w:rsidR="00C600CA">
        <w:rPr>
          <w:rFonts w:ascii="Calibri" w:hAnsi="Calibri" w:cs="Calibri"/>
          <w:color w:val="000000"/>
        </w:rPr>
        <w:t>”</w:t>
      </w:r>
      <w:r w:rsidR="00FB4808">
        <w:rPr>
          <w:rStyle w:val="FootnoteReference"/>
          <w:rFonts w:ascii="Calibri" w:hAnsi="Calibri" w:cs="Calibri"/>
          <w:color w:val="000000"/>
        </w:rPr>
        <w:footnoteReference w:id="12"/>
      </w:r>
      <w:r w:rsidR="001C754A">
        <w:rPr>
          <w:rFonts w:ascii="Calibri" w:hAnsi="Calibri" w:cs="Calibri"/>
          <w:color w:val="000000"/>
        </w:rPr>
        <w:t xml:space="preserve"> Moreover, when taking on board important gender considerations the cost of financing </w:t>
      </w:r>
      <w:r w:rsidR="00106CE4">
        <w:rPr>
          <w:rFonts w:ascii="Calibri" w:hAnsi="Calibri" w:cs="Calibri"/>
          <w:color w:val="000000"/>
        </w:rPr>
        <w:t xml:space="preserve">or investing in </w:t>
      </w:r>
      <w:r w:rsidR="00B70778">
        <w:rPr>
          <w:rFonts w:ascii="Calibri" w:hAnsi="Calibri" w:cs="Calibri"/>
          <w:color w:val="000000"/>
        </w:rPr>
        <w:t>gender responsive climate finance</w:t>
      </w:r>
      <w:r w:rsidR="00106CE4">
        <w:rPr>
          <w:rFonts w:ascii="Calibri" w:hAnsi="Calibri" w:cs="Calibri"/>
          <w:color w:val="000000"/>
        </w:rPr>
        <w:t xml:space="preserve"> actions has largely</w:t>
      </w:r>
      <w:r w:rsidR="00C600CA">
        <w:rPr>
          <w:rFonts w:ascii="Calibri" w:hAnsi="Calibri" w:cs="Calibri"/>
          <w:color w:val="000000"/>
        </w:rPr>
        <w:t xml:space="preserve"> been</w:t>
      </w:r>
      <w:r w:rsidR="00106CE4">
        <w:rPr>
          <w:rFonts w:ascii="Calibri" w:hAnsi="Calibri" w:cs="Calibri"/>
          <w:color w:val="000000"/>
        </w:rPr>
        <w:t xml:space="preserve"> overlooked.</w:t>
      </w:r>
      <w:r w:rsidR="004B5898">
        <w:rPr>
          <w:rFonts w:ascii="Calibri" w:hAnsi="Calibri" w:cs="Calibri"/>
          <w:color w:val="000000"/>
        </w:rPr>
        <w:t xml:space="preserve"> The NDC revision process provides an opportunity to better articulat</w:t>
      </w:r>
      <w:r w:rsidR="00DC32EF">
        <w:rPr>
          <w:rFonts w:ascii="Calibri" w:hAnsi="Calibri" w:cs="Calibri"/>
          <w:color w:val="000000"/>
        </w:rPr>
        <w:t>e</w:t>
      </w:r>
      <w:r w:rsidR="004242BA">
        <w:rPr>
          <w:rFonts w:ascii="Calibri" w:hAnsi="Calibri" w:cs="Calibri"/>
          <w:color w:val="000000"/>
        </w:rPr>
        <w:t xml:space="preserve"> </w:t>
      </w:r>
      <w:r w:rsidR="009E56FC">
        <w:rPr>
          <w:rFonts w:ascii="Calibri" w:hAnsi="Calibri" w:cs="Calibri"/>
          <w:color w:val="000000"/>
        </w:rPr>
        <w:t>the expected cost of implementation</w:t>
      </w:r>
      <w:r w:rsidR="00DC32EF">
        <w:rPr>
          <w:rFonts w:ascii="Calibri" w:hAnsi="Calibri" w:cs="Calibri"/>
          <w:color w:val="000000"/>
        </w:rPr>
        <w:t>. Under the scope of this consultancy, the consultant will be expected to d</w:t>
      </w:r>
      <w:r w:rsidR="004242BA">
        <w:rPr>
          <w:rFonts w:ascii="Calibri" w:hAnsi="Calibri" w:cs="Calibri"/>
          <w:color w:val="000000"/>
        </w:rPr>
        <w:t>evelop gender responsi</w:t>
      </w:r>
      <w:r w:rsidR="00D83DE6">
        <w:rPr>
          <w:rFonts w:ascii="Calibri" w:hAnsi="Calibri" w:cs="Calibri"/>
          <w:color w:val="000000"/>
        </w:rPr>
        <w:t xml:space="preserve">ve </w:t>
      </w:r>
      <w:r w:rsidR="002C7A89" w:rsidRPr="002C7A89">
        <w:rPr>
          <w:rFonts w:ascii="Calibri" w:hAnsi="Calibri" w:cs="Calibri"/>
          <w:b/>
          <w:bCs/>
          <w:color w:val="000000"/>
          <w:u w:val="single"/>
        </w:rPr>
        <w:t>concept</w:t>
      </w:r>
      <w:r w:rsidR="002C7A89">
        <w:rPr>
          <w:rFonts w:ascii="Calibri" w:hAnsi="Calibri" w:cs="Calibri"/>
          <w:color w:val="000000"/>
        </w:rPr>
        <w:t xml:space="preserve"> investment and finance business cases</w:t>
      </w:r>
      <w:r w:rsidR="003400AF">
        <w:rPr>
          <w:rFonts w:ascii="Calibri" w:hAnsi="Calibri" w:cs="Calibri"/>
          <w:color w:val="000000"/>
        </w:rPr>
        <w:t xml:space="preserve"> for some of the select</w:t>
      </w:r>
      <w:r w:rsidR="00DD259B">
        <w:rPr>
          <w:rStyle w:val="FootnoteReference"/>
          <w:rFonts w:ascii="Calibri" w:hAnsi="Calibri" w:cs="Calibri"/>
          <w:color w:val="000000"/>
        </w:rPr>
        <w:footnoteReference w:id="13"/>
      </w:r>
      <w:r w:rsidR="003400AF">
        <w:rPr>
          <w:rFonts w:ascii="Calibri" w:hAnsi="Calibri" w:cs="Calibri"/>
          <w:color w:val="000000"/>
        </w:rPr>
        <w:t xml:space="preserve"> priority sectors identified under Saint Vincent and the Grenadines INDCs.</w:t>
      </w:r>
      <w:r w:rsidR="00DF3FFE">
        <w:rPr>
          <w:rFonts w:ascii="Calibri" w:hAnsi="Calibri" w:cs="Calibri"/>
          <w:color w:val="000000"/>
        </w:rPr>
        <w:t xml:space="preserve"> </w:t>
      </w:r>
      <w:r w:rsidR="00981D64">
        <w:rPr>
          <w:rFonts w:ascii="Calibri" w:hAnsi="Calibri" w:cs="Calibri"/>
          <w:color w:val="000000"/>
        </w:rPr>
        <w:t>The development of</w:t>
      </w:r>
      <w:r w:rsidR="003400AF">
        <w:rPr>
          <w:rFonts w:ascii="Calibri" w:hAnsi="Calibri" w:cs="Calibri"/>
          <w:color w:val="000000"/>
        </w:rPr>
        <w:t xml:space="preserve"> such </w:t>
      </w:r>
      <w:r w:rsidR="003400AF" w:rsidRPr="00DF3FFE">
        <w:rPr>
          <w:rFonts w:ascii="Calibri" w:hAnsi="Calibri" w:cs="Calibri"/>
          <w:b/>
          <w:bCs/>
          <w:color w:val="000000"/>
          <w:u w:val="single"/>
        </w:rPr>
        <w:t>concept</w:t>
      </w:r>
      <w:r w:rsidR="00981D64">
        <w:rPr>
          <w:rFonts w:ascii="Calibri" w:hAnsi="Calibri" w:cs="Calibri"/>
          <w:color w:val="000000"/>
        </w:rPr>
        <w:t xml:space="preserve"> investment</w:t>
      </w:r>
      <w:r w:rsidR="003400AF">
        <w:rPr>
          <w:rFonts w:ascii="Calibri" w:hAnsi="Calibri" w:cs="Calibri"/>
          <w:color w:val="000000"/>
        </w:rPr>
        <w:t xml:space="preserve"> and finance</w:t>
      </w:r>
      <w:r w:rsidR="00981D64">
        <w:rPr>
          <w:rFonts w:ascii="Calibri" w:hAnsi="Calibri" w:cs="Calibri"/>
          <w:color w:val="000000"/>
        </w:rPr>
        <w:t xml:space="preserve"> business cases </w:t>
      </w:r>
      <w:r w:rsidR="00F17314">
        <w:rPr>
          <w:rFonts w:ascii="Calibri" w:hAnsi="Calibri" w:cs="Calibri"/>
          <w:color w:val="000000"/>
        </w:rPr>
        <w:t>i</w:t>
      </w:r>
      <w:r w:rsidR="003400AF">
        <w:rPr>
          <w:rFonts w:ascii="Calibri" w:hAnsi="Calibri" w:cs="Calibri"/>
          <w:color w:val="000000"/>
        </w:rPr>
        <w:t xml:space="preserve">s </w:t>
      </w:r>
      <w:r w:rsidR="00F17314">
        <w:rPr>
          <w:rFonts w:ascii="Calibri" w:hAnsi="Calibri" w:cs="Calibri"/>
          <w:color w:val="000000"/>
        </w:rPr>
        <w:t>meant to</w:t>
      </w:r>
      <w:r w:rsidR="003400AF">
        <w:rPr>
          <w:rFonts w:ascii="Calibri" w:hAnsi="Calibri" w:cs="Calibri"/>
          <w:color w:val="000000"/>
        </w:rPr>
        <w:t xml:space="preserve"> firstly attract and secondly</w:t>
      </w:r>
      <w:r w:rsidR="00F17314">
        <w:rPr>
          <w:rFonts w:ascii="Calibri" w:hAnsi="Calibri" w:cs="Calibri"/>
          <w:color w:val="000000"/>
        </w:rPr>
        <w:t xml:space="preserve"> mobilize private sector investment more effectively </w:t>
      </w:r>
      <w:r w:rsidR="003400AF">
        <w:rPr>
          <w:rFonts w:ascii="Calibri" w:hAnsi="Calibri" w:cs="Calibri"/>
          <w:color w:val="000000"/>
        </w:rPr>
        <w:t xml:space="preserve">in </w:t>
      </w:r>
      <w:r w:rsidR="00221C5A">
        <w:rPr>
          <w:rFonts w:ascii="Calibri" w:hAnsi="Calibri" w:cs="Calibri"/>
          <w:color w:val="000000"/>
        </w:rPr>
        <w:t>support</w:t>
      </w:r>
      <w:r w:rsidR="003400AF">
        <w:rPr>
          <w:rFonts w:ascii="Calibri" w:hAnsi="Calibri" w:cs="Calibri"/>
          <w:color w:val="000000"/>
        </w:rPr>
        <w:t xml:space="preserve"> of Saint Vincent and the Grenadines NDC</w:t>
      </w:r>
      <w:r w:rsidR="00DF3FFE">
        <w:rPr>
          <w:rFonts w:ascii="Calibri" w:hAnsi="Calibri" w:cs="Calibri"/>
          <w:color w:val="000000"/>
        </w:rPr>
        <w:t>s</w:t>
      </w:r>
      <w:r w:rsidR="00221C5A">
        <w:rPr>
          <w:rFonts w:ascii="Calibri" w:hAnsi="Calibri" w:cs="Calibri"/>
          <w:color w:val="000000"/>
        </w:rPr>
        <w:t xml:space="preserve"> impl</w:t>
      </w:r>
      <w:r w:rsidR="001F5799">
        <w:rPr>
          <w:rFonts w:ascii="Calibri" w:hAnsi="Calibri" w:cs="Calibri"/>
          <w:color w:val="000000"/>
        </w:rPr>
        <w:t>e</w:t>
      </w:r>
      <w:r w:rsidR="00221C5A">
        <w:rPr>
          <w:rFonts w:ascii="Calibri" w:hAnsi="Calibri" w:cs="Calibri"/>
          <w:color w:val="000000"/>
        </w:rPr>
        <w:t>mentation</w:t>
      </w:r>
      <w:r w:rsidR="001F5799">
        <w:rPr>
          <w:rFonts w:ascii="Calibri" w:hAnsi="Calibri" w:cs="Calibri"/>
          <w:color w:val="000000"/>
        </w:rPr>
        <w:t xml:space="preserve"> efforts.</w:t>
      </w:r>
      <w:r w:rsidR="00E61589">
        <w:rPr>
          <w:rFonts w:ascii="Calibri" w:hAnsi="Calibri" w:cs="Calibri"/>
          <w:color w:val="000000"/>
        </w:rPr>
        <w:t xml:space="preserve"> </w:t>
      </w:r>
      <w:r w:rsidR="007135F7">
        <w:rPr>
          <w:rFonts w:ascii="Calibri" w:hAnsi="Calibri" w:cs="Calibri"/>
          <w:color w:val="000000"/>
        </w:rPr>
        <w:t xml:space="preserve"> Furthermore, the development of concept</w:t>
      </w:r>
      <w:r w:rsidR="001B5E0A">
        <w:rPr>
          <w:rFonts w:ascii="Calibri" w:hAnsi="Calibri" w:cs="Calibri"/>
          <w:color w:val="000000"/>
        </w:rPr>
        <w:t xml:space="preserve"> investment and finance business cases within the sector priority areas also</w:t>
      </w:r>
      <w:r w:rsidR="007135F7">
        <w:rPr>
          <w:rFonts w:ascii="Calibri" w:hAnsi="Calibri" w:cs="Calibri"/>
          <w:color w:val="000000"/>
        </w:rPr>
        <w:t xml:space="preserve"> ensures that </w:t>
      </w:r>
      <w:r w:rsidR="00AD1A85">
        <w:rPr>
          <w:rFonts w:ascii="Calibri" w:hAnsi="Calibri" w:cs="Calibri"/>
          <w:color w:val="000000"/>
        </w:rPr>
        <w:t>a strong pipeline of bankable investment projects exist which are easily identifiabl</w:t>
      </w:r>
      <w:r w:rsidR="00A32E7E">
        <w:rPr>
          <w:rFonts w:ascii="Calibri" w:hAnsi="Calibri" w:cs="Calibri"/>
          <w:color w:val="000000"/>
        </w:rPr>
        <w:t>e. This</w:t>
      </w:r>
      <w:r w:rsidR="005A5D26">
        <w:rPr>
          <w:rFonts w:ascii="Calibri" w:hAnsi="Calibri" w:cs="Calibri"/>
          <w:color w:val="000000"/>
        </w:rPr>
        <w:t xml:space="preserve"> is</w:t>
      </w:r>
      <w:r w:rsidR="00A32E7E">
        <w:rPr>
          <w:rFonts w:ascii="Calibri" w:hAnsi="Calibri" w:cs="Calibri"/>
          <w:color w:val="000000"/>
        </w:rPr>
        <w:t xml:space="preserve"> expected to aid the Government of Saint Vincent and the Grenadines in attracting the necessary foreign direct investment needed to support such actions.</w:t>
      </w:r>
    </w:p>
    <w:p w14:paraId="18EB23A5" w14:textId="6609AA6E" w:rsidR="0038163B" w:rsidRDefault="0038163B" w:rsidP="004A519F">
      <w:pPr>
        <w:autoSpaceDE w:val="0"/>
        <w:autoSpaceDN w:val="0"/>
        <w:adjustRightInd w:val="0"/>
        <w:spacing w:before="240" w:after="240"/>
        <w:jc w:val="both"/>
        <w:rPr>
          <w:rFonts w:ascii="Calibri" w:hAnsi="Calibri" w:cs="Calibri"/>
          <w:b/>
          <w:bCs/>
          <w:color w:val="000000"/>
        </w:rPr>
      </w:pPr>
      <w:r w:rsidRPr="006D3E02">
        <w:rPr>
          <w:rFonts w:ascii="Calibri" w:hAnsi="Calibri" w:cs="Calibri"/>
          <w:b/>
          <w:bCs/>
          <w:color w:val="000000"/>
        </w:rPr>
        <w:t>2.6 Phase V-</w:t>
      </w:r>
      <w:r w:rsidR="006C5BAF" w:rsidRPr="006D3E02">
        <w:rPr>
          <w:rFonts w:ascii="Calibri" w:hAnsi="Calibri" w:cs="Calibri"/>
          <w:b/>
          <w:bCs/>
          <w:color w:val="000000"/>
        </w:rPr>
        <w:t xml:space="preserve"> Identify</w:t>
      </w:r>
      <w:r w:rsidR="00B802FE" w:rsidRPr="006D3E02">
        <w:rPr>
          <w:rFonts w:ascii="Calibri" w:hAnsi="Calibri" w:cs="Calibri"/>
          <w:b/>
          <w:bCs/>
          <w:color w:val="000000"/>
        </w:rPr>
        <w:t xml:space="preserve"> domestic</w:t>
      </w:r>
      <w:r w:rsidR="00833116" w:rsidRPr="006D3E02">
        <w:rPr>
          <w:rFonts w:ascii="Calibri" w:hAnsi="Calibri" w:cs="Calibri"/>
          <w:b/>
          <w:bCs/>
          <w:color w:val="000000"/>
        </w:rPr>
        <w:t xml:space="preserve"> private sector </w:t>
      </w:r>
      <w:r w:rsidR="00995DBD" w:rsidRPr="006D3E02">
        <w:rPr>
          <w:rFonts w:ascii="Calibri" w:hAnsi="Calibri" w:cs="Calibri"/>
          <w:b/>
          <w:bCs/>
          <w:color w:val="000000"/>
        </w:rPr>
        <w:t>actors</w:t>
      </w:r>
      <w:r w:rsidR="00833116" w:rsidRPr="006D3E02">
        <w:rPr>
          <w:rFonts w:ascii="Calibri" w:hAnsi="Calibri" w:cs="Calibri"/>
          <w:b/>
          <w:bCs/>
          <w:color w:val="000000"/>
        </w:rPr>
        <w:t xml:space="preserve"> which can support</w:t>
      </w:r>
      <w:r w:rsidR="00995DBD" w:rsidRPr="006D3E02">
        <w:rPr>
          <w:rFonts w:ascii="Calibri" w:hAnsi="Calibri" w:cs="Calibri"/>
          <w:b/>
          <w:bCs/>
          <w:color w:val="000000"/>
        </w:rPr>
        <w:t xml:space="preserve"> the mobilization of private capital</w:t>
      </w:r>
      <w:r w:rsidR="003E349F" w:rsidRPr="006D3E02">
        <w:rPr>
          <w:rFonts w:ascii="Calibri" w:hAnsi="Calibri" w:cs="Calibri"/>
          <w:b/>
          <w:bCs/>
          <w:color w:val="000000"/>
        </w:rPr>
        <w:t xml:space="preserve"> </w:t>
      </w:r>
      <w:r w:rsidR="007F3804" w:rsidRPr="006D3E02">
        <w:rPr>
          <w:rFonts w:ascii="Calibri" w:hAnsi="Calibri" w:cs="Calibri"/>
          <w:b/>
          <w:bCs/>
          <w:color w:val="000000"/>
        </w:rPr>
        <w:t>towards gender-responsive NDC implementation within Saint Vincent and the Grenadines.</w:t>
      </w:r>
    </w:p>
    <w:p w14:paraId="1BDC18A0" w14:textId="7407843D" w:rsidR="000208BF" w:rsidRPr="002859D9" w:rsidRDefault="001072A3" w:rsidP="004A519F">
      <w:pPr>
        <w:autoSpaceDE w:val="0"/>
        <w:autoSpaceDN w:val="0"/>
        <w:adjustRightInd w:val="0"/>
        <w:spacing w:before="240" w:after="240"/>
        <w:jc w:val="both"/>
        <w:rPr>
          <w:rFonts w:ascii="Calibri" w:hAnsi="Calibri" w:cs="Calibri"/>
          <w:color w:val="000000"/>
        </w:rPr>
      </w:pPr>
      <w:r w:rsidRPr="001072A3">
        <w:rPr>
          <w:rFonts w:ascii="Calibri" w:hAnsi="Calibri" w:cs="Calibri"/>
          <w:color w:val="000000"/>
        </w:rPr>
        <w:t>Although</w:t>
      </w:r>
      <w:r w:rsidR="00F710E7">
        <w:rPr>
          <w:rFonts w:ascii="Calibri" w:hAnsi="Calibri" w:cs="Calibri"/>
          <w:color w:val="000000"/>
        </w:rPr>
        <w:t xml:space="preserve">, it is widely </w:t>
      </w:r>
      <w:r w:rsidR="00472C06">
        <w:rPr>
          <w:rFonts w:ascii="Calibri" w:hAnsi="Calibri" w:cs="Calibri"/>
          <w:color w:val="000000"/>
        </w:rPr>
        <w:t>accepted</w:t>
      </w:r>
      <w:r w:rsidR="00F710E7">
        <w:rPr>
          <w:rFonts w:ascii="Calibri" w:hAnsi="Calibri" w:cs="Calibri"/>
          <w:color w:val="000000"/>
        </w:rPr>
        <w:t xml:space="preserve"> </w:t>
      </w:r>
      <w:r w:rsidR="00030D9A">
        <w:rPr>
          <w:rFonts w:ascii="Calibri" w:hAnsi="Calibri" w:cs="Calibri"/>
          <w:color w:val="000000"/>
        </w:rPr>
        <w:t xml:space="preserve">that of the </w:t>
      </w:r>
      <w:r w:rsidR="001D4CBC">
        <w:rPr>
          <w:rFonts w:ascii="Calibri" w:hAnsi="Calibri" w:cs="Calibri"/>
          <w:color w:val="000000"/>
        </w:rPr>
        <w:t>“</w:t>
      </w:r>
      <w:r w:rsidR="00030D9A">
        <w:rPr>
          <w:rFonts w:ascii="Calibri" w:hAnsi="Calibri" w:cs="Calibri"/>
          <w:color w:val="000000"/>
        </w:rPr>
        <w:t xml:space="preserve">$23 trillion in climate smart investment opportunities </w:t>
      </w:r>
      <w:r w:rsidR="00BF5F66">
        <w:rPr>
          <w:rFonts w:ascii="Calibri" w:hAnsi="Calibri" w:cs="Calibri"/>
          <w:color w:val="000000"/>
        </w:rPr>
        <w:t xml:space="preserve">identified </w:t>
      </w:r>
      <w:r w:rsidR="000F002F">
        <w:rPr>
          <w:rFonts w:ascii="Calibri" w:hAnsi="Calibri" w:cs="Calibri"/>
          <w:color w:val="000000"/>
        </w:rPr>
        <w:t>across</w:t>
      </w:r>
      <w:r w:rsidR="00BF5F66">
        <w:rPr>
          <w:rFonts w:ascii="Calibri" w:hAnsi="Calibri" w:cs="Calibri"/>
          <w:color w:val="000000"/>
        </w:rPr>
        <w:t xml:space="preserve"> emerging economies</w:t>
      </w:r>
      <w:r w:rsidR="001D4CBC">
        <w:rPr>
          <w:rFonts w:ascii="Calibri" w:hAnsi="Calibri" w:cs="Calibri"/>
          <w:color w:val="000000"/>
        </w:rPr>
        <w:t>”</w:t>
      </w:r>
      <w:r w:rsidR="00716448">
        <w:rPr>
          <w:rStyle w:val="FootnoteReference"/>
          <w:rFonts w:ascii="Calibri" w:hAnsi="Calibri" w:cs="Calibri"/>
          <w:color w:val="000000"/>
        </w:rPr>
        <w:footnoteReference w:id="14"/>
      </w:r>
      <w:r w:rsidR="00A07D15">
        <w:rPr>
          <w:rFonts w:ascii="Calibri" w:hAnsi="Calibri" w:cs="Calibri"/>
          <w:color w:val="000000"/>
        </w:rPr>
        <w:t>,</w:t>
      </w:r>
      <w:r w:rsidR="00C35B07">
        <w:rPr>
          <w:rFonts w:ascii="Calibri" w:hAnsi="Calibri" w:cs="Calibri"/>
          <w:color w:val="000000"/>
        </w:rPr>
        <w:t xml:space="preserve"> </w:t>
      </w:r>
      <w:r w:rsidR="00BF5F66">
        <w:rPr>
          <w:rFonts w:ascii="Calibri" w:hAnsi="Calibri" w:cs="Calibri"/>
          <w:color w:val="000000"/>
        </w:rPr>
        <w:t>most</w:t>
      </w:r>
      <w:r w:rsidR="00742E26">
        <w:rPr>
          <w:rFonts w:ascii="Calibri" w:hAnsi="Calibri" w:cs="Calibri"/>
          <w:color w:val="000000"/>
        </w:rPr>
        <w:t xml:space="preserve"> of the capital derived</w:t>
      </w:r>
      <w:r w:rsidR="00BF5F66">
        <w:rPr>
          <w:rFonts w:ascii="Calibri" w:hAnsi="Calibri" w:cs="Calibri"/>
          <w:color w:val="000000"/>
        </w:rPr>
        <w:t xml:space="preserve"> </w:t>
      </w:r>
      <w:r w:rsidR="00742E26">
        <w:rPr>
          <w:rFonts w:ascii="Calibri" w:hAnsi="Calibri" w:cs="Calibri"/>
          <w:color w:val="000000"/>
        </w:rPr>
        <w:t>will be</w:t>
      </w:r>
      <w:r w:rsidR="00BF5F66">
        <w:rPr>
          <w:rFonts w:ascii="Calibri" w:hAnsi="Calibri" w:cs="Calibri"/>
          <w:color w:val="000000"/>
        </w:rPr>
        <w:t xml:space="preserve"> from </w:t>
      </w:r>
      <w:r w:rsidR="00FD0093">
        <w:rPr>
          <w:rFonts w:ascii="Calibri" w:hAnsi="Calibri" w:cs="Calibri"/>
          <w:color w:val="000000"/>
        </w:rPr>
        <w:t>international private investment inflows</w:t>
      </w:r>
      <w:r w:rsidR="00742E26">
        <w:rPr>
          <w:rFonts w:ascii="Calibri" w:hAnsi="Calibri" w:cs="Calibri"/>
          <w:color w:val="000000"/>
        </w:rPr>
        <w:t>, given</w:t>
      </w:r>
      <w:r w:rsidR="00913CD3">
        <w:rPr>
          <w:rFonts w:ascii="Calibri" w:hAnsi="Calibri" w:cs="Calibri"/>
          <w:color w:val="000000"/>
        </w:rPr>
        <w:t xml:space="preserve"> the fragility as well as the small</w:t>
      </w:r>
      <w:r w:rsidR="000A4374">
        <w:rPr>
          <w:rFonts w:ascii="Calibri" w:hAnsi="Calibri" w:cs="Calibri"/>
          <w:color w:val="000000"/>
        </w:rPr>
        <w:t xml:space="preserve"> open</w:t>
      </w:r>
      <w:r w:rsidR="003B47B0">
        <w:rPr>
          <w:rFonts w:ascii="Calibri" w:hAnsi="Calibri" w:cs="Calibri"/>
          <w:color w:val="000000"/>
        </w:rPr>
        <w:t xml:space="preserve"> nature</w:t>
      </w:r>
      <w:r w:rsidR="000A4374">
        <w:rPr>
          <w:rFonts w:ascii="Calibri" w:hAnsi="Calibri" w:cs="Calibri"/>
          <w:color w:val="000000"/>
        </w:rPr>
        <w:t xml:space="preserve"> of Saint Vincent and the Grenadines</w:t>
      </w:r>
      <w:r w:rsidR="003B47B0">
        <w:rPr>
          <w:rFonts w:ascii="Calibri" w:hAnsi="Calibri" w:cs="Calibri"/>
          <w:color w:val="000000"/>
        </w:rPr>
        <w:t>’</w:t>
      </w:r>
      <w:r w:rsidR="000A4374">
        <w:rPr>
          <w:rFonts w:ascii="Calibri" w:hAnsi="Calibri" w:cs="Calibri"/>
          <w:color w:val="000000"/>
        </w:rPr>
        <w:t xml:space="preserve"> economy as </w:t>
      </w:r>
      <w:r w:rsidR="000A4374">
        <w:rPr>
          <w:rFonts w:ascii="Calibri" w:hAnsi="Calibri" w:cs="Calibri"/>
          <w:color w:val="000000"/>
        </w:rPr>
        <w:lastRenderedPageBreak/>
        <w:t>well as the wider Caribbean Community (CARICOM)</w:t>
      </w:r>
      <w:r w:rsidR="00742E26">
        <w:rPr>
          <w:rFonts w:ascii="Calibri" w:hAnsi="Calibri" w:cs="Calibri"/>
          <w:color w:val="000000"/>
        </w:rPr>
        <w:t>.</w:t>
      </w:r>
      <w:r w:rsidR="00D30E78">
        <w:rPr>
          <w:rFonts w:ascii="Calibri" w:hAnsi="Calibri" w:cs="Calibri"/>
          <w:color w:val="000000"/>
        </w:rPr>
        <w:t xml:space="preserve"> </w:t>
      </w:r>
      <w:r w:rsidR="00742E26">
        <w:rPr>
          <w:rFonts w:ascii="Calibri" w:hAnsi="Calibri" w:cs="Calibri"/>
          <w:color w:val="000000"/>
        </w:rPr>
        <w:t>T</w:t>
      </w:r>
      <w:r w:rsidR="00FD0093">
        <w:rPr>
          <w:rFonts w:ascii="Calibri" w:hAnsi="Calibri" w:cs="Calibri"/>
          <w:color w:val="000000"/>
        </w:rPr>
        <w:t>here is still a significant role for domestic</w:t>
      </w:r>
      <w:r w:rsidR="000A4374">
        <w:rPr>
          <w:rStyle w:val="FootnoteReference"/>
          <w:rFonts w:ascii="Calibri" w:hAnsi="Calibri" w:cs="Calibri"/>
          <w:color w:val="000000"/>
        </w:rPr>
        <w:footnoteReference w:id="15"/>
      </w:r>
      <w:r w:rsidR="00FD0093">
        <w:rPr>
          <w:rFonts w:ascii="Calibri" w:hAnsi="Calibri" w:cs="Calibri"/>
          <w:color w:val="000000"/>
        </w:rPr>
        <w:t xml:space="preserve"> private sector investment to</w:t>
      </w:r>
      <w:r w:rsidR="00F261C0">
        <w:rPr>
          <w:rFonts w:ascii="Calibri" w:hAnsi="Calibri" w:cs="Calibri"/>
          <w:color w:val="000000"/>
        </w:rPr>
        <w:t xml:space="preserve"> play in supporting the implementation of gender responsive NDC</w:t>
      </w:r>
      <w:r w:rsidR="002E0EE9">
        <w:rPr>
          <w:rFonts w:ascii="Calibri" w:hAnsi="Calibri" w:cs="Calibri"/>
          <w:color w:val="000000"/>
        </w:rPr>
        <w:t xml:space="preserve"> actions</w:t>
      </w:r>
      <w:r w:rsidR="00742E26">
        <w:rPr>
          <w:rFonts w:ascii="Calibri" w:hAnsi="Calibri" w:cs="Calibri"/>
          <w:color w:val="000000"/>
        </w:rPr>
        <w:t xml:space="preserve"> in country</w:t>
      </w:r>
      <w:r w:rsidR="00F261C0">
        <w:rPr>
          <w:rFonts w:ascii="Calibri" w:hAnsi="Calibri" w:cs="Calibri"/>
          <w:color w:val="000000"/>
        </w:rPr>
        <w:t>.</w:t>
      </w:r>
      <w:r w:rsidR="00ED2D54">
        <w:rPr>
          <w:rFonts w:ascii="Calibri" w:hAnsi="Calibri" w:cs="Calibri"/>
          <w:color w:val="000000"/>
        </w:rPr>
        <w:t xml:space="preserve"> In view of the foregoing, the consultant will be required to explore and identify</w:t>
      </w:r>
      <w:r w:rsidR="00D5141F">
        <w:rPr>
          <w:rFonts w:ascii="Calibri" w:hAnsi="Calibri" w:cs="Calibri"/>
          <w:color w:val="000000"/>
        </w:rPr>
        <w:t xml:space="preserve"> the</w:t>
      </w:r>
      <w:r w:rsidR="00A13CF0">
        <w:rPr>
          <w:rFonts w:ascii="Calibri" w:hAnsi="Calibri" w:cs="Calibri"/>
          <w:color w:val="000000"/>
        </w:rPr>
        <w:t xml:space="preserve"> investment opportunities for domestic private sector finance in the </w:t>
      </w:r>
      <w:r w:rsidR="00D5141F">
        <w:rPr>
          <w:rFonts w:ascii="Calibri" w:hAnsi="Calibri" w:cs="Calibri"/>
          <w:color w:val="000000"/>
        </w:rPr>
        <w:t>implementation of Saint Vincent</w:t>
      </w:r>
      <w:r w:rsidR="003B47B0">
        <w:rPr>
          <w:rFonts w:ascii="Calibri" w:hAnsi="Calibri" w:cs="Calibri"/>
          <w:color w:val="000000"/>
        </w:rPr>
        <w:t xml:space="preserve"> and the Grenadines</w:t>
      </w:r>
      <w:r w:rsidR="00D5141F">
        <w:rPr>
          <w:rFonts w:ascii="Calibri" w:hAnsi="Calibri" w:cs="Calibri"/>
          <w:color w:val="000000"/>
        </w:rPr>
        <w:t xml:space="preserve"> NDC actions.</w:t>
      </w:r>
      <w:r w:rsidR="006E1C7A">
        <w:rPr>
          <w:rFonts w:ascii="Calibri" w:hAnsi="Calibri" w:cs="Calibri"/>
          <w:color w:val="000000"/>
        </w:rPr>
        <w:t xml:space="preserve"> In identifying the</w:t>
      </w:r>
      <w:r w:rsidR="00C51D0D">
        <w:rPr>
          <w:rFonts w:ascii="Calibri" w:hAnsi="Calibri" w:cs="Calibri"/>
          <w:color w:val="000000"/>
        </w:rPr>
        <w:t xml:space="preserve"> domestic opportunities available, the consultant will be required to undertake a gender responsive approach</w:t>
      </w:r>
      <w:r w:rsidR="009F2FD6">
        <w:rPr>
          <w:rFonts w:ascii="Calibri" w:hAnsi="Calibri" w:cs="Calibri"/>
          <w:color w:val="000000"/>
        </w:rPr>
        <w:t xml:space="preserve"> across all priority sectors.</w:t>
      </w:r>
      <w:r w:rsidR="009E05CC">
        <w:rPr>
          <w:rFonts w:ascii="Calibri" w:hAnsi="Calibri" w:cs="Calibri"/>
          <w:color w:val="000000"/>
        </w:rPr>
        <w:t xml:space="preserve"> This will ensure that</w:t>
      </w:r>
      <w:r w:rsidR="00AB3636">
        <w:rPr>
          <w:rFonts w:ascii="Calibri" w:hAnsi="Calibri" w:cs="Calibri"/>
          <w:color w:val="000000"/>
        </w:rPr>
        <w:t xml:space="preserve"> the same opportunities and access provided to men or given to women </w:t>
      </w:r>
      <w:r w:rsidR="00C24CBA">
        <w:rPr>
          <w:rFonts w:ascii="Calibri" w:hAnsi="Calibri" w:cs="Calibri"/>
          <w:color w:val="000000"/>
        </w:rPr>
        <w:t>both from the fro</w:t>
      </w:r>
      <w:r w:rsidR="00A8703C">
        <w:rPr>
          <w:rFonts w:ascii="Calibri" w:hAnsi="Calibri" w:cs="Calibri"/>
          <w:color w:val="000000"/>
        </w:rPr>
        <w:t>nt</w:t>
      </w:r>
      <w:r w:rsidR="00C24CBA">
        <w:rPr>
          <w:rFonts w:ascii="Calibri" w:hAnsi="Calibri" w:cs="Calibri"/>
          <w:color w:val="000000"/>
        </w:rPr>
        <w:t xml:space="preserve"> end, in the</w:t>
      </w:r>
      <w:r w:rsidR="001768CE">
        <w:rPr>
          <w:rFonts w:ascii="Calibri" w:hAnsi="Calibri" w:cs="Calibri"/>
          <w:color w:val="000000"/>
        </w:rPr>
        <w:t xml:space="preserve"> identification of the mobilization efforts needed to support NDC implementation and from the back end as beneficiaries of the</w:t>
      </w:r>
      <w:r w:rsidR="00A8703C">
        <w:rPr>
          <w:rFonts w:ascii="Calibri" w:hAnsi="Calibri" w:cs="Calibri"/>
          <w:color w:val="000000"/>
        </w:rPr>
        <w:t xml:space="preserve"> </w:t>
      </w:r>
      <w:r w:rsidR="001768CE">
        <w:rPr>
          <w:rFonts w:ascii="Calibri" w:hAnsi="Calibri" w:cs="Calibri"/>
          <w:color w:val="000000"/>
        </w:rPr>
        <w:t xml:space="preserve">private sector investment inflows </w:t>
      </w:r>
      <w:r w:rsidR="00716448">
        <w:rPr>
          <w:rFonts w:ascii="Calibri" w:hAnsi="Calibri" w:cs="Calibri"/>
          <w:color w:val="000000"/>
        </w:rPr>
        <w:t xml:space="preserve">derived from the domestic capital </w:t>
      </w:r>
      <w:r w:rsidR="00D05F63">
        <w:rPr>
          <w:rFonts w:ascii="Calibri" w:hAnsi="Calibri" w:cs="Calibri"/>
          <w:color w:val="000000"/>
        </w:rPr>
        <w:t>generated</w:t>
      </w:r>
      <w:r w:rsidR="00716448">
        <w:rPr>
          <w:rFonts w:ascii="Calibri" w:hAnsi="Calibri" w:cs="Calibri"/>
          <w:color w:val="000000"/>
        </w:rPr>
        <w:t>.</w:t>
      </w:r>
      <w:r w:rsidR="00A8703C">
        <w:rPr>
          <w:rFonts w:ascii="Calibri" w:hAnsi="Calibri" w:cs="Calibri"/>
          <w:color w:val="000000"/>
        </w:rPr>
        <w:t xml:space="preserve"> This is important as the financing of gender -responsive climate actions </w:t>
      </w:r>
      <w:r w:rsidR="000F1A24">
        <w:rPr>
          <w:rFonts w:ascii="Calibri" w:hAnsi="Calibri" w:cs="Calibri"/>
          <w:color w:val="000000"/>
        </w:rPr>
        <w:t xml:space="preserve">promotes gender equality and </w:t>
      </w:r>
      <w:r w:rsidR="003F1DE5">
        <w:rPr>
          <w:rFonts w:ascii="Calibri" w:hAnsi="Calibri" w:cs="Calibri"/>
          <w:color w:val="000000"/>
        </w:rPr>
        <w:t>reduces gender vulnerabilities within societies.</w:t>
      </w:r>
      <w:r w:rsidR="000F3002">
        <w:rPr>
          <w:rFonts w:ascii="Calibri" w:hAnsi="Calibri" w:cs="Calibri"/>
          <w:color w:val="000000"/>
        </w:rPr>
        <w:t xml:space="preserve"> This is especially important within the context of Saint Vincent and the Grenadines</w:t>
      </w:r>
      <w:r w:rsidR="00E31FB1">
        <w:rPr>
          <w:rFonts w:ascii="Calibri" w:hAnsi="Calibri" w:cs="Calibri"/>
          <w:color w:val="000000"/>
        </w:rPr>
        <w:t xml:space="preserve"> </w:t>
      </w:r>
      <w:r w:rsidR="00E31FB1" w:rsidRPr="002859D9">
        <w:rPr>
          <w:rFonts w:ascii="Calibri" w:hAnsi="Calibri" w:cs="Calibri"/>
          <w:color w:val="000000"/>
        </w:rPr>
        <w:t>give</w:t>
      </w:r>
      <w:r w:rsidR="002859D9" w:rsidRPr="002859D9">
        <w:rPr>
          <w:rFonts w:ascii="Calibri" w:hAnsi="Calibri" w:cs="Calibri"/>
          <w:color w:val="000000"/>
        </w:rPr>
        <w:t xml:space="preserve">n </w:t>
      </w:r>
      <w:r w:rsidR="00603079">
        <w:rPr>
          <w:rFonts w:ascii="Calibri" w:hAnsi="Calibri" w:cs="Calibri"/>
          <w:color w:val="000000"/>
        </w:rPr>
        <w:t>“</w:t>
      </w:r>
      <w:r w:rsidR="00E31FB1" w:rsidRPr="002859D9">
        <w:t>the extent of vulnerabilities and the percentage of the population potentially exposed.</w:t>
      </w:r>
      <w:r w:rsidR="00603079">
        <w:t>”</w:t>
      </w:r>
      <w:r w:rsidR="00255288">
        <w:rPr>
          <w:rStyle w:val="FootnoteReference"/>
        </w:rPr>
        <w:footnoteReference w:id="16"/>
      </w:r>
    </w:p>
    <w:p w14:paraId="6132F3F5" w14:textId="660D229D" w:rsidR="0067022B" w:rsidRDefault="00214317" w:rsidP="004A519F">
      <w:pPr>
        <w:autoSpaceDE w:val="0"/>
        <w:autoSpaceDN w:val="0"/>
        <w:adjustRightInd w:val="0"/>
        <w:spacing w:before="240" w:after="240"/>
        <w:jc w:val="both"/>
        <w:rPr>
          <w:rFonts w:ascii="Calibri" w:hAnsi="Calibri" w:cs="Calibri"/>
          <w:b/>
          <w:bCs/>
          <w:color w:val="000000"/>
        </w:rPr>
      </w:pPr>
      <w:r w:rsidRPr="00426164">
        <w:rPr>
          <w:rFonts w:ascii="Calibri" w:hAnsi="Calibri" w:cs="Calibri"/>
          <w:b/>
          <w:bCs/>
          <w:color w:val="000000"/>
        </w:rPr>
        <w:t>2</w:t>
      </w:r>
      <w:r w:rsidRPr="006D3E02">
        <w:rPr>
          <w:rFonts w:ascii="Calibri" w:hAnsi="Calibri" w:cs="Calibri"/>
          <w:b/>
          <w:bCs/>
          <w:color w:val="000000"/>
        </w:rPr>
        <w:t>.7 Phase VI- Identify and present</w:t>
      </w:r>
      <w:r w:rsidR="00BB6AEB" w:rsidRPr="006D3E02">
        <w:rPr>
          <w:rFonts w:ascii="Calibri" w:hAnsi="Calibri" w:cs="Calibri"/>
          <w:b/>
          <w:bCs/>
          <w:color w:val="000000"/>
        </w:rPr>
        <w:t xml:space="preserve"> international and regional best practices</w:t>
      </w:r>
      <w:r w:rsidR="00B802FE" w:rsidRPr="006D3E02">
        <w:rPr>
          <w:rFonts w:ascii="Calibri" w:hAnsi="Calibri" w:cs="Calibri"/>
          <w:b/>
          <w:bCs/>
          <w:color w:val="000000"/>
        </w:rPr>
        <w:t xml:space="preserve"> and lessons learnt in the mobilization of private sector investment which supports gender-responsive NDC implementation</w:t>
      </w:r>
      <w:r w:rsidR="007D3722" w:rsidRPr="006D3E02">
        <w:rPr>
          <w:rFonts w:ascii="Calibri" w:hAnsi="Calibri" w:cs="Calibri"/>
          <w:b/>
          <w:bCs/>
          <w:color w:val="000000"/>
        </w:rPr>
        <w:t>.</w:t>
      </w:r>
    </w:p>
    <w:p w14:paraId="0785A468" w14:textId="724D2998" w:rsidR="00CF2A9A" w:rsidRDefault="005A1A7D" w:rsidP="002B733A">
      <w:pPr>
        <w:autoSpaceDE w:val="0"/>
        <w:autoSpaceDN w:val="0"/>
        <w:adjustRightInd w:val="0"/>
        <w:spacing w:after="0"/>
        <w:jc w:val="both"/>
        <w:rPr>
          <w:rFonts w:cs="Calibre-Semibold"/>
          <w:lang w:val="en-US"/>
        </w:rPr>
      </w:pPr>
      <w:r>
        <w:rPr>
          <w:rFonts w:ascii="Calibri" w:hAnsi="Calibri" w:cs="Calibri"/>
          <w:color w:val="000000"/>
        </w:rPr>
        <w:t xml:space="preserve">Taking on board, the pivotal </w:t>
      </w:r>
      <w:r w:rsidR="00C6235F">
        <w:rPr>
          <w:rFonts w:ascii="Calibri" w:hAnsi="Calibri" w:cs="Calibri"/>
          <w:color w:val="000000"/>
        </w:rPr>
        <w:t>role that</w:t>
      </w:r>
      <w:r w:rsidR="00BB4925">
        <w:rPr>
          <w:rFonts w:ascii="Calibri" w:hAnsi="Calibri" w:cs="Calibri"/>
          <w:color w:val="000000"/>
        </w:rPr>
        <w:t xml:space="preserve"> the</w:t>
      </w:r>
      <w:r w:rsidR="00C6235F">
        <w:rPr>
          <w:rFonts w:ascii="Calibri" w:hAnsi="Calibri" w:cs="Calibri"/>
          <w:color w:val="000000"/>
        </w:rPr>
        <w:t xml:space="preserve"> private </w:t>
      </w:r>
      <w:r w:rsidR="008572AA">
        <w:rPr>
          <w:rFonts w:ascii="Calibri" w:hAnsi="Calibri" w:cs="Calibri"/>
          <w:color w:val="000000"/>
        </w:rPr>
        <w:t>climate finance investment</w:t>
      </w:r>
      <w:r w:rsidR="00C6235F">
        <w:rPr>
          <w:rFonts w:ascii="Calibri" w:hAnsi="Calibri" w:cs="Calibri"/>
          <w:color w:val="000000"/>
        </w:rPr>
        <w:t xml:space="preserve"> is </w:t>
      </w:r>
      <w:r w:rsidR="009954CB">
        <w:rPr>
          <w:rFonts w:ascii="Calibri" w:hAnsi="Calibri" w:cs="Calibri"/>
          <w:color w:val="000000"/>
        </w:rPr>
        <w:t>projected to play in many emerging and developing countries NDC implementation efforts</w:t>
      </w:r>
      <w:r w:rsidR="00D6055C">
        <w:rPr>
          <w:rFonts w:ascii="Calibri" w:hAnsi="Calibri" w:cs="Calibri"/>
          <w:color w:val="000000"/>
        </w:rPr>
        <w:t>.</w:t>
      </w:r>
      <w:r w:rsidR="00FB6468">
        <w:rPr>
          <w:rFonts w:ascii="Calibri" w:hAnsi="Calibri" w:cs="Calibri"/>
          <w:color w:val="000000"/>
        </w:rPr>
        <w:t xml:space="preserve"> The final task</w:t>
      </w:r>
      <w:r w:rsidR="002D5B0C">
        <w:rPr>
          <w:rFonts w:ascii="Calibri" w:hAnsi="Calibri" w:cs="Calibri"/>
          <w:color w:val="000000"/>
        </w:rPr>
        <w:t xml:space="preserve"> of the consultan</w:t>
      </w:r>
      <w:r w:rsidR="00734DE3">
        <w:rPr>
          <w:rFonts w:ascii="Calibri" w:hAnsi="Calibri" w:cs="Calibri"/>
          <w:color w:val="000000"/>
        </w:rPr>
        <w:t>t will be to</w:t>
      </w:r>
      <w:r w:rsidR="00B11C3B">
        <w:rPr>
          <w:rFonts w:ascii="Calibri" w:hAnsi="Calibri" w:cs="Calibri"/>
          <w:color w:val="000000"/>
        </w:rPr>
        <w:t xml:space="preserve"> propose</w:t>
      </w:r>
      <w:r w:rsidR="00734DE3">
        <w:rPr>
          <w:rFonts w:ascii="Calibri" w:hAnsi="Calibri" w:cs="Calibri"/>
          <w:color w:val="000000"/>
        </w:rPr>
        <w:t xml:space="preserve"> recommend</w:t>
      </w:r>
      <w:r w:rsidR="00B11C3B">
        <w:rPr>
          <w:rFonts w:ascii="Calibri" w:hAnsi="Calibri" w:cs="Calibri"/>
          <w:color w:val="000000"/>
        </w:rPr>
        <w:t xml:space="preserve">ations </w:t>
      </w:r>
      <w:r w:rsidR="00F710B6">
        <w:rPr>
          <w:rFonts w:ascii="Calibri" w:hAnsi="Calibri" w:cs="Calibri"/>
          <w:color w:val="000000"/>
        </w:rPr>
        <w:t>for</w:t>
      </w:r>
      <w:r w:rsidR="00B11C3B">
        <w:rPr>
          <w:rFonts w:ascii="Calibri" w:hAnsi="Calibri" w:cs="Calibri"/>
          <w:color w:val="000000"/>
        </w:rPr>
        <w:t xml:space="preserve"> the mobiliz</w:t>
      </w:r>
      <w:r w:rsidR="00962C58">
        <w:rPr>
          <w:rFonts w:ascii="Calibri" w:hAnsi="Calibri" w:cs="Calibri"/>
          <w:color w:val="000000"/>
        </w:rPr>
        <w:t>ation of</w:t>
      </w:r>
      <w:r w:rsidR="00432165">
        <w:rPr>
          <w:rFonts w:ascii="Calibri" w:hAnsi="Calibri" w:cs="Calibri"/>
          <w:color w:val="000000"/>
        </w:rPr>
        <w:t xml:space="preserve"> private</w:t>
      </w:r>
      <w:r w:rsidR="00962C58">
        <w:rPr>
          <w:rFonts w:ascii="Calibri" w:hAnsi="Calibri" w:cs="Calibri"/>
          <w:color w:val="000000"/>
        </w:rPr>
        <w:t xml:space="preserve"> sector</w:t>
      </w:r>
      <w:r w:rsidR="00432165">
        <w:rPr>
          <w:rFonts w:ascii="Calibri" w:hAnsi="Calibri" w:cs="Calibri"/>
          <w:color w:val="000000"/>
        </w:rPr>
        <w:t xml:space="preserve"> c</w:t>
      </w:r>
      <w:r w:rsidR="00207214">
        <w:rPr>
          <w:rFonts w:ascii="Calibri" w:hAnsi="Calibri" w:cs="Calibri"/>
          <w:color w:val="000000"/>
        </w:rPr>
        <w:t>limate financ</w:t>
      </w:r>
      <w:r w:rsidR="00674767">
        <w:rPr>
          <w:rFonts w:ascii="Calibri" w:hAnsi="Calibri" w:cs="Calibri"/>
          <w:color w:val="000000"/>
        </w:rPr>
        <w:t>e</w:t>
      </w:r>
      <w:r w:rsidR="008C3AA8">
        <w:rPr>
          <w:rFonts w:ascii="Calibri" w:hAnsi="Calibri" w:cs="Calibri"/>
          <w:color w:val="000000"/>
        </w:rPr>
        <w:t>.</w:t>
      </w:r>
      <w:r w:rsidR="00576268">
        <w:rPr>
          <w:rFonts w:ascii="Calibri" w:hAnsi="Calibri" w:cs="Calibri"/>
          <w:color w:val="000000"/>
        </w:rPr>
        <w:t xml:space="preserve"> This is importan</w:t>
      </w:r>
      <w:r w:rsidR="00962C58">
        <w:rPr>
          <w:rFonts w:ascii="Calibri" w:hAnsi="Calibri" w:cs="Calibri"/>
          <w:color w:val="000000"/>
        </w:rPr>
        <w:t>t</w:t>
      </w:r>
      <w:r w:rsidR="00576268">
        <w:rPr>
          <w:rFonts w:ascii="Calibri" w:hAnsi="Calibri" w:cs="Calibri"/>
          <w:color w:val="000000"/>
        </w:rPr>
        <w:t xml:space="preserve"> in providing the Government of Saint Vincent and the Grenadines</w:t>
      </w:r>
      <w:r w:rsidR="000E0C91">
        <w:rPr>
          <w:rFonts w:ascii="Calibri" w:hAnsi="Calibri" w:cs="Calibri"/>
          <w:color w:val="000000"/>
        </w:rPr>
        <w:t xml:space="preserve"> with the</w:t>
      </w:r>
      <w:r w:rsidR="00576268">
        <w:rPr>
          <w:rFonts w:ascii="Calibri" w:hAnsi="Calibri" w:cs="Calibri"/>
          <w:color w:val="000000"/>
        </w:rPr>
        <w:t xml:space="preserve"> guidance needed</w:t>
      </w:r>
      <w:r w:rsidR="00674767">
        <w:rPr>
          <w:rFonts w:ascii="Calibri" w:hAnsi="Calibri" w:cs="Calibri"/>
          <w:color w:val="000000"/>
        </w:rPr>
        <w:t xml:space="preserve"> to move forward with the unlocking</w:t>
      </w:r>
      <w:r w:rsidR="000E0C91">
        <w:rPr>
          <w:rFonts w:ascii="Calibri" w:hAnsi="Calibri" w:cs="Calibri"/>
          <w:color w:val="000000"/>
        </w:rPr>
        <w:t xml:space="preserve"> of the</w:t>
      </w:r>
      <w:r w:rsidR="00674767">
        <w:rPr>
          <w:rFonts w:ascii="Calibri" w:hAnsi="Calibri" w:cs="Calibri"/>
          <w:color w:val="000000"/>
        </w:rPr>
        <w:t xml:space="preserve"> necessary </w:t>
      </w:r>
      <w:r w:rsidR="00603079">
        <w:rPr>
          <w:rFonts w:ascii="Calibri" w:hAnsi="Calibri" w:cs="Calibri"/>
          <w:color w:val="000000"/>
        </w:rPr>
        <w:t xml:space="preserve">private </w:t>
      </w:r>
      <w:r w:rsidR="008572AA">
        <w:rPr>
          <w:rFonts w:ascii="Calibri" w:hAnsi="Calibri" w:cs="Calibri"/>
          <w:color w:val="000000"/>
        </w:rPr>
        <w:t>investment</w:t>
      </w:r>
      <w:r w:rsidR="00E546B9">
        <w:rPr>
          <w:rFonts w:ascii="Calibri" w:hAnsi="Calibri" w:cs="Calibri"/>
          <w:color w:val="000000"/>
        </w:rPr>
        <w:t xml:space="preserve"> inflows</w:t>
      </w:r>
      <w:r w:rsidR="00404E3F">
        <w:rPr>
          <w:rFonts w:ascii="Calibri" w:hAnsi="Calibri" w:cs="Calibri"/>
          <w:color w:val="000000"/>
        </w:rPr>
        <w:t xml:space="preserve"> needed to support NDC </w:t>
      </w:r>
      <w:r w:rsidR="00DE292F">
        <w:rPr>
          <w:rFonts w:ascii="Calibri" w:hAnsi="Calibri" w:cs="Calibri"/>
          <w:color w:val="000000"/>
        </w:rPr>
        <w:t>implementation</w:t>
      </w:r>
      <w:r w:rsidR="00B33B50">
        <w:rPr>
          <w:rFonts w:ascii="Calibri" w:hAnsi="Calibri" w:cs="Calibri"/>
          <w:color w:val="000000"/>
        </w:rPr>
        <w:t xml:space="preserve"> in</w:t>
      </w:r>
      <w:r w:rsidR="009C1937">
        <w:rPr>
          <w:rFonts w:ascii="Calibri" w:hAnsi="Calibri" w:cs="Calibri"/>
          <w:color w:val="000000"/>
        </w:rPr>
        <w:t xml:space="preserve"> country</w:t>
      </w:r>
      <w:r w:rsidR="00674767">
        <w:rPr>
          <w:rFonts w:ascii="Calibri" w:hAnsi="Calibri" w:cs="Calibri"/>
          <w:color w:val="000000"/>
        </w:rPr>
        <w:t>.</w:t>
      </w:r>
      <w:r w:rsidR="00B33B50">
        <w:rPr>
          <w:rFonts w:ascii="Calibri" w:hAnsi="Calibri" w:cs="Calibri"/>
          <w:color w:val="000000"/>
        </w:rPr>
        <w:t xml:space="preserve"> To this end,</w:t>
      </w:r>
      <w:r w:rsidR="00674767">
        <w:rPr>
          <w:rFonts w:ascii="Calibri" w:hAnsi="Calibri" w:cs="Calibri"/>
          <w:color w:val="000000"/>
        </w:rPr>
        <w:t xml:space="preserve"> </w:t>
      </w:r>
      <w:r w:rsidR="00E546B9">
        <w:rPr>
          <w:rFonts w:ascii="Calibri" w:hAnsi="Calibri" w:cs="Calibri"/>
          <w:color w:val="000000"/>
        </w:rPr>
        <w:t xml:space="preserve">the </w:t>
      </w:r>
      <w:r w:rsidR="00DE292F">
        <w:rPr>
          <w:rFonts w:ascii="Calibri" w:hAnsi="Calibri" w:cs="Calibri"/>
          <w:color w:val="000000"/>
        </w:rPr>
        <w:t xml:space="preserve">recommendations proposed </w:t>
      </w:r>
      <w:r w:rsidR="00630AF4">
        <w:rPr>
          <w:rFonts w:ascii="Calibri" w:hAnsi="Calibri" w:cs="Calibri"/>
          <w:color w:val="000000"/>
        </w:rPr>
        <w:t xml:space="preserve">shall </w:t>
      </w:r>
      <w:r w:rsidR="00DE292F">
        <w:rPr>
          <w:rFonts w:ascii="Calibri" w:hAnsi="Calibri" w:cs="Calibri"/>
          <w:color w:val="000000"/>
        </w:rPr>
        <w:t>consider both international as well as regional best practice examples as well as key lesson</w:t>
      </w:r>
      <w:r w:rsidR="00630AF4">
        <w:rPr>
          <w:rFonts w:ascii="Calibri" w:hAnsi="Calibri" w:cs="Calibri"/>
          <w:color w:val="000000"/>
        </w:rPr>
        <w:t>s</w:t>
      </w:r>
      <w:r w:rsidR="00DE292F">
        <w:rPr>
          <w:rFonts w:ascii="Calibri" w:hAnsi="Calibri" w:cs="Calibri"/>
          <w:color w:val="000000"/>
        </w:rPr>
        <w:t xml:space="preserve"> </w:t>
      </w:r>
      <w:r w:rsidR="00DE292F" w:rsidRPr="00BA0B71">
        <w:rPr>
          <w:rFonts w:cs="Calibri"/>
          <w:color w:val="000000"/>
        </w:rPr>
        <w:t xml:space="preserve">learnt. </w:t>
      </w:r>
      <w:r w:rsidR="00BA0B71">
        <w:rPr>
          <w:rFonts w:cs="Calibri"/>
          <w:color w:val="000000"/>
        </w:rPr>
        <w:t>A n</w:t>
      </w:r>
      <w:r w:rsidR="00DE292F" w:rsidRPr="00BA0B71">
        <w:rPr>
          <w:rFonts w:cs="Calibri"/>
          <w:color w:val="000000"/>
        </w:rPr>
        <w:t xml:space="preserve">otable </w:t>
      </w:r>
      <w:r w:rsidR="002B13CA" w:rsidRPr="00BA0B71">
        <w:rPr>
          <w:rFonts w:cs="Calibri"/>
          <w:color w:val="000000"/>
        </w:rPr>
        <w:t>feature of this phase of the consultan</w:t>
      </w:r>
      <w:r w:rsidR="00B67002">
        <w:rPr>
          <w:rFonts w:cs="Calibri"/>
          <w:color w:val="000000"/>
        </w:rPr>
        <w:t>cy,</w:t>
      </w:r>
      <w:r w:rsidR="002B13CA" w:rsidRPr="00BA0B71">
        <w:rPr>
          <w:rFonts w:cs="Calibri"/>
          <w:color w:val="000000"/>
        </w:rPr>
        <w:t xml:space="preserve"> </w:t>
      </w:r>
      <w:r w:rsidR="004F10F5" w:rsidRPr="00BA0B71">
        <w:rPr>
          <w:rFonts w:cs="Calibri"/>
          <w:color w:val="000000"/>
        </w:rPr>
        <w:t xml:space="preserve">is the leveraging of market </w:t>
      </w:r>
      <w:r w:rsidR="004422EB" w:rsidRPr="00BA0B71">
        <w:rPr>
          <w:rFonts w:cs="Calibri"/>
          <w:color w:val="000000"/>
        </w:rPr>
        <w:t xml:space="preserve">mechanisms to </w:t>
      </w:r>
      <w:r w:rsidR="00BA0B71" w:rsidRPr="00BA0B71">
        <w:rPr>
          <w:rFonts w:cs="Calibre-Semibold"/>
          <w:lang w:val="en-BB"/>
        </w:rPr>
        <w:t>incentivise private sector to</w:t>
      </w:r>
      <w:r w:rsidR="00E546B9">
        <w:rPr>
          <w:rFonts w:cs="Calibre-Semibold"/>
          <w:lang w:val="en-US"/>
        </w:rPr>
        <w:t xml:space="preserve"> investment</w:t>
      </w:r>
      <w:r w:rsidR="00B67002">
        <w:rPr>
          <w:rFonts w:cs="Calibre-Semibold"/>
          <w:lang w:val="en-US"/>
        </w:rPr>
        <w:t xml:space="preserve"> in mitigation actions.</w:t>
      </w:r>
      <w:r w:rsidR="009B61D6">
        <w:rPr>
          <w:rFonts w:cs="Calibre-Semibold"/>
          <w:lang w:val="en-US"/>
        </w:rPr>
        <w:t xml:space="preserve"> In-addition to the </w:t>
      </w:r>
      <w:r w:rsidR="00EE241E">
        <w:rPr>
          <w:rFonts w:cs="Calibre-Semibold"/>
          <w:lang w:val="en-US"/>
        </w:rPr>
        <w:t xml:space="preserve">private investment </w:t>
      </w:r>
      <w:r w:rsidR="009B61D6">
        <w:rPr>
          <w:rFonts w:cs="Calibre-Semibold"/>
          <w:lang w:val="en-US"/>
        </w:rPr>
        <w:t xml:space="preserve">opportunities </w:t>
      </w:r>
      <w:r w:rsidR="00EE241E">
        <w:rPr>
          <w:rFonts w:cs="Calibre-Semibold"/>
          <w:lang w:val="en-US"/>
        </w:rPr>
        <w:t>which can be derived from</w:t>
      </w:r>
      <w:r w:rsidR="00D40853">
        <w:rPr>
          <w:rFonts w:cs="Calibre-Semibold"/>
          <w:lang w:val="en-US"/>
        </w:rPr>
        <w:t xml:space="preserve"> complementary funding often available through development financing</w:t>
      </w:r>
      <w:r w:rsidR="00846671">
        <w:rPr>
          <w:rFonts w:cs="Calibre-Semibold"/>
          <w:lang w:val="en-US"/>
        </w:rPr>
        <w:t xml:space="preserve"> and multilateral funds</w:t>
      </w:r>
      <w:r w:rsidR="00D40853">
        <w:rPr>
          <w:rFonts w:cs="Calibre-Semibold"/>
          <w:lang w:val="en-US"/>
        </w:rPr>
        <w:t xml:space="preserve">. The role of </w:t>
      </w:r>
      <w:r w:rsidR="004B4533">
        <w:rPr>
          <w:rFonts w:cs="Calibre-Semibold"/>
          <w:lang w:val="en-US"/>
        </w:rPr>
        <w:t xml:space="preserve">international financial institutions in helping to mobilize private sector </w:t>
      </w:r>
      <w:r w:rsidR="00846671">
        <w:rPr>
          <w:rFonts w:cs="Calibre-Semibold"/>
          <w:lang w:val="en-US"/>
        </w:rPr>
        <w:t xml:space="preserve">investment </w:t>
      </w:r>
      <w:r w:rsidR="004B4533">
        <w:rPr>
          <w:rFonts w:cs="Calibre-Semibold"/>
          <w:lang w:val="en-US"/>
        </w:rPr>
        <w:t>should also be explored</w:t>
      </w:r>
      <w:r w:rsidR="002428A1">
        <w:rPr>
          <w:rFonts w:cs="Calibre-Semibold"/>
          <w:lang w:val="en-US"/>
        </w:rPr>
        <w:t>.</w:t>
      </w:r>
      <w:r w:rsidR="004B4533">
        <w:rPr>
          <w:rFonts w:cs="Calibre-Semibold"/>
          <w:lang w:val="en-US"/>
        </w:rPr>
        <w:t xml:space="preserve"> </w:t>
      </w:r>
      <w:r w:rsidR="002428A1">
        <w:rPr>
          <w:rFonts w:cs="Calibre-Semibold"/>
          <w:lang w:val="en-US"/>
        </w:rPr>
        <w:t>T</w:t>
      </w:r>
      <w:r w:rsidR="009C0B8F">
        <w:rPr>
          <w:rFonts w:cs="Calibre-Semibold"/>
          <w:lang w:val="en-US"/>
        </w:rPr>
        <w:t>he</w:t>
      </w:r>
      <w:r w:rsidR="00E30B98">
        <w:rPr>
          <w:rFonts w:cs="Calibre-Semibold"/>
          <w:lang w:val="en-US"/>
        </w:rPr>
        <w:t xml:space="preserve"> consultant is also expected to examine the</w:t>
      </w:r>
      <w:r w:rsidR="009C0B8F">
        <w:rPr>
          <w:rFonts w:cs="Calibre-Semibold"/>
          <w:lang w:val="en-US"/>
        </w:rPr>
        <w:t xml:space="preserve"> capacity of the local finance sector</w:t>
      </w:r>
      <w:r w:rsidR="002428A1">
        <w:rPr>
          <w:rFonts w:cs="Calibre-Semibold"/>
          <w:lang w:val="en-US"/>
        </w:rPr>
        <w:t xml:space="preserve"> to support private sector investment and</w:t>
      </w:r>
      <w:r w:rsidR="00E30B98">
        <w:rPr>
          <w:rFonts w:cs="Calibre-Semibold"/>
          <w:lang w:val="en-US"/>
        </w:rPr>
        <w:t xml:space="preserve"> hence propose recommendations on how</w:t>
      </w:r>
      <w:r w:rsidR="007A6916">
        <w:rPr>
          <w:rFonts w:cs="Calibre-Semibold"/>
          <w:lang w:val="en-US"/>
        </w:rPr>
        <w:t xml:space="preserve"> the capacity of the local banking and finance can be </w:t>
      </w:r>
      <w:r w:rsidR="00066935">
        <w:rPr>
          <w:rFonts w:cs="Calibre-Semibold"/>
          <w:lang w:val="en-US"/>
        </w:rPr>
        <w:t>strengthened</w:t>
      </w:r>
      <w:r w:rsidR="007A6916">
        <w:rPr>
          <w:rFonts w:cs="Calibre-Semibold"/>
          <w:lang w:val="en-US"/>
        </w:rPr>
        <w:t xml:space="preserve"> </w:t>
      </w:r>
      <w:r w:rsidR="00BC2668">
        <w:rPr>
          <w:rFonts w:cs="Calibre-Semibold"/>
          <w:lang w:val="en-US"/>
        </w:rPr>
        <w:t>to</w:t>
      </w:r>
      <w:r w:rsidR="009970D4">
        <w:rPr>
          <w:rFonts w:cs="Calibre-Semibold"/>
          <w:lang w:val="en-US"/>
        </w:rPr>
        <w:t xml:space="preserve"> support</w:t>
      </w:r>
      <w:r w:rsidR="00BC2668">
        <w:rPr>
          <w:rFonts w:cs="Calibre-Semibold"/>
          <w:lang w:val="en-US"/>
        </w:rPr>
        <w:t xml:space="preserve"> </w:t>
      </w:r>
      <w:r w:rsidR="00066935">
        <w:rPr>
          <w:rFonts w:cs="Calibre-Semibold"/>
          <w:lang w:val="en-US"/>
        </w:rPr>
        <w:t>the mobilization of private capital. Added to this is,</w:t>
      </w:r>
      <w:r w:rsidR="002428A1">
        <w:rPr>
          <w:rFonts w:cs="Calibre-Semibold"/>
          <w:lang w:val="en-US"/>
        </w:rPr>
        <w:t xml:space="preserve"> the role of project development and project financing </w:t>
      </w:r>
      <w:r w:rsidR="003A0F57">
        <w:rPr>
          <w:rFonts w:cs="Calibre-Semibold"/>
          <w:lang w:val="en-US"/>
        </w:rPr>
        <w:t>as</w:t>
      </w:r>
      <w:r w:rsidR="002428A1">
        <w:rPr>
          <w:rFonts w:cs="Calibre-Semibold"/>
          <w:lang w:val="en-US"/>
        </w:rPr>
        <w:t xml:space="preserve"> complementary support initiatives which should further</w:t>
      </w:r>
      <w:r w:rsidR="003A0F57">
        <w:rPr>
          <w:rFonts w:cs="Calibre-Semibold"/>
          <w:lang w:val="en-US"/>
        </w:rPr>
        <w:t xml:space="preserve"> be</w:t>
      </w:r>
      <w:r w:rsidR="002428A1">
        <w:rPr>
          <w:rFonts w:cs="Calibre-Semibold"/>
          <w:lang w:val="en-US"/>
        </w:rPr>
        <w:t xml:space="preserve"> detailed by the consultant in the proposal of recommendations under this section.</w:t>
      </w:r>
    </w:p>
    <w:p w14:paraId="1541908D" w14:textId="0F532D18" w:rsidR="00E364D1" w:rsidRDefault="00E364D1" w:rsidP="002B733A">
      <w:pPr>
        <w:autoSpaceDE w:val="0"/>
        <w:autoSpaceDN w:val="0"/>
        <w:adjustRightInd w:val="0"/>
        <w:spacing w:after="0"/>
        <w:jc w:val="both"/>
        <w:rPr>
          <w:rFonts w:cs="Calibre-Semibold"/>
          <w:lang w:val="en-US"/>
        </w:rPr>
      </w:pPr>
    </w:p>
    <w:p w14:paraId="04F5AA38" w14:textId="5F8FD82B" w:rsidR="00E364D1" w:rsidRDefault="00E364D1" w:rsidP="002B733A">
      <w:pPr>
        <w:autoSpaceDE w:val="0"/>
        <w:autoSpaceDN w:val="0"/>
        <w:adjustRightInd w:val="0"/>
        <w:spacing w:after="0"/>
        <w:jc w:val="both"/>
        <w:rPr>
          <w:rFonts w:cs="Calibre-Semibold"/>
          <w:lang w:val="en-US"/>
        </w:rPr>
      </w:pPr>
    </w:p>
    <w:p w14:paraId="2C64E1CF" w14:textId="77777777" w:rsidR="00E364D1" w:rsidRDefault="00E364D1" w:rsidP="002B733A">
      <w:pPr>
        <w:autoSpaceDE w:val="0"/>
        <w:autoSpaceDN w:val="0"/>
        <w:adjustRightInd w:val="0"/>
        <w:spacing w:after="0"/>
        <w:jc w:val="both"/>
        <w:rPr>
          <w:rFonts w:cs="Calibre-Semibold"/>
          <w:lang w:val="en-US"/>
        </w:rPr>
      </w:pPr>
    </w:p>
    <w:p w14:paraId="5EC10BD4" w14:textId="77777777" w:rsidR="002428A1" w:rsidRPr="002428A1" w:rsidRDefault="002428A1" w:rsidP="002428A1">
      <w:pPr>
        <w:autoSpaceDE w:val="0"/>
        <w:autoSpaceDN w:val="0"/>
        <w:adjustRightInd w:val="0"/>
        <w:spacing w:after="0" w:line="240" w:lineRule="auto"/>
        <w:jc w:val="both"/>
        <w:rPr>
          <w:rFonts w:cs="Calibre-Semibold"/>
          <w:lang w:val="en-US"/>
        </w:rPr>
      </w:pPr>
    </w:p>
    <w:p w14:paraId="30BE4185" w14:textId="0D880CE6" w:rsidR="001D11A1" w:rsidRDefault="00CF2233" w:rsidP="00CF2233">
      <w:pPr>
        <w:pStyle w:val="Heading1"/>
        <w:numPr>
          <w:ilvl w:val="0"/>
          <w:numId w:val="0"/>
        </w:numPr>
      </w:pPr>
      <w:r>
        <w:lastRenderedPageBreak/>
        <w:t xml:space="preserve">3. </w:t>
      </w:r>
      <w:r w:rsidR="004E591F">
        <w:t>KEY P</w:t>
      </w:r>
      <w:r w:rsidR="001D008F">
        <w:t>ROJECT MILESTONES</w:t>
      </w:r>
    </w:p>
    <w:p w14:paraId="47DF187C" w14:textId="77777777" w:rsidR="00511666" w:rsidRDefault="00511666" w:rsidP="00511666">
      <w:pPr>
        <w:autoSpaceDE w:val="0"/>
        <w:autoSpaceDN w:val="0"/>
        <w:adjustRightInd w:val="0"/>
        <w:spacing w:after="0"/>
        <w:jc w:val="both"/>
        <w:rPr>
          <w:rFonts w:cs="MyriadPro-Regular"/>
          <w:lang w:val="en-US"/>
        </w:rPr>
      </w:pPr>
    </w:p>
    <w:p w14:paraId="0D7DC32E" w14:textId="66A7A12D" w:rsidR="00511666" w:rsidRDefault="00511666" w:rsidP="00511666">
      <w:pPr>
        <w:autoSpaceDE w:val="0"/>
        <w:autoSpaceDN w:val="0"/>
        <w:adjustRightInd w:val="0"/>
        <w:spacing w:after="0"/>
        <w:jc w:val="both"/>
        <w:rPr>
          <w:rFonts w:cs="MyriadPro-Regular"/>
          <w:lang w:val="en-US"/>
        </w:rPr>
      </w:pPr>
      <w:r>
        <w:rPr>
          <w:rFonts w:cs="MyriadPro-Regular"/>
          <w:lang w:val="en-US"/>
        </w:rPr>
        <w:t>The specific project milestones under this consultancy are as follows:</w:t>
      </w:r>
    </w:p>
    <w:tbl>
      <w:tblPr>
        <w:tblStyle w:val="TableGrid"/>
        <w:tblW w:w="0" w:type="auto"/>
        <w:tblLook w:val="04A0" w:firstRow="1" w:lastRow="0" w:firstColumn="1" w:lastColumn="0" w:noHBand="0" w:noVBand="1"/>
      </w:tblPr>
      <w:tblGrid>
        <w:gridCol w:w="988"/>
        <w:gridCol w:w="5244"/>
      </w:tblGrid>
      <w:tr w:rsidR="00511666" w14:paraId="3BCD0853" w14:textId="77777777" w:rsidTr="00ED231D">
        <w:tc>
          <w:tcPr>
            <w:tcW w:w="988" w:type="dxa"/>
          </w:tcPr>
          <w:p w14:paraId="2CB585F7" w14:textId="77777777" w:rsidR="00511666" w:rsidRPr="00645DF6" w:rsidRDefault="00511666" w:rsidP="00ED231D">
            <w:pPr>
              <w:autoSpaceDE w:val="0"/>
              <w:autoSpaceDN w:val="0"/>
              <w:adjustRightInd w:val="0"/>
              <w:jc w:val="both"/>
              <w:rPr>
                <w:rFonts w:cs="MyriadPro-Regular"/>
                <w:b/>
                <w:bCs/>
                <w:lang w:val="en-US"/>
              </w:rPr>
            </w:pPr>
            <w:r w:rsidRPr="00645DF6">
              <w:rPr>
                <w:rFonts w:cs="MyriadPro-Regular"/>
                <w:b/>
                <w:bCs/>
                <w:lang w:val="en-US"/>
              </w:rPr>
              <w:t>Output</w:t>
            </w:r>
          </w:p>
        </w:tc>
        <w:tc>
          <w:tcPr>
            <w:tcW w:w="5244" w:type="dxa"/>
          </w:tcPr>
          <w:p w14:paraId="4AE12ECB" w14:textId="77777777" w:rsidR="00511666" w:rsidRPr="00D269DC" w:rsidRDefault="00511666" w:rsidP="00ED231D">
            <w:pPr>
              <w:autoSpaceDE w:val="0"/>
              <w:autoSpaceDN w:val="0"/>
              <w:adjustRightInd w:val="0"/>
              <w:jc w:val="both"/>
              <w:rPr>
                <w:rFonts w:cs="MyriadPro-Regular"/>
                <w:b/>
                <w:bCs/>
                <w:lang w:val="en-US"/>
              </w:rPr>
            </w:pPr>
            <w:r w:rsidRPr="00D269DC">
              <w:rPr>
                <w:rFonts w:cs="MyriadPro-Regular"/>
                <w:b/>
                <w:bCs/>
                <w:lang w:val="en-US"/>
              </w:rPr>
              <w:t>Milestones</w:t>
            </w:r>
          </w:p>
        </w:tc>
      </w:tr>
      <w:tr w:rsidR="00511666" w14:paraId="3B0A9800" w14:textId="77777777" w:rsidTr="00ED231D">
        <w:tc>
          <w:tcPr>
            <w:tcW w:w="988" w:type="dxa"/>
          </w:tcPr>
          <w:p w14:paraId="43C5252E" w14:textId="77777777" w:rsidR="00511666" w:rsidRDefault="00511666" w:rsidP="00ED231D">
            <w:pPr>
              <w:autoSpaceDE w:val="0"/>
              <w:autoSpaceDN w:val="0"/>
              <w:adjustRightInd w:val="0"/>
              <w:jc w:val="both"/>
              <w:rPr>
                <w:rFonts w:cs="MyriadPro-Regular"/>
                <w:lang w:val="en-US"/>
              </w:rPr>
            </w:pPr>
            <w:r>
              <w:rPr>
                <w:rFonts w:cs="MyriadPro-Regular"/>
                <w:lang w:val="en-US"/>
              </w:rPr>
              <w:t>1</w:t>
            </w:r>
          </w:p>
        </w:tc>
        <w:tc>
          <w:tcPr>
            <w:tcW w:w="5244" w:type="dxa"/>
          </w:tcPr>
          <w:p w14:paraId="7D30250E" w14:textId="77777777" w:rsidR="00511666" w:rsidRDefault="00511666" w:rsidP="00ED231D">
            <w:pPr>
              <w:autoSpaceDE w:val="0"/>
              <w:autoSpaceDN w:val="0"/>
              <w:adjustRightInd w:val="0"/>
              <w:jc w:val="both"/>
              <w:rPr>
                <w:rFonts w:cs="MyriadPro-Regular"/>
                <w:lang w:val="en-US"/>
              </w:rPr>
            </w:pPr>
            <w:r>
              <w:rPr>
                <w:rFonts w:cs="MyriadPro-Regular"/>
                <w:lang w:val="en-US"/>
              </w:rPr>
              <w:t>Inception Report</w:t>
            </w:r>
          </w:p>
        </w:tc>
      </w:tr>
      <w:tr w:rsidR="00511666" w14:paraId="6483E7EE" w14:textId="77777777" w:rsidTr="00ED231D">
        <w:tc>
          <w:tcPr>
            <w:tcW w:w="988" w:type="dxa"/>
          </w:tcPr>
          <w:p w14:paraId="2076130A" w14:textId="77777777" w:rsidR="00511666" w:rsidRDefault="00511666" w:rsidP="00ED231D">
            <w:pPr>
              <w:autoSpaceDE w:val="0"/>
              <w:autoSpaceDN w:val="0"/>
              <w:adjustRightInd w:val="0"/>
              <w:jc w:val="both"/>
              <w:rPr>
                <w:rFonts w:cs="MyriadPro-Regular"/>
                <w:lang w:val="en-US"/>
              </w:rPr>
            </w:pPr>
            <w:r>
              <w:rPr>
                <w:rFonts w:cs="MyriadPro-Regular"/>
                <w:lang w:val="en-US"/>
              </w:rPr>
              <w:t>2</w:t>
            </w:r>
          </w:p>
        </w:tc>
        <w:tc>
          <w:tcPr>
            <w:tcW w:w="5244" w:type="dxa"/>
          </w:tcPr>
          <w:p w14:paraId="6CC534B5" w14:textId="77777777" w:rsidR="00511666" w:rsidRDefault="00511666" w:rsidP="00ED231D">
            <w:pPr>
              <w:autoSpaceDE w:val="0"/>
              <w:autoSpaceDN w:val="0"/>
              <w:adjustRightInd w:val="0"/>
              <w:jc w:val="both"/>
              <w:rPr>
                <w:rFonts w:cs="MyriadPro-Regular"/>
                <w:lang w:val="en-US"/>
              </w:rPr>
            </w:pPr>
            <w:r>
              <w:rPr>
                <w:rFonts w:cs="MyriadPro-Regular"/>
                <w:lang w:val="en-US"/>
              </w:rPr>
              <w:t xml:space="preserve">Project Kick-off Meeting </w:t>
            </w:r>
          </w:p>
        </w:tc>
      </w:tr>
      <w:tr w:rsidR="005E7688" w14:paraId="7620E813" w14:textId="77777777" w:rsidTr="00ED231D">
        <w:tc>
          <w:tcPr>
            <w:tcW w:w="988" w:type="dxa"/>
          </w:tcPr>
          <w:p w14:paraId="132C64FE" w14:textId="677409E0" w:rsidR="005E7688" w:rsidRDefault="005E7688" w:rsidP="00ED231D">
            <w:pPr>
              <w:autoSpaceDE w:val="0"/>
              <w:autoSpaceDN w:val="0"/>
              <w:adjustRightInd w:val="0"/>
              <w:jc w:val="both"/>
              <w:rPr>
                <w:rFonts w:cs="MyriadPro-Regular"/>
                <w:lang w:val="en-US"/>
              </w:rPr>
            </w:pPr>
            <w:r>
              <w:rPr>
                <w:rFonts w:cs="MyriadPro-Regular"/>
                <w:lang w:val="en-US"/>
              </w:rPr>
              <w:t>3</w:t>
            </w:r>
          </w:p>
        </w:tc>
        <w:tc>
          <w:tcPr>
            <w:tcW w:w="5244" w:type="dxa"/>
          </w:tcPr>
          <w:p w14:paraId="292B1DBF" w14:textId="32837335" w:rsidR="005E7688" w:rsidRDefault="00D206ED" w:rsidP="00ED231D">
            <w:pPr>
              <w:autoSpaceDE w:val="0"/>
              <w:autoSpaceDN w:val="0"/>
              <w:adjustRightInd w:val="0"/>
              <w:jc w:val="both"/>
              <w:rPr>
                <w:rFonts w:cs="MyriadPro-Regular"/>
                <w:lang w:val="en-US"/>
              </w:rPr>
            </w:pPr>
            <w:r>
              <w:rPr>
                <w:rFonts w:cs="MyriadPro-Regular"/>
                <w:lang w:val="en-US"/>
              </w:rPr>
              <w:t xml:space="preserve">Submission of </w:t>
            </w:r>
            <w:r w:rsidR="00523FE5">
              <w:rPr>
                <w:rFonts w:cs="MyriadPro-Regular"/>
                <w:lang w:val="en-US"/>
              </w:rPr>
              <w:t>the Private Sector NDC</w:t>
            </w:r>
            <w:r w:rsidR="00854EF4">
              <w:rPr>
                <w:rFonts w:cs="MyriadPro-Regular"/>
                <w:lang w:val="en-US"/>
              </w:rPr>
              <w:t>s</w:t>
            </w:r>
            <w:r w:rsidR="00523FE5">
              <w:rPr>
                <w:rFonts w:cs="MyriadPro-Regular"/>
                <w:lang w:val="en-US"/>
              </w:rPr>
              <w:t xml:space="preserve"> Market Assessment for Saint Vincent and the Grenadines</w:t>
            </w:r>
          </w:p>
        </w:tc>
      </w:tr>
      <w:tr w:rsidR="00511666" w14:paraId="4B90F571" w14:textId="77777777" w:rsidTr="00ED231D">
        <w:tc>
          <w:tcPr>
            <w:tcW w:w="988" w:type="dxa"/>
          </w:tcPr>
          <w:p w14:paraId="3365901F" w14:textId="348ECCA2" w:rsidR="00511666" w:rsidRDefault="0025280F" w:rsidP="00ED231D">
            <w:pPr>
              <w:autoSpaceDE w:val="0"/>
              <w:autoSpaceDN w:val="0"/>
              <w:adjustRightInd w:val="0"/>
              <w:jc w:val="both"/>
              <w:rPr>
                <w:rFonts w:cs="MyriadPro-Regular"/>
                <w:lang w:val="en-US"/>
              </w:rPr>
            </w:pPr>
            <w:r>
              <w:rPr>
                <w:rFonts w:cs="MyriadPro-Regular"/>
                <w:lang w:val="en-US"/>
              </w:rPr>
              <w:t>4</w:t>
            </w:r>
          </w:p>
        </w:tc>
        <w:tc>
          <w:tcPr>
            <w:tcW w:w="5244" w:type="dxa"/>
          </w:tcPr>
          <w:p w14:paraId="5A56B600" w14:textId="053F4A55" w:rsidR="00511666" w:rsidRDefault="00E84554" w:rsidP="00ED231D">
            <w:pPr>
              <w:autoSpaceDE w:val="0"/>
              <w:autoSpaceDN w:val="0"/>
              <w:adjustRightInd w:val="0"/>
              <w:jc w:val="both"/>
              <w:rPr>
                <w:rFonts w:cs="MyriadPro-Regular"/>
                <w:lang w:val="en-US"/>
              </w:rPr>
            </w:pPr>
            <w:r>
              <w:rPr>
                <w:rFonts w:cs="MyriadPro-Regular"/>
                <w:lang w:val="en-US"/>
              </w:rPr>
              <w:t>Present</w:t>
            </w:r>
            <w:r w:rsidR="00406A35">
              <w:rPr>
                <w:rFonts w:cs="MyriadPro-Regular"/>
                <w:lang w:val="en-US"/>
              </w:rPr>
              <w:t>ation of</w:t>
            </w:r>
            <w:r w:rsidR="005B7A83">
              <w:rPr>
                <w:rFonts w:cs="MyriadPro-Regular"/>
                <w:lang w:val="en-US"/>
              </w:rPr>
              <w:t xml:space="preserve"> </w:t>
            </w:r>
            <w:r w:rsidR="008B6027">
              <w:rPr>
                <w:rFonts w:cs="MyriadPro-Regular"/>
                <w:lang w:val="en-US"/>
              </w:rPr>
              <w:t>Finance and</w:t>
            </w:r>
            <w:r w:rsidR="005E7688">
              <w:rPr>
                <w:rFonts w:cs="MyriadPro-Regular"/>
                <w:lang w:val="en-US"/>
              </w:rPr>
              <w:t xml:space="preserve"> Investment</w:t>
            </w:r>
            <w:r>
              <w:rPr>
                <w:rFonts w:cs="MyriadPro-Regular"/>
                <w:lang w:val="en-US"/>
              </w:rPr>
              <w:t xml:space="preserve"> </w:t>
            </w:r>
            <w:r w:rsidR="002E7E0D">
              <w:rPr>
                <w:rFonts w:cs="MyriadPro-Regular"/>
                <w:lang w:val="en-US"/>
              </w:rPr>
              <w:t>Concept Business</w:t>
            </w:r>
            <w:r w:rsidR="0025280F">
              <w:rPr>
                <w:rFonts w:cs="MyriadPro-Regular"/>
                <w:lang w:val="en-US"/>
              </w:rPr>
              <w:t xml:space="preserve"> Cases</w:t>
            </w:r>
            <w:r>
              <w:rPr>
                <w:rFonts w:cs="MyriadPro-Regular"/>
                <w:lang w:val="en-US"/>
              </w:rPr>
              <w:t xml:space="preserve"> </w:t>
            </w:r>
          </w:p>
        </w:tc>
      </w:tr>
      <w:tr w:rsidR="00511666" w14:paraId="06969FB2" w14:textId="77777777" w:rsidTr="00ED231D">
        <w:tc>
          <w:tcPr>
            <w:tcW w:w="988" w:type="dxa"/>
          </w:tcPr>
          <w:p w14:paraId="454CB5CD" w14:textId="03B874C2" w:rsidR="00511666" w:rsidRDefault="002E7E0D" w:rsidP="00ED231D">
            <w:pPr>
              <w:autoSpaceDE w:val="0"/>
              <w:autoSpaceDN w:val="0"/>
              <w:adjustRightInd w:val="0"/>
              <w:jc w:val="both"/>
              <w:rPr>
                <w:rFonts w:cs="MyriadPro-Regular"/>
                <w:lang w:val="en-US"/>
              </w:rPr>
            </w:pPr>
            <w:r>
              <w:rPr>
                <w:rFonts w:cs="MyriadPro-Regular"/>
                <w:lang w:val="en-US"/>
              </w:rPr>
              <w:t>5</w:t>
            </w:r>
          </w:p>
        </w:tc>
        <w:tc>
          <w:tcPr>
            <w:tcW w:w="5244" w:type="dxa"/>
          </w:tcPr>
          <w:p w14:paraId="2AE74D8B" w14:textId="4A643FE2" w:rsidR="00511666" w:rsidRDefault="00406A35" w:rsidP="00ED231D">
            <w:pPr>
              <w:autoSpaceDE w:val="0"/>
              <w:autoSpaceDN w:val="0"/>
              <w:adjustRightInd w:val="0"/>
              <w:jc w:val="both"/>
              <w:rPr>
                <w:rFonts w:cs="MyriadPro-Regular"/>
                <w:lang w:val="en-US"/>
              </w:rPr>
            </w:pPr>
            <w:r>
              <w:rPr>
                <w:rFonts w:cs="MyriadPro-Regular"/>
                <w:lang w:val="en-US"/>
              </w:rPr>
              <w:t xml:space="preserve">Submission of </w:t>
            </w:r>
            <w:r w:rsidR="00511666">
              <w:rPr>
                <w:rFonts w:cs="MyriadPro-Regular"/>
                <w:lang w:val="en-US"/>
              </w:rPr>
              <w:t>Draft Final</w:t>
            </w:r>
            <w:r w:rsidR="00DA7208">
              <w:rPr>
                <w:rFonts w:cs="MyriadPro-Regular"/>
                <w:lang w:val="en-US"/>
              </w:rPr>
              <w:t xml:space="preserve"> Gender-Responsive</w:t>
            </w:r>
            <w:r w:rsidR="009944CC">
              <w:rPr>
                <w:rFonts w:cs="MyriadPro-Regular"/>
                <w:lang w:val="en-US"/>
              </w:rPr>
              <w:t xml:space="preserve"> Private Sector</w:t>
            </w:r>
            <w:r w:rsidR="00DA7208">
              <w:rPr>
                <w:rFonts w:cs="MyriadPro-Regular"/>
                <w:lang w:val="en-US"/>
              </w:rPr>
              <w:t xml:space="preserve"> Scoping </w:t>
            </w:r>
            <w:r w:rsidR="009944CC">
              <w:rPr>
                <w:rFonts w:cs="MyriadPro-Regular"/>
                <w:lang w:val="en-US"/>
              </w:rPr>
              <w:t>Study to explore investment opportunities for NDC enhancement in Saint Vincent and the Grenadines</w:t>
            </w:r>
          </w:p>
        </w:tc>
      </w:tr>
      <w:tr w:rsidR="002E7E0D" w14:paraId="73C036A2" w14:textId="77777777" w:rsidTr="00ED231D">
        <w:tc>
          <w:tcPr>
            <w:tcW w:w="988" w:type="dxa"/>
          </w:tcPr>
          <w:p w14:paraId="77EB2C16" w14:textId="1B495B37" w:rsidR="002E7E0D" w:rsidRDefault="002E7E0D" w:rsidP="00ED231D">
            <w:pPr>
              <w:autoSpaceDE w:val="0"/>
              <w:autoSpaceDN w:val="0"/>
              <w:adjustRightInd w:val="0"/>
              <w:jc w:val="both"/>
              <w:rPr>
                <w:rFonts w:cs="MyriadPro-Regular"/>
                <w:lang w:val="en-US"/>
              </w:rPr>
            </w:pPr>
            <w:r>
              <w:rPr>
                <w:rFonts w:cs="MyriadPro-Regular"/>
                <w:lang w:val="en-US"/>
              </w:rPr>
              <w:t>6</w:t>
            </w:r>
          </w:p>
        </w:tc>
        <w:tc>
          <w:tcPr>
            <w:tcW w:w="5244" w:type="dxa"/>
          </w:tcPr>
          <w:p w14:paraId="14073671" w14:textId="2BFADF69" w:rsidR="002E7E0D" w:rsidRDefault="002E7E0D" w:rsidP="00ED231D">
            <w:pPr>
              <w:autoSpaceDE w:val="0"/>
              <w:autoSpaceDN w:val="0"/>
              <w:adjustRightInd w:val="0"/>
              <w:jc w:val="both"/>
              <w:rPr>
                <w:rFonts w:cs="MyriadPro-Regular"/>
                <w:lang w:val="en-US"/>
              </w:rPr>
            </w:pPr>
            <w:r>
              <w:rPr>
                <w:rFonts w:cs="MyriadPro-Regular"/>
                <w:lang w:val="en-US"/>
              </w:rPr>
              <w:t>Host</w:t>
            </w:r>
            <w:r w:rsidR="00406A35">
              <w:rPr>
                <w:rFonts w:cs="MyriadPro-Regular"/>
                <w:lang w:val="en-US"/>
              </w:rPr>
              <w:t>ing</w:t>
            </w:r>
            <w:r>
              <w:rPr>
                <w:rFonts w:cs="MyriadPro-Regular"/>
                <w:lang w:val="en-US"/>
              </w:rPr>
              <w:t xml:space="preserve"> Validation Workshop and Presentation of</w:t>
            </w:r>
            <w:r w:rsidR="0046028A">
              <w:rPr>
                <w:rFonts w:cs="MyriadPro-Regular"/>
                <w:lang w:val="en-US"/>
              </w:rPr>
              <w:t xml:space="preserve"> the Gender- Responsive</w:t>
            </w:r>
            <w:r w:rsidR="00D206ED">
              <w:rPr>
                <w:rFonts w:cs="MyriadPro-Regular"/>
                <w:lang w:val="en-US"/>
              </w:rPr>
              <w:t xml:space="preserve"> Private Sector Scoping Study Report Findings</w:t>
            </w:r>
            <w:r w:rsidR="00FF79EC">
              <w:rPr>
                <w:rFonts w:cs="MyriadPro-Regular"/>
                <w:lang w:val="en-US"/>
              </w:rPr>
              <w:t xml:space="preserve">, based on the </w:t>
            </w:r>
            <w:r w:rsidR="00FF79EC">
              <w:rPr>
                <w:lang w:val="en-US"/>
              </w:rPr>
              <w:t>strategy approach.</w:t>
            </w:r>
          </w:p>
        </w:tc>
      </w:tr>
      <w:tr w:rsidR="00511666" w14:paraId="4D53BB99" w14:textId="77777777" w:rsidTr="00ED231D">
        <w:tc>
          <w:tcPr>
            <w:tcW w:w="988" w:type="dxa"/>
          </w:tcPr>
          <w:p w14:paraId="5B792D1B" w14:textId="12D54875" w:rsidR="00511666" w:rsidRDefault="002E7E0D" w:rsidP="00ED231D">
            <w:pPr>
              <w:autoSpaceDE w:val="0"/>
              <w:autoSpaceDN w:val="0"/>
              <w:adjustRightInd w:val="0"/>
              <w:jc w:val="both"/>
              <w:rPr>
                <w:rFonts w:cs="MyriadPro-Regular"/>
                <w:lang w:val="en-US"/>
              </w:rPr>
            </w:pPr>
            <w:r>
              <w:rPr>
                <w:rFonts w:cs="MyriadPro-Regular"/>
                <w:lang w:val="en-US"/>
              </w:rPr>
              <w:t>7</w:t>
            </w:r>
          </w:p>
        </w:tc>
        <w:tc>
          <w:tcPr>
            <w:tcW w:w="5244" w:type="dxa"/>
          </w:tcPr>
          <w:p w14:paraId="52C43C8C" w14:textId="64E4E9A5" w:rsidR="00511666" w:rsidRDefault="00DA7208" w:rsidP="00ED231D">
            <w:pPr>
              <w:autoSpaceDE w:val="0"/>
              <w:autoSpaceDN w:val="0"/>
              <w:adjustRightInd w:val="0"/>
              <w:jc w:val="both"/>
              <w:rPr>
                <w:rFonts w:cs="MyriadPro-Regular"/>
                <w:lang w:val="en-US"/>
              </w:rPr>
            </w:pPr>
            <w:r>
              <w:rPr>
                <w:rFonts w:cs="MyriadPro-Regular"/>
                <w:lang w:val="en-US"/>
              </w:rPr>
              <w:t>Final Approved</w:t>
            </w:r>
            <w:r w:rsidR="009944CC">
              <w:rPr>
                <w:rFonts w:cs="MyriadPro-Regular"/>
                <w:lang w:val="en-US"/>
              </w:rPr>
              <w:t xml:space="preserve"> Gender-Responsive Private Sector Scoping Study </w:t>
            </w:r>
            <w:r w:rsidR="00DC3A10">
              <w:rPr>
                <w:rFonts w:cs="MyriadPro-Regular"/>
                <w:lang w:val="en-US"/>
              </w:rPr>
              <w:t>to explore investment opportunities for NDC enhancement in Saint Vincent and the Grenadines</w:t>
            </w:r>
          </w:p>
        </w:tc>
      </w:tr>
    </w:tbl>
    <w:p w14:paraId="509404CB" w14:textId="77777777" w:rsidR="007C10A3" w:rsidRDefault="007C10A3" w:rsidP="00740CC9">
      <w:pPr>
        <w:spacing w:before="240" w:after="240"/>
        <w:jc w:val="both"/>
      </w:pPr>
    </w:p>
    <w:p w14:paraId="0495CBD2" w14:textId="046FCC14" w:rsidR="001F0626" w:rsidRPr="001D11A1" w:rsidRDefault="009F5560" w:rsidP="009F5560">
      <w:pPr>
        <w:pStyle w:val="Heading1"/>
        <w:numPr>
          <w:ilvl w:val="0"/>
          <w:numId w:val="0"/>
        </w:numPr>
        <w:rPr>
          <w:rFonts w:cstheme="minorHAnsi"/>
        </w:rPr>
      </w:pPr>
      <w:r>
        <w:t>4.</w:t>
      </w:r>
      <w:r w:rsidR="00412CE4" w:rsidRPr="00C00621">
        <w:t>EXPECTED OUTPUTS AND DELIVERABLES</w:t>
      </w:r>
    </w:p>
    <w:p w14:paraId="5402E39F" w14:textId="6BF58CBD" w:rsidR="009F5560" w:rsidRDefault="009F5560" w:rsidP="0009550C">
      <w:pPr>
        <w:pStyle w:val="Heading2"/>
        <w:numPr>
          <w:ilvl w:val="0"/>
          <w:numId w:val="0"/>
        </w:numPr>
        <w:shd w:val="clear" w:color="auto" w:fill="auto"/>
      </w:pPr>
    </w:p>
    <w:p w14:paraId="38901226" w14:textId="77777777" w:rsidR="006F2B58" w:rsidRDefault="006F2B58" w:rsidP="006F2B58">
      <w:r>
        <w:t>The main expected outputs and project deliverables to be produced under this consultancy are as follows:</w:t>
      </w:r>
    </w:p>
    <w:p w14:paraId="7249A9D1" w14:textId="2C3CD303" w:rsidR="006F2B58" w:rsidRPr="00D362AC" w:rsidRDefault="006F2B58" w:rsidP="006F2B58">
      <w:pPr>
        <w:rPr>
          <w:b/>
          <w:bCs/>
        </w:rPr>
      </w:pPr>
      <w:r w:rsidRPr="00D362AC">
        <w:rPr>
          <w:b/>
          <w:bCs/>
        </w:rPr>
        <w:t>4.1 Inception Report</w:t>
      </w:r>
    </w:p>
    <w:p w14:paraId="55AA7293" w14:textId="126AE07D" w:rsidR="003A0F57" w:rsidRDefault="006F2B58" w:rsidP="00371C70">
      <w:pPr>
        <w:jc w:val="both"/>
      </w:pPr>
      <w:r>
        <w:t>The Contractor will be required to produce an inception report as the first project output under this consultancy. The inception report will include the project background, rationale and objectives in-addition to a detailed methodology and approach, the inception report will also include the proposed work plan inclusive of the detailed work-break down structure and timelines in meeting the proposed project goals. The inception report should be presented in pdf and power point format to the project team ahead of the project kick-off meeting.</w:t>
      </w:r>
    </w:p>
    <w:p w14:paraId="1CFEFF9E" w14:textId="1306B711" w:rsidR="00F1204F" w:rsidRDefault="00C62493" w:rsidP="00C62493">
      <w:pPr>
        <w:jc w:val="both"/>
        <w:rPr>
          <w:b/>
          <w:bCs/>
        </w:rPr>
      </w:pPr>
      <w:r w:rsidRPr="00C62493">
        <w:rPr>
          <w:b/>
          <w:bCs/>
        </w:rPr>
        <w:t xml:space="preserve">4.2 </w:t>
      </w:r>
      <w:r w:rsidR="00073923">
        <w:rPr>
          <w:b/>
          <w:bCs/>
        </w:rPr>
        <w:t>NDC Private Sector Investment Report and Policy, Legislative and Regulatory Mapping for Saint Vincent and the Grenadines</w:t>
      </w:r>
    </w:p>
    <w:p w14:paraId="55FA5B19" w14:textId="47DCC58B" w:rsidR="00F1204F" w:rsidRPr="00AF5847" w:rsidRDefault="00073923" w:rsidP="00C62493">
      <w:pPr>
        <w:jc w:val="both"/>
      </w:pPr>
      <w:r w:rsidRPr="00073923">
        <w:t>The second deliverable to be produced by the consultant is that of the NDC</w:t>
      </w:r>
      <w:r>
        <w:t xml:space="preserve"> Private Sector Investment Report and</w:t>
      </w:r>
      <w:r w:rsidR="0068498C">
        <w:t xml:space="preserve"> the Policy and Legislative and Regulatory Mapping for Saint Vincent and the Grenadines. The first part of this outputs speaks to the identification of the available private sector investment opportunities within Saint Vincent and the Grenadines NDCs. The consultant will be expected to outline the specific investment </w:t>
      </w:r>
      <w:r w:rsidR="0068498C">
        <w:lastRenderedPageBreak/>
        <w:t>opportunities in detail specific to each priority sector and</w:t>
      </w:r>
      <w:r w:rsidR="00ED70C1">
        <w:t xml:space="preserve"> related</w:t>
      </w:r>
      <w:r w:rsidR="0068498C">
        <w:t xml:space="preserve"> sub-sector</w:t>
      </w:r>
      <w:r w:rsidR="00ED70C1">
        <w:t>s.</w:t>
      </w:r>
      <w:r w:rsidR="0068498C">
        <w:t xml:space="preserve"> </w:t>
      </w:r>
      <w:r w:rsidR="000C4B56">
        <w:t>Consequently, the second part of this deliverable places focuses on the policy, legislative and regulatory mapping. This mapping will be undertaken</w:t>
      </w:r>
      <w:r w:rsidR="00D30538">
        <w:t xml:space="preserve"> firstly</w:t>
      </w:r>
      <w:r w:rsidR="00C15C91">
        <w:t xml:space="preserve"> at a high level to</w:t>
      </w:r>
      <w:r w:rsidR="000C4B56">
        <w:t xml:space="preserve"> identify the barriers which exist</w:t>
      </w:r>
      <w:r w:rsidR="00766C66">
        <w:t xml:space="preserve"> </w:t>
      </w:r>
      <w:r w:rsidR="00653D18">
        <w:t xml:space="preserve">within </w:t>
      </w:r>
      <w:r w:rsidR="00766C66">
        <w:t>Saint Vincent and the Grenadines private sector and business landscape and at a more detail level looking at the specific policy, legislative and regulatory requirements in place or absence across the priority sectors identified within the country’s NDCs. This mapping is expected to</w:t>
      </w:r>
      <w:r w:rsidR="00BA75FE">
        <w:t xml:space="preserve"> help inform the proposal of the market reforms and structures w</w:t>
      </w:r>
      <w:r w:rsidR="00AF5847">
        <w:t>hich</w:t>
      </w:r>
      <w:r w:rsidR="00641DE1">
        <w:t xml:space="preserve"> be developed further later in creating an enabling environment which incentives private sector investment.</w:t>
      </w:r>
    </w:p>
    <w:p w14:paraId="4E2AAEA2" w14:textId="16B5ED45" w:rsidR="00146EFE" w:rsidRDefault="00F1204F" w:rsidP="00C62493">
      <w:pPr>
        <w:jc w:val="both"/>
        <w:rPr>
          <w:b/>
          <w:bCs/>
        </w:rPr>
      </w:pPr>
      <w:r>
        <w:rPr>
          <w:b/>
          <w:bCs/>
        </w:rPr>
        <w:t xml:space="preserve">4.3 </w:t>
      </w:r>
      <w:r w:rsidR="00C62493" w:rsidRPr="00C62493">
        <w:rPr>
          <w:b/>
          <w:bCs/>
        </w:rPr>
        <w:t>Draft Gender</w:t>
      </w:r>
      <w:r w:rsidR="00371C70">
        <w:rPr>
          <w:b/>
          <w:bCs/>
        </w:rPr>
        <w:t>-</w:t>
      </w:r>
      <w:r w:rsidR="00C62493" w:rsidRPr="00C62493">
        <w:rPr>
          <w:b/>
          <w:bCs/>
        </w:rPr>
        <w:t>Responsive Private Sector Scoping Study for Saint Vincent and the Grenadines</w:t>
      </w:r>
    </w:p>
    <w:p w14:paraId="736BA96B" w14:textId="1BFE8743" w:rsidR="004E3EFD" w:rsidRDefault="00685191" w:rsidP="00C62493">
      <w:pPr>
        <w:jc w:val="both"/>
      </w:pPr>
      <w:r>
        <w:t xml:space="preserve">The Draft </w:t>
      </w:r>
      <w:r w:rsidR="003F4615">
        <w:t>Gender-Responsive Private Sector Scoping Study</w:t>
      </w:r>
      <w:r>
        <w:t xml:space="preserve"> for Saint Vincent and the Grenadines should be prepared using the information and data gathered during the inclusive stakeholder consultative process</w:t>
      </w:r>
      <w:r w:rsidR="004E3EFD">
        <w:t>es</w:t>
      </w:r>
      <w:r>
        <w:t xml:space="preserve"> as</w:t>
      </w:r>
      <w:r w:rsidR="004E3EFD">
        <w:t xml:space="preserve"> well as from the gender analysis undertaken</w:t>
      </w:r>
      <w:r>
        <w:t>. The</w:t>
      </w:r>
      <w:r w:rsidR="009E1286">
        <w:t xml:space="preserve"> information</w:t>
      </w:r>
      <w:r w:rsidR="004E3EFD">
        <w:t xml:space="preserve"> gathered during the</w:t>
      </w:r>
      <w:r w:rsidR="002F484A">
        <w:t xml:space="preserve"> identification and</w:t>
      </w:r>
      <w:r w:rsidR="004E3EFD">
        <w:t xml:space="preserve"> assessment of the private sector opportunities</w:t>
      </w:r>
      <w:r w:rsidR="002F484A">
        <w:t xml:space="preserve"> available under Saint Vincent and the Grenadines NDCs will also be included.</w:t>
      </w:r>
      <w:r w:rsidR="00A971B2">
        <w:t xml:space="preserve"> In-addition to the policy, legislative and regulatory map</w:t>
      </w:r>
      <w:r w:rsidR="000775EB">
        <w:t>ping undertaken, the</w:t>
      </w:r>
      <w:r w:rsidR="007A1746">
        <w:t xml:space="preserve"> draft gender-responsive</w:t>
      </w:r>
      <w:r w:rsidR="000775EB">
        <w:t xml:space="preserve"> scoping study should also include the proposed market reforms and structures</w:t>
      </w:r>
      <w:r w:rsidR="007A1746">
        <w:t xml:space="preserve"> which </w:t>
      </w:r>
      <w:r w:rsidR="00DB6D5F">
        <w:t>incentive</w:t>
      </w:r>
      <w:r w:rsidR="007A1746">
        <w:t xml:space="preserve"> private sector investment as well as the concept investment and finance business cases.</w:t>
      </w:r>
      <w:r w:rsidR="00DB6D5F">
        <w:t xml:space="preserve"> Lastly, </w:t>
      </w:r>
      <w:r w:rsidR="003B74D0">
        <w:t xml:space="preserve">the domestic private sector opportunities and recommendations being proposed </w:t>
      </w:r>
      <w:r w:rsidR="00924D43">
        <w:t xml:space="preserve">should be supported and included within the </w:t>
      </w:r>
      <w:r w:rsidR="00001951">
        <w:t>Draft Scoping Study.</w:t>
      </w:r>
    </w:p>
    <w:p w14:paraId="5D071087" w14:textId="24148890" w:rsidR="00B93E87" w:rsidRDefault="00B93E87" w:rsidP="00C62493">
      <w:pPr>
        <w:jc w:val="both"/>
        <w:rPr>
          <w:b/>
          <w:bCs/>
        </w:rPr>
      </w:pPr>
      <w:r>
        <w:rPr>
          <w:b/>
          <w:bCs/>
        </w:rPr>
        <w:t>4.</w:t>
      </w:r>
      <w:r w:rsidR="00F1204F">
        <w:rPr>
          <w:b/>
          <w:bCs/>
        </w:rPr>
        <w:t>4</w:t>
      </w:r>
      <w:r>
        <w:rPr>
          <w:b/>
          <w:bCs/>
        </w:rPr>
        <w:t xml:space="preserve"> </w:t>
      </w:r>
      <w:r w:rsidR="003217C5">
        <w:rPr>
          <w:b/>
          <w:bCs/>
        </w:rPr>
        <w:t xml:space="preserve">Gender Responsive Private Sector Scoping Study- </w:t>
      </w:r>
      <w:r>
        <w:rPr>
          <w:b/>
          <w:bCs/>
        </w:rPr>
        <w:t>Validation Workshop</w:t>
      </w:r>
    </w:p>
    <w:p w14:paraId="2239DCC0" w14:textId="072FB898" w:rsidR="0007060C" w:rsidRPr="00136704" w:rsidRDefault="001C350B" w:rsidP="00C62493">
      <w:pPr>
        <w:jc w:val="both"/>
        <w:rPr>
          <w:lang w:val="en-US"/>
        </w:rPr>
      </w:pPr>
      <w:r w:rsidRPr="2C49C1BC">
        <w:rPr>
          <w:lang w:val="en-US"/>
        </w:rPr>
        <w:t>Given, that the conduct of the validation workshop marks a major milestone in the project’s execution. The contractor will be required to submit a strategy approach which outlines how the design and coordination of this deliverable will be achieved</w:t>
      </w:r>
      <w:r w:rsidR="00B142C5" w:rsidRPr="2C49C1BC">
        <w:rPr>
          <w:lang w:val="en-US"/>
        </w:rPr>
        <w:t xml:space="preserve">. Especially </w:t>
      </w:r>
      <w:r w:rsidR="00877477" w:rsidRPr="2C49C1BC">
        <w:rPr>
          <w:lang w:val="en-US"/>
        </w:rPr>
        <w:t xml:space="preserve">considering, </w:t>
      </w:r>
      <w:r w:rsidR="00B142C5" w:rsidRPr="2C49C1BC">
        <w:rPr>
          <w:lang w:val="en-US"/>
        </w:rPr>
        <w:t xml:space="preserve">the inherent project risks and </w:t>
      </w:r>
      <w:r w:rsidR="00E31BF0" w:rsidRPr="2C49C1BC">
        <w:rPr>
          <w:lang w:val="en-US"/>
        </w:rPr>
        <w:t xml:space="preserve">limitations posed by the COVID-19 pandemic. </w:t>
      </w:r>
      <w:r w:rsidRPr="2C49C1BC">
        <w:rPr>
          <w:lang w:val="en-US"/>
        </w:rPr>
        <w:t xml:space="preserve">The strategy </w:t>
      </w:r>
      <w:r w:rsidR="00E31BF0" w:rsidRPr="2C49C1BC">
        <w:rPr>
          <w:lang w:val="en-US"/>
        </w:rPr>
        <w:t>approach</w:t>
      </w:r>
      <w:r w:rsidRPr="2C49C1BC">
        <w:rPr>
          <w:lang w:val="en-US"/>
        </w:rPr>
        <w:t xml:space="preserve"> will include the proposed structure of the validat</w:t>
      </w:r>
      <w:r w:rsidR="005568FB" w:rsidRPr="2C49C1BC">
        <w:rPr>
          <w:lang w:val="en-US"/>
        </w:rPr>
        <w:t>ion</w:t>
      </w:r>
      <w:r w:rsidRPr="2C49C1BC">
        <w:rPr>
          <w:lang w:val="en-US"/>
        </w:rPr>
        <w:t xml:space="preserve"> workshop, in-addition to the methodology which will be undertaken by the consultant, the proposed content </w:t>
      </w:r>
      <w:r w:rsidR="7C561FB1" w:rsidRPr="2C49C1BC">
        <w:rPr>
          <w:lang w:val="en-US"/>
        </w:rPr>
        <w:t>requirements, the</w:t>
      </w:r>
      <w:r w:rsidRPr="2C49C1BC">
        <w:rPr>
          <w:lang w:val="en-US"/>
        </w:rPr>
        <w:t xml:space="preserve"> core objectives and the main expected outputs to be achieved at the end</w:t>
      </w:r>
      <w:r w:rsidR="00136704" w:rsidRPr="2C49C1BC">
        <w:rPr>
          <w:lang w:val="en-US"/>
        </w:rPr>
        <w:t xml:space="preserve"> of the validation session as well as the proposed target audience</w:t>
      </w:r>
      <w:r w:rsidRPr="2C49C1BC">
        <w:rPr>
          <w:lang w:val="en-US"/>
        </w:rPr>
        <w:t>.</w:t>
      </w:r>
      <w:r w:rsidR="005B08CE" w:rsidRPr="2C49C1BC">
        <w:rPr>
          <w:lang w:val="en-US"/>
        </w:rPr>
        <w:t xml:space="preserve"> </w:t>
      </w:r>
      <w:r w:rsidRPr="2C49C1BC">
        <w:rPr>
          <w:lang w:val="en-US"/>
        </w:rPr>
        <w:t>The project team will review the strategy approach extensively with the aim of providing feedback and recommended changes to the contractor where needed, to ensure the successful execution of the validation sessio</w:t>
      </w:r>
      <w:r w:rsidR="00136704" w:rsidRPr="2C49C1BC">
        <w:rPr>
          <w:lang w:val="en-US"/>
        </w:rPr>
        <w:t>n</w:t>
      </w:r>
      <w:r w:rsidRPr="2C49C1BC">
        <w:rPr>
          <w:lang w:val="en-US"/>
        </w:rPr>
        <w:t>.</w:t>
      </w:r>
    </w:p>
    <w:p w14:paraId="797DA1FC" w14:textId="02A12AB2" w:rsidR="00C62493" w:rsidRDefault="00C62493" w:rsidP="00C62493">
      <w:pPr>
        <w:jc w:val="both"/>
        <w:rPr>
          <w:b/>
          <w:bCs/>
        </w:rPr>
      </w:pPr>
      <w:r w:rsidRPr="00C62493">
        <w:rPr>
          <w:b/>
          <w:bCs/>
        </w:rPr>
        <w:t>4.</w:t>
      </w:r>
      <w:r w:rsidR="00F1204F">
        <w:rPr>
          <w:b/>
          <w:bCs/>
        </w:rPr>
        <w:t>5</w:t>
      </w:r>
      <w:r w:rsidRPr="00C62493">
        <w:rPr>
          <w:b/>
          <w:bCs/>
        </w:rPr>
        <w:t xml:space="preserve"> The Final Gender- Responsive Private Sector Scoping Study for Saint Vincent and the Grenadines</w:t>
      </w:r>
    </w:p>
    <w:p w14:paraId="03B8A803" w14:textId="0B69F2CD" w:rsidR="00C62493" w:rsidRPr="00F3536D" w:rsidRDefault="006324C0" w:rsidP="00C62493">
      <w:pPr>
        <w:jc w:val="both"/>
      </w:pPr>
      <w:r>
        <w:t>Building on the guidance and inputs received from the Government of Saint Vincent and the Grenadines in-addition to the EnGenDER and Climate Promise project team the Contractor will update and submit the final</w:t>
      </w:r>
      <w:r w:rsidR="00301061">
        <w:t xml:space="preserve"> Gender-responsive Private Sector Scoping Study,</w:t>
      </w:r>
      <w:r w:rsidR="00E5504A">
        <w:t xml:space="preserve"> for Saint Vincent and the Grenadines. The draft final document will be submitted in the published pdf format with the supporting infographics and annotations as well as in word format.</w:t>
      </w:r>
      <w:r w:rsidR="00151618">
        <w:t xml:space="preserve"> At a minimum the final</w:t>
      </w:r>
      <w:r w:rsidR="009A14A5">
        <w:t xml:space="preserve"> project document will include the following</w:t>
      </w:r>
      <w:r w:rsidR="00F3536D">
        <w:t xml:space="preserve">: </w:t>
      </w:r>
      <w:r w:rsidR="00BA449A">
        <w:t>(</w:t>
      </w:r>
      <w:proofErr w:type="spellStart"/>
      <w:r w:rsidR="009A14A5">
        <w:t>i</w:t>
      </w:r>
      <w:proofErr w:type="spellEnd"/>
      <w:r w:rsidR="009A14A5">
        <w:t>) Executive Summary</w:t>
      </w:r>
      <w:r w:rsidR="00F3536D">
        <w:t xml:space="preserve">, </w:t>
      </w:r>
      <w:r w:rsidR="00BA449A">
        <w:t>(</w:t>
      </w:r>
      <w:r w:rsidR="00F3536D">
        <w:t xml:space="preserve">ii) List of Abbreviations/ Acronyms, </w:t>
      </w:r>
      <w:r w:rsidR="00BA449A">
        <w:t>(</w:t>
      </w:r>
      <w:r w:rsidR="00F3536D">
        <w:t>iii)</w:t>
      </w:r>
      <w:r w:rsidR="007C49BB">
        <w:t xml:space="preserve"> </w:t>
      </w:r>
      <w:r w:rsidR="00F3536D">
        <w:t>Background</w:t>
      </w:r>
      <w:r w:rsidR="00083C98">
        <w:t>,</w:t>
      </w:r>
      <w:r w:rsidR="00F3536D">
        <w:t xml:space="preserve"> </w:t>
      </w:r>
      <w:r w:rsidR="00BA449A">
        <w:t>(</w:t>
      </w:r>
      <w:r w:rsidR="00F3536D">
        <w:t>i</w:t>
      </w:r>
      <w:r w:rsidR="00BA449A">
        <w:t>v</w:t>
      </w:r>
      <w:r w:rsidR="00F3536D">
        <w:t>) Rationale</w:t>
      </w:r>
      <w:r w:rsidR="00083C98">
        <w:t xml:space="preserve">, </w:t>
      </w:r>
      <w:r w:rsidR="00BA449A">
        <w:t>(</w:t>
      </w:r>
      <w:r w:rsidR="00083C98">
        <w:t xml:space="preserve">v) Aim &amp; Expected Outputs, </w:t>
      </w:r>
      <w:r w:rsidR="00BA449A">
        <w:t>(vi</w:t>
      </w:r>
      <w:r w:rsidR="007C49BB">
        <w:t>) Methodology</w:t>
      </w:r>
      <w:r w:rsidR="00083C98">
        <w:t>,</w:t>
      </w:r>
      <w:r w:rsidR="007C49BB">
        <w:t xml:space="preserve"> </w:t>
      </w:r>
      <w:r w:rsidR="00BA449A">
        <w:t>(</w:t>
      </w:r>
      <w:r w:rsidR="007C49BB">
        <w:t>v</w:t>
      </w:r>
      <w:r w:rsidR="00BA449A">
        <w:t>ii</w:t>
      </w:r>
      <w:r w:rsidR="007C49BB">
        <w:t>)</w:t>
      </w:r>
      <w:r w:rsidR="00083C98">
        <w:t xml:space="preserve"> Situational Analysis</w:t>
      </w:r>
      <w:r w:rsidR="00C443A6">
        <w:t xml:space="preserve">, </w:t>
      </w:r>
      <w:r w:rsidR="00CF0977">
        <w:t>(</w:t>
      </w:r>
      <w:r w:rsidR="00C443A6">
        <w:t>vi</w:t>
      </w:r>
      <w:r w:rsidR="00CF0977">
        <w:t>ii</w:t>
      </w:r>
      <w:r w:rsidR="00C443A6">
        <w:t xml:space="preserve">) Saint Vincent and the Grenadines NDC Private Sector Organizations, </w:t>
      </w:r>
      <w:r w:rsidR="00CF0977">
        <w:t>(ix</w:t>
      </w:r>
      <w:r w:rsidR="00C443A6">
        <w:t>)</w:t>
      </w:r>
      <w:r w:rsidR="00087D33">
        <w:t xml:space="preserve"> Policy,</w:t>
      </w:r>
      <w:r w:rsidR="00622BBD">
        <w:t xml:space="preserve"> </w:t>
      </w:r>
      <w:r w:rsidR="00CF0977">
        <w:t>(x</w:t>
      </w:r>
      <w:r w:rsidR="00622BBD">
        <w:t>)</w:t>
      </w:r>
      <w:r w:rsidR="00087D33">
        <w:t xml:space="preserve"> Legislative and Regulatory Mapping,</w:t>
      </w:r>
      <w:r w:rsidR="00622BBD">
        <w:t xml:space="preserve"> </w:t>
      </w:r>
      <w:r w:rsidR="00CF0977">
        <w:t>(xi</w:t>
      </w:r>
      <w:r w:rsidR="00622BBD">
        <w:t>)</w:t>
      </w:r>
      <w:r w:rsidR="00B851B6">
        <w:t xml:space="preserve"> Market</w:t>
      </w:r>
      <w:r w:rsidR="00D66817">
        <w:t xml:space="preserve"> Reforms &amp; Structures</w:t>
      </w:r>
      <w:r w:rsidR="00BA449A">
        <w:t xml:space="preserve"> which </w:t>
      </w:r>
      <w:r w:rsidR="00BA449A">
        <w:lastRenderedPageBreak/>
        <w:t>support Private Sector Investment,</w:t>
      </w:r>
      <w:r w:rsidR="00B851B6">
        <w:t xml:space="preserve"> </w:t>
      </w:r>
      <w:r w:rsidR="00CF0977">
        <w:t>(</w:t>
      </w:r>
      <w:r w:rsidR="00B851B6">
        <w:t>x</w:t>
      </w:r>
      <w:r w:rsidR="00CF0977">
        <w:t>ii</w:t>
      </w:r>
      <w:r w:rsidR="00B851B6">
        <w:t>) Concept Investment and Finance Business Cases</w:t>
      </w:r>
      <w:r w:rsidR="00CD330B">
        <w:t xml:space="preserve">, </w:t>
      </w:r>
      <w:r w:rsidR="005B08CE">
        <w:t>(</w:t>
      </w:r>
      <w:r w:rsidR="00CD330B">
        <w:t>xi</w:t>
      </w:r>
      <w:r w:rsidR="005B08CE">
        <w:t>ii</w:t>
      </w:r>
      <w:r w:rsidR="00CD330B">
        <w:t xml:space="preserve">) Domestic Private Sector Investment Opportunities and </w:t>
      </w:r>
      <w:r w:rsidR="005B08CE">
        <w:t>(</w:t>
      </w:r>
      <w:r w:rsidR="00CD330B">
        <w:t>xi</w:t>
      </w:r>
      <w:r w:rsidR="005B08CE">
        <w:t>v</w:t>
      </w:r>
      <w:r w:rsidR="00CD330B">
        <w:t>) Recommendations</w:t>
      </w:r>
      <w:r w:rsidR="005B08CE">
        <w:t>.</w:t>
      </w:r>
    </w:p>
    <w:p w14:paraId="1180BE70" w14:textId="6898334C" w:rsidR="00B42129" w:rsidRPr="00001951" w:rsidRDefault="00CC72A9" w:rsidP="00C00621">
      <w:pPr>
        <w:jc w:val="both"/>
        <w:rPr>
          <w:rFonts w:eastAsia="Times New Roman" w:cs="Calibri"/>
          <w:b/>
          <w:bCs/>
          <w:u w:val="single"/>
        </w:rPr>
      </w:pPr>
      <w:r w:rsidRPr="00001951">
        <w:rPr>
          <w:rFonts w:eastAsia="Times New Roman" w:cs="Calibri"/>
          <w:b/>
          <w:bCs/>
          <w:u w:val="single"/>
        </w:rPr>
        <w:t>E</w:t>
      </w:r>
      <w:r w:rsidR="00B42129" w:rsidRPr="00001951">
        <w:rPr>
          <w:rFonts w:eastAsia="Times New Roman" w:cs="Calibri"/>
          <w:b/>
          <w:bCs/>
          <w:u w:val="single"/>
        </w:rPr>
        <w:t xml:space="preserve">xpected </w:t>
      </w:r>
      <w:r w:rsidR="009F5CD2" w:rsidRPr="00001951">
        <w:rPr>
          <w:rFonts w:eastAsia="Times New Roman" w:cs="Calibri"/>
          <w:b/>
          <w:bCs/>
          <w:u w:val="single"/>
        </w:rPr>
        <w:t>deliverables</w:t>
      </w:r>
      <w:r w:rsidR="00B42129" w:rsidRPr="00001951">
        <w:rPr>
          <w:rFonts w:eastAsia="Times New Roman" w:cs="Calibri"/>
          <w:b/>
          <w:bCs/>
          <w:u w:val="single"/>
        </w:rPr>
        <w:t xml:space="preserve"> and proposed payment allocations are as follows:</w:t>
      </w:r>
    </w:p>
    <w:tbl>
      <w:tblPr>
        <w:tblStyle w:val="TableGrid"/>
        <w:tblW w:w="0" w:type="auto"/>
        <w:tblLook w:val="04A0" w:firstRow="1" w:lastRow="0" w:firstColumn="1" w:lastColumn="0" w:noHBand="0" w:noVBand="1"/>
      </w:tblPr>
      <w:tblGrid>
        <w:gridCol w:w="6620"/>
        <w:gridCol w:w="1869"/>
        <w:gridCol w:w="1131"/>
      </w:tblGrid>
      <w:tr w:rsidR="007A1731" w:rsidRPr="00001951" w14:paraId="2BD562DC" w14:textId="47A40363" w:rsidTr="007A1731">
        <w:tc>
          <w:tcPr>
            <w:tcW w:w="0" w:type="auto"/>
          </w:tcPr>
          <w:p w14:paraId="236E46FA" w14:textId="78D115F3" w:rsidR="00D0716F" w:rsidRPr="00001951" w:rsidRDefault="00D0716F" w:rsidP="003D5ECB">
            <w:pPr>
              <w:jc w:val="both"/>
              <w:rPr>
                <w:rFonts w:cstheme="minorHAnsi"/>
                <w:b/>
              </w:rPr>
            </w:pPr>
            <w:r w:rsidRPr="00001951">
              <w:rPr>
                <w:rFonts w:cstheme="minorHAnsi"/>
                <w:b/>
              </w:rPr>
              <w:t xml:space="preserve">Deliverables </w:t>
            </w:r>
          </w:p>
        </w:tc>
        <w:tc>
          <w:tcPr>
            <w:tcW w:w="0" w:type="auto"/>
          </w:tcPr>
          <w:p w14:paraId="58A5B37E" w14:textId="56342047" w:rsidR="00D0716F" w:rsidRPr="00001951" w:rsidRDefault="00D0716F" w:rsidP="009139B2">
            <w:pPr>
              <w:jc w:val="center"/>
              <w:rPr>
                <w:rFonts w:cstheme="minorHAnsi"/>
                <w:b/>
              </w:rPr>
            </w:pPr>
            <w:r w:rsidRPr="00001951">
              <w:rPr>
                <w:rFonts w:cstheme="minorHAnsi"/>
                <w:b/>
              </w:rPr>
              <w:t>Number of w/days</w:t>
            </w:r>
          </w:p>
        </w:tc>
        <w:tc>
          <w:tcPr>
            <w:tcW w:w="0" w:type="auto"/>
          </w:tcPr>
          <w:p w14:paraId="67E3DE55" w14:textId="4168666F" w:rsidR="00D0716F" w:rsidRPr="00001951" w:rsidRDefault="00D0716F" w:rsidP="009139B2">
            <w:pPr>
              <w:jc w:val="center"/>
              <w:rPr>
                <w:rFonts w:cstheme="minorHAnsi"/>
                <w:b/>
              </w:rPr>
            </w:pPr>
            <w:r w:rsidRPr="00001951">
              <w:rPr>
                <w:rFonts w:cstheme="minorHAnsi"/>
                <w:b/>
              </w:rPr>
              <w:t>% Payment</w:t>
            </w:r>
          </w:p>
        </w:tc>
      </w:tr>
      <w:tr w:rsidR="007A1731" w:rsidRPr="00001951" w14:paraId="7D81F78A" w14:textId="6B176597" w:rsidTr="007A1731">
        <w:tc>
          <w:tcPr>
            <w:tcW w:w="0" w:type="auto"/>
          </w:tcPr>
          <w:p w14:paraId="449D7A9E" w14:textId="77777777" w:rsidR="00910784" w:rsidRDefault="00001951" w:rsidP="00AF5847">
            <w:pPr>
              <w:pStyle w:val="ListParagraph"/>
              <w:numPr>
                <w:ilvl w:val="0"/>
                <w:numId w:val="13"/>
              </w:numPr>
              <w:jc w:val="both"/>
              <w:rPr>
                <w:rFonts w:cstheme="minorHAnsi"/>
              </w:rPr>
            </w:pPr>
            <w:r w:rsidRPr="00001951">
              <w:rPr>
                <w:rFonts w:cstheme="minorHAnsi"/>
              </w:rPr>
              <w:t xml:space="preserve"> Inception Report</w:t>
            </w:r>
          </w:p>
          <w:p w14:paraId="7ABF52BA" w14:textId="547C6E3A" w:rsidR="00D83DFD" w:rsidRPr="00001951" w:rsidRDefault="00D83DFD" w:rsidP="00D83DFD">
            <w:pPr>
              <w:pStyle w:val="ListParagraph"/>
              <w:jc w:val="both"/>
              <w:rPr>
                <w:rFonts w:cstheme="minorHAnsi"/>
              </w:rPr>
            </w:pPr>
          </w:p>
        </w:tc>
        <w:tc>
          <w:tcPr>
            <w:tcW w:w="0" w:type="auto"/>
          </w:tcPr>
          <w:p w14:paraId="18D59BD7" w14:textId="150CB72F" w:rsidR="00D0716F" w:rsidRPr="00001951" w:rsidRDefault="00713324" w:rsidP="003734A7">
            <w:pPr>
              <w:jc w:val="center"/>
              <w:rPr>
                <w:rFonts w:cstheme="minorHAnsi"/>
              </w:rPr>
            </w:pPr>
            <w:r>
              <w:rPr>
                <w:rFonts w:cstheme="minorHAnsi"/>
              </w:rPr>
              <w:t xml:space="preserve">7 </w:t>
            </w:r>
            <w:r w:rsidR="006E40E2">
              <w:rPr>
                <w:rFonts w:cstheme="minorHAnsi"/>
              </w:rPr>
              <w:t>days after signing contract</w:t>
            </w:r>
          </w:p>
        </w:tc>
        <w:tc>
          <w:tcPr>
            <w:tcW w:w="0" w:type="auto"/>
          </w:tcPr>
          <w:p w14:paraId="55C83ABB" w14:textId="3AD71DE9" w:rsidR="00D0716F" w:rsidRPr="00001951" w:rsidRDefault="00247496" w:rsidP="004038E6">
            <w:pPr>
              <w:jc w:val="center"/>
              <w:rPr>
                <w:rFonts w:cstheme="minorHAnsi"/>
              </w:rPr>
            </w:pPr>
            <w:r>
              <w:rPr>
                <w:rFonts w:cstheme="minorHAnsi"/>
              </w:rPr>
              <w:t>15%</w:t>
            </w:r>
          </w:p>
        </w:tc>
      </w:tr>
      <w:tr w:rsidR="007A1731" w:rsidRPr="00001951" w14:paraId="2A867FCE" w14:textId="77777777" w:rsidTr="007A1731">
        <w:tc>
          <w:tcPr>
            <w:tcW w:w="0" w:type="auto"/>
          </w:tcPr>
          <w:p w14:paraId="4B68E5EA" w14:textId="201840CF" w:rsidR="007A1731" w:rsidRPr="00C87989" w:rsidRDefault="007A1731" w:rsidP="00AF5847">
            <w:pPr>
              <w:pStyle w:val="ListParagraph"/>
              <w:numPr>
                <w:ilvl w:val="0"/>
                <w:numId w:val="13"/>
              </w:numPr>
              <w:jc w:val="both"/>
              <w:rPr>
                <w:rFonts w:cstheme="minorHAnsi"/>
              </w:rPr>
            </w:pPr>
            <w:r>
              <w:rPr>
                <w:rFonts w:cstheme="minorHAnsi"/>
              </w:rPr>
              <w:t xml:space="preserve">NDC Private Sector Investment Opportunities and </w:t>
            </w:r>
            <w:r w:rsidR="005A147A">
              <w:rPr>
                <w:rFonts w:cstheme="minorHAnsi"/>
              </w:rPr>
              <w:t>Policy, Regulatory and Legislative Mapping</w:t>
            </w:r>
          </w:p>
        </w:tc>
        <w:tc>
          <w:tcPr>
            <w:tcW w:w="0" w:type="auto"/>
          </w:tcPr>
          <w:p w14:paraId="12492511" w14:textId="6842C556" w:rsidR="007A1731" w:rsidRPr="00001951" w:rsidRDefault="00D5734C" w:rsidP="003734A7">
            <w:pPr>
              <w:jc w:val="center"/>
              <w:rPr>
                <w:rFonts w:cstheme="minorHAnsi"/>
              </w:rPr>
            </w:pPr>
            <w:r>
              <w:rPr>
                <w:rFonts w:cstheme="minorHAnsi"/>
              </w:rPr>
              <w:t>2</w:t>
            </w:r>
            <w:r w:rsidR="00B51766">
              <w:rPr>
                <w:rFonts w:cstheme="minorHAnsi"/>
              </w:rPr>
              <w:t>0</w:t>
            </w:r>
            <w:r>
              <w:rPr>
                <w:rFonts w:cstheme="minorHAnsi"/>
              </w:rPr>
              <w:t xml:space="preserve"> days</w:t>
            </w:r>
            <w:r w:rsidR="003734A7">
              <w:rPr>
                <w:rFonts w:cstheme="minorHAnsi"/>
              </w:rPr>
              <w:t xml:space="preserve"> after signing contract</w:t>
            </w:r>
          </w:p>
        </w:tc>
        <w:tc>
          <w:tcPr>
            <w:tcW w:w="0" w:type="auto"/>
            <w:vAlign w:val="center"/>
          </w:tcPr>
          <w:p w14:paraId="1B1FB599" w14:textId="2A6B0DDB" w:rsidR="007A1731" w:rsidRPr="00001951" w:rsidRDefault="00247496" w:rsidP="007A1731">
            <w:pPr>
              <w:rPr>
                <w:rFonts w:cstheme="minorHAnsi"/>
              </w:rPr>
            </w:pPr>
            <w:r>
              <w:rPr>
                <w:rFonts w:cstheme="minorHAnsi"/>
              </w:rPr>
              <w:t xml:space="preserve">     20%</w:t>
            </w:r>
          </w:p>
        </w:tc>
      </w:tr>
      <w:tr w:rsidR="007A1731" w:rsidRPr="00001951" w14:paraId="4DCEF35D" w14:textId="77777777" w:rsidTr="007A1731">
        <w:trPr>
          <w:trHeight w:val="583"/>
        </w:trPr>
        <w:tc>
          <w:tcPr>
            <w:tcW w:w="0" w:type="auto"/>
          </w:tcPr>
          <w:p w14:paraId="01B3DFD6" w14:textId="1D897941" w:rsidR="007A1731" w:rsidRPr="007A1731" w:rsidRDefault="007A1731" w:rsidP="00AF5847">
            <w:pPr>
              <w:pStyle w:val="ListParagraph"/>
              <w:numPr>
                <w:ilvl w:val="0"/>
                <w:numId w:val="13"/>
              </w:numPr>
              <w:jc w:val="both"/>
              <w:rPr>
                <w:rFonts w:cstheme="minorHAnsi"/>
              </w:rPr>
            </w:pPr>
            <w:r>
              <w:rPr>
                <w:rFonts w:cstheme="minorHAnsi"/>
              </w:rPr>
              <w:t>Draft Final Gender Responsive Private Sector Scoping Study for Saint Vincent and the Grenadines</w:t>
            </w:r>
          </w:p>
        </w:tc>
        <w:tc>
          <w:tcPr>
            <w:tcW w:w="0" w:type="auto"/>
          </w:tcPr>
          <w:p w14:paraId="6C9ED64D" w14:textId="02F392B4" w:rsidR="007A1731" w:rsidRPr="00001951" w:rsidRDefault="000608AD" w:rsidP="003734A7">
            <w:pPr>
              <w:jc w:val="center"/>
              <w:rPr>
                <w:rFonts w:cstheme="minorHAnsi"/>
              </w:rPr>
            </w:pPr>
            <w:r>
              <w:rPr>
                <w:rFonts w:cstheme="minorHAnsi"/>
              </w:rPr>
              <w:t>4</w:t>
            </w:r>
            <w:r w:rsidR="003734A7">
              <w:rPr>
                <w:rFonts w:cstheme="minorHAnsi"/>
              </w:rPr>
              <w:t xml:space="preserve">0 </w:t>
            </w:r>
            <w:r w:rsidR="00B51766">
              <w:rPr>
                <w:rFonts w:cstheme="minorHAnsi"/>
              </w:rPr>
              <w:t>days</w:t>
            </w:r>
            <w:r w:rsidR="003734A7">
              <w:rPr>
                <w:rFonts w:cstheme="minorHAnsi"/>
              </w:rPr>
              <w:t xml:space="preserve"> after signing contract</w:t>
            </w:r>
          </w:p>
        </w:tc>
        <w:tc>
          <w:tcPr>
            <w:tcW w:w="0" w:type="auto"/>
            <w:vAlign w:val="center"/>
          </w:tcPr>
          <w:p w14:paraId="249045B5" w14:textId="3A2D1341" w:rsidR="007A1731" w:rsidRPr="00001951" w:rsidRDefault="00142AF0" w:rsidP="00142AF0">
            <w:pPr>
              <w:rPr>
                <w:rFonts w:cstheme="minorHAnsi"/>
              </w:rPr>
            </w:pPr>
            <w:r>
              <w:rPr>
                <w:rFonts w:cstheme="minorHAnsi"/>
              </w:rPr>
              <w:t xml:space="preserve">    </w:t>
            </w:r>
            <w:r w:rsidR="0079700A">
              <w:rPr>
                <w:rFonts w:cstheme="minorHAnsi"/>
              </w:rPr>
              <w:t>3</w:t>
            </w:r>
            <w:r w:rsidR="00F869BE">
              <w:rPr>
                <w:rFonts w:cstheme="minorHAnsi"/>
              </w:rPr>
              <w:t>0%</w:t>
            </w:r>
          </w:p>
        </w:tc>
      </w:tr>
      <w:tr w:rsidR="007A1731" w14:paraId="18E39653" w14:textId="77777777" w:rsidTr="007A1731">
        <w:tc>
          <w:tcPr>
            <w:tcW w:w="0" w:type="auto"/>
          </w:tcPr>
          <w:p w14:paraId="58F8AA4E" w14:textId="6BF62348" w:rsidR="00176723" w:rsidRPr="007A1731" w:rsidRDefault="006B2AD7" w:rsidP="00AF5847">
            <w:pPr>
              <w:pStyle w:val="ListParagraph"/>
              <w:numPr>
                <w:ilvl w:val="0"/>
                <w:numId w:val="13"/>
              </w:numPr>
              <w:jc w:val="both"/>
              <w:rPr>
                <w:rFonts w:cstheme="minorHAnsi"/>
              </w:rPr>
            </w:pPr>
            <w:r>
              <w:rPr>
                <w:rFonts w:cstheme="minorHAnsi"/>
              </w:rPr>
              <w:t xml:space="preserve"> Validation Workshop and </w:t>
            </w:r>
            <w:r w:rsidR="007A1731">
              <w:rPr>
                <w:rFonts w:cstheme="minorHAnsi"/>
              </w:rPr>
              <w:t>Final Gender Responsive Private Sector Scoping Study for Saint Vincent and the Grenadines</w:t>
            </w:r>
          </w:p>
        </w:tc>
        <w:tc>
          <w:tcPr>
            <w:tcW w:w="0" w:type="auto"/>
          </w:tcPr>
          <w:p w14:paraId="56AA5A7C" w14:textId="06A7A02A" w:rsidR="00176723" w:rsidRPr="00001951" w:rsidRDefault="003734A7" w:rsidP="003734A7">
            <w:pPr>
              <w:jc w:val="center"/>
              <w:rPr>
                <w:rFonts w:cstheme="minorHAnsi"/>
              </w:rPr>
            </w:pPr>
            <w:r>
              <w:rPr>
                <w:rFonts w:cstheme="minorHAnsi"/>
              </w:rPr>
              <w:t>5</w:t>
            </w:r>
            <w:r w:rsidR="000608AD">
              <w:rPr>
                <w:rFonts w:cstheme="minorHAnsi"/>
              </w:rPr>
              <w:t>0</w:t>
            </w:r>
            <w:r w:rsidR="00B47C0E">
              <w:rPr>
                <w:rFonts w:cstheme="minorHAnsi"/>
              </w:rPr>
              <w:t xml:space="preserve"> days</w:t>
            </w:r>
            <w:r>
              <w:rPr>
                <w:rFonts w:cstheme="minorHAnsi"/>
              </w:rPr>
              <w:t xml:space="preserve"> after signing contract</w:t>
            </w:r>
          </w:p>
        </w:tc>
        <w:tc>
          <w:tcPr>
            <w:tcW w:w="0" w:type="auto"/>
          </w:tcPr>
          <w:p w14:paraId="605E3351" w14:textId="25E51B9E" w:rsidR="00176723" w:rsidRDefault="0079700A" w:rsidP="0079700A">
            <w:pPr>
              <w:rPr>
                <w:rFonts w:cstheme="minorHAnsi"/>
              </w:rPr>
            </w:pPr>
            <w:r>
              <w:rPr>
                <w:rFonts w:cstheme="minorHAnsi"/>
              </w:rPr>
              <w:t xml:space="preserve">    </w:t>
            </w:r>
            <w:r w:rsidR="006B2AD7">
              <w:rPr>
                <w:rFonts w:cstheme="minorHAnsi"/>
              </w:rPr>
              <w:t>3</w:t>
            </w:r>
            <w:r>
              <w:rPr>
                <w:rFonts w:cstheme="minorHAnsi"/>
              </w:rPr>
              <w:t>5%</w:t>
            </w:r>
          </w:p>
        </w:tc>
      </w:tr>
    </w:tbl>
    <w:p w14:paraId="1C39F25F" w14:textId="77777777" w:rsidR="00F85AC5" w:rsidRDefault="00F85AC5" w:rsidP="009F5CD2">
      <w:pPr>
        <w:pStyle w:val="ochacontenttext"/>
        <w:spacing w:before="240" w:after="240" w:line="276" w:lineRule="auto"/>
        <w:jc w:val="both"/>
        <w:rPr>
          <w:rFonts w:asciiTheme="minorHAnsi" w:eastAsia="Times New Roman" w:hAnsiTheme="minorHAnsi"/>
          <w:color w:val="auto"/>
          <w:sz w:val="22"/>
          <w:szCs w:val="22"/>
          <w:lang w:eastAsia="fr-FR"/>
        </w:rPr>
      </w:pPr>
    </w:p>
    <w:p w14:paraId="752B1339" w14:textId="3A441BB5" w:rsidR="00F85AC5" w:rsidRPr="00F85AC5" w:rsidRDefault="00F85AC5" w:rsidP="00F85AC5">
      <w:pPr>
        <w:pStyle w:val="Heading1"/>
        <w:numPr>
          <w:ilvl w:val="0"/>
          <w:numId w:val="0"/>
        </w:numPr>
        <w:shd w:val="clear" w:color="auto" w:fill="D9D9D9" w:themeFill="background1" w:themeFillShade="D9"/>
        <w:spacing w:line="240" w:lineRule="auto"/>
      </w:pPr>
      <w:r>
        <w:rPr>
          <w:szCs w:val="24"/>
        </w:rPr>
        <w:t>5 INSTITUTIONAL ARRANGEMENTS/ REPoRTING RELATIONSHIPS</w:t>
      </w:r>
    </w:p>
    <w:p w14:paraId="47BF2978" w14:textId="7613EAFE" w:rsidR="003A0F57" w:rsidRDefault="0099208C" w:rsidP="009F5CD2">
      <w:pPr>
        <w:pStyle w:val="ochacontenttext"/>
        <w:spacing w:before="240" w:after="240" w:line="276" w:lineRule="auto"/>
        <w:jc w:val="both"/>
        <w:rPr>
          <w:rFonts w:asciiTheme="minorHAnsi" w:hAnsiTheme="minorHAnsi"/>
          <w:color w:val="auto"/>
          <w:sz w:val="22"/>
          <w:szCs w:val="22"/>
        </w:rPr>
      </w:pPr>
      <w:r w:rsidRPr="00F23AF4">
        <w:rPr>
          <w:rFonts w:asciiTheme="minorHAnsi" w:eastAsia="Times New Roman" w:hAnsiTheme="minorHAnsi"/>
          <w:color w:val="auto"/>
          <w:sz w:val="22"/>
          <w:szCs w:val="22"/>
          <w:lang w:eastAsia="fr-FR"/>
        </w:rPr>
        <w:t xml:space="preserve">The </w:t>
      </w:r>
      <w:r>
        <w:rPr>
          <w:rFonts w:asciiTheme="minorHAnsi" w:eastAsia="Times New Roman" w:hAnsiTheme="minorHAnsi"/>
          <w:color w:val="auto"/>
          <w:sz w:val="22"/>
          <w:szCs w:val="22"/>
          <w:lang w:eastAsia="fr-FR"/>
        </w:rPr>
        <w:t>Contractor</w:t>
      </w:r>
      <w:r w:rsidRPr="00F23AF4">
        <w:rPr>
          <w:rFonts w:asciiTheme="minorHAnsi" w:eastAsia="Times New Roman" w:hAnsiTheme="minorHAnsi"/>
          <w:color w:val="auto"/>
          <w:sz w:val="22"/>
          <w:szCs w:val="22"/>
          <w:lang w:eastAsia="fr-FR"/>
        </w:rPr>
        <w:t xml:space="preserve"> will</w:t>
      </w:r>
      <w:r w:rsidRPr="00F23AF4">
        <w:rPr>
          <w:rFonts w:asciiTheme="minorHAnsi" w:hAnsiTheme="minorHAnsi"/>
          <w:color w:val="auto"/>
          <w:sz w:val="22"/>
          <w:szCs w:val="22"/>
        </w:rPr>
        <w:t xml:space="preserve"> report directly to the EnGenDER Technical Specialist </w:t>
      </w:r>
      <w:r>
        <w:rPr>
          <w:rFonts w:asciiTheme="minorHAnsi" w:hAnsiTheme="minorHAnsi"/>
          <w:color w:val="auto"/>
          <w:sz w:val="22"/>
          <w:szCs w:val="22"/>
        </w:rPr>
        <w:t xml:space="preserve">Gender Equality, with support from the Technical Specialist for Climate Change and the Climate Promise project team </w:t>
      </w:r>
      <w:r w:rsidRPr="00F23AF4">
        <w:rPr>
          <w:rFonts w:asciiTheme="minorHAnsi" w:hAnsiTheme="minorHAnsi"/>
          <w:color w:val="auto"/>
          <w:sz w:val="22"/>
          <w:szCs w:val="22"/>
        </w:rPr>
        <w:t>in accordance to the approved schedule of work, on progress, challenges</w:t>
      </w:r>
      <w:r>
        <w:rPr>
          <w:rFonts w:asciiTheme="minorHAnsi" w:hAnsiTheme="minorHAnsi"/>
          <w:color w:val="auto"/>
          <w:sz w:val="22"/>
          <w:szCs w:val="22"/>
        </w:rPr>
        <w:t xml:space="preserve"> </w:t>
      </w:r>
      <w:r w:rsidRPr="00F23AF4">
        <w:rPr>
          <w:rFonts w:asciiTheme="minorHAnsi" w:hAnsiTheme="minorHAnsi"/>
          <w:color w:val="auto"/>
          <w:sz w:val="22"/>
          <w:szCs w:val="22"/>
        </w:rPr>
        <w:t>encountered, risks foreseen, proposed or taken mitigation measures, and where UNDP support may be required. The</w:t>
      </w:r>
      <w:r>
        <w:rPr>
          <w:rFonts w:asciiTheme="minorHAnsi" w:hAnsiTheme="minorHAnsi"/>
          <w:color w:val="auto"/>
          <w:sz w:val="22"/>
          <w:szCs w:val="22"/>
        </w:rPr>
        <w:t xml:space="preserve"> Contractor</w:t>
      </w:r>
      <w:r w:rsidRPr="00F23AF4">
        <w:rPr>
          <w:rFonts w:asciiTheme="minorHAnsi" w:hAnsiTheme="minorHAnsi"/>
          <w:color w:val="auto"/>
          <w:sz w:val="22"/>
          <w:szCs w:val="22"/>
        </w:rPr>
        <w:t xml:space="preserve"> is expected to liaise/interact/collaborate/work closely, within the course of performing the work, with the established EnGenDER National Focal Point and the National Mechanism for Decision Making, other government agencies, national climate change technical officers, technical officers from</w:t>
      </w:r>
      <w:r>
        <w:rPr>
          <w:rFonts w:asciiTheme="minorHAnsi" w:hAnsiTheme="minorHAnsi"/>
          <w:color w:val="auto"/>
          <w:sz w:val="22"/>
          <w:szCs w:val="22"/>
        </w:rPr>
        <w:t xml:space="preserve"> Saint Vincent and the Grenadines’ INDCs</w:t>
      </w:r>
      <w:r w:rsidRPr="00F23AF4">
        <w:rPr>
          <w:rFonts w:asciiTheme="minorHAnsi" w:hAnsiTheme="minorHAnsi"/>
          <w:color w:val="auto"/>
          <w:sz w:val="22"/>
          <w:szCs w:val="22"/>
        </w:rPr>
        <w:t xml:space="preserve"> priority sectors, other consultants, other agencies, donors, communities, CSOs, local government units, etc. Whenever requested, the </w:t>
      </w:r>
      <w:r>
        <w:rPr>
          <w:rFonts w:asciiTheme="minorHAnsi" w:hAnsiTheme="minorHAnsi"/>
          <w:color w:val="auto"/>
          <w:sz w:val="22"/>
          <w:szCs w:val="22"/>
        </w:rPr>
        <w:t>contractor</w:t>
      </w:r>
      <w:r w:rsidRPr="00F23AF4">
        <w:rPr>
          <w:rFonts w:asciiTheme="minorHAnsi" w:hAnsiTheme="minorHAnsi"/>
          <w:color w:val="auto"/>
          <w:sz w:val="22"/>
          <w:szCs w:val="22"/>
        </w:rPr>
        <w:t xml:space="preserve"> may participate in wider multi-agency assessment exercises and coordination for</w:t>
      </w:r>
      <w:r>
        <w:rPr>
          <w:rFonts w:asciiTheme="minorHAnsi" w:hAnsiTheme="minorHAnsi"/>
          <w:color w:val="auto"/>
          <w:sz w:val="22"/>
          <w:szCs w:val="22"/>
        </w:rPr>
        <w:t>a</w:t>
      </w:r>
      <w:r w:rsidRPr="00F23AF4">
        <w:rPr>
          <w:rFonts w:asciiTheme="minorHAnsi" w:hAnsiTheme="minorHAnsi"/>
          <w:color w:val="auto"/>
          <w:sz w:val="22"/>
          <w:szCs w:val="22"/>
        </w:rPr>
        <w:t>, but not to</w:t>
      </w:r>
      <w:r>
        <w:rPr>
          <w:rFonts w:asciiTheme="minorHAnsi" w:hAnsiTheme="minorHAnsi"/>
          <w:color w:val="auto"/>
          <w:sz w:val="22"/>
          <w:szCs w:val="22"/>
        </w:rPr>
        <w:t xml:space="preserve"> </w:t>
      </w:r>
      <w:r w:rsidRPr="00F23AF4">
        <w:rPr>
          <w:rFonts w:asciiTheme="minorHAnsi" w:hAnsiTheme="minorHAnsi"/>
          <w:color w:val="auto"/>
          <w:sz w:val="22"/>
          <w:szCs w:val="22"/>
        </w:rPr>
        <w:t>represent and/or to speak on behalf of UNDP.</w:t>
      </w:r>
    </w:p>
    <w:p w14:paraId="2E0D5D32" w14:textId="34324878" w:rsidR="009D069F" w:rsidRPr="004D560E" w:rsidRDefault="0099208C" w:rsidP="009D069F">
      <w:pPr>
        <w:shd w:val="clear" w:color="auto" w:fill="D9D9D9"/>
        <w:spacing w:after="0"/>
        <w:rPr>
          <w:rFonts w:cs="Calibri"/>
          <w:b/>
          <w:sz w:val="24"/>
          <w:szCs w:val="24"/>
        </w:rPr>
      </w:pPr>
      <w:r w:rsidRPr="004D560E">
        <w:rPr>
          <w:rFonts w:cs="Calibri"/>
          <w:b/>
          <w:sz w:val="24"/>
          <w:szCs w:val="24"/>
        </w:rPr>
        <w:t>6</w:t>
      </w:r>
      <w:r w:rsidR="00C474C6">
        <w:rPr>
          <w:rFonts w:cs="Calibri"/>
          <w:b/>
          <w:sz w:val="24"/>
          <w:szCs w:val="24"/>
        </w:rPr>
        <w:t>.</w:t>
      </w:r>
      <w:r w:rsidRPr="004D560E">
        <w:rPr>
          <w:rFonts w:cs="Calibri"/>
          <w:b/>
          <w:sz w:val="24"/>
          <w:szCs w:val="24"/>
        </w:rPr>
        <w:t xml:space="preserve"> </w:t>
      </w:r>
      <w:r w:rsidR="004D560E">
        <w:rPr>
          <w:rFonts w:cs="Calibri"/>
          <w:b/>
          <w:sz w:val="24"/>
          <w:szCs w:val="24"/>
        </w:rPr>
        <w:t xml:space="preserve">  </w:t>
      </w:r>
      <w:r w:rsidRPr="004D560E">
        <w:rPr>
          <w:rFonts w:cs="Calibri"/>
          <w:b/>
          <w:sz w:val="24"/>
          <w:szCs w:val="24"/>
        </w:rPr>
        <w:t>DURATION</w:t>
      </w:r>
      <w:r w:rsidR="00860FC8" w:rsidRPr="004D560E">
        <w:rPr>
          <w:rFonts w:cs="Calibri"/>
          <w:b/>
          <w:sz w:val="24"/>
          <w:szCs w:val="24"/>
        </w:rPr>
        <w:t xml:space="preserve"> AND </w:t>
      </w:r>
      <w:r w:rsidR="004D560E" w:rsidRPr="004D560E">
        <w:rPr>
          <w:rFonts w:cs="Calibri"/>
          <w:b/>
          <w:sz w:val="24"/>
          <w:szCs w:val="24"/>
        </w:rPr>
        <w:t>FINANCIAL PROPOSAL</w:t>
      </w:r>
    </w:p>
    <w:p w14:paraId="5AF2C5F3" w14:textId="2F3B03C4" w:rsidR="006526D6" w:rsidRDefault="006526D6" w:rsidP="006526D6">
      <w:pPr>
        <w:spacing w:before="240" w:after="240"/>
        <w:jc w:val="both"/>
      </w:pPr>
      <w:r>
        <w:t xml:space="preserve">The duration of the contract is for a period of </w:t>
      </w:r>
      <w:r w:rsidR="69E32256">
        <w:t>fifty (50) days</w:t>
      </w:r>
      <w:r>
        <w:t xml:space="preserve">, from </w:t>
      </w:r>
      <w:r w:rsidR="001324AE">
        <w:t>February</w:t>
      </w:r>
      <w:r>
        <w:t xml:space="preserve"> 202</w:t>
      </w:r>
      <w:r w:rsidR="001324AE">
        <w:t>1</w:t>
      </w:r>
      <w:r>
        <w:t xml:space="preserve"> to </w:t>
      </w:r>
      <w:r w:rsidR="001324AE">
        <w:t>April</w:t>
      </w:r>
      <w:r>
        <w:t xml:space="preserve"> 2021. </w:t>
      </w:r>
      <w:r w:rsidRPr="2C49C1BC">
        <w:rPr>
          <w:rFonts w:eastAsia="Times New Roman" w:cs="Calibri"/>
        </w:rPr>
        <w:t xml:space="preserve">The independent contractor’s price is a fixed output regardless of extension of the duration specified herein. </w:t>
      </w:r>
      <w:r>
        <w:t xml:space="preserve">Payments are based upon output, </w:t>
      </w:r>
      <w:r w:rsidR="1F34FD7D">
        <w:t>i.e.,</w:t>
      </w:r>
      <w:r>
        <w:t xml:space="preserve"> upon delivery of the services specified in the TOR.  In order to assist the requesting unit in the comparison of financial proposals, the financial proposal will include a breakdown of this lump sum amount (including professional fees per technical resource, the number of anticipated working days and if applicable travel, accommodation and per diem cost). All envisaged travel costs must be included in the financial proposal. This includes all travel to join duty station/repatriation travel.  In general, UNDP should not accept travel costs exceeding those of an economy class ticket. </w:t>
      </w:r>
    </w:p>
    <w:p w14:paraId="2EA0EB85" w14:textId="77777777" w:rsidR="006526D6" w:rsidRDefault="006526D6" w:rsidP="006526D6">
      <w:pPr>
        <w:spacing w:before="120" w:after="120"/>
        <w:jc w:val="both"/>
        <w:rPr>
          <w:i/>
          <w:iCs/>
          <w:u w:val="single"/>
        </w:rPr>
      </w:pPr>
      <w:r>
        <w:rPr>
          <w:i/>
          <w:iCs/>
          <w:u w:val="single"/>
        </w:rPr>
        <w:lastRenderedPageBreak/>
        <w:t xml:space="preserve">Despite the opening of borders, the </w:t>
      </w:r>
      <w:r w:rsidRPr="008D20EB">
        <w:rPr>
          <w:i/>
          <w:iCs/>
          <w:u w:val="single"/>
        </w:rPr>
        <w:t xml:space="preserve">COVID 19 </w:t>
      </w:r>
      <w:r>
        <w:rPr>
          <w:i/>
          <w:iCs/>
          <w:u w:val="single"/>
        </w:rPr>
        <w:t xml:space="preserve">pandemic </w:t>
      </w:r>
      <w:r w:rsidRPr="008D20EB">
        <w:rPr>
          <w:i/>
          <w:iCs/>
          <w:u w:val="single"/>
        </w:rPr>
        <w:t xml:space="preserve">may </w:t>
      </w:r>
      <w:r>
        <w:rPr>
          <w:i/>
          <w:iCs/>
          <w:u w:val="single"/>
        </w:rPr>
        <w:t xml:space="preserve">still </w:t>
      </w:r>
      <w:r w:rsidRPr="008D20EB">
        <w:rPr>
          <w:i/>
          <w:iCs/>
          <w:u w:val="single"/>
        </w:rPr>
        <w:t xml:space="preserve">impede </w:t>
      </w:r>
      <w:r>
        <w:rPr>
          <w:i/>
          <w:iCs/>
          <w:u w:val="single"/>
        </w:rPr>
        <w:t>travel to Saint Vincent and the Grenadines. A</w:t>
      </w:r>
      <w:r w:rsidRPr="008D20EB">
        <w:rPr>
          <w:i/>
          <w:iCs/>
          <w:u w:val="single"/>
        </w:rPr>
        <w:t>s far as i</w:t>
      </w:r>
      <w:r>
        <w:rPr>
          <w:i/>
          <w:iCs/>
          <w:u w:val="single"/>
        </w:rPr>
        <w:t>s</w:t>
      </w:r>
      <w:r w:rsidRPr="008D20EB">
        <w:rPr>
          <w:i/>
          <w:iCs/>
          <w:u w:val="single"/>
        </w:rPr>
        <w:t xml:space="preserve"> possible</w:t>
      </w:r>
      <w:r>
        <w:rPr>
          <w:i/>
          <w:iCs/>
          <w:u w:val="single"/>
        </w:rPr>
        <w:t xml:space="preserve"> the financial proposal should provide information on </w:t>
      </w:r>
      <w:r w:rsidRPr="008D20EB">
        <w:rPr>
          <w:i/>
          <w:iCs/>
          <w:u w:val="single"/>
        </w:rPr>
        <w:t>all travel and logistical cost related to each required mission in country.</w:t>
      </w:r>
    </w:p>
    <w:p w14:paraId="570A9889" w14:textId="329ADA46" w:rsidR="005A147A" w:rsidRDefault="006526D6" w:rsidP="005B363C">
      <w:pPr>
        <w:spacing w:before="240" w:after="240"/>
        <w:jc w:val="both"/>
        <w:rPr>
          <w:rFonts w:eastAsia="Times New Roman" w:cs="Calibri"/>
        </w:rPr>
      </w:pPr>
      <w:r w:rsidRPr="2C49C1BC">
        <w:rPr>
          <w:rFonts w:cs="Calibri"/>
        </w:rPr>
        <w:t xml:space="preserve">The Contractor’s price proposal will include </w:t>
      </w:r>
      <w:r w:rsidRPr="2C49C1BC">
        <w:rPr>
          <w:rFonts w:cs="Calibri"/>
          <w:b/>
          <w:bCs/>
          <w:i/>
          <w:iCs/>
          <w:u w:val="single"/>
        </w:rPr>
        <w:t>all expected costs of the assignment</w:t>
      </w:r>
      <w:r w:rsidRPr="2C49C1BC">
        <w:rPr>
          <w:rFonts w:cs="Calibri"/>
          <w:b/>
          <w:bCs/>
          <w:i/>
          <w:iCs/>
        </w:rPr>
        <w:t xml:space="preserve">. </w:t>
      </w:r>
      <w:r w:rsidRPr="2C49C1BC">
        <w:rPr>
          <w:rFonts w:eastAsia="Times New Roman" w:cs="Calibri"/>
        </w:rPr>
        <w:t xml:space="preserve">Payment will be remitted subject to the approval of final deliverables and based on the Contractor’s price proposal. In country technical clearance/approval must be provided for </w:t>
      </w:r>
      <w:r w:rsidR="0AD06ABC" w:rsidRPr="2C49C1BC">
        <w:rPr>
          <w:rFonts w:eastAsia="Times New Roman" w:cs="Calibri"/>
        </w:rPr>
        <w:t>all</w:t>
      </w:r>
      <w:r w:rsidRPr="2C49C1BC">
        <w:rPr>
          <w:rFonts w:eastAsia="Times New Roman" w:cs="Calibri"/>
        </w:rPr>
        <w:t xml:space="preserve"> deliverabl</w:t>
      </w:r>
      <w:r w:rsidR="00D81728" w:rsidRPr="2C49C1BC">
        <w:rPr>
          <w:rFonts w:eastAsia="Times New Roman" w:cs="Calibri"/>
        </w:rPr>
        <w:t>es.</w:t>
      </w:r>
    </w:p>
    <w:p w14:paraId="15A7C770" w14:textId="017DCC46" w:rsidR="00D81728" w:rsidRPr="00325A45" w:rsidRDefault="00325A45" w:rsidP="00325A45">
      <w:pPr>
        <w:pStyle w:val="Heading1"/>
        <w:numPr>
          <w:ilvl w:val="0"/>
          <w:numId w:val="0"/>
        </w:numPr>
        <w:shd w:val="clear" w:color="auto" w:fill="D9D9D9" w:themeFill="background1" w:themeFillShade="D9"/>
        <w:spacing w:line="240" w:lineRule="auto"/>
      </w:pPr>
      <w:r>
        <w:rPr>
          <w:szCs w:val="24"/>
        </w:rPr>
        <w:t>7</w:t>
      </w:r>
      <w:r w:rsidR="00D81728" w:rsidRPr="004D560E">
        <w:rPr>
          <w:szCs w:val="24"/>
        </w:rPr>
        <w:t xml:space="preserve"> </w:t>
      </w:r>
      <w:r w:rsidR="00D81728">
        <w:rPr>
          <w:szCs w:val="24"/>
        </w:rPr>
        <w:t xml:space="preserve">  </w:t>
      </w:r>
      <w:r w:rsidRPr="00F23AF4">
        <w:t>COMPOSITION AND REQUIRED COMPETENCIES</w:t>
      </w:r>
    </w:p>
    <w:p w14:paraId="18CD8FBD" w14:textId="13C17E24" w:rsidR="00085ECB" w:rsidRDefault="00085ECB" w:rsidP="00085ECB">
      <w:pPr>
        <w:spacing w:before="240" w:after="240"/>
        <w:jc w:val="both"/>
        <w:rPr>
          <w:rFonts w:cstheme="minorHAnsi"/>
          <w:bCs/>
        </w:rPr>
      </w:pPr>
      <w:r>
        <w:rPr>
          <w:rFonts w:cstheme="minorHAnsi"/>
          <w:bCs/>
        </w:rPr>
        <w:t xml:space="preserve">The technical capacities </w:t>
      </w:r>
      <w:r w:rsidR="005B77DD">
        <w:rPr>
          <w:rFonts w:cstheme="minorHAnsi"/>
          <w:bCs/>
        </w:rPr>
        <w:t>of</w:t>
      </w:r>
      <w:r>
        <w:rPr>
          <w:rFonts w:cstheme="minorHAnsi"/>
          <w:bCs/>
        </w:rPr>
        <w:t xml:space="preserve"> the independent contractor will be assessed based on the proposed technical competencies outlined in the tabular matrix below. </w:t>
      </w:r>
    </w:p>
    <w:tbl>
      <w:tblPr>
        <w:tblStyle w:val="TableGrid"/>
        <w:tblW w:w="0" w:type="auto"/>
        <w:tblLook w:val="04A0" w:firstRow="1" w:lastRow="0" w:firstColumn="1" w:lastColumn="0" w:noHBand="0" w:noVBand="1"/>
      </w:tblPr>
      <w:tblGrid>
        <w:gridCol w:w="1602"/>
        <w:gridCol w:w="8018"/>
      </w:tblGrid>
      <w:tr w:rsidR="00085ECB" w:rsidRPr="005E7830" w14:paraId="00DD76F6" w14:textId="77777777" w:rsidTr="00ED231D">
        <w:trPr>
          <w:trHeight w:val="492"/>
        </w:trPr>
        <w:tc>
          <w:tcPr>
            <w:tcW w:w="9620" w:type="dxa"/>
            <w:gridSpan w:val="2"/>
            <w:shd w:val="clear" w:color="auto" w:fill="D9D9D9" w:themeFill="background1" w:themeFillShade="D9"/>
          </w:tcPr>
          <w:p w14:paraId="2110140A" w14:textId="474E1B50" w:rsidR="00085ECB" w:rsidRPr="00D16BCA" w:rsidRDefault="00DC00AD" w:rsidP="00ED231D">
            <w:pPr>
              <w:jc w:val="both"/>
              <w:rPr>
                <w:rFonts w:cstheme="minorHAnsi"/>
                <w:b/>
              </w:rPr>
            </w:pPr>
            <w:r>
              <w:rPr>
                <w:rFonts w:cstheme="minorHAnsi"/>
                <w:b/>
              </w:rPr>
              <w:t>ECONOMIST</w:t>
            </w:r>
          </w:p>
        </w:tc>
      </w:tr>
      <w:tr w:rsidR="00085ECB" w:rsidRPr="005E7830" w14:paraId="5509DA34" w14:textId="77777777" w:rsidTr="00ED231D">
        <w:trPr>
          <w:trHeight w:val="492"/>
        </w:trPr>
        <w:tc>
          <w:tcPr>
            <w:tcW w:w="1602" w:type="dxa"/>
          </w:tcPr>
          <w:p w14:paraId="4B297F1A" w14:textId="77777777" w:rsidR="00085ECB" w:rsidRPr="005E7830" w:rsidRDefault="00085ECB" w:rsidP="00ED231D">
            <w:pPr>
              <w:rPr>
                <w:rFonts w:cstheme="minorHAnsi"/>
                <w:bCs/>
              </w:rPr>
            </w:pPr>
            <w:r>
              <w:rPr>
                <w:rFonts w:cstheme="minorHAnsi"/>
                <w:bCs/>
              </w:rPr>
              <w:t>Education</w:t>
            </w:r>
          </w:p>
        </w:tc>
        <w:tc>
          <w:tcPr>
            <w:tcW w:w="8018" w:type="dxa"/>
          </w:tcPr>
          <w:p w14:paraId="11FDEA15" w14:textId="2C6032EB" w:rsidR="00085ECB" w:rsidRPr="005E7830" w:rsidRDefault="00991C66" w:rsidP="00AF5847">
            <w:pPr>
              <w:pStyle w:val="ListParagraph"/>
              <w:numPr>
                <w:ilvl w:val="0"/>
                <w:numId w:val="3"/>
              </w:numPr>
              <w:spacing w:line="276" w:lineRule="auto"/>
              <w:ind w:left="357" w:hanging="357"/>
              <w:contextualSpacing w:val="0"/>
              <w:jc w:val="both"/>
              <w:rPr>
                <w:rFonts w:cstheme="minorHAnsi"/>
                <w:bCs/>
              </w:rPr>
            </w:pPr>
            <w:r>
              <w:rPr>
                <w:rFonts w:cstheme="minorHAnsi"/>
                <w:bCs/>
              </w:rPr>
              <w:t xml:space="preserve">Mandatory </w:t>
            </w:r>
            <w:r w:rsidR="00085ECB" w:rsidRPr="002814B0">
              <w:rPr>
                <w:rFonts w:cstheme="minorHAnsi"/>
                <w:bCs/>
              </w:rPr>
              <w:t>Postgraduate degree (MSc,</w:t>
            </w:r>
            <w:r w:rsidR="001E40D7">
              <w:rPr>
                <w:rFonts w:cstheme="minorHAnsi"/>
                <w:bCs/>
              </w:rPr>
              <w:t xml:space="preserve"> MBA</w:t>
            </w:r>
            <w:r w:rsidR="00085ECB" w:rsidRPr="002814B0">
              <w:rPr>
                <w:rFonts w:cstheme="minorHAnsi"/>
                <w:bCs/>
              </w:rPr>
              <w:t xml:space="preserve"> or higher) in </w:t>
            </w:r>
            <w:r w:rsidR="004450F9">
              <w:rPr>
                <w:rFonts w:cstheme="minorHAnsi"/>
                <w:bCs/>
              </w:rPr>
              <w:t>economics,</w:t>
            </w:r>
            <w:r w:rsidR="00D55CD2">
              <w:rPr>
                <w:rFonts w:cstheme="minorHAnsi"/>
                <w:bCs/>
              </w:rPr>
              <w:t xml:space="preserve"> finance,</w:t>
            </w:r>
            <w:r w:rsidR="001E40D7">
              <w:rPr>
                <w:rFonts w:cstheme="minorHAnsi"/>
                <w:bCs/>
              </w:rPr>
              <w:t xml:space="preserve"> business administration,</w:t>
            </w:r>
            <w:r w:rsidR="004450F9">
              <w:rPr>
                <w:rFonts w:cstheme="minorHAnsi"/>
                <w:bCs/>
              </w:rPr>
              <w:t xml:space="preserve"> </w:t>
            </w:r>
            <w:r w:rsidR="005A1AF5">
              <w:rPr>
                <w:rFonts w:cstheme="minorHAnsi"/>
                <w:bCs/>
              </w:rPr>
              <w:t>international business</w:t>
            </w:r>
            <w:r w:rsidR="00D55CD2">
              <w:rPr>
                <w:rFonts w:cstheme="minorHAnsi"/>
                <w:bCs/>
              </w:rPr>
              <w:t xml:space="preserve"> or</w:t>
            </w:r>
            <w:r w:rsidR="005A1AF5">
              <w:rPr>
                <w:rFonts w:cstheme="minorHAnsi"/>
                <w:bCs/>
              </w:rPr>
              <w:t xml:space="preserve"> sustainable development</w:t>
            </w:r>
            <w:r w:rsidR="00FE11A6">
              <w:rPr>
                <w:rFonts w:cstheme="minorHAnsi"/>
                <w:bCs/>
              </w:rPr>
              <w:t>.</w:t>
            </w:r>
          </w:p>
        </w:tc>
      </w:tr>
      <w:tr w:rsidR="00085ECB" w:rsidRPr="005E7830" w14:paraId="1C368350" w14:textId="77777777" w:rsidTr="00ED231D">
        <w:tc>
          <w:tcPr>
            <w:tcW w:w="1602" w:type="dxa"/>
          </w:tcPr>
          <w:p w14:paraId="7604EE08" w14:textId="77777777" w:rsidR="00085ECB" w:rsidRPr="005E7830" w:rsidRDefault="00085ECB" w:rsidP="00ED231D">
            <w:pPr>
              <w:spacing w:before="240" w:after="240"/>
              <w:jc w:val="both"/>
              <w:rPr>
                <w:rFonts w:cstheme="minorHAnsi"/>
                <w:bCs/>
              </w:rPr>
            </w:pPr>
            <w:r>
              <w:rPr>
                <w:rFonts w:cstheme="minorHAnsi"/>
                <w:bCs/>
              </w:rPr>
              <w:t>Experience</w:t>
            </w:r>
          </w:p>
        </w:tc>
        <w:tc>
          <w:tcPr>
            <w:tcW w:w="8018" w:type="dxa"/>
          </w:tcPr>
          <w:p w14:paraId="362C8D63" w14:textId="6BB2491F" w:rsidR="00085ECB" w:rsidRPr="00F6084E" w:rsidRDefault="00085ECB" w:rsidP="00AF5847">
            <w:pPr>
              <w:pStyle w:val="Default"/>
              <w:numPr>
                <w:ilvl w:val="0"/>
                <w:numId w:val="4"/>
              </w:numPr>
              <w:spacing w:line="276" w:lineRule="auto"/>
              <w:jc w:val="both"/>
              <w:rPr>
                <w:rFonts w:asciiTheme="minorHAnsi" w:hAnsiTheme="minorHAnsi"/>
                <w:color w:val="auto"/>
                <w:sz w:val="22"/>
                <w:szCs w:val="22"/>
                <w:lang w:eastAsia="en-US"/>
              </w:rPr>
            </w:pPr>
            <w:r w:rsidRPr="00F6084E">
              <w:rPr>
                <w:rFonts w:asciiTheme="minorHAnsi" w:hAnsiTheme="minorHAnsi"/>
                <w:color w:val="auto"/>
                <w:sz w:val="22"/>
                <w:szCs w:val="22"/>
                <w:lang w:eastAsia="en-US"/>
              </w:rPr>
              <w:t xml:space="preserve">At least </w:t>
            </w:r>
            <w:r w:rsidR="008F092F" w:rsidRPr="00F6084E">
              <w:rPr>
                <w:rFonts w:asciiTheme="minorHAnsi" w:hAnsiTheme="minorHAnsi"/>
                <w:color w:val="auto"/>
                <w:sz w:val="22"/>
                <w:szCs w:val="22"/>
                <w:lang w:eastAsia="en-US"/>
              </w:rPr>
              <w:t>5</w:t>
            </w:r>
            <w:r w:rsidRPr="00F6084E">
              <w:rPr>
                <w:rFonts w:asciiTheme="minorHAnsi" w:hAnsiTheme="minorHAnsi"/>
                <w:color w:val="auto"/>
                <w:sz w:val="22"/>
                <w:szCs w:val="22"/>
                <w:lang w:eastAsia="en-US"/>
              </w:rPr>
              <w:t xml:space="preserve"> years of experience addressing issues specific to Caribbean SIDS surrounding </w:t>
            </w:r>
            <w:r w:rsidR="006132F6" w:rsidRPr="00F6084E">
              <w:rPr>
                <w:rFonts w:asciiTheme="minorHAnsi" w:hAnsiTheme="minorHAnsi"/>
                <w:color w:val="auto"/>
                <w:sz w:val="22"/>
                <w:szCs w:val="22"/>
                <w:lang w:eastAsia="en-US"/>
              </w:rPr>
              <w:t>private sector investment and climate finance</w:t>
            </w:r>
            <w:r w:rsidRPr="00F6084E">
              <w:rPr>
                <w:rFonts w:asciiTheme="minorHAnsi" w:hAnsiTheme="minorHAnsi"/>
                <w:color w:val="auto"/>
                <w:sz w:val="22"/>
                <w:szCs w:val="22"/>
                <w:lang w:eastAsia="en-US"/>
              </w:rPr>
              <w:t>.</w:t>
            </w:r>
          </w:p>
          <w:p w14:paraId="399C775D" w14:textId="2E800A29" w:rsidR="00F269E0" w:rsidRPr="00F6084E" w:rsidRDefault="00085ECB" w:rsidP="00AF5847">
            <w:pPr>
              <w:pStyle w:val="Default"/>
              <w:numPr>
                <w:ilvl w:val="0"/>
                <w:numId w:val="4"/>
              </w:numPr>
              <w:spacing w:line="276" w:lineRule="auto"/>
              <w:jc w:val="both"/>
              <w:rPr>
                <w:rFonts w:asciiTheme="minorHAnsi" w:hAnsiTheme="minorHAnsi"/>
                <w:color w:val="auto"/>
                <w:sz w:val="22"/>
                <w:szCs w:val="22"/>
                <w:lang w:eastAsia="en-US"/>
              </w:rPr>
            </w:pPr>
            <w:r w:rsidRPr="00F6084E">
              <w:rPr>
                <w:rFonts w:asciiTheme="minorHAnsi" w:hAnsiTheme="minorHAnsi"/>
                <w:color w:val="auto"/>
                <w:sz w:val="22"/>
                <w:szCs w:val="22"/>
                <w:lang w:eastAsia="en-US"/>
              </w:rPr>
              <w:t xml:space="preserve">At least </w:t>
            </w:r>
            <w:r w:rsidR="008F092F" w:rsidRPr="00F6084E">
              <w:rPr>
                <w:rFonts w:asciiTheme="minorHAnsi" w:hAnsiTheme="minorHAnsi"/>
                <w:color w:val="auto"/>
                <w:sz w:val="22"/>
                <w:szCs w:val="22"/>
                <w:lang w:eastAsia="en-US"/>
              </w:rPr>
              <w:t>3</w:t>
            </w:r>
            <w:r w:rsidRPr="00F6084E">
              <w:rPr>
                <w:rFonts w:asciiTheme="minorHAnsi" w:hAnsiTheme="minorHAnsi"/>
                <w:color w:val="auto"/>
                <w:sz w:val="22"/>
                <w:szCs w:val="22"/>
                <w:lang w:eastAsia="en-US"/>
              </w:rPr>
              <w:t xml:space="preserve"> years of experience in </w:t>
            </w:r>
            <w:r w:rsidR="00963D62" w:rsidRPr="00F6084E">
              <w:rPr>
                <w:rFonts w:asciiTheme="minorHAnsi" w:hAnsiTheme="minorHAnsi"/>
                <w:color w:val="auto"/>
                <w:sz w:val="22"/>
                <w:szCs w:val="22"/>
                <w:lang w:eastAsia="en-US"/>
              </w:rPr>
              <w:t>undertaking private sect</w:t>
            </w:r>
            <w:r w:rsidR="00416147" w:rsidRPr="00F6084E">
              <w:rPr>
                <w:rFonts w:asciiTheme="minorHAnsi" w:hAnsiTheme="minorHAnsi"/>
                <w:color w:val="auto"/>
                <w:sz w:val="22"/>
                <w:szCs w:val="22"/>
                <w:lang w:eastAsia="en-US"/>
              </w:rPr>
              <w:t>or development research resulting in the preparation of</w:t>
            </w:r>
            <w:r w:rsidR="00D11CFF" w:rsidRPr="00F6084E">
              <w:rPr>
                <w:rFonts w:asciiTheme="minorHAnsi" w:hAnsiTheme="minorHAnsi"/>
                <w:color w:val="auto"/>
                <w:sz w:val="22"/>
                <w:szCs w:val="22"/>
                <w:lang w:eastAsia="en-US"/>
              </w:rPr>
              <w:t xml:space="preserve"> investment strategies, fi</w:t>
            </w:r>
            <w:r w:rsidR="00D10B3C" w:rsidRPr="00F6084E">
              <w:rPr>
                <w:rFonts w:asciiTheme="minorHAnsi" w:hAnsiTheme="minorHAnsi"/>
                <w:color w:val="auto"/>
                <w:sz w:val="22"/>
                <w:szCs w:val="22"/>
                <w:lang w:eastAsia="en-US"/>
              </w:rPr>
              <w:t>nance</w:t>
            </w:r>
            <w:r w:rsidR="00D11CFF" w:rsidRPr="00F6084E">
              <w:rPr>
                <w:rFonts w:asciiTheme="minorHAnsi" w:hAnsiTheme="minorHAnsi"/>
                <w:color w:val="auto"/>
                <w:sz w:val="22"/>
                <w:szCs w:val="22"/>
                <w:lang w:eastAsia="en-US"/>
              </w:rPr>
              <w:t xml:space="preserve"> </w:t>
            </w:r>
            <w:r w:rsidR="00D10B3C" w:rsidRPr="00F6084E">
              <w:rPr>
                <w:rFonts w:asciiTheme="minorHAnsi" w:hAnsiTheme="minorHAnsi"/>
                <w:color w:val="auto"/>
                <w:sz w:val="22"/>
                <w:szCs w:val="22"/>
                <w:lang w:eastAsia="en-US"/>
              </w:rPr>
              <w:t>plans,</w:t>
            </w:r>
            <w:r w:rsidR="00416147" w:rsidRPr="00F6084E">
              <w:rPr>
                <w:rFonts w:asciiTheme="minorHAnsi" w:hAnsiTheme="minorHAnsi"/>
                <w:color w:val="auto"/>
                <w:sz w:val="22"/>
                <w:szCs w:val="22"/>
                <w:lang w:eastAsia="en-US"/>
              </w:rPr>
              <w:t xml:space="preserve"> policy d</w:t>
            </w:r>
            <w:r w:rsidR="007E667A" w:rsidRPr="00F6084E">
              <w:rPr>
                <w:rFonts w:asciiTheme="minorHAnsi" w:hAnsiTheme="minorHAnsi"/>
                <w:color w:val="auto"/>
                <w:sz w:val="22"/>
                <w:szCs w:val="22"/>
                <w:lang w:eastAsia="en-US"/>
              </w:rPr>
              <w:t>ocuments</w:t>
            </w:r>
            <w:r w:rsidR="00D10B3C" w:rsidRPr="00F6084E">
              <w:rPr>
                <w:rFonts w:asciiTheme="minorHAnsi" w:hAnsiTheme="minorHAnsi"/>
                <w:color w:val="auto"/>
                <w:sz w:val="22"/>
                <w:szCs w:val="22"/>
                <w:lang w:eastAsia="en-US"/>
              </w:rPr>
              <w:t xml:space="preserve"> and </w:t>
            </w:r>
            <w:r w:rsidR="002E1B06" w:rsidRPr="00F6084E">
              <w:rPr>
                <w:rFonts w:asciiTheme="minorHAnsi" w:hAnsiTheme="minorHAnsi"/>
                <w:color w:val="auto"/>
                <w:sz w:val="22"/>
                <w:szCs w:val="22"/>
                <w:lang w:eastAsia="en-US"/>
              </w:rPr>
              <w:t>action plans</w:t>
            </w:r>
            <w:r w:rsidR="00D10B3C" w:rsidRPr="00F6084E">
              <w:rPr>
                <w:rFonts w:asciiTheme="minorHAnsi" w:hAnsiTheme="minorHAnsi"/>
                <w:color w:val="auto"/>
                <w:sz w:val="22"/>
                <w:szCs w:val="22"/>
                <w:lang w:eastAsia="en-US"/>
              </w:rPr>
              <w:t>.</w:t>
            </w:r>
          </w:p>
          <w:p w14:paraId="0268C031" w14:textId="1CF04625" w:rsidR="00F6084E" w:rsidRPr="00F6084E" w:rsidRDefault="00BA316B" w:rsidP="00AF5847">
            <w:pPr>
              <w:pStyle w:val="Default"/>
              <w:numPr>
                <w:ilvl w:val="0"/>
                <w:numId w:val="4"/>
              </w:numPr>
              <w:spacing w:line="276" w:lineRule="auto"/>
              <w:jc w:val="both"/>
              <w:rPr>
                <w:rFonts w:asciiTheme="minorHAnsi" w:hAnsiTheme="minorHAnsi"/>
                <w:color w:val="auto"/>
                <w:sz w:val="22"/>
                <w:szCs w:val="22"/>
                <w:lang w:eastAsia="en-US"/>
              </w:rPr>
            </w:pPr>
            <w:r w:rsidRPr="00F6084E">
              <w:rPr>
                <w:rFonts w:asciiTheme="minorHAnsi" w:hAnsiTheme="minorHAnsi" w:cs="Helvetica"/>
                <w:color w:val="333333"/>
                <w:sz w:val="22"/>
                <w:szCs w:val="22"/>
                <w:shd w:val="clear" w:color="auto" w:fill="FFFFFF"/>
              </w:rPr>
              <w:t xml:space="preserve">Experience working with economic analysis </w:t>
            </w:r>
            <w:r w:rsidR="003A0F57" w:rsidRPr="00F6084E">
              <w:rPr>
                <w:rFonts w:asciiTheme="minorHAnsi" w:hAnsiTheme="minorHAnsi" w:cs="Helvetica"/>
                <w:color w:val="333333"/>
                <w:sz w:val="22"/>
                <w:szCs w:val="22"/>
                <w:shd w:val="clear" w:color="auto" w:fill="FFFFFF"/>
              </w:rPr>
              <w:t>regarding</w:t>
            </w:r>
            <w:r w:rsidRPr="00F6084E">
              <w:rPr>
                <w:rFonts w:asciiTheme="minorHAnsi" w:hAnsiTheme="minorHAnsi" w:cs="Helvetica"/>
                <w:color w:val="333333"/>
                <w:sz w:val="22"/>
                <w:szCs w:val="22"/>
                <w:shd w:val="clear" w:color="auto" w:fill="FFFFFF"/>
              </w:rPr>
              <w:t xml:space="preserve"> </w:t>
            </w:r>
            <w:r w:rsidR="00083014" w:rsidRPr="00F6084E">
              <w:rPr>
                <w:rFonts w:asciiTheme="minorHAnsi" w:hAnsiTheme="minorHAnsi" w:cs="Helvetica"/>
                <w:color w:val="333333"/>
                <w:sz w:val="22"/>
                <w:szCs w:val="22"/>
                <w:shd w:val="clear" w:color="auto" w:fill="FFFFFF"/>
              </w:rPr>
              <w:t>climate change issues</w:t>
            </w:r>
            <w:r w:rsidRPr="00F6084E">
              <w:rPr>
                <w:rFonts w:asciiTheme="minorHAnsi" w:hAnsiTheme="minorHAnsi" w:cs="Helvetica"/>
                <w:color w:val="333333"/>
                <w:sz w:val="22"/>
                <w:szCs w:val="22"/>
                <w:shd w:val="clear" w:color="auto" w:fill="FFFFFF"/>
              </w:rPr>
              <w:t xml:space="preserve"> and/or financial appraisal of revenue generating projects</w:t>
            </w:r>
            <w:r w:rsidR="00083014" w:rsidRPr="00F6084E">
              <w:rPr>
                <w:rFonts w:asciiTheme="minorHAnsi" w:hAnsiTheme="minorHAnsi" w:cs="Helvetica"/>
                <w:color w:val="333333"/>
                <w:sz w:val="22"/>
                <w:szCs w:val="22"/>
                <w:shd w:val="clear" w:color="auto" w:fill="FFFFFF"/>
              </w:rPr>
              <w:t>.</w:t>
            </w:r>
            <w:r w:rsidR="00F6084E" w:rsidRPr="00F6084E">
              <w:rPr>
                <w:rFonts w:asciiTheme="minorHAnsi" w:hAnsiTheme="minorHAnsi" w:cs="Helvetica"/>
                <w:color w:val="333333"/>
                <w:sz w:val="22"/>
                <w:szCs w:val="22"/>
                <w:shd w:val="clear" w:color="auto" w:fill="FFFFFF"/>
              </w:rPr>
              <w:t xml:space="preserve"> </w:t>
            </w:r>
          </w:p>
          <w:p w14:paraId="68B9B442" w14:textId="65D4770F" w:rsidR="005469D8" w:rsidRPr="00E26DBC" w:rsidRDefault="00F6084E" w:rsidP="00AF5847">
            <w:pPr>
              <w:pStyle w:val="Default"/>
              <w:numPr>
                <w:ilvl w:val="0"/>
                <w:numId w:val="4"/>
              </w:numPr>
              <w:spacing w:line="276" w:lineRule="auto"/>
              <w:jc w:val="both"/>
              <w:rPr>
                <w:rFonts w:asciiTheme="minorHAnsi" w:hAnsiTheme="minorHAnsi"/>
                <w:color w:val="auto"/>
                <w:sz w:val="22"/>
                <w:szCs w:val="22"/>
                <w:lang w:eastAsia="en-US"/>
              </w:rPr>
            </w:pPr>
            <w:r w:rsidRPr="00F6084E">
              <w:rPr>
                <w:rFonts w:asciiTheme="minorHAnsi" w:hAnsiTheme="minorHAnsi" w:cs="Helvetica"/>
                <w:color w:val="333333"/>
                <w:sz w:val="22"/>
                <w:szCs w:val="22"/>
                <w:shd w:val="clear" w:color="auto" w:fill="FFFFFF"/>
              </w:rPr>
              <w:t xml:space="preserve">Experience working with, and delivering technical assistance to, public sector clients </w:t>
            </w:r>
            <w:r w:rsidR="000654A6">
              <w:rPr>
                <w:rFonts w:asciiTheme="minorHAnsi" w:hAnsiTheme="minorHAnsi" w:cs="Helvetica"/>
                <w:color w:val="333333"/>
                <w:sz w:val="22"/>
                <w:szCs w:val="22"/>
                <w:shd w:val="clear" w:color="auto" w:fill="FFFFFF"/>
              </w:rPr>
              <w:t xml:space="preserve">specific to Caribbean SIDS </w:t>
            </w:r>
            <w:r w:rsidRPr="00F6084E">
              <w:rPr>
                <w:rFonts w:asciiTheme="minorHAnsi" w:hAnsiTheme="minorHAnsi" w:cs="Helvetica"/>
                <w:color w:val="333333"/>
                <w:sz w:val="22"/>
                <w:szCs w:val="22"/>
                <w:shd w:val="clear" w:color="auto" w:fill="FFFFFF"/>
              </w:rPr>
              <w:t>or</w:t>
            </w:r>
            <w:r w:rsidR="000654A6">
              <w:rPr>
                <w:rFonts w:asciiTheme="minorHAnsi" w:hAnsiTheme="minorHAnsi" w:cs="Helvetica"/>
                <w:color w:val="333333"/>
                <w:sz w:val="22"/>
                <w:szCs w:val="22"/>
                <w:shd w:val="clear" w:color="auto" w:fill="FFFFFF"/>
              </w:rPr>
              <w:t xml:space="preserve"> in</w:t>
            </w:r>
            <w:r w:rsidRPr="00F6084E">
              <w:rPr>
                <w:rFonts w:asciiTheme="minorHAnsi" w:hAnsiTheme="minorHAnsi" w:cs="Helvetica"/>
                <w:color w:val="333333"/>
                <w:sz w:val="22"/>
                <w:szCs w:val="22"/>
                <w:shd w:val="clear" w:color="auto" w:fill="FFFFFF"/>
              </w:rPr>
              <w:t xml:space="preserve"> developing countries.</w:t>
            </w:r>
          </w:p>
          <w:p w14:paraId="46246A7C" w14:textId="77777777" w:rsidR="00E26DBC" w:rsidRPr="00551A23" w:rsidRDefault="00E26DBC" w:rsidP="00AF5847">
            <w:pPr>
              <w:pStyle w:val="Default"/>
              <w:numPr>
                <w:ilvl w:val="0"/>
                <w:numId w:val="4"/>
              </w:numPr>
              <w:spacing w:line="276" w:lineRule="auto"/>
              <w:jc w:val="both"/>
              <w:rPr>
                <w:rFonts w:asciiTheme="minorHAnsi" w:hAnsiTheme="minorHAnsi"/>
                <w:color w:val="auto"/>
                <w:sz w:val="22"/>
                <w:szCs w:val="22"/>
                <w:lang w:eastAsia="en-US"/>
              </w:rPr>
            </w:pPr>
            <w:r w:rsidRPr="006651A4">
              <w:rPr>
                <w:rFonts w:asciiTheme="minorHAnsi" w:hAnsiTheme="minorHAnsi"/>
                <w:color w:val="auto"/>
                <w:sz w:val="22"/>
                <w:szCs w:val="22"/>
                <w:lang w:eastAsia="en-US"/>
              </w:rPr>
              <w:t>Sound understanding of national and local development planning processes</w:t>
            </w:r>
            <w:r w:rsidRPr="00830B4E">
              <w:rPr>
                <w:rFonts w:asciiTheme="minorHAnsi" w:hAnsiTheme="minorHAnsi"/>
                <w:color w:val="auto"/>
                <w:sz w:val="22"/>
                <w:szCs w:val="22"/>
                <w:lang w:eastAsia="en-US"/>
              </w:rPr>
              <w:t xml:space="preserve"> in </w:t>
            </w:r>
            <w:r>
              <w:rPr>
                <w:rFonts w:asciiTheme="minorHAnsi" w:hAnsiTheme="minorHAnsi"/>
                <w:color w:val="auto"/>
                <w:sz w:val="22"/>
                <w:szCs w:val="22"/>
                <w:lang w:eastAsia="en-US"/>
              </w:rPr>
              <w:t>the Caribbean especially knowledge of the INDCs/ NDCs development or implementation process in the Caribbean.</w:t>
            </w:r>
            <w:r w:rsidRPr="002E6F0C">
              <w:rPr>
                <w:rFonts w:asciiTheme="minorHAnsi" w:hAnsiTheme="minorHAnsi"/>
                <w:color w:val="auto"/>
                <w:sz w:val="22"/>
                <w:szCs w:val="22"/>
                <w:lang w:eastAsia="en-US"/>
              </w:rPr>
              <w:t xml:space="preserve"> </w:t>
            </w:r>
          </w:p>
          <w:p w14:paraId="5F17E4D0" w14:textId="0E9569A7" w:rsidR="005469D8" w:rsidRPr="00CF2CFA" w:rsidRDefault="00CF2CFA" w:rsidP="00AF5847">
            <w:pPr>
              <w:pStyle w:val="Default"/>
              <w:numPr>
                <w:ilvl w:val="0"/>
                <w:numId w:val="4"/>
              </w:numPr>
              <w:spacing w:line="276" w:lineRule="auto"/>
              <w:jc w:val="both"/>
              <w:rPr>
                <w:rFonts w:asciiTheme="minorHAnsi" w:hAnsiTheme="minorHAnsi"/>
                <w:color w:val="auto"/>
                <w:sz w:val="22"/>
                <w:szCs w:val="22"/>
                <w:lang w:eastAsia="en-US"/>
              </w:rPr>
            </w:pPr>
            <w:r>
              <w:rPr>
                <w:rFonts w:asciiTheme="minorHAnsi" w:hAnsiTheme="minorHAnsi"/>
                <w:color w:val="auto"/>
                <w:sz w:val="22"/>
                <w:szCs w:val="22"/>
                <w:lang w:eastAsia="en-US"/>
              </w:rPr>
              <w:t>Sound understanding of gender and gender mainstreaming within climate change actions and in private sector development.</w:t>
            </w:r>
          </w:p>
          <w:p w14:paraId="2EE013F6" w14:textId="77777777" w:rsidR="005230F1" w:rsidRDefault="00F269E0" w:rsidP="00AF5847">
            <w:pPr>
              <w:numPr>
                <w:ilvl w:val="0"/>
                <w:numId w:val="4"/>
              </w:numPr>
              <w:contextualSpacing/>
              <w:jc w:val="both"/>
              <w:rPr>
                <w:rFonts w:eastAsia="MS Mincho" w:hAnsiTheme="minorHAnsi" w:cstheme="minorHAnsi"/>
              </w:rPr>
            </w:pPr>
            <w:r w:rsidRPr="00F269E0">
              <w:rPr>
                <w:rFonts w:eastAsia="MS Mincho" w:hAnsiTheme="minorHAnsi" w:cstheme="minorHAnsi"/>
              </w:rPr>
              <w:t>An understanding of the Global and National Climate Finance landscape</w:t>
            </w:r>
            <w:r w:rsidR="005230F1">
              <w:rPr>
                <w:rFonts w:eastAsia="MS Mincho" w:hAnsiTheme="minorHAnsi" w:cstheme="minorHAnsi"/>
              </w:rPr>
              <w:t xml:space="preserve"> and</w:t>
            </w:r>
            <w:r w:rsidRPr="00F269E0">
              <w:rPr>
                <w:rFonts w:eastAsia="MS Mincho" w:hAnsiTheme="minorHAnsi" w:cstheme="minorHAnsi"/>
              </w:rPr>
              <w:t xml:space="preserve"> procedures, multilateral funds and the other channels including the role of private sector in climate finance. </w:t>
            </w:r>
          </w:p>
          <w:p w14:paraId="2538E804" w14:textId="37EA342A" w:rsidR="00085ECB" w:rsidRPr="005230F1" w:rsidRDefault="00085ECB" w:rsidP="00AF5847">
            <w:pPr>
              <w:numPr>
                <w:ilvl w:val="0"/>
                <w:numId w:val="4"/>
              </w:numPr>
              <w:contextualSpacing/>
              <w:jc w:val="both"/>
              <w:rPr>
                <w:rFonts w:eastAsia="MS Mincho" w:hAnsiTheme="minorHAnsi" w:cstheme="minorHAnsi"/>
              </w:rPr>
            </w:pPr>
            <w:r w:rsidRPr="005230F1">
              <w:rPr>
                <w:rFonts w:hAnsiTheme="minorHAnsi"/>
                <w:lang w:eastAsia="en-US"/>
              </w:rPr>
              <w:t>Ability to transfer analytical results into simple and actionable solutions (based on job experience/field work).</w:t>
            </w:r>
          </w:p>
          <w:p w14:paraId="1329AC3C" w14:textId="77777777" w:rsidR="00085ECB" w:rsidRDefault="00085ECB" w:rsidP="00AF5847">
            <w:pPr>
              <w:pStyle w:val="Default"/>
              <w:numPr>
                <w:ilvl w:val="0"/>
                <w:numId w:val="4"/>
              </w:numPr>
              <w:spacing w:line="276" w:lineRule="auto"/>
              <w:jc w:val="both"/>
              <w:rPr>
                <w:rFonts w:asciiTheme="minorHAnsi" w:hAnsiTheme="minorHAnsi"/>
                <w:color w:val="auto"/>
                <w:sz w:val="22"/>
                <w:szCs w:val="22"/>
                <w:lang w:eastAsia="en-US"/>
              </w:rPr>
            </w:pPr>
            <w:r w:rsidRPr="00B61DD7">
              <w:rPr>
                <w:rFonts w:asciiTheme="minorHAnsi" w:hAnsiTheme="minorHAnsi"/>
                <w:color w:val="auto"/>
                <w:sz w:val="22"/>
                <w:szCs w:val="22"/>
                <w:lang w:eastAsia="en-US"/>
              </w:rPr>
              <w:t xml:space="preserve">Sound understanding of the issues </w:t>
            </w:r>
            <w:r w:rsidRPr="00B61DD7">
              <w:rPr>
                <w:rFonts w:asciiTheme="minorHAnsi" w:cstheme="minorHAnsi"/>
                <w:bCs/>
                <w:color w:val="auto"/>
                <w:sz w:val="22"/>
                <w:szCs w:val="22"/>
              </w:rPr>
              <w:t xml:space="preserve">relevant to the priority sectors </w:t>
            </w:r>
            <w:r w:rsidRPr="00B61DD7">
              <w:rPr>
                <w:rFonts w:asciiTheme="minorHAnsi" w:hAnsiTheme="minorHAnsi"/>
                <w:color w:val="auto"/>
                <w:sz w:val="22"/>
                <w:szCs w:val="22"/>
                <w:lang w:eastAsia="en-US"/>
              </w:rPr>
              <w:t>surrounding climate change vulnerability and risk, or other related development issues within Caribbean region (based on job experience/field work).</w:t>
            </w:r>
          </w:p>
          <w:p w14:paraId="40C137EA" w14:textId="77777777" w:rsidR="00085ECB" w:rsidRPr="00B61DD7" w:rsidRDefault="00085ECB" w:rsidP="00AF5847">
            <w:pPr>
              <w:pStyle w:val="Default"/>
              <w:numPr>
                <w:ilvl w:val="0"/>
                <w:numId w:val="4"/>
              </w:numPr>
              <w:spacing w:line="276" w:lineRule="auto"/>
              <w:jc w:val="both"/>
              <w:rPr>
                <w:rFonts w:asciiTheme="minorHAnsi" w:hAnsiTheme="minorHAnsi"/>
                <w:color w:val="auto"/>
                <w:sz w:val="22"/>
                <w:szCs w:val="22"/>
                <w:lang w:eastAsia="en-US"/>
              </w:rPr>
            </w:pPr>
            <w:r w:rsidRPr="00B61DD7">
              <w:rPr>
                <w:rFonts w:asciiTheme="minorHAnsi" w:hAnsiTheme="minorHAnsi"/>
                <w:color w:val="auto"/>
                <w:sz w:val="22"/>
                <w:szCs w:val="22"/>
                <w:lang w:eastAsia="en-US"/>
              </w:rPr>
              <w:t>Previous work in any of the</w:t>
            </w:r>
            <w:r>
              <w:rPr>
                <w:rFonts w:asciiTheme="minorHAnsi" w:hAnsiTheme="minorHAnsi"/>
                <w:color w:val="auto"/>
                <w:sz w:val="22"/>
                <w:szCs w:val="22"/>
                <w:lang w:eastAsia="en-US"/>
              </w:rPr>
              <w:t xml:space="preserve"> EnGenDER</w:t>
            </w:r>
            <w:r w:rsidRPr="00B61DD7">
              <w:rPr>
                <w:rFonts w:asciiTheme="minorHAnsi" w:hAnsiTheme="minorHAnsi"/>
                <w:color w:val="auto"/>
                <w:sz w:val="22"/>
                <w:szCs w:val="22"/>
                <w:lang w:eastAsia="en-US"/>
              </w:rPr>
              <w:t xml:space="preserve"> beneficiary countries and in a similar project is highly desirable. </w:t>
            </w:r>
          </w:p>
          <w:p w14:paraId="4F8AD5BD" w14:textId="77777777" w:rsidR="00085ECB" w:rsidRPr="005E7830" w:rsidRDefault="00085ECB" w:rsidP="00AF5847">
            <w:pPr>
              <w:pStyle w:val="Default"/>
              <w:numPr>
                <w:ilvl w:val="0"/>
                <w:numId w:val="4"/>
              </w:numPr>
              <w:spacing w:line="276" w:lineRule="auto"/>
              <w:jc w:val="both"/>
              <w:rPr>
                <w:rFonts w:cstheme="minorHAnsi"/>
                <w:bCs/>
              </w:rPr>
            </w:pPr>
            <w:r w:rsidRPr="005E7830">
              <w:rPr>
                <w:rFonts w:asciiTheme="minorHAnsi" w:hAnsiTheme="minorHAnsi"/>
                <w:color w:val="auto"/>
                <w:sz w:val="22"/>
                <w:szCs w:val="22"/>
                <w:lang w:eastAsia="en-US"/>
              </w:rPr>
              <w:t>Excellent conceptual, analytical</w:t>
            </w:r>
            <w:r>
              <w:rPr>
                <w:rFonts w:asciiTheme="minorHAnsi" w:hAnsiTheme="minorHAnsi"/>
                <w:color w:val="auto"/>
                <w:sz w:val="22"/>
                <w:szCs w:val="22"/>
                <w:lang w:eastAsia="en-US"/>
              </w:rPr>
              <w:t>, writing</w:t>
            </w:r>
            <w:r w:rsidRPr="005E7830">
              <w:rPr>
                <w:rFonts w:asciiTheme="minorHAnsi" w:hAnsiTheme="minorHAnsi"/>
                <w:color w:val="auto"/>
                <w:sz w:val="22"/>
                <w:szCs w:val="22"/>
                <w:lang w:eastAsia="en-US"/>
              </w:rPr>
              <w:t xml:space="preserve"> and communication skills</w:t>
            </w:r>
            <w:r>
              <w:rPr>
                <w:rFonts w:asciiTheme="minorHAnsi" w:hAnsiTheme="minorHAnsi"/>
                <w:color w:val="auto"/>
                <w:sz w:val="22"/>
                <w:szCs w:val="22"/>
                <w:lang w:eastAsia="en-US"/>
              </w:rPr>
              <w:t>.</w:t>
            </w:r>
          </w:p>
        </w:tc>
      </w:tr>
    </w:tbl>
    <w:p w14:paraId="07D49C0C" w14:textId="3537832A" w:rsidR="00D81728" w:rsidRDefault="00D81728" w:rsidP="008752F7"/>
    <w:p w14:paraId="1F71147B" w14:textId="77777777" w:rsidR="00E364D1" w:rsidRDefault="00E364D1" w:rsidP="008752F7"/>
    <w:p w14:paraId="2F1EB76A" w14:textId="26865E43" w:rsidR="00C122C1" w:rsidRDefault="00D81728" w:rsidP="00D81728">
      <w:pPr>
        <w:pStyle w:val="Heading1"/>
        <w:numPr>
          <w:ilvl w:val="0"/>
          <w:numId w:val="0"/>
        </w:numPr>
        <w:spacing w:before="240" w:after="240"/>
      </w:pPr>
      <w:r>
        <w:t xml:space="preserve"> </w:t>
      </w:r>
      <w:r w:rsidR="0093350D">
        <w:t>8 SELECTION</w:t>
      </w:r>
      <w:r w:rsidR="001667B8">
        <w:t xml:space="preserve"> CRITERIA</w:t>
      </w:r>
      <w:r w:rsidR="766BD7FA">
        <w:t xml:space="preserve"> and evaluation</w:t>
      </w:r>
    </w:p>
    <w:p w14:paraId="4DB794DE" w14:textId="70A543E5" w:rsidR="0065798C" w:rsidRDefault="0093350D" w:rsidP="002E6F0C">
      <w:pPr>
        <w:spacing w:before="240" w:after="240" w:line="360" w:lineRule="atLeast"/>
        <w:jc w:val="both"/>
        <w:rPr>
          <w:rFonts w:cstheme="minorHAnsi"/>
          <w:bCs/>
        </w:rPr>
      </w:pPr>
      <w:r>
        <w:rPr>
          <w:rFonts w:cstheme="minorHAnsi"/>
          <w:bCs/>
        </w:rPr>
        <w:t xml:space="preserve">The technical component for the scope of works (technical capacity and related qualifications for, </w:t>
      </w:r>
      <w:r w:rsidR="00CD36F9">
        <w:rPr>
          <w:rFonts w:cstheme="minorHAnsi"/>
          <w:bCs/>
        </w:rPr>
        <w:t>Technical Specia</w:t>
      </w:r>
      <w:r w:rsidR="00793258">
        <w:rPr>
          <w:rFonts w:cstheme="minorHAnsi"/>
          <w:bCs/>
        </w:rPr>
        <w:t>list in Economics</w:t>
      </w:r>
      <w:r>
        <w:rPr>
          <w:rFonts w:cstheme="minorHAnsi"/>
          <w:bCs/>
        </w:rPr>
        <w:t>) would accumulatively contribute to 70%. The financial proposal will be assigned 30%. The Contractor will be evaluated separately based on the selection criteria listed below.</w:t>
      </w:r>
    </w:p>
    <w:tbl>
      <w:tblPr>
        <w:tblStyle w:val="TableGrid1"/>
        <w:tblW w:w="0" w:type="auto"/>
        <w:tblLook w:val="04A0" w:firstRow="1" w:lastRow="0" w:firstColumn="1" w:lastColumn="0" w:noHBand="0" w:noVBand="1"/>
      </w:tblPr>
      <w:tblGrid>
        <w:gridCol w:w="495"/>
        <w:gridCol w:w="7371"/>
        <w:gridCol w:w="888"/>
        <w:gridCol w:w="866"/>
      </w:tblGrid>
      <w:tr w:rsidR="00CF2233" w:rsidRPr="00B71973" w14:paraId="3994C7B4" w14:textId="77777777" w:rsidTr="2C49C1BC">
        <w:trPr>
          <w:trHeight w:val="355"/>
        </w:trPr>
        <w:tc>
          <w:tcPr>
            <w:tcW w:w="0" w:type="auto"/>
            <w:gridSpan w:val="4"/>
            <w:shd w:val="clear" w:color="auto" w:fill="BFBFBF" w:themeFill="background1" w:themeFillShade="BF"/>
          </w:tcPr>
          <w:p w14:paraId="657E4E75" w14:textId="77777777" w:rsidR="00CF2233" w:rsidRPr="00B71973" w:rsidRDefault="00CF2233" w:rsidP="00ED231D">
            <w:pPr>
              <w:tabs>
                <w:tab w:val="left" w:pos="7560"/>
              </w:tabs>
              <w:jc w:val="both"/>
              <w:rPr>
                <w:b/>
                <w:bCs/>
                <w:snapToGrid w:val="0"/>
              </w:rPr>
            </w:pPr>
            <w:r w:rsidRPr="00B71973">
              <w:rPr>
                <w:rFonts w:cstheme="minorHAnsi"/>
                <w:b/>
                <w:bCs/>
              </w:rPr>
              <w:t>Selection Criteria</w:t>
            </w:r>
          </w:p>
        </w:tc>
      </w:tr>
      <w:tr w:rsidR="004E051B" w:rsidRPr="00B71973" w14:paraId="16766882" w14:textId="77777777" w:rsidTr="2C49C1BC">
        <w:trPr>
          <w:trHeight w:val="519"/>
        </w:trPr>
        <w:tc>
          <w:tcPr>
            <w:tcW w:w="0" w:type="auto"/>
            <w:gridSpan w:val="2"/>
            <w:shd w:val="clear" w:color="auto" w:fill="BFBFBF" w:themeFill="background1" w:themeFillShade="BF"/>
          </w:tcPr>
          <w:p w14:paraId="1BBE1F22" w14:textId="77777777" w:rsidR="00CF2233" w:rsidRPr="00B71973" w:rsidRDefault="00CF2233" w:rsidP="00AF5847">
            <w:pPr>
              <w:pStyle w:val="ListParagraph"/>
              <w:numPr>
                <w:ilvl w:val="0"/>
                <w:numId w:val="11"/>
              </w:numPr>
              <w:jc w:val="both"/>
              <w:rPr>
                <w:b/>
                <w:bCs/>
                <w:snapToGrid w:val="0"/>
              </w:rPr>
            </w:pPr>
            <w:r w:rsidRPr="00B71973">
              <w:rPr>
                <w:rFonts w:cstheme="minorHAnsi"/>
                <w:b/>
                <w:bCs/>
              </w:rPr>
              <w:t>Qualification of Key Personnel</w:t>
            </w:r>
          </w:p>
        </w:tc>
        <w:tc>
          <w:tcPr>
            <w:tcW w:w="0" w:type="auto"/>
            <w:shd w:val="clear" w:color="auto" w:fill="BFBFBF" w:themeFill="background1" w:themeFillShade="BF"/>
          </w:tcPr>
          <w:p w14:paraId="67BD0D8D" w14:textId="77777777" w:rsidR="00CF2233" w:rsidRPr="00B71973" w:rsidRDefault="00CF2233" w:rsidP="00ED231D">
            <w:pPr>
              <w:jc w:val="center"/>
              <w:rPr>
                <w:b/>
                <w:bCs/>
                <w:snapToGrid w:val="0"/>
              </w:rPr>
            </w:pPr>
            <w:r w:rsidRPr="00B71973">
              <w:rPr>
                <w:b/>
                <w:bCs/>
                <w:snapToGrid w:val="0"/>
              </w:rPr>
              <w:t xml:space="preserve"> Weight</w:t>
            </w:r>
          </w:p>
          <w:p w14:paraId="5ABDCEE2" w14:textId="77777777" w:rsidR="00CF2233" w:rsidRPr="00B71973" w:rsidRDefault="00CF2233" w:rsidP="00ED231D">
            <w:pPr>
              <w:jc w:val="center"/>
              <w:rPr>
                <w:b/>
                <w:bCs/>
                <w:snapToGrid w:val="0"/>
              </w:rPr>
            </w:pPr>
            <w:r w:rsidRPr="00B71973">
              <w:rPr>
                <w:b/>
                <w:bCs/>
                <w:snapToGrid w:val="0"/>
              </w:rPr>
              <w:t>(30%)</w:t>
            </w:r>
          </w:p>
        </w:tc>
        <w:tc>
          <w:tcPr>
            <w:tcW w:w="0" w:type="auto"/>
            <w:shd w:val="clear" w:color="auto" w:fill="BFBFBF" w:themeFill="background1" w:themeFillShade="BF"/>
          </w:tcPr>
          <w:p w14:paraId="3EB6AD30" w14:textId="77777777" w:rsidR="00CF2233" w:rsidRPr="00B71973" w:rsidRDefault="00CF2233" w:rsidP="00ED231D">
            <w:pPr>
              <w:jc w:val="center"/>
              <w:rPr>
                <w:b/>
                <w:bCs/>
                <w:snapToGrid w:val="0"/>
              </w:rPr>
            </w:pPr>
            <w:r w:rsidRPr="00B71973">
              <w:rPr>
                <w:b/>
                <w:bCs/>
                <w:snapToGrid w:val="0"/>
              </w:rPr>
              <w:t xml:space="preserve">Max Points </w:t>
            </w:r>
          </w:p>
          <w:p w14:paraId="011ED24C" w14:textId="77777777" w:rsidR="00CF2233" w:rsidRPr="00B71973" w:rsidRDefault="00CF2233" w:rsidP="00ED231D">
            <w:pPr>
              <w:jc w:val="center"/>
              <w:rPr>
                <w:b/>
                <w:bCs/>
                <w:snapToGrid w:val="0"/>
              </w:rPr>
            </w:pPr>
            <w:r w:rsidRPr="00B71973">
              <w:rPr>
                <w:b/>
                <w:bCs/>
                <w:snapToGrid w:val="0"/>
              </w:rPr>
              <w:t>(85 pts)</w:t>
            </w:r>
          </w:p>
        </w:tc>
      </w:tr>
      <w:tr w:rsidR="004E051B" w:rsidRPr="00B71973" w14:paraId="2DDEC04A" w14:textId="77777777" w:rsidTr="2C49C1BC">
        <w:trPr>
          <w:trHeight w:val="413"/>
        </w:trPr>
        <w:tc>
          <w:tcPr>
            <w:tcW w:w="0" w:type="auto"/>
          </w:tcPr>
          <w:p w14:paraId="5793EDDC" w14:textId="5468EAE7" w:rsidR="00CF2233" w:rsidRPr="00B71973" w:rsidRDefault="00CF2233" w:rsidP="00ED231D">
            <w:pPr>
              <w:jc w:val="both"/>
            </w:pPr>
            <w:r w:rsidRPr="00B71973">
              <w:rPr>
                <w:snapToGrid w:val="0"/>
              </w:rPr>
              <w:t>1.</w:t>
            </w:r>
            <w:r w:rsidR="1809C210" w:rsidRPr="00B71973">
              <w:rPr>
                <w:snapToGrid w:val="0"/>
              </w:rPr>
              <w:t>1</w:t>
            </w:r>
          </w:p>
        </w:tc>
        <w:tc>
          <w:tcPr>
            <w:tcW w:w="0" w:type="auto"/>
          </w:tcPr>
          <w:p w14:paraId="611903D3" w14:textId="64CC0620" w:rsidR="00CF2233" w:rsidRPr="00B71973" w:rsidRDefault="004A4EC6" w:rsidP="00ED231D">
            <w:pPr>
              <w:widowControl w:val="0"/>
              <w:autoSpaceDE w:val="0"/>
              <w:autoSpaceDN w:val="0"/>
              <w:adjustRightInd w:val="0"/>
              <w:contextualSpacing/>
              <w:jc w:val="both"/>
              <w:rPr>
                <w:rFonts w:cstheme="minorHAnsi"/>
                <w:b/>
                <w:i/>
                <w:iCs/>
              </w:rPr>
            </w:pPr>
            <w:r>
              <w:rPr>
                <w:rFonts w:cstheme="minorHAnsi"/>
                <w:b/>
                <w:i/>
                <w:iCs/>
              </w:rPr>
              <w:t>Economist</w:t>
            </w:r>
          </w:p>
        </w:tc>
        <w:tc>
          <w:tcPr>
            <w:tcW w:w="0" w:type="auto"/>
          </w:tcPr>
          <w:p w14:paraId="17B49138" w14:textId="77777777" w:rsidR="00CF2233" w:rsidRPr="00B71973" w:rsidRDefault="00CF2233" w:rsidP="00ED231D">
            <w:pPr>
              <w:jc w:val="center"/>
              <w:rPr>
                <w:b/>
                <w:i/>
                <w:iCs/>
                <w:snapToGrid w:val="0"/>
              </w:rPr>
            </w:pPr>
          </w:p>
        </w:tc>
        <w:tc>
          <w:tcPr>
            <w:tcW w:w="0" w:type="auto"/>
          </w:tcPr>
          <w:p w14:paraId="0533C37A" w14:textId="77777777" w:rsidR="00CF2233" w:rsidRPr="00B71973" w:rsidRDefault="00CF2233" w:rsidP="00ED231D">
            <w:pPr>
              <w:jc w:val="center"/>
              <w:rPr>
                <w:b/>
                <w:i/>
                <w:iCs/>
                <w:snapToGrid w:val="0"/>
              </w:rPr>
            </w:pPr>
            <w:r w:rsidRPr="00B71973">
              <w:rPr>
                <w:b/>
                <w:i/>
                <w:iCs/>
                <w:snapToGrid w:val="0"/>
              </w:rPr>
              <w:t>85</w:t>
            </w:r>
          </w:p>
        </w:tc>
      </w:tr>
      <w:tr w:rsidR="004E051B" w:rsidRPr="00B71973" w14:paraId="5BC618DC" w14:textId="77777777" w:rsidTr="2C49C1BC">
        <w:tc>
          <w:tcPr>
            <w:tcW w:w="0" w:type="auto"/>
            <w:vMerge w:val="restart"/>
            <w:hideMark/>
          </w:tcPr>
          <w:p w14:paraId="5583ADB9" w14:textId="77777777" w:rsidR="00CF2233" w:rsidRPr="00B71973" w:rsidRDefault="00CF2233" w:rsidP="00ED231D">
            <w:pPr>
              <w:jc w:val="both"/>
              <w:rPr>
                <w:b/>
                <w:bCs/>
                <w:snapToGrid w:val="0"/>
              </w:rPr>
            </w:pPr>
          </w:p>
        </w:tc>
        <w:tc>
          <w:tcPr>
            <w:tcW w:w="0" w:type="auto"/>
            <w:hideMark/>
          </w:tcPr>
          <w:p w14:paraId="37AC800E" w14:textId="77777777" w:rsidR="00CF2233" w:rsidRPr="00B71973" w:rsidRDefault="00CF2233" w:rsidP="00ED231D">
            <w:pPr>
              <w:autoSpaceDE w:val="0"/>
              <w:autoSpaceDN w:val="0"/>
              <w:adjustRightInd w:val="0"/>
              <w:spacing w:line="276" w:lineRule="auto"/>
              <w:jc w:val="both"/>
              <w:rPr>
                <w:rFonts w:hAnsiTheme="minorHAnsi"/>
                <w:b/>
                <w:bCs/>
              </w:rPr>
            </w:pPr>
            <w:r w:rsidRPr="00B71973">
              <w:rPr>
                <w:rFonts w:hAnsiTheme="minorHAnsi"/>
                <w:b/>
                <w:bCs/>
              </w:rPr>
              <w:t xml:space="preserve">Experience </w:t>
            </w:r>
          </w:p>
          <w:p w14:paraId="345EAF1B" w14:textId="0A3B40B1" w:rsidR="00CF2233" w:rsidRPr="00B71973" w:rsidRDefault="00CF2233" w:rsidP="00ED231D">
            <w:pPr>
              <w:autoSpaceDE w:val="0"/>
              <w:autoSpaceDN w:val="0"/>
              <w:adjustRightInd w:val="0"/>
              <w:jc w:val="both"/>
            </w:pPr>
            <w:r>
              <w:t xml:space="preserve">A minimum of 5 years of experience addressing issues specific to Caribbean SIDS surrounding </w:t>
            </w:r>
            <w:r w:rsidR="00DA6CFC">
              <w:t>private sector investment</w:t>
            </w:r>
            <w:r w:rsidR="00BA1A1B">
              <w:t>,</w:t>
            </w:r>
            <w:r w:rsidR="00DA6CFC">
              <w:t xml:space="preserve"> climate finance</w:t>
            </w:r>
            <w:r w:rsidR="00BA1A1B">
              <w:t xml:space="preserve"> and gender</w:t>
            </w:r>
            <w:r w:rsidR="00DA6CFC">
              <w:t>.</w:t>
            </w:r>
            <w:r>
              <w:t xml:space="preserve"> </w:t>
            </w:r>
            <w:r>
              <w:t>–</w:t>
            </w:r>
            <w:r>
              <w:t xml:space="preserve"> 5 Pts</w:t>
            </w:r>
          </w:p>
          <w:p w14:paraId="7520A426" w14:textId="4F685D90" w:rsidR="0069426C" w:rsidRPr="002B6CF8" w:rsidRDefault="00CF2233" w:rsidP="2A4DC137">
            <w:pPr>
              <w:pStyle w:val="ListParagraph"/>
              <w:numPr>
                <w:ilvl w:val="0"/>
                <w:numId w:val="15"/>
              </w:numPr>
              <w:autoSpaceDE w:val="0"/>
              <w:autoSpaceDN w:val="0"/>
              <w:adjustRightInd w:val="0"/>
              <w:jc w:val="both"/>
              <w:rPr>
                <w:rFonts w:hAnsiTheme="minorHAnsi" w:cstheme="minorBidi"/>
                <w:color w:val="000000"/>
              </w:rPr>
            </w:pPr>
            <w:r w:rsidRPr="2A4DC137">
              <w:rPr>
                <w:rFonts w:cstheme="minorBidi"/>
                <w:color w:val="000000" w:themeColor="text1"/>
              </w:rPr>
              <w:t>Specific experience especially in the area of</w:t>
            </w:r>
            <w:r w:rsidR="00487B49" w:rsidRPr="2A4DC137">
              <w:rPr>
                <w:rFonts w:cstheme="minorBidi"/>
                <w:color w:val="000000" w:themeColor="text1"/>
              </w:rPr>
              <w:t xml:space="preserve"> private sector investments and climate finan</w:t>
            </w:r>
            <w:r w:rsidR="00E818DC" w:rsidRPr="2A4DC137">
              <w:rPr>
                <w:rFonts w:cstheme="minorBidi"/>
                <w:color w:val="000000" w:themeColor="text1"/>
              </w:rPr>
              <w:t>ce</w:t>
            </w:r>
            <w:r w:rsidR="004E051B" w:rsidRPr="2A4DC137">
              <w:rPr>
                <w:rFonts w:cstheme="minorBidi"/>
                <w:color w:val="000000" w:themeColor="text1"/>
              </w:rPr>
              <w:t xml:space="preserve"> and climate change policies specifically NDCs</w:t>
            </w:r>
            <w:r w:rsidR="00487B49" w:rsidRPr="2A4DC137">
              <w:rPr>
                <w:rFonts w:cstheme="minorBidi"/>
                <w:color w:val="000000" w:themeColor="text1"/>
              </w:rPr>
              <w:t xml:space="preserve"> </w:t>
            </w:r>
            <w:r w:rsidRPr="2A4DC137">
              <w:rPr>
                <w:rFonts w:cstheme="minorBidi"/>
                <w:color w:val="000000" w:themeColor="text1"/>
              </w:rPr>
              <w:t>gender mainstreaming and</w:t>
            </w:r>
            <w:r w:rsidR="0069426C" w:rsidRPr="2A4DC137">
              <w:rPr>
                <w:rFonts w:hAnsiTheme="minorHAnsi" w:cstheme="minorBidi"/>
                <w:color w:val="000000" w:themeColor="text1"/>
              </w:rPr>
              <w:t xml:space="preserve"> an additional 3 points will be granted per the specific experience up to a limit of </w:t>
            </w:r>
            <w:r w:rsidR="639690E0" w:rsidRPr="2A4DC137">
              <w:rPr>
                <w:rFonts w:hAnsiTheme="minorHAnsi" w:cstheme="minorBidi"/>
                <w:color w:val="000000" w:themeColor="text1"/>
              </w:rPr>
              <w:t>15</w:t>
            </w:r>
            <w:r w:rsidR="0069426C" w:rsidRPr="2A4DC137">
              <w:rPr>
                <w:rFonts w:hAnsiTheme="minorHAnsi" w:cstheme="minorBidi"/>
                <w:color w:val="000000" w:themeColor="text1"/>
              </w:rPr>
              <w:t xml:space="preserve"> points.</w:t>
            </w:r>
          </w:p>
          <w:p w14:paraId="08C088B2" w14:textId="06755DEA" w:rsidR="00360CA0" w:rsidRDefault="0069426C" w:rsidP="2A4DC137">
            <w:pPr>
              <w:pStyle w:val="ListParagraph"/>
              <w:numPr>
                <w:ilvl w:val="0"/>
                <w:numId w:val="14"/>
              </w:numPr>
              <w:autoSpaceDE w:val="0"/>
              <w:autoSpaceDN w:val="0"/>
              <w:adjustRightInd w:val="0"/>
              <w:jc w:val="both"/>
              <w:rPr>
                <w:rFonts w:cstheme="minorBidi"/>
                <w:color w:val="000000"/>
              </w:rPr>
            </w:pPr>
            <w:r>
              <w:t>Additional</w:t>
            </w:r>
            <w:r w:rsidRPr="2A4DC137">
              <w:rPr>
                <w:rFonts w:eastAsiaTheme="minorEastAsia"/>
              </w:rPr>
              <w:t xml:space="preserve"> experience is desirable</w:t>
            </w:r>
            <w:r>
              <w:t xml:space="preserve"> a</w:t>
            </w:r>
            <w:r w:rsidRPr="2A4DC137">
              <w:rPr>
                <w:rFonts w:eastAsiaTheme="minorEastAsia"/>
              </w:rPr>
              <w:t xml:space="preserve">nd will be granted 5 points per additional year of experience up to a </w:t>
            </w:r>
            <w:r>
              <w:t>l</w:t>
            </w:r>
            <w:r w:rsidRPr="2A4DC137">
              <w:rPr>
                <w:rFonts w:eastAsiaTheme="minorEastAsia"/>
              </w:rPr>
              <w:t xml:space="preserve">imit of </w:t>
            </w:r>
            <w:r w:rsidR="12C64CC7" w:rsidRPr="2A4DC137">
              <w:rPr>
                <w:rFonts w:eastAsiaTheme="minorEastAsia"/>
              </w:rPr>
              <w:t>10</w:t>
            </w:r>
            <w:r w:rsidRPr="2A4DC137">
              <w:rPr>
                <w:rFonts w:eastAsiaTheme="minorEastAsia"/>
              </w:rPr>
              <w:t xml:space="preserve"> points</w:t>
            </w:r>
            <w:r>
              <w:t>.</w:t>
            </w:r>
          </w:p>
          <w:p w14:paraId="04D1F805" w14:textId="77777777" w:rsidR="00CF2233" w:rsidRPr="00B71973" w:rsidRDefault="00CF2233" w:rsidP="00E813FF">
            <w:pPr>
              <w:pStyle w:val="ListParagraph"/>
              <w:autoSpaceDE w:val="0"/>
              <w:autoSpaceDN w:val="0"/>
              <w:adjustRightInd w:val="0"/>
              <w:jc w:val="both"/>
              <w:rPr>
                <w:rFonts w:ascii="Times New Roman" w:cstheme="minorHAnsi"/>
                <w:bCs/>
                <w:color w:val="000000"/>
                <w:sz w:val="24"/>
                <w:szCs w:val="24"/>
              </w:rPr>
            </w:pPr>
          </w:p>
        </w:tc>
        <w:tc>
          <w:tcPr>
            <w:tcW w:w="0" w:type="auto"/>
          </w:tcPr>
          <w:p w14:paraId="06249423" w14:textId="77777777" w:rsidR="00CF2233" w:rsidRPr="00B71973" w:rsidRDefault="00CF2233" w:rsidP="00ED231D">
            <w:pPr>
              <w:jc w:val="center"/>
              <w:rPr>
                <w:snapToGrid w:val="0"/>
              </w:rPr>
            </w:pPr>
          </w:p>
        </w:tc>
        <w:tc>
          <w:tcPr>
            <w:tcW w:w="0" w:type="auto"/>
            <w:hideMark/>
          </w:tcPr>
          <w:p w14:paraId="4453BEA8" w14:textId="77777777" w:rsidR="00CF2233" w:rsidRPr="00B71973" w:rsidRDefault="00CF2233" w:rsidP="00ED231D">
            <w:pPr>
              <w:jc w:val="center"/>
              <w:rPr>
                <w:snapToGrid w:val="0"/>
              </w:rPr>
            </w:pPr>
            <w:r w:rsidRPr="00B71973">
              <w:rPr>
                <w:snapToGrid w:val="0"/>
              </w:rPr>
              <w:t>30</w:t>
            </w:r>
          </w:p>
        </w:tc>
      </w:tr>
      <w:tr w:rsidR="004E051B" w:rsidRPr="00B71973" w14:paraId="7DBA8A48" w14:textId="77777777" w:rsidTr="2C49C1BC">
        <w:trPr>
          <w:trHeight w:val="323"/>
        </w:trPr>
        <w:tc>
          <w:tcPr>
            <w:tcW w:w="0" w:type="auto"/>
            <w:vMerge/>
            <w:hideMark/>
          </w:tcPr>
          <w:p w14:paraId="59B483FD" w14:textId="77777777" w:rsidR="00CF2233" w:rsidRPr="00B71973" w:rsidRDefault="00CF2233" w:rsidP="00ED231D">
            <w:pPr>
              <w:jc w:val="both"/>
              <w:rPr>
                <w:b/>
                <w:bCs/>
                <w:snapToGrid w:val="0"/>
              </w:rPr>
            </w:pPr>
          </w:p>
        </w:tc>
        <w:tc>
          <w:tcPr>
            <w:tcW w:w="0" w:type="auto"/>
            <w:hideMark/>
          </w:tcPr>
          <w:p w14:paraId="7A98D465" w14:textId="44B62F85" w:rsidR="00CF2233" w:rsidRPr="00B71973" w:rsidRDefault="00CF2233" w:rsidP="2A4DC137">
            <w:pPr>
              <w:autoSpaceDE w:val="0"/>
              <w:autoSpaceDN w:val="0"/>
              <w:adjustRightInd w:val="0"/>
              <w:spacing w:line="276" w:lineRule="auto"/>
              <w:jc w:val="both"/>
            </w:pPr>
            <w:r>
              <w:t xml:space="preserve">A minimum of </w:t>
            </w:r>
            <w:r w:rsidR="00CC0E35">
              <w:t>3</w:t>
            </w:r>
            <w:r>
              <w:t xml:space="preserve"> years of experience in developing</w:t>
            </w:r>
            <w:r w:rsidR="00CC0E35">
              <w:t xml:space="preserve"> </w:t>
            </w:r>
            <w:r w:rsidR="00CC0E35" w:rsidRPr="2A4DC137">
              <w:rPr>
                <w:lang w:eastAsia="en-US"/>
              </w:rPr>
              <w:t>private sector development research resulting in the preparation of investment strategies, finance plans, policy documents and action plans</w:t>
            </w:r>
            <w:r>
              <w:t xml:space="preserve">. </w:t>
            </w:r>
            <w:r>
              <w:t>–</w:t>
            </w:r>
            <w:r>
              <w:t xml:space="preserve"> </w:t>
            </w:r>
            <w:r w:rsidR="6503502C">
              <w:t>20</w:t>
            </w:r>
            <w:r>
              <w:t>pts</w:t>
            </w:r>
          </w:p>
          <w:p w14:paraId="541924CB" w14:textId="61349B12" w:rsidR="00CF2233" w:rsidRPr="00845DC1" w:rsidRDefault="00D468A5" w:rsidP="00AF5847">
            <w:pPr>
              <w:pStyle w:val="ListParagraph"/>
              <w:numPr>
                <w:ilvl w:val="0"/>
                <w:numId w:val="14"/>
              </w:numPr>
              <w:autoSpaceDE w:val="0"/>
              <w:autoSpaceDN w:val="0"/>
              <w:adjustRightInd w:val="0"/>
              <w:jc w:val="both"/>
              <w:rPr>
                <w:rFonts w:ascii="Times New Roman" w:eastAsia="MS Mincho"/>
                <w:color w:val="000000"/>
                <w:sz w:val="24"/>
                <w:szCs w:val="24"/>
              </w:rPr>
            </w:pPr>
            <w:r>
              <w:t xml:space="preserve">Additional experience is desirable and will be granted 5 points per additional experience up to a limit of </w:t>
            </w:r>
            <w:r w:rsidR="7AE9D430">
              <w:t>1</w:t>
            </w:r>
            <w:r>
              <w:t>0 points.</w:t>
            </w:r>
          </w:p>
        </w:tc>
        <w:tc>
          <w:tcPr>
            <w:tcW w:w="0" w:type="auto"/>
          </w:tcPr>
          <w:p w14:paraId="63A5748F" w14:textId="77777777" w:rsidR="00CF2233" w:rsidRPr="00B71973" w:rsidRDefault="00CF2233" w:rsidP="00ED231D">
            <w:pPr>
              <w:jc w:val="center"/>
              <w:rPr>
                <w:snapToGrid w:val="0"/>
              </w:rPr>
            </w:pPr>
          </w:p>
        </w:tc>
        <w:tc>
          <w:tcPr>
            <w:tcW w:w="0" w:type="auto"/>
            <w:hideMark/>
          </w:tcPr>
          <w:p w14:paraId="5D75729B" w14:textId="77777777" w:rsidR="00CF2233" w:rsidRPr="00B71973" w:rsidRDefault="00CF2233" w:rsidP="00ED231D">
            <w:pPr>
              <w:jc w:val="center"/>
              <w:rPr>
                <w:snapToGrid w:val="0"/>
              </w:rPr>
            </w:pPr>
            <w:r w:rsidRPr="00B71973">
              <w:rPr>
                <w:snapToGrid w:val="0"/>
              </w:rPr>
              <w:t>30</w:t>
            </w:r>
          </w:p>
        </w:tc>
      </w:tr>
      <w:tr w:rsidR="004E051B" w:rsidRPr="00B71973" w14:paraId="66B6856F" w14:textId="77777777" w:rsidTr="2C49C1BC">
        <w:trPr>
          <w:trHeight w:val="323"/>
        </w:trPr>
        <w:tc>
          <w:tcPr>
            <w:tcW w:w="0" w:type="auto"/>
            <w:vMerge/>
          </w:tcPr>
          <w:p w14:paraId="7857F486" w14:textId="77777777" w:rsidR="00CF2233" w:rsidRPr="00B71973" w:rsidRDefault="00CF2233" w:rsidP="00ED231D">
            <w:pPr>
              <w:jc w:val="both"/>
              <w:rPr>
                <w:b/>
                <w:bCs/>
                <w:snapToGrid w:val="0"/>
              </w:rPr>
            </w:pPr>
          </w:p>
        </w:tc>
        <w:tc>
          <w:tcPr>
            <w:tcW w:w="0" w:type="auto"/>
          </w:tcPr>
          <w:p w14:paraId="23E24371" w14:textId="77777777" w:rsidR="00CF2233" w:rsidRDefault="00CF2233" w:rsidP="2A4DC137">
            <w:pPr>
              <w:autoSpaceDE w:val="0"/>
              <w:autoSpaceDN w:val="0"/>
              <w:adjustRightInd w:val="0"/>
              <w:spacing w:line="276" w:lineRule="auto"/>
              <w:jc w:val="both"/>
              <w:rPr>
                <w:rFonts w:hAnsiTheme="minorHAnsi"/>
              </w:rPr>
            </w:pPr>
            <w:r w:rsidRPr="2C49C1BC">
              <w:rPr>
                <w:rFonts w:hAnsiTheme="minorHAnsi"/>
              </w:rPr>
              <w:t>Regional Experience: Previous work in Saint Vincent and the Grenadines or any of the other EnGenDER beneficiary countries or any other country in the Caribbean region where similar work</w:t>
            </w:r>
            <w:r w:rsidR="0BEAE451" w:rsidRPr="2C49C1BC">
              <w:rPr>
                <w:rFonts w:hAnsiTheme="minorHAnsi"/>
              </w:rPr>
              <w:t xml:space="preserve"> (th</w:t>
            </w:r>
            <w:r w:rsidR="114EA9B6" w:rsidRPr="2C49C1BC">
              <w:rPr>
                <w:rFonts w:hAnsiTheme="minorHAnsi"/>
              </w:rPr>
              <w:t xml:space="preserve">is may include the development of economic scoping studies, </w:t>
            </w:r>
            <w:r w:rsidR="0BEAE451" w:rsidRPr="2C49C1BC">
              <w:rPr>
                <w:rFonts w:hAnsiTheme="minorHAnsi"/>
              </w:rPr>
              <w:t>private sector investment strategies,</w:t>
            </w:r>
            <w:r w:rsidR="639E9B67" w:rsidRPr="2C49C1BC">
              <w:rPr>
                <w:rFonts w:hAnsiTheme="minorHAnsi"/>
              </w:rPr>
              <w:t xml:space="preserve"> economic</w:t>
            </w:r>
            <w:r w:rsidR="0BEAE451" w:rsidRPr="2C49C1BC">
              <w:rPr>
                <w:rFonts w:hAnsiTheme="minorHAnsi"/>
              </w:rPr>
              <w:t xml:space="preserve"> investment and/or action plans</w:t>
            </w:r>
            <w:r w:rsidR="7509345A" w:rsidRPr="2C49C1BC">
              <w:rPr>
                <w:rFonts w:hAnsiTheme="minorHAnsi"/>
              </w:rPr>
              <w:t>)</w:t>
            </w:r>
            <w:r w:rsidRPr="2C49C1BC">
              <w:rPr>
                <w:rFonts w:hAnsiTheme="minorHAnsi"/>
              </w:rPr>
              <w:t xml:space="preserve"> has been undertaken. </w:t>
            </w:r>
            <w:r w:rsidR="3149BDDB" w:rsidRPr="2C49C1BC">
              <w:rPr>
                <w:rFonts w:hAnsiTheme="minorHAnsi"/>
              </w:rPr>
              <w:t xml:space="preserve"> A focus on the integration of gender and gender mainstreaming is an asset</w:t>
            </w:r>
            <w:r w:rsidR="54FA4479" w:rsidRPr="2C49C1BC">
              <w:rPr>
                <w:rFonts w:hAnsiTheme="minorHAnsi"/>
              </w:rPr>
              <w:t>.</w:t>
            </w:r>
            <w:r w:rsidR="59B369D5" w:rsidRPr="2C49C1BC">
              <w:rPr>
                <w:rFonts w:hAnsiTheme="minorHAnsi"/>
              </w:rPr>
              <w:t xml:space="preserve"> </w:t>
            </w:r>
            <w:r w:rsidR="08558E11" w:rsidRPr="2C49C1BC">
              <w:rPr>
                <w:rFonts w:hAnsiTheme="minorHAnsi"/>
              </w:rPr>
              <w:t xml:space="preserve">Consultants </w:t>
            </w:r>
            <w:r w:rsidR="0D5E9408" w:rsidRPr="2C49C1BC">
              <w:rPr>
                <w:rFonts w:hAnsiTheme="minorHAnsi"/>
              </w:rPr>
              <w:t>must</w:t>
            </w:r>
            <w:r w:rsidR="59B369D5" w:rsidRPr="2C49C1BC">
              <w:rPr>
                <w:rFonts w:hAnsiTheme="minorHAnsi"/>
              </w:rPr>
              <w:t xml:space="preserve"> show how similar or previous </w:t>
            </w:r>
            <w:r w:rsidR="369DD017" w:rsidRPr="2C49C1BC">
              <w:rPr>
                <w:rFonts w:hAnsiTheme="minorHAnsi"/>
              </w:rPr>
              <w:t>work pertains to this assignment.</w:t>
            </w:r>
          </w:p>
          <w:p w14:paraId="10C0B9B3" w14:textId="77777777" w:rsidR="007C7455" w:rsidRDefault="007C7455" w:rsidP="2A4DC137">
            <w:pPr>
              <w:autoSpaceDE w:val="0"/>
              <w:autoSpaceDN w:val="0"/>
              <w:adjustRightInd w:val="0"/>
              <w:spacing w:line="276" w:lineRule="auto"/>
              <w:jc w:val="both"/>
              <w:rPr>
                <w:rFonts w:hAnsiTheme="minorHAnsi"/>
              </w:rPr>
            </w:pPr>
          </w:p>
          <w:p w14:paraId="67E1BF5E" w14:textId="4CA0C817" w:rsidR="007C7455" w:rsidRPr="00B71973" w:rsidRDefault="007C7455" w:rsidP="2A4DC137">
            <w:pPr>
              <w:autoSpaceDE w:val="0"/>
              <w:autoSpaceDN w:val="0"/>
              <w:adjustRightInd w:val="0"/>
              <w:spacing w:line="276" w:lineRule="auto"/>
              <w:jc w:val="both"/>
              <w:rPr>
                <w:rFonts w:hAnsiTheme="minorHAnsi"/>
              </w:rPr>
            </w:pPr>
          </w:p>
        </w:tc>
        <w:tc>
          <w:tcPr>
            <w:tcW w:w="0" w:type="auto"/>
          </w:tcPr>
          <w:p w14:paraId="5A7766EB" w14:textId="77777777" w:rsidR="00CF2233" w:rsidRPr="00B71973" w:rsidRDefault="00CF2233" w:rsidP="00ED231D">
            <w:pPr>
              <w:jc w:val="center"/>
              <w:rPr>
                <w:snapToGrid w:val="0"/>
              </w:rPr>
            </w:pPr>
          </w:p>
        </w:tc>
        <w:tc>
          <w:tcPr>
            <w:tcW w:w="0" w:type="auto"/>
          </w:tcPr>
          <w:p w14:paraId="31B4232F" w14:textId="77777777" w:rsidR="00CF2233" w:rsidRPr="00B71973" w:rsidRDefault="00CF2233" w:rsidP="00ED231D">
            <w:pPr>
              <w:jc w:val="center"/>
              <w:rPr>
                <w:snapToGrid w:val="0"/>
              </w:rPr>
            </w:pPr>
            <w:r w:rsidRPr="00B71973">
              <w:rPr>
                <w:snapToGrid w:val="0"/>
              </w:rPr>
              <w:t>25</w:t>
            </w:r>
          </w:p>
        </w:tc>
      </w:tr>
    </w:tbl>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
        <w:gridCol w:w="6389"/>
        <w:gridCol w:w="969"/>
        <w:gridCol w:w="1311"/>
        <w:gridCol w:w="456"/>
      </w:tblGrid>
      <w:tr w:rsidR="00CF2233" w:rsidRPr="00B71973" w14:paraId="11E8731F" w14:textId="77777777" w:rsidTr="2C49C1BC">
        <w:trPr>
          <w:cantSplit/>
          <w:trHeight w:val="852"/>
        </w:trPr>
        <w:tc>
          <w:tcPr>
            <w:tcW w:w="0" w:type="auto"/>
            <w:gridSpan w:val="2"/>
            <w:shd w:val="clear" w:color="auto" w:fill="BFBFBF" w:themeFill="background1" w:themeFillShade="BF"/>
            <w:hideMark/>
          </w:tcPr>
          <w:p w14:paraId="0329D87B" w14:textId="77777777" w:rsidR="00CF2233" w:rsidRPr="00B71973" w:rsidRDefault="00CF2233" w:rsidP="00AF5847">
            <w:pPr>
              <w:numPr>
                <w:ilvl w:val="0"/>
                <w:numId w:val="5"/>
              </w:numPr>
              <w:contextualSpacing/>
              <w:rPr>
                <w:rFonts w:cs="Times New Roman"/>
                <w:snapToGrid w:val="0"/>
                <w:sz w:val="24"/>
                <w:szCs w:val="24"/>
              </w:rPr>
            </w:pPr>
            <w:r w:rsidRPr="00B71973">
              <w:rPr>
                <w:rFonts w:ascii="Segoe UI" w:hAnsi="Segoe UI" w:cs="Segoe UI"/>
                <w:b/>
                <w:bCs/>
                <w:color w:val="000000"/>
                <w:sz w:val="20"/>
                <w:szCs w:val="20"/>
                <w:bdr w:val="none" w:sz="0" w:space="0" w:color="auto" w:frame="1"/>
              </w:rPr>
              <w:lastRenderedPageBreak/>
              <w:t>Proposed Methodology, Approach and Implementation Plan</w:t>
            </w:r>
          </w:p>
        </w:tc>
        <w:tc>
          <w:tcPr>
            <w:tcW w:w="0" w:type="auto"/>
            <w:shd w:val="clear" w:color="auto" w:fill="BFBFBF" w:themeFill="background1" w:themeFillShade="BF"/>
          </w:tcPr>
          <w:p w14:paraId="7762A266" w14:textId="77777777" w:rsidR="00CF2233" w:rsidRPr="00B71973" w:rsidRDefault="00CF2233" w:rsidP="00ED231D">
            <w:pPr>
              <w:spacing w:after="0" w:line="240" w:lineRule="auto"/>
              <w:jc w:val="both"/>
              <w:rPr>
                <w:rFonts w:cs="Times New Roman"/>
                <w:b/>
                <w:bCs/>
                <w:snapToGrid w:val="0"/>
              </w:rPr>
            </w:pPr>
            <w:r w:rsidRPr="00B71973">
              <w:rPr>
                <w:rFonts w:cs="Times New Roman"/>
                <w:b/>
                <w:bCs/>
                <w:snapToGrid w:val="0"/>
              </w:rPr>
              <w:t>Weight (40%)</w:t>
            </w:r>
          </w:p>
        </w:tc>
        <w:tc>
          <w:tcPr>
            <w:tcW w:w="0" w:type="auto"/>
            <w:gridSpan w:val="2"/>
            <w:shd w:val="clear" w:color="auto" w:fill="BFBFBF" w:themeFill="background1" w:themeFillShade="BF"/>
            <w:hideMark/>
          </w:tcPr>
          <w:p w14:paraId="1DFD1A58"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Max. Points (130pts)</w:t>
            </w:r>
          </w:p>
        </w:tc>
      </w:tr>
      <w:tr w:rsidR="00CF2233" w:rsidRPr="00B71973" w14:paraId="4B160C48" w14:textId="77777777" w:rsidTr="2C49C1BC">
        <w:trPr>
          <w:trHeight w:val="417"/>
        </w:trPr>
        <w:tc>
          <w:tcPr>
            <w:tcW w:w="0" w:type="auto"/>
            <w:vMerge w:val="restart"/>
            <w:hideMark/>
          </w:tcPr>
          <w:p w14:paraId="1D9514E0" w14:textId="77777777" w:rsidR="00CF2233" w:rsidRPr="00B71973" w:rsidRDefault="00CF2233" w:rsidP="00ED231D">
            <w:pPr>
              <w:spacing w:after="0" w:line="240" w:lineRule="auto"/>
              <w:jc w:val="both"/>
              <w:rPr>
                <w:rFonts w:cs="Times New Roman"/>
                <w:snapToGrid w:val="0"/>
              </w:rPr>
            </w:pPr>
            <w:r w:rsidRPr="00B71973">
              <w:rPr>
                <w:rFonts w:cs="Times New Roman"/>
                <w:snapToGrid w:val="0"/>
              </w:rPr>
              <w:t>2.1</w:t>
            </w:r>
          </w:p>
        </w:tc>
        <w:tc>
          <w:tcPr>
            <w:tcW w:w="0" w:type="auto"/>
            <w:vMerge w:val="restart"/>
            <w:hideMark/>
          </w:tcPr>
          <w:p w14:paraId="7B4E9A15" w14:textId="257E90AA" w:rsidR="00CF2233" w:rsidRPr="00B71973" w:rsidRDefault="00CF2233" w:rsidP="00ED231D">
            <w:pPr>
              <w:widowControl w:val="0"/>
              <w:overflowPunct w:val="0"/>
              <w:autoSpaceDE w:val="0"/>
              <w:autoSpaceDN w:val="0"/>
              <w:adjustRightInd w:val="0"/>
              <w:spacing w:after="0" w:line="240" w:lineRule="auto"/>
              <w:jc w:val="both"/>
              <w:rPr>
                <w:rFonts w:cs="Times New Roman"/>
              </w:rPr>
            </w:pPr>
            <w:r w:rsidRPr="00B71973">
              <w:rPr>
                <w:rFonts w:cs="Times New Roman"/>
              </w:rPr>
              <w:t xml:space="preserve">The methodology should be clear and coherent and outline how the use of gender analysis, the GBA+ approach and gender-responsive stakeholder consultative methods will support the fulfilment of all the project requirements outlined in the TOR. To ensure that the approach taken will result in </w:t>
            </w:r>
            <w:r w:rsidR="00E87AE0">
              <w:rPr>
                <w:rFonts w:cs="Times New Roman"/>
              </w:rPr>
              <w:t>the identification of private sector</w:t>
            </w:r>
            <w:r w:rsidR="00781E4B">
              <w:rPr>
                <w:rFonts w:cs="Times New Roman"/>
              </w:rPr>
              <w:t>/ climate finance</w:t>
            </w:r>
            <w:r w:rsidR="00E87AE0">
              <w:rPr>
                <w:rFonts w:cs="Times New Roman"/>
              </w:rPr>
              <w:t xml:space="preserve"> investment opportunities which are </w:t>
            </w:r>
            <w:r w:rsidR="00FC101E">
              <w:rPr>
                <w:rFonts w:cs="Times New Roman"/>
              </w:rPr>
              <w:t>gender responsive</w:t>
            </w:r>
            <w:r w:rsidR="00E87AE0">
              <w:rPr>
                <w:rFonts w:cs="Times New Roman"/>
              </w:rPr>
              <w:t>.</w:t>
            </w:r>
          </w:p>
          <w:p w14:paraId="117A0720" w14:textId="77777777" w:rsidR="00CF2233" w:rsidRPr="00B71973" w:rsidRDefault="00CF2233" w:rsidP="00ED231D">
            <w:pPr>
              <w:widowControl w:val="0"/>
              <w:overflowPunct w:val="0"/>
              <w:autoSpaceDE w:val="0"/>
              <w:autoSpaceDN w:val="0"/>
              <w:adjustRightInd w:val="0"/>
              <w:spacing w:after="0" w:line="240" w:lineRule="auto"/>
              <w:jc w:val="both"/>
              <w:rPr>
                <w:rFonts w:cs="Times New Roman"/>
              </w:rPr>
            </w:pPr>
          </w:p>
          <w:p w14:paraId="117014E5" w14:textId="569503A0" w:rsidR="00CF2233" w:rsidRPr="00B71973" w:rsidRDefault="00CF2233" w:rsidP="00ED231D">
            <w:pPr>
              <w:widowControl w:val="0"/>
              <w:overflowPunct w:val="0"/>
              <w:autoSpaceDE w:val="0"/>
              <w:autoSpaceDN w:val="0"/>
              <w:adjustRightInd w:val="0"/>
              <w:spacing w:after="0" w:line="240" w:lineRule="auto"/>
              <w:jc w:val="both"/>
              <w:rPr>
                <w:rFonts w:cs="Times New Roman"/>
              </w:rPr>
            </w:pPr>
            <w:r w:rsidRPr="2C49C1BC">
              <w:rPr>
                <w:rFonts w:cs="Times New Roman"/>
              </w:rPr>
              <w:t>The methodological approach should also outline in detail the specific a</w:t>
            </w:r>
            <w:r w:rsidR="30223ABE" w:rsidRPr="2C49C1BC">
              <w:rPr>
                <w:rFonts w:cs="Times New Roman"/>
              </w:rPr>
              <w:t xml:space="preserve">pproach which will be undertaken by the consultant in the </w:t>
            </w:r>
            <w:r w:rsidR="36A9E7BE" w:rsidRPr="2C49C1BC">
              <w:rPr>
                <w:rFonts w:cs="Times New Roman"/>
              </w:rPr>
              <w:t>identification of private sector opportunities</w:t>
            </w:r>
            <w:r w:rsidR="47CA508C" w:rsidRPr="2C49C1BC">
              <w:rPr>
                <w:rFonts w:cs="Times New Roman"/>
              </w:rPr>
              <w:t xml:space="preserve"> specific to Saint Vincent and the Grenadines NDCs</w:t>
            </w:r>
            <w:r w:rsidR="64042A4D" w:rsidRPr="2C49C1BC">
              <w:rPr>
                <w:rFonts w:cs="Times New Roman"/>
              </w:rPr>
              <w:t xml:space="preserve">. It also clearly </w:t>
            </w:r>
            <w:r w:rsidR="0937720C" w:rsidRPr="2C49C1BC">
              <w:rPr>
                <w:rFonts w:cs="Times New Roman"/>
              </w:rPr>
              <w:t>outlines</w:t>
            </w:r>
            <w:r w:rsidR="64042A4D" w:rsidRPr="2C49C1BC">
              <w:rPr>
                <w:rFonts w:cs="Times New Roman"/>
              </w:rPr>
              <w:t xml:space="preserve"> how the</w:t>
            </w:r>
            <w:r w:rsidR="281D3AA3" w:rsidRPr="2C49C1BC">
              <w:rPr>
                <w:rFonts w:cs="Times New Roman"/>
              </w:rPr>
              <w:t xml:space="preserve"> approach will be utilize in the policy, legislative and regulatory mapping and </w:t>
            </w:r>
            <w:r w:rsidR="00F1204F" w:rsidRPr="2C49C1BC">
              <w:rPr>
                <w:rFonts w:cs="Times New Roman"/>
              </w:rPr>
              <w:t>the approach undertaken specific to the identification and proposal of applicable and appropriate market reforms which support private sector investment.</w:t>
            </w:r>
          </w:p>
          <w:p w14:paraId="13DE467F" w14:textId="77777777" w:rsidR="00CF2233" w:rsidRPr="00B71973" w:rsidRDefault="00CF2233" w:rsidP="00ED231D">
            <w:pPr>
              <w:spacing w:after="0" w:line="240" w:lineRule="auto"/>
              <w:jc w:val="both"/>
              <w:rPr>
                <w:rFonts w:cs="Times New Roman"/>
              </w:rPr>
            </w:pPr>
          </w:p>
          <w:p w14:paraId="1B9CDB4F" w14:textId="77777777" w:rsidR="00CF2233" w:rsidRPr="00B71973" w:rsidRDefault="00CF2233" w:rsidP="00BA0D38">
            <w:pPr>
              <w:spacing w:after="0" w:line="240" w:lineRule="auto"/>
              <w:jc w:val="both"/>
              <w:rPr>
                <w:rFonts w:cs="Times New Roman"/>
              </w:rPr>
            </w:pPr>
          </w:p>
        </w:tc>
        <w:tc>
          <w:tcPr>
            <w:tcW w:w="0" w:type="auto"/>
            <w:vMerge w:val="restart"/>
          </w:tcPr>
          <w:p w14:paraId="6B96290F" w14:textId="77777777" w:rsidR="00CF2233" w:rsidRPr="00B71973" w:rsidRDefault="00CF2233" w:rsidP="00ED231D">
            <w:pPr>
              <w:spacing w:after="0" w:line="240" w:lineRule="auto"/>
              <w:jc w:val="center"/>
              <w:rPr>
                <w:rFonts w:cs="Times New Roman"/>
                <w:snapToGrid w:val="0"/>
              </w:rPr>
            </w:pPr>
          </w:p>
        </w:tc>
        <w:tc>
          <w:tcPr>
            <w:tcW w:w="0" w:type="auto"/>
            <w:hideMark/>
          </w:tcPr>
          <w:p w14:paraId="7AB20999"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Weak</w:t>
            </w:r>
          </w:p>
        </w:tc>
        <w:tc>
          <w:tcPr>
            <w:tcW w:w="0" w:type="auto"/>
          </w:tcPr>
          <w:p w14:paraId="1B273B2E"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15</w:t>
            </w:r>
          </w:p>
        </w:tc>
      </w:tr>
      <w:tr w:rsidR="00CF2233" w:rsidRPr="00B71973" w14:paraId="1443C670" w14:textId="77777777" w:rsidTr="2C49C1BC">
        <w:trPr>
          <w:trHeight w:val="420"/>
        </w:trPr>
        <w:tc>
          <w:tcPr>
            <w:tcW w:w="0" w:type="auto"/>
            <w:vMerge/>
          </w:tcPr>
          <w:p w14:paraId="27E20551" w14:textId="77777777" w:rsidR="00CF2233" w:rsidRPr="00B71973" w:rsidRDefault="00CF2233" w:rsidP="00ED231D">
            <w:pPr>
              <w:spacing w:after="0" w:line="240" w:lineRule="auto"/>
              <w:jc w:val="both"/>
              <w:rPr>
                <w:rFonts w:cs="Times New Roman"/>
                <w:snapToGrid w:val="0"/>
              </w:rPr>
            </w:pPr>
          </w:p>
        </w:tc>
        <w:tc>
          <w:tcPr>
            <w:tcW w:w="0" w:type="auto"/>
            <w:vMerge/>
          </w:tcPr>
          <w:p w14:paraId="24F2C221" w14:textId="77777777" w:rsidR="00CF2233" w:rsidRPr="00B71973" w:rsidRDefault="00CF2233" w:rsidP="00ED231D">
            <w:pPr>
              <w:widowControl w:val="0"/>
              <w:overflowPunct w:val="0"/>
              <w:autoSpaceDE w:val="0"/>
              <w:autoSpaceDN w:val="0"/>
              <w:adjustRightInd w:val="0"/>
              <w:spacing w:after="0" w:line="240" w:lineRule="auto"/>
              <w:jc w:val="both"/>
              <w:rPr>
                <w:rFonts w:cs="Times New Roman"/>
              </w:rPr>
            </w:pPr>
          </w:p>
        </w:tc>
        <w:tc>
          <w:tcPr>
            <w:tcW w:w="0" w:type="auto"/>
            <w:vMerge/>
          </w:tcPr>
          <w:p w14:paraId="100E2D54" w14:textId="77777777" w:rsidR="00CF2233" w:rsidRPr="00B71973" w:rsidRDefault="00CF2233" w:rsidP="00ED231D">
            <w:pPr>
              <w:spacing w:after="0" w:line="240" w:lineRule="auto"/>
              <w:jc w:val="center"/>
              <w:rPr>
                <w:rFonts w:cs="Times New Roman"/>
                <w:snapToGrid w:val="0"/>
              </w:rPr>
            </w:pPr>
          </w:p>
        </w:tc>
        <w:tc>
          <w:tcPr>
            <w:tcW w:w="0" w:type="auto"/>
          </w:tcPr>
          <w:p w14:paraId="0AEDB1FB"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Satisfactory</w:t>
            </w:r>
          </w:p>
        </w:tc>
        <w:tc>
          <w:tcPr>
            <w:tcW w:w="0" w:type="auto"/>
          </w:tcPr>
          <w:p w14:paraId="5BD1A214"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25</w:t>
            </w:r>
          </w:p>
        </w:tc>
      </w:tr>
      <w:tr w:rsidR="00CF2233" w:rsidRPr="00B71973" w14:paraId="43E61DBB" w14:textId="77777777" w:rsidTr="2C49C1BC">
        <w:trPr>
          <w:trHeight w:val="401"/>
        </w:trPr>
        <w:tc>
          <w:tcPr>
            <w:tcW w:w="0" w:type="auto"/>
            <w:vMerge/>
          </w:tcPr>
          <w:p w14:paraId="0720831E" w14:textId="77777777" w:rsidR="00CF2233" w:rsidRPr="00B71973" w:rsidRDefault="00CF2233" w:rsidP="00ED231D">
            <w:pPr>
              <w:spacing w:after="0" w:line="240" w:lineRule="auto"/>
              <w:jc w:val="both"/>
              <w:rPr>
                <w:rFonts w:cs="Times New Roman"/>
                <w:snapToGrid w:val="0"/>
              </w:rPr>
            </w:pPr>
          </w:p>
        </w:tc>
        <w:tc>
          <w:tcPr>
            <w:tcW w:w="0" w:type="auto"/>
            <w:vMerge/>
          </w:tcPr>
          <w:p w14:paraId="0552D3DE" w14:textId="77777777" w:rsidR="00CF2233" w:rsidRPr="00B71973" w:rsidRDefault="00CF2233" w:rsidP="00ED231D">
            <w:pPr>
              <w:widowControl w:val="0"/>
              <w:overflowPunct w:val="0"/>
              <w:autoSpaceDE w:val="0"/>
              <w:autoSpaceDN w:val="0"/>
              <w:adjustRightInd w:val="0"/>
              <w:spacing w:after="0" w:line="240" w:lineRule="auto"/>
              <w:jc w:val="both"/>
              <w:rPr>
                <w:rFonts w:cs="Times New Roman"/>
              </w:rPr>
            </w:pPr>
          </w:p>
        </w:tc>
        <w:tc>
          <w:tcPr>
            <w:tcW w:w="0" w:type="auto"/>
            <w:vMerge/>
          </w:tcPr>
          <w:p w14:paraId="5596A771" w14:textId="77777777" w:rsidR="00CF2233" w:rsidRPr="00B71973" w:rsidRDefault="00CF2233" w:rsidP="00ED231D">
            <w:pPr>
              <w:spacing w:after="0" w:line="240" w:lineRule="auto"/>
              <w:jc w:val="center"/>
              <w:rPr>
                <w:rFonts w:cs="Times New Roman"/>
                <w:snapToGrid w:val="0"/>
              </w:rPr>
            </w:pPr>
          </w:p>
        </w:tc>
        <w:tc>
          <w:tcPr>
            <w:tcW w:w="0" w:type="auto"/>
          </w:tcPr>
          <w:p w14:paraId="0FA271F2"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 xml:space="preserve">Good </w:t>
            </w:r>
          </w:p>
        </w:tc>
        <w:tc>
          <w:tcPr>
            <w:tcW w:w="0" w:type="auto"/>
          </w:tcPr>
          <w:p w14:paraId="65FA06DC"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35</w:t>
            </w:r>
          </w:p>
        </w:tc>
      </w:tr>
      <w:tr w:rsidR="00CF2233" w:rsidRPr="00B71973" w14:paraId="451F0046" w14:textId="77777777" w:rsidTr="2C49C1BC">
        <w:trPr>
          <w:trHeight w:val="267"/>
        </w:trPr>
        <w:tc>
          <w:tcPr>
            <w:tcW w:w="0" w:type="auto"/>
            <w:vMerge/>
          </w:tcPr>
          <w:p w14:paraId="6E0F79C7" w14:textId="77777777" w:rsidR="00CF2233" w:rsidRPr="00B71973" w:rsidRDefault="00CF2233" w:rsidP="00ED231D">
            <w:pPr>
              <w:spacing w:after="0" w:line="240" w:lineRule="auto"/>
              <w:jc w:val="both"/>
              <w:rPr>
                <w:rFonts w:cs="Times New Roman"/>
                <w:snapToGrid w:val="0"/>
              </w:rPr>
            </w:pPr>
          </w:p>
        </w:tc>
        <w:tc>
          <w:tcPr>
            <w:tcW w:w="0" w:type="auto"/>
            <w:vMerge/>
          </w:tcPr>
          <w:p w14:paraId="62BFC83E" w14:textId="77777777" w:rsidR="00CF2233" w:rsidRPr="00B71973" w:rsidRDefault="00CF2233" w:rsidP="00ED231D">
            <w:pPr>
              <w:widowControl w:val="0"/>
              <w:overflowPunct w:val="0"/>
              <w:autoSpaceDE w:val="0"/>
              <w:autoSpaceDN w:val="0"/>
              <w:adjustRightInd w:val="0"/>
              <w:spacing w:after="0" w:line="240" w:lineRule="auto"/>
              <w:jc w:val="both"/>
              <w:rPr>
                <w:rFonts w:cs="Times New Roman"/>
              </w:rPr>
            </w:pPr>
          </w:p>
        </w:tc>
        <w:tc>
          <w:tcPr>
            <w:tcW w:w="0" w:type="auto"/>
            <w:vMerge/>
          </w:tcPr>
          <w:p w14:paraId="7271E396" w14:textId="77777777" w:rsidR="00CF2233" w:rsidRPr="00B71973" w:rsidRDefault="00CF2233" w:rsidP="00ED231D">
            <w:pPr>
              <w:spacing w:after="0" w:line="240" w:lineRule="auto"/>
              <w:jc w:val="center"/>
              <w:rPr>
                <w:rFonts w:cs="Times New Roman"/>
                <w:snapToGrid w:val="0"/>
              </w:rPr>
            </w:pPr>
          </w:p>
        </w:tc>
        <w:tc>
          <w:tcPr>
            <w:tcW w:w="0" w:type="auto"/>
          </w:tcPr>
          <w:p w14:paraId="1634F55E"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Excellent</w:t>
            </w:r>
          </w:p>
        </w:tc>
        <w:tc>
          <w:tcPr>
            <w:tcW w:w="0" w:type="auto"/>
          </w:tcPr>
          <w:p w14:paraId="08B5E501"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50</w:t>
            </w:r>
          </w:p>
        </w:tc>
      </w:tr>
      <w:tr w:rsidR="00CF2233" w:rsidRPr="00B71973" w14:paraId="4FEEF176" w14:textId="77777777" w:rsidTr="2C49C1BC">
        <w:trPr>
          <w:trHeight w:val="355"/>
        </w:trPr>
        <w:tc>
          <w:tcPr>
            <w:tcW w:w="0" w:type="auto"/>
            <w:vMerge w:val="restart"/>
            <w:hideMark/>
          </w:tcPr>
          <w:p w14:paraId="515A5E03" w14:textId="77777777" w:rsidR="00CF2233" w:rsidRPr="00B71973" w:rsidRDefault="00CF2233" w:rsidP="00ED231D">
            <w:pPr>
              <w:spacing w:after="0" w:line="240" w:lineRule="auto"/>
              <w:jc w:val="both"/>
              <w:rPr>
                <w:rFonts w:cs="Times New Roman"/>
                <w:snapToGrid w:val="0"/>
              </w:rPr>
            </w:pPr>
            <w:r w:rsidRPr="00B71973">
              <w:rPr>
                <w:rFonts w:cs="Times New Roman"/>
                <w:snapToGrid w:val="0"/>
              </w:rPr>
              <w:t>2.2</w:t>
            </w:r>
          </w:p>
        </w:tc>
        <w:tc>
          <w:tcPr>
            <w:tcW w:w="0" w:type="auto"/>
            <w:vMerge w:val="restart"/>
            <w:hideMark/>
          </w:tcPr>
          <w:p w14:paraId="12D5781A" w14:textId="6D4B4E66" w:rsidR="00CF2233" w:rsidRPr="00B71973" w:rsidRDefault="00CF2233" w:rsidP="00ED231D">
            <w:pPr>
              <w:spacing w:after="0" w:line="240" w:lineRule="auto"/>
              <w:jc w:val="both"/>
              <w:rPr>
                <w:rFonts w:cs="Times New Roman"/>
              </w:rPr>
            </w:pPr>
            <w:r w:rsidRPr="00B71973">
              <w:rPr>
                <w:rFonts w:cs="Times New Roman"/>
              </w:rPr>
              <w:t xml:space="preserve">The methodology should also outline in detail the </w:t>
            </w:r>
            <w:r w:rsidR="00591C2B">
              <w:rPr>
                <w:rFonts w:cs="Times New Roman"/>
              </w:rPr>
              <w:t>approach which will be t</w:t>
            </w:r>
            <w:r w:rsidR="00CB24F0">
              <w:rPr>
                <w:rFonts w:cs="Times New Roman"/>
              </w:rPr>
              <w:t>a</w:t>
            </w:r>
            <w:r w:rsidR="00591C2B">
              <w:rPr>
                <w:rFonts w:cs="Times New Roman"/>
              </w:rPr>
              <w:t>ken in the development of the concept investment and finance business</w:t>
            </w:r>
            <w:r w:rsidR="00CB24F0">
              <w:rPr>
                <w:rFonts w:cs="Times New Roman"/>
              </w:rPr>
              <w:t xml:space="preserve"> cases</w:t>
            </w:r>
            <w:r w:rsidR="00232328">
              <w:rPr>
                <w:rFonts w:cs="Times New Roman"/>
              </w:rPr>
              <w:t xml:space="preserve"> for select priority sectors identified under Saint Vincent and the Grenadines NDCs.</w:t>
            </w:r>
            <w:r w:rsidR="004C2F2F">
              <w:rPr>
                <w:rFonts w:cs="Times New Roman"/>
              </w:rPr>
              <w:t xml:space="preserve"> Given that the scope of work focuses heavily on the provision of gender in the conduct of the Scoping Study. The consultant’s methodology should also outline </w:t>
            </w:r>
            <w:r w:rsidR="00CE3A3F">
              <w:rPr>
                <w:rFonts w:cs="Times New Roman"/>
              </w:rPr>
              <w:t xml:space="preserve">the approach which will be </w:t>
            </w:r>
            <w:r w:rsidR="00A92866">
              <w:rPr>
                <w:rFonts w:cs="Times New Roman"/>
              </w:rPr>
              <w:t>under</w:t>
            </w:r>
            <w:r w:rsidR="00CE3A3F">
              <w:rPr>
                <w:rFonts w:cs="Times New Roman"/>
              </w:rPr>
              <w:t>taken to ensure</w:t>
            </w:r>
            <w:r w:rsidR="00A92866">
              <w:rPr>
                <w:rFonts w:cs="Times New Roman"/>
              </w:rPr>
              <w:t xml:space="preserve"> that</w:t>
            </w:r>
            <w:r w:rsidR="00CE3A3F">
              <w:rPr>
                <w:rFonts w:cs="Times New Roman"/>
              </w:rPr>
              <w:t xml:space="preserve"> the concept business cases designed </w:t>
            </w:r>
            <w:r w:rsidR="00B64404">
              <w:rPr>
                <w:rFonts w:cs="Times New Roman"/>
              </w:rPr>
              <w:t xml:space="preserve">support the alleviation of gender inequalities rather than the exacerbation of them. </w:t>
            </w:r>
          </w:p>
        </w:tc>
        <w:tc>
          <w:tcPr>
            <w:tcW w:w="0" w:type="auto"/>
            <w:vMerge w:val="restart"/>
          </w:tcPr>
          <w:p w14:paraId="226D3D36" w14:textId="77777777" w:rsidR="00CF2233" w:rsidRPr="00B71973" w:rsidRDefault="00CF2233" w:rsidP="00ED231D">
            <w:pPr>
              <w:spacing w:after="0" w:line="240" w:lineRule="auto"/>
              <w:jc w:val="center"/>
              <w:rPr>
                <w:rFonts w:cs="Times New Roman"/>
                <w:snapToGrid w:val="0"/>
              </w:rPr>
            </w:pPr>
          </w:p>
        </w:tc>
        <w:tc>
          <w:tcPr>
            <w:tcW w:w="0" w:type="auto"/>
            <w:hideMark/>
          </w:tcPr>
          <w:p w14:paraId="53D20A32"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 xml:space="preserve">Weak </w:t>
            </w:r>
          </w:p>
        </w:tc>
        <w:tc>
          <w:tcPr>
            <w:tcW w:w="0" w:type="auto"/>
          </w:tcPr>
          <w:p w14:paraId="3BDE083D"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10</w:t>
            </w:r>
          </w:p>
        </w:tc>
      </w:tr>
      <w:tr w:rsidR="00CF2233" w:rsidRPr="00B71973" w14:paraId="10B4BFC5" w14:textId="77777777" w:rsidTr="2C49C1BC">
        <w:trPr>
          <w:trHeight w:val="417"/>
        </w:trPr>
        <w:tc>
          <w:tcPr>
            <w:tcW w:w="0" w:type="auto"/>
            <w:vMerge/>
          </w:tcPr>
          <w:p w14:paraId="1CB22BE3" w14:textId="77777777" w:rsidR="00CF2233" w:rsidRPr="00B71973" w:rsidRDefault="00CF2233" w:rsidP="00ED231D">
            <w:pPr>
              <w:spacing w:after="0" w:line="240" w:lineRule="auto"/>
              <w:jc w:val="both"/>
              <w:rPr>
                <w:rFonts w:cs="Times New Roman"/>
                <w:snapToGrid w:val="0"/>
              </w:rPr>
            </w:pPr>
          </w:p>
        </w:tc>
        <w:tc>
          <w:tcPr>
            <w:tcW w:w="0" w:type="auto"/>
            <w:vMerge/>
          </w:tcPr>
          <w:p w14:paraId="7A4A6C24" w14:textId="77777777" w:rsidR="00CF2233" w:rsidRPr="00B71973" w:rsidRDefault="00CF2233" w:rsidP="00ED231D">
            <w:pPr>
              <w:spacing w:after="0" w:line="240" w:lineRule="auto"/>
              <w:jc w:val="both"/>
              <w:rPr>
                <w:rFonts w:cs="Times New Roman"/>
              </w:rPr>
            </w:pPr>
          </w:p>
        </w:tc>
        <w:tc>
          <w:tcPr>
            <w:tcW w:w="0" w:type="auto"/>
            <w:vMerge/>
          </w:tcPr>
          <w:p w14:paraId="1423A8A0" w14:textId="77777777" w:rsidR="00CF2233" w:rsidRPr="00B71973" w:rsidRDefault="00CF2233" w:rsidP="00ED231D">
            <w:pPr>
              <w:spacing w:after="0" w:line="240" w:lineRule="auto"/>
              <w:jc w:val="center"/>
              <w:rPr>
                <w:rFonts w:cs="Times New Roman"/>
                <w:snapToGrid w:val="0"/>
              </w:rPr>
            </w:pPr>
          </w:p>
        </w:tc>
        <w:tc>
          <w:tcPr>
            <w:tcW w:w="0" w:type="auto"/>
          </w:tcPr>
          <w:p w14:paraId="3708CC3B"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Satisfactory</w:t>
            </w:r>
          </w:p>
        </w:tc>
        <w:tc>
          <w:tcPr>
            <w:tcW w:w="0" w:type="auto"/>
          </w:tcPr>
          <w:p w14:paraId="678FBF8F"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20</w:t>
            </w:r>
          </w:p>
        </w:tc>
      </w:tr>
      <w:tr w:rsidR="00CF2233" w:rsidRPr="00B71973" w14:paraId="51F54A7E" w14:textId="77777777" w:rsidTr="2C49C1BC">
        <w:trPr>
          <w:trHeight w:val="409"/>
        </w:trPr>
        <w:tc>
          <w:tcPr>
            <w:tcW w:w="0" w:type="auto"/>
            <w:vMerge/>
          </w:tcPr>
          <w:p w14:paraId="012DB4D9" w14:textId="77777777" w:rsidR="00CF2233" w:rsidRPr="00B71973" w:rsidRDefault="00CF2233" w:rsidP="00ED231D">
            <w:pPr>
              <w:spacing w:after="0" w:line="240" w:lineRule="auto"/>
              <w:jc w:val="both"/>
              <w:rPr>
                <w:rFonts w:cs="Times New Roman"/>
                <w:snapToGrid w:val="0"/>
              </w:rPr>
            </w:pPr>
          </w:p>
        </w:tc>
        <w:tc>
          <w:tcPr>
            <w:tcW w:w="0" w:type="auto"/>
            <w:vMerge/>
          </w:tcPr>
          <w:p w14:paraId="517F98DC" w14:textId="77777777" w:rsidR="00CF2233" w:rsidRPr="00B71973" w:rsidRDefault="00CF2233" w:rsidP="00ED231D">
            <w:pPr>
              <w:spacing w:after="0" w:line="240" w:lineRule="auto"/>
              <w:jc w:val="both"/>
              <w:rPr>
                <w:rFonts w:cs="Times New Roman"/>
              </w:rPr>
            </w:pPr>
          </w:p>
        </w:tc>
        <w:tc>
          <w:tcPr>
            <w:tcW w:w="0" w:type="auto"/>
            <w:vMerge/>
          </w:tcPr>
          <w:p w14:paraId="27181A53" w14:textId="77777777" w:rsidR="00CF2233" w:rsidRPr="00B71973" w:rsidRDefault="00CF2233" w:rsidP="00ED231D">
            <w:pPr>
              <w:spacing w:after="0" w:line="240" w:lineRule="auto"/>
              <w:jc w:val="center"/>
              <w:rPr>
                <w:rFonts w:cs="Times New Roman"/>
                <w:snapToGrid w:val="0"/>
              </w:rPr>
            </w:pPr>
          </w:p>
        </w:tc>
        <w:tc>
          <w:tcPr>
            <w:tcW w:w="0" w:type="auto"/>
          </w:tcPr>
          <w:p w14:paraId="62B69E65"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 xml:space="preserve">Good </w:t>
            </w:r>
          </w:p>
        </w:tc>
        <w:tc>
          <w:tcPr>
            <w:tcW w:w="0" w:type="auto"/>
          </w:tcPr>
          <w:p w14:paraId="12E76408"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30</w:t>
            </w:r>
          </w:p>
        </w:tc>
      </w:tr>
      <w:tr w:rsidR="00CF2233" w:rsidRPr="00B71973" w14:paraId="378CC8A4" w14:textId="77777777" w:rsidTr="2C49C1BC">
        <w:trPr>
          <w:trHeight w:val="267"/>
        </w:trPr>
        <w:tc>
          <w:tcPr>
            <w:tcW w:w="0" w:type="auto"/>
            <w:vMerge/>
          </w:tcPr>
          <w:p w14:paraId="4A379778" w14:textId="77777777" w:rsidR="00CF2233" w:rsidRPr="00B71973" w:rsidRDefault="00CF2233" w:rsidP="00ED231D">
            <w:pPr>
              <w:spacing w:after="0" w:line="240" w:lineRule="auto"/>
              <w:jc w:val="both"/>
              <w:rPr>
                <w:rFonts w:cs="Times New Roman"/>
                <w:snapToGrid w:val="0"/>
              </w:rPr>
            </w:pPr>
          </w:p>
        </w:tc>
        <w:tc>
          <w:tcPr>
            <w:tcW w:w="0" w:type="auto"/>
            <w:vMerge/>
          </w:tcPr>
          <w:p w14:paraId="51BAAC50" w14:textId="77777777" w:rsidR="00CF2233" w:rsidRPr="00B71973" w:rsidRDefault="00CF2233" w:rsidP="00ED231D">
            <w:pPr>
              <w:spacing w:after="0" w:line="240" w:lineRule="auto"/>
              <w:jc w:val="both"/>
              <w:rPr>
                <w:rFonts w:cs="Times New Roman"/>
              </w:rPr>
            </w:pPr>
          </w:p>
        </w:tc>
        <w:tc>
          <w:tcPr>
            <w:tcW w:w="0" w:type="auto"/>
            <w:vMerge/>
          </w:tcPr>
          <w:p w14:paraId="01714B1D" w14:textId="77777777" w:rsidR="00CF2233" w:rsidRPr="00B71973" w:rsidRDefault="00CF2233" w:rsidP="00ED231D">
            <w:pPr>
              <w:spacing w:after="0" w:line="240" w:lineRule="auto"/>
              <w:jc w:val="center"/>
              <w:rPr>
                <w:rFonts w:cs="Times New Roman"/>
                <w:snapToGrid w:val="0"/>
              </w:rPr>
            </w:pPr>
          </w:p>
        </w:tc>
        <w:tc>
          <w:tcPr>
            <w:tcW w:w="0" w:type="auto"/>
          </w:tcPr>
          <w:p w14:paraId="725B4709"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Excellent</w:t>
            </w:r>
          </w:p>
        </w:tc>
        <w:tc>
          <w:tcPr>
            <w:tcW w:w="0" w:type="auto"/>
          </w:tcPr>
          <w:p w14:paraId="32C12A9E"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40</w:t>
            </w:r>
          </w:p>
        </w:tc>
      </w:tr>
      <w:tr w:rsidR="00CF2233" w:rsidRPr="00B71973" w14:paraId="4C1F3DF7" w14:textId="77777777" w:rsidTr="2C49C1BC">
        <w:trPr>
          <w:trHeight w:val="135"/>
        </w:trPr>
        <w:tc>
          <w:tcPr>
            <w:tcW w:w="0" w:type="auto"/>
            <w:vMerge w:val="restart"/>
            <w:hideMark/>
          </w:tcPr>
          <w:p w14:paraId="2EF9FBDE" w14:textId="77777777" w:rsidR="00CF2233" w:rsidRPr="00B71973" w:rsidRDefault="00CF2233" w:rsidP="00ED231D">
            <w:pPr>
              <w:spacing w:after="0" w:line="240" w:lineRule="auto"/>
              <w:jc w:val="both"/>
              <w:rPr>
                <w:rFonts w:cs="Times New Roman"/>
                <w:snapToGrid w:val="0"/>
              </w:rPr>
            </w:pPr>
            <w:r w:rsidRPr="00B71973">
              <w:rPr>
                <w:rFonts w:cs="Times New Roman"/>
                <w:snapToGrid w:val="0"/>
              </w:rPr>
              <w:t>2.3</w:t>
            </w:r>
          </w:p>
        </w:tc>
        <w:tc>
          <w:tcPr>
            <w:tcW w:w="0" w:type="auto"/>
            <w:vMerge w:val="restart"/>
            <w:hideMark/>
          </w:tcPr>
          <w:p w14:paraId="26BA9553" w14:textId="77777777" w:rsidR="000E0325" w:rsidRDefault="00CF2233" w:rsidP="00ED231D">
            <w:pPr>
              <w:spacing w:after="0" w:line="240" w:lineRule="auto"/>
              <w:jc w:val="both"/>
              <w:rPr>
                <w:rFonts w:cs="Times New Roman"/>
              </w:rPr>
            </w:pPr>
            <w:r w:rsidRPr="00B71973">
              <w:rPr>
                <w:rFonts w:cs="Times New Roman"/>
              </w:rPr>
              <w:t xml:space="preserve">Sequence of activities are logical, realistic and the execution of the methodology is coherent and constructive and, designed to add value to the project. </w:t>
            </w:r>
          </w:p>
          <w:p w14:paraId="03D2F0D3" w14:textId="77777777" w:rsidR="000E0325" w:rsidRDefault="000E0325" w:rsidP="00ED231D">
            <w:pPr>
              <w:spacing w:after="0" w:line="240" w:lineRule="auto"/>
              <w:jc w:val="both"/>
              <w:rPr>
                <w:rFonts w:cs="Times New Roman"/>
              </w:rPr>
            </w:pPr>
          </w:p>
          <w:p w14:paraId="474047A5" w14:textId="299C5934" w:rsidR="00CF2233" w:rsidRPr="00B71973" w:rsidRDefault="15643F8B" w:rsidP="00ED231D">
            <w:pPr>
              <w:spacing w:after="0" w:line="240" w:lineRule="auto"/>
              <w:jc w:val="both"/>
              <w:rPr>
                <w:rFonts w:cs="Times New Roman"/>
              </w:rPr>
            </w:pPr>
            <w:r w:rsidRPr="2C49C1BC">
              <w:rPr>
                <w:rFonts w:cs="Times New Roman"/>
              </w:rPr>
              <w:t>Given that</w:t>
            </w:r>
            <w:r w:rsidR="16866E17" w:rsidRPr="2C49C1BC">
              <w:rPr>
                <w:rFonts w:cs="Times New Roman"/>
              </w:rPr>
              <w:t>,</w:t>
            </w:r>
            <w:r w:rsidRPr="2C49C1BC">
              <w:rPr>
                <w:rFonts w:cs="Times New Roman"/>
              </w:rPr>
              <w:t xml:space="preserve"> </w:t>
            </w:r>
            <w:r w:rsidR="0FFBE70C" w:rsidRPr="2C49C1BC">
              <w:rPr>
                <w:rFonts w:cs="Times New Roman"/>
              </w:rPr>
              <w:t xml:space="preserve">stakeholder dialogues are a central feature of this consultancy. The </w:t>
            </w:r>
            <w:r w:rsidR="00CF2233" w:rsidRPr="2C49C1BC">
              <w:rPr>
                <w:rFonts w:cs="Times New Roman"/>
              </w:rPr>
              <w:t xml:space="preserve">COVID response risk mitigation strategy </w:t>
            </w:r>
            <w:r w:rsidR="713424AC" w:rsidRPr="2C49C1BC">
              <w:rPr>
                <w:rFonts w:cs="Times New Roman"/>
              </w:rPr>
              <w:t>should be clearly outlined and</w:t>
            </w:r>
            <w:r w:rsidR="00CF2233" w:rsidRPr="2C49C1BC">
              <w:rPr>
                <w:rFonts w:cs="Times New Roman"/>
              </w:rPr>
              <w:t xml:space="preserve"> well defined</w:t>
            </w:r>
            <w:r w:rsidR="63D7F543" w:rsidRPr="2C49C1BC">
              <w:rPr>
                <w:rFonts w:cs="Times New Roman"/>
              </w:rPr>
              <w:t>, so that it is easy to delineate</w:t>
            </w:r>
            <w:r w:rsidR="00CF2233" w:rsidRPr="2C49C1BC">
              <w:rPr>
                <w:rFonts w:cs="Times New Roman"/>
              </w:rPr>
              <w:t xml:space="preserve"> how the project work will be undertaken in the absence of </w:t>
            </w:r>
            <w:r w:rsidR="1E17B7ED" w:rsidRPr="2C49C1BC">
              <w:rPr>
                <w:rFonts w:cs="Times New Roman"/>
              </w:rPr>
              <w:t>face-to-face</w:t>
            </w:r>
            <w:r w:rsidR="00CF2233" w:rsidRPr="2C49C1BC">
              <w:rPr>
                <w:rFonts w:cs="Times New Roman"/>
              </w:rPr>
              <w:t xml:space="preserve"> </w:t>
            </w:r>
            <w:r w:rsidR="148B10C0" w:rsidRPr="2C49C1BC">
              <w:rPr>
                <w:rFonts w:cs="Times New Roman"/>
              </w:rPr>
              <w:t>consultations,</w:t>
            </w:r>
            <w:r w:rsidR="00CF2233" w:rsidRPr="2C49C1BC">
              <w:rPr>
                <w:rFonts w:cs="Times New Roman"/>
              </w:rPr>
              <w:t xml:space="preserve"> while still demonstrating the need for an inclusive gender-responsive stakeholder approach to be adopted. </w:t>
            </w:r>
          </w:p>
        </w:tc>
        <w:tc>
          <w:tcPr>
            <w:tcW w:w="0" w:type="auto"/>
            <w:vMerge w:val="restart"/>
          </w:tcPr>
          <w:p w14:paraId="0809502C" w14:textId="77777777" w:rsidR="00CF2233" w:rsidRPr="00B71973" w:rsidRDefault="00CF2233" w:rsidP="00ED231D">
            <w:pPr>
              <w:spacing w:after="0" w:line="240" w:lineRule="auto"/>
              <w:jc w:val="center"/>
              <w:rPr>
                <w:rFonts w:cs="Times New Roman"/>
                <w:snapToGrid w:val="0"/>
              </w:rPr>
            </w:pPr>
          </w:p>
        </w:tc>
        <w:tc>
          <w:tcPr>
            <w:tcW w:w="0" w:type="auto"/>
            <w:hideMark/>
          </w:tcPr>
          <w:p w14:paraId="6855698B"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Weak</w:t>
            </w:r>
          </w:p>
        </w:tc>
        <w:tc>
          <w:tcPr>
            <w:tcW w:w="0" w:type="auto"/>
          </w:tcPr>
          <w:p w14:paraId="2FBEF73A"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10</w:t>
            </w:r>
          </w:p>
        </w:tc>
      </w:tr>
      <w:tr w:rsidR="00CF2233" w:rsidRPr="00B71973" w14:paraId="0B267B80" w14:textId="77777777" w:rsidTr="2C49C1BC">
        <w:trPr>
          <w:trHeight w:val="135"/>
        </w:trPr>
        <w:tc>
          <w:tcPr>
            <w:tcW w:w="0" w:type="auto"/>
            <w:vMerge/>
          </w:tcPr>
          <w:p w14:paraId="65991B06" w14:textId="77777777" w:rsidR="00CF2233" w:rsidRPr="00B71973" w:rsidRDefault="00CF2233" w:rsidP="00ED231D">
            <w:pPr>
              <w:spacing w:after="0" w:line="240" w:lineRule="auto"/>
              <w:jc w:val="both"/>
              <w:rPr>
                <w:rFonts w:cs="Times New Roman"/>
                <w:snapToGrid w:val="0"/>
              </w:rPr>
            </w:pPr>
          </w:p>
        </w:tc>
        <w:tc>
          <w:tcPr>
            <w:tcW w:w="0" w:type="auto"/>
            <w:vMerge/>
          </w:tcPr>
          <w:p w14:paraId="3DAE9D68" w14:textId="77777777" w:rsidR="00CF2233" w:rsidRPr="00B71973" w:rsidRDefault="00CF2233" w:rsidP="00ED231D">
            <w:pPr>
              <w:spacing w:after="0" w:line="240" w:lineRule="auto"/>
              <w:jc w:val="both"/>
              <w:rPr>
                <w:rFonts w:cs="Times New Roman"/>
              </w:rPr>
            </w:pPr>
          </w:p>
        </w:tc>
        <w:tc>
          <w:tcPr>
            <w:tcW w:w="0" w:type="auto"/>
            <w:vMerge/>
          </w:tcPr>
          <w:p w14:paraId="6ED96BA8" w14:textId="77777777" w:rsidR="00CF2233" w:rsidRPr="00B71973" w:rsidRDefault="00CF2233" w:rsidP="00ED231D">
            <w:pPr>
              <w:spacing w:after="0" w:line="240" w:lineRule="auto"/>
              <w:jc w:val="center"/>
              <w:rPr>
                <w:rFonts w:cs="Times New Roman"/>
                <w:snapToGrid w:val="0"/>
              </w:rPr>
            </w:pPr>
          </w:p>
        </w:tc>
        <w:tc>
          <w:tcPr>
            <w:tcW w:w="0" w:type="auto"/>
          </w:tcPr>
          <w:p w14:paraId="2603F3CF"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Satisfactory</w:t>
            </w:r>
          </w:p>
        </w:tc>
        <w:tc>
          <w:tcPr>
            <w:tcW w:w="0" w:type="auto"/>
          </w:tcPr>
          <w:p w14:paraId="00AD15B5"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20</w:t>
            </w:r>
          </w:p>
        </w:tc>
      </w:tr>
      <w:tr w:rsidR="00CF2233" w:rsidRPr="00B71973" w14:paraId="4255FBE7" w14:textId="77777777" w:rsidTr="2C49C1BC">
        <w:trPr>
          <w:trHeight w:val="135"/>
        </w:trPr>
        <w:tc>
          <w:tcPr>
            <w:tcW w:w="0" w:type="auto"/>
            <w:vMerge/>
          </w:tcPr>
          <w:p w14:paraId="5E5CA08F" w14:textId="77777777" w:rsidR="00CF2233" w:rsidRPr="00B71973" w:rsidRDefault="00CF2233" w:rsidP="00ED231D">
            <w:pPr>
              <w:spacing w:after="0" w:line="240" w:lineRule="auto"/>
              <w:jc w:val="both"/>
              <w:rPr>
                <w:rFonts w:cs="Times New Roman"/>
                <w:snapToGrid w:val="0"/>
              </w:rPr>
            </w:pPr>
          </w:p>
        </w:tc>
        <w:tc>
          <w:tcPr>
            <w:tcW w:w="0" w:type="auto"/>
            <w:vMerge/>
          </w:tcPr>
          <w:p w14:paraId="22888919" w14:textId="77777777" w:rsidR="00CF2233" w:rsidRPr="00B71973" w:rsidRDefault="00CF2233" w:rsidP="00ED231D">
            <w:pPr>
              <w:spacing w:after="0" w:line="240" w:lineRule="auto"/>
              <w:jc w:val="both"/>
              <w:rPr>
                <w:rFonts w:cs="Times New Roman"/>
              </w:rPr>
            </w:pPr>
          </w:p>
        </w:tc>
        <w:tc>
          <w:tcPr>
            <w:tcW w:w="0" w:type="auto"/>
            <w:vMerge/>
          </w:tcPr>
          <w:p w14:paraId="6B003888" w14:textId="77777777" w:rsidR="00CF2233" w:rsidRPr="00B71973" w:rsidRDefault="00CF2233" w:rsidP="00ED231D">
            <w:pPr>
              <w:spacing w:after="0" w:line="240" w:lineRule="auto"/>
              <w:jc w:val="center"/>
              <w:rPr>
                <w:rFonts w:cs="Times New Roman"/>
                <w:snapToGrid w:val="0"/>
              </w:rPr>
            </w:pPr>
          </w:p>
        </w:tc>
        <w:tc>
          <w:tcPr>
            <w:tcW w:w="0" w:type="auto"/>
          </w:tcPr>
          <w:p w14:paraId="028598F2"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Good</w:t>
            </w:r>
          </w:p>
        </w:tc>
        <w:tc>
          <w:tcPr>
            <w:tcW w:w="0" w:type="auto"/>
          </w:tcPr>
          <w:p w14:paraId="5A491FCE" w14:textId="77777777" w:rsidR="00CF2233" w:rsidRPr="00B71973" w:rsidRDefault="00CF2233" w:rsidP="00ED231D">
            <w:pPr>
              <w:spacing w:after="0" w:line="240" w:lineRule="auto"/>
              <w:jc w:val="center"/>
              <w:rPr>
                <w:rFonts w:cs="Times New Roman"/>
                <w:snapToGrid w:val="0"/>
              </w:rPr>
            </w:pPr>
            <w:r w:rsidRPr="00B71973">
              <w:rPr>
                <w:rFonts w:cs="Times New Roman"/>
                <w:snapToGrid w:val="0"/>
              </w:rPr>
              <w:t>30</w:t>
            </w:r>
          </w:p>
        </w:tc>
      </w:tr>
      <w:tr w:rsidR="00CF2233" w:rsidRPr="00B71973" w14:paraId="66C2F928" w14:textId="77777777" w:rsidTr="2C49C1BC">
        <w:trPr>
          <w:trHeight w:val="135"/>
        </w:trPr>
        <w:tc>
          <w:tcPr>
            <w:tcW w:w="0" w:type="auto"/>
            <w:vMerge/>
          </w:tcPr>
          <w:p w14:paraId="77ADA422" w14:textId="77777777" w:rsidR="00CF2233" w:rsidRPr="00B71973" w:rsidRDefault="00CF2233" w:rsidP="00ED231D">
            <w:pPr>
              <w:spacing w:after="0" w:line="240" w:lineRule="auto"/>
              <w:jc w:val="both"/>
              <w:rPr>
                <w:rFonts w:cs="Times New Roman"/>
                <w:snapToGrid w:val="0"/>
              </w:rPr>
            </w:pPr>
          </w:p>
        </w:tc>
        <w:tc>
          <w:tcPr>
            <w:tcW w:w="0" w:type="auto"/>
            <w:vMerge/>
          </w:tcPr>
          <w:p w14:paraId="5B7E96AC" w14:textId="77777777" w:rsidR="00CF2233" w:rsidRPr="00B71973" w:rsidRDefault="00CF2233" w:rsidP="00ED231D">
            <w:pPr>
              <w:spacing w:after="0" w:line="240" w:lineRule="auto"/>
              <w:jc w:val="both"/>
              <w:rPr>
                <w:rFonts w:cs="Times New Roman"/>
              </w:rPr>
            </w:pPr>
          </w:p>
        </w:tc>
        <w:tc>
          <w:tcPr>
            <w:tcW w:w="0" w:type="auto"/>
            <w:vMerge/>
          </w:tcPr>
          <w:p w14:paraId="22673B19" w14:textId="77777777" w:rsidR="00CF2233" w:rsidRPr="00B71973" w:rsidRDefault="00CF2233" w:rsidP="00ED231D">
            <w:pPr>
              <w:spacing w:after="0" w:line="240" w:lineRule="auto"/>
              <w:jc w:val="center"/>
              <w:rPr>
                <w:rFonts w:cs="Times New Roman"/>
                <w:snapToGrid w:val="0"/>
              </w:rPr>
            </w:pPr>
          </w:p>
        </w:tc>
        <w:tc>
          <w:tcPr>
            <w:tcW w:w="0" w:type="auto"/>
          </w:tcPr>
          <w:p w14:paraId="6D52F629"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Excellent</w:t>
            </w:r>
          </w:p>
        </w:tc>
        <w:tc>
          <w:tcPr>
            <w:tcW w:w="0" w:type="auto"/>
          </w:tcPr>
          <w:p w14:paraId="22BA790F" w14:textId="77777777" w:rsidR="00CF2233" w:rsidRPr="00B71973" w:rsidRDefault="00CF2233" w:rsidP="00ED231D">
            <w:pPr>
              <w:spacing w:after="0" w:line="240" w:lineRule="auto"/>
              <w:jc w:val="center"/>
              <w:rPr>
                <w:rFonts w:cs="Times New Roman"/>
                <w:b/>
                <w:bCs/>
                <w:snapToGrid w:val="0"/>
              </w:rPr>
            </w:pPr>
            <w:r w:rsidRPr="00B71973">
              <w:rPr>
                <w:rFonts w:cs="Times New Roman"/>
                <w:b/>
                <w:bCs/>
                <w:snapToGrid w:val="0"/>
              </w:rPr>
              <w:t>40</w:t>
            </w:r>
          </w:p>
        </w:tc>
      </w:tr>
      <w:tr w:rsidR="00CF2233" w:rsidRPr="0012150D" w14:paraId="1165810F" w14:textId="77777777" w:rsidTr="2C49C1BC">
        <w:trPr>
          <w:trHeight w:val="323"/>
        </w:trPr>
        <w:tc>
          <w:tcPr>
            <w:tcW w:w="0" w:type="auto"/>
            <w:gridSpan w:val="2"/>
            <w:shd w:val="clear" w:color="auto" w:fill="A6A6A6" w:themeFill="background1" w:themeFillShade="A6"/>
          </w:tcPr>
          <w:p w14:paraId="60DD6306" w14:textId="77777777" w:rsidR="00CF2233" w:rsidRPr="00B71973" w:rsidRDefault="00CF2233" w:rsidP="00ED231D">
            <w:pPr>
              <w:spacing w:after="0" w:line="240" w:lineRule="auto"/>
              <w:jc w:val="right"/>
              <w:rPr>
                <w:rFonts w:cs="Times New Roman"/>
                <w:b/>
                <w:snapToGrid w:val="0"/>
              </w:rPr>
            </w:pPr>
            <w:r w:rsidRPr="00B71973">
              <w:rPr>
                <w:rFonts w:cs="Times New Roman"/>
                <w:b/>
                <w:snapToGrid w:val="0"/>
              </w:rPr>
              <w:t>Final Score</w:t>
            </w:r>
          </w:p>
        </w:tc>
        <w:tc>
          <w:tcPr>
            <w:tcW w:w="0" w:type="auto"/>
            <w:shd w:val="clear" w:color="auto" w:fill="A6A6A6" w:themeFill="background1" w:themeFillShade="A6"/>
          </w:tcPr>
          <w:p w14:paraId="282CC1CF" w14:textId="77777777" w:rsidR="00CF2233" w:rsidRPr="0012150D" w:rsidRDefault="00CF2233" w:rsidP="00ED231D">
            <w:pPr>
              <w:spacing w:after="0" w:line="240" w:lineRule="auto"/>
              <w:jc w:val="center"/>
              <w:rPr>
                <w:rFonts w:cs="Times New Roman"/>
                <w:b/>
                <w:snapToGrid w:val="0"/>
              </w:rPr>
            </w:pPr>
            <w:r w:rsidRPr="00B71973">
              <w:rPr>
                <w:rFonts w:cs="Times New Roman"/>
                <w:b/>
                <w:snapToGrid w:val="0"/>
              </w:rPr>
              <w:t>70%</w:t>
            </w:r>
          </w:p>
        </w:tc>
        <w:tc>
          <w:tcPr>
            <w:tcW w:w="0" w:type="auto"/>
            <w:gridSpan w:val="2"/>
            <w:shd w:val="clear" w:color="auto" w:fill="A6A6A6" w:themeFill="background1" w:themeFillShade="A6"/>
          </w:tcPr>
          <w:p w14:paraId="5813F9DD" w14:textId="77777777" w:rsidR="00CF2233" w:rsidRPr="0012150D" w:rsidRDefault="00CF2233" w:rsidP="00ED231D">
            <w:pPr>
              <w:spacing w:after="0" w:line="240" w:lineRule="auto"/>
              <w:jc w:val="center"/>
              <w:rPr>
                <w:rFonts w:cs="Times New Roman"/>
                <w:b/>
                <w:snapToGrid w:val="0"/>
              </w:rPr>
            </w:pPr>
          </w:p>
        </w:tc>
      </w:tr>
    </w:tbl>
    <w:p w14:paraId="3DDB133B" w14:textId="4510129A" w:rsidR="005F1728" w:rsidRDefault="005F1728" w:rsidP="002E6F0C">
      <w:pPr>
        <w:spacing w:before="240" w:after="240" w:line="360" w:lineRule="atLeast"/>
        <w:jc w:val="both"/>
        <w:rPr>
          <w:rFonts w:cstheme="minorHAnsi"/>
          <w:bCs/>
        </w:rPr>
      </w:pPr>
    </w:p>
    <w:p w14:paraId="14A67B75" w14:textId="51DB055B" w:rsidR="00F85AC5" w:rsidRDefault="00F85AC5" w:rsidP="002E6F0C">
      <w:pPr>
        <w:spacing w:before="240" w:after="240" w:line="360" w:lineRule="atLeast"/>
        <w:jc w:val="both"/>
        <w:rPr>
          <w:rFonts w:cstheme="minorHAnsi"/>
          <w:bCs/>
        </w:rPr>
      </w:pPr>
    </w:p>
    <w:p w14:paraId="20718FC1" w14:textId="4BD68DBC" w:rsidR="00996173" w:rsidRDefault="00996173" w:rsidP="00996173">
      <w:pPr>
        <w:pStyle w:val="Heading1"/>
        <w:numPr>
          <w:ilvl w:val="0"/>
          <w:numId w:val="0"/>
        </w:numPr>
        <w:spacing w:before="240" w:after="240"/>
      </w:pPr>
      <w:r>
        <w:lastRenderedPageBreak/>
        <w:t>9</w:t>
      </w:r>
      <w:r w:rsidR="00263998">
        <w:t>.</w:t>
      </w:r>
      <w:r>
        <w:t xml:space="preserve"> </w:t>
      </w:r>
      <w:r w:rsidR="0065798C">
        <w:t>OTHER</w:t>
      </w:r>
    </w:p>
    <w:p w14:paraId="4D0194CE" w14:textId="6FF0267D" w:rsidR="0065798C" w:rsidRDefault="0065798C" w:rsidP="0065798C">
      <w:pPr>
        <w:spacing w:before="240" w:after="240"/>
        <w:jc w:val="both"/>
        <w:rPr>
          <w:b/>
          <w:bCs/>
        </w:rPr>
      </w:pPr>
      <w:r w:rsidRPr="017BD8B2">
        <w:t>The independent contractor must submit their CV</w:t>
      </w:r>
      <w:r w:rsidR="00CF2233">
        <w:t>S</w:t>
      </w:r>
      <w:r w:rsidRPr="017BD8B2">
        <w:t>, reference letters and methodology together with their financial proposal. Applications must be submitted in English and incomplete proposals will not be considered.</w:t>
      </w:r>
    </w:p>
    <w:p w14:paraId="50B6831E" w14:textId="77777777" w:rsidR="0065798C" w:rsidRDefault="0065798C" w:rsidP="0065798C">
      <w:pPr>
        <w:spacing w:before="240" w:after="240"/>
        <w:jc w:val="both"/>
        <w:rPr>
          <w:b/>
          <w:bCs/>
        </w:rPr>
      </w:pPr>
      <w:r w:rsidRPr="017BD8B2">
        <w:rPr>
          <w:b/>
          <w:bCs/>
        </w:rPr>
        <w:t>Documents to be included when submitting the proposal</w:t>
      </w:r>
    </w:p>
    <w:p w14:paraId="04D0FF67" w14:textId="0D923CAA" w:rsidR="0065798C" w:rsidRPr="004D1A7D" w:rsidRDefault="0065798C" w:rsidP="2C49C1BC">
      <w:pPr>
        <w:pStyle w:val="ListParagraph"/>
        <w:numPr>
          <w:ilvl w:val="0"/>
          <w:numId w:val="2"/>
        </w:numPr>
        <w:spacing w:before="240" w:after="240"/>
        <w:rPr>
          <w:b/>
          <w:bCs/>
        </w:rPr>
      </w:pPr>
      <w:r w:rsidRPr="2C49C1BC">
        <w:rPr>
          <w:b/>
          <w:bCs/>
          <w:u w:val="single"/>
        </w:rPr>
        <w:t>Proposed Methodology for the Completion of Services.</w:t>
      </w:r>
      <w:r>
        <w:t xml:space="preserve"> The contractor must describe how they will address/deliver the demands of the assignment as specified in the T</w:t>
      </w:r>
      <w:r w:rsidR="1D0F83FF">
        <w:t>erms of Reference.</w:t>
      </w:r>
    </w:p>
    <w:p w14:paraId="60E2BC4D" w14:textId="77777777" w:rsidR="0065798C" w:rsidRPr="0066083E" w:rsidRDefault="0065798C" w:rsidP="00AF5847">
      <w:pPr>
        <w:pStyle w:val="ListParagraph"/>
        <w:numPr>
          <w:ilvl w:val="0"/>
          <w:numId w:val="2"/>
        </w:numPr>
        <w:spacing w:after="0"/>
        <w:ind w:left="714" w:hanging="357"/>
        <w:contextualSpacing w:val="0"/>
        <w:rPr>
          <w:b/>
          <w:u w:val="single"/>
        </w:rPr>
      </w:pPr>
      <w:r w:rsidRPr="004D710D">
        <w:rPr>
          <w:b/>
          <w:u w:val="single"/>
        </w:rPr>
        <w:t xml:space="preserve">CV </w:t>
      </w:r>
      <w:r w:rsidRPr="00B10F52">
        <w:t>in alignment with the required qualifications and relevant experience</w:t>
      </w:r>
      <w:r>
        <w:t xml:space="preserve"> of the Contractor</w:t>
      </w:r>
      <w:r w:rsidRPr="00B10F52">
        <w:t>.</w:t>
      </w:r>
    </w:p>
    <w:p w14:paraId="755EC46A" w14:textId="77777777" w:rsidR="0065798C" w:rsidRPr="00580D03" w:rsidRDefault="0065798C" w:rsidP="00AF5847">
      <w:pPr>
        <w:pStyle w:val="ListParagraph"/>
        <w:numPr>
          <w:ilvl w:val="0"/>
          <w:numId w:val="2"/>
        </w:numPr>
        <w:spacing w:after="0"/>
        <w:ind w:left="714" w:hanging="357"/>
        <w:contextualSpacing w:val="0"/>
        <w:rPr>
          <w:b/>
          <w:u w:val="single"/>
        </w:rPr>
      </w:pPr>
      <w:r>
        <w:rPr>
          <w:b/>
          <w:u w:val="single"/>
        </w:rPr>
        <w:t xml:space="preserve">Reference Letters. </w:t>
      </w:r>
      <w:r>
        <w:rPr>
          <w:bCs/>
        </w:rPr>
        <w:t xml:space="preserve"> The contractor must submit two reference letters from previous work undertaken.</w:t>
      </w:r>
    </w:p>
    <w:p w14:paraId="4FA20CAB" w14:textId="77777777" w:rsidR="0065798C" w:rsidRDefault="0065798C" w:rsidP="00AF5847">
      <w:pPr>
        <w:pStyle w:val="ListParagraph"/>
        <w:numPr>
          <w:ilvl w:val="0"/>
          <w:numId w:val="12"/>
        </w:numPr>
        <w:spacing w:before="240" w:after="240" w:line="240" w:lineRule="auto"/>
        <w:jc w:val="both"/>
      </w:pPr>
      <w:r w:rsidRPr="017BD8B2">
        <w:rPr>
          <w:b/>
          <w:bCs/>
          <w:u w:val="single"/>
        </w:rPr>
        <w:t xml:space="preserve">Financial Proposal. </w:t>
      </w:r>
      <w:r>
        <w:t xml:space="preserve">The contractor must submit the financial proposal containing the final and all-inclusive (professional fees, all envisaged travel costs, etc.) total price offer for the full range of services required, broken down into all major cost components associated with the services. </w:t>
      </w:r>
      <w:r w:rsidRPr="017BD8B2">
        <w:t>All envisaged travel costs must be included in the Offeror’s financial proposal. This includes all duty travels</w:t>
      </w:r>
    </w:p>
    <w:p w14:paraId="1B40916C" w14:textId="568C8870" w:rsidR="0028079D" w:rsidRDefault="0065798C" w:rsidP="005B363C">
      <w:pPr>
        <w:pStyle w:val="Heading1"/>
        <w:numPr>
          <w:ilvl w:val="0"/>
          <w:numId w:val="0"/>
        </w:numPr>
        <w:spacing w:before="240" w:after="240"/>
      </w:pPr>
      <w:r>
        <w:t xml:space="preserve"> 10</w:t>
      </w:r>
      <w:r w:rsidR="00263998">
        <w:t xml:space="preserve">. </w:t>
      </w:r>
      <w:r>
        <w:t xml:space="preserve"> </w:t>
      </w:r>
      <w:r w:rsidR="00CF2233">
        <w:t>ANNEX</w:t>
      </w:r>
    </w:p>
    <w:p w14:paraId="74BDA4A4" w14:textId="77EF2799" w:rsidR="00AD51AB" w:rsidRPr="001816E5" w:rsidRDefault="00AD51AB" w:rsidP="00AD51AB">
      <w:pPr>
        <w:rPr>
          <w:b/>
          <w:bCs/>
        </w:rPr>
      </w:pPr>
      <w:r w:rsidRPr="001816E5">
        <w:rPr>
          <w:b/>
          <w:bCs/>
        </w:rPr>
        <w:t>Annex 1:</w:t>
      </w:r>
      <w:r w:rsidR="00FE5D82" w:rsidRPr="001816E5">
        <w:rPr>
          <w:b/>
          <w:bCs/>
        </w:rPr>
        <w:t xml:space="preserve"> SAMPLE OUTLINE OF THE CONCEPT FINANCE</w:t>
      </w:r>
      <w:r w:rsidR="00011363" w:rsidRPr="001816E5">
        <w:rPr>
          <w:b/>
          <w:bCs/>
        </w:rPr>
        <w:t xml:space="preserve"> &amp; </w:t>
      </w:r>
      <w:r w:rsidR="00FE5D82" w:rsidRPr="001816E5">
        <w:rPr>
          <w:b/>
          <w:bCs/>
        </w:rPr>
        <w:t>BUSINESS</w:t>
      </w:r>
      <w:r w:rsidR="00011363" w:rsidRPr="001816E5">
        <w:rPr>
          <w:b/>
          <w:bCs/>
        </w:rPr>
        <w:t xml:space="preserve"> CASES FOR PRIVATE SECTOR INVESTMENT</w:t>
      </w:r>
    </w:p>
    <w:tbl>
      <w:tblPr>
        <w:tblStyle w:val="TableGrid"/>
        <w:tblW w:w="0" w:type="auto"/>
        <w:tblLook w:val="04A0" w:firstRow="1" w:lastRow="0" w:firstColumn="1" w:lastColumn="0" w:noHBand="0" w:noVBand="1"/>
      </w:tblPr>
      <w:tblGrid>
        <w:gridCol w:w="4810"/>
        <w:gridCol w:w="4810"/>
      </w:tblGrid>
      <w:tr w:rsidR="005B0376" w14:paraId="7AB4B6EC" w14:textId="77777777" w:rsidTr="005B0376">
        <w:tc>
          <w:tcPr>
            <w:tcW w:w="4810" w:type="dxa"/>
          </w:tcPr>
          <w:p w14:paraId="36A6D78C" w14:textId="19FE3246" w:rsidR="005B0376" w:rsidRPr="00107EE7" w:rsidRDefault="005B0376" w:rsidP="00AD51AB">
            <w:pPr>
              <w:rPr>
                <w:b/>
                <w:bCs/>
              </w:rPr>
            </w:pPr>
            <w:r w:rsidRPr="00107EE7">
              <w:rPr>
                <w:b/>
                <w:bCs/>
              </w:rPr>
              <w:t>Executive Summary</w:t>
            </w:r>
          </w:p>
        </w:tc>
        <w:tc>
          <w:tcPr>
            <w:tcW w:w="4810" w:type="dxa"/>
          </w:tcPr>
          <w:p w14:paraId="4033BB51" w14:textId="134EF0F3" w:rsidR="00192989" w:rsidRPr="000C217A" w:rsidRDefault="00586699" w:rsidP="00192989">
            <w:pPr>
              <w:jc w:val="both"/>
              <w:rPr>
                <w:rFonts w:hAnsiTheme="minorHAnsi" w:cstheme="minorHAnsi"/>
              </w:rPr>
            </w:pPr>
            <w:r w:rsidRPr="000C217A">
              <w:rPr>
                <w:rFonts w:hAnsiTheme="minorHAnsi" w:cstheme="minorHAnsi"/>
              </w:rPr>
              <w:t xml:space="preserve">This section should be no more than two pages long and </w:t>
            </w:r>
            <w:r w:rsidR="00192989" w:rsidRPr="000C217A">
              <w:rPr>
                <w:rFonts w:hAnsiTheme="minorHAnsi" w:cstheme="minorHAnsi"/>
              </w:rPr>
              <w:t>should not include any new information that does not appear in the business case document.</w:t>
            </w:r>
          </w:p>
          <w:p w14:paraId="39A7F026" w14:textId="1BA5E5E6" w:rsidR="005B0376" w:rsidRPr="000C217A" w:rsidRDefault="005B0376" w:rsidP="00AD51AB">
            <w:pPr>
              <w:rPr>
                <w:rFonts w:hAnsiTheme="minorHAnsi" w:cstheme="minorHAnsi"/>
              </w:rPr>
            </w:pPr>
          </w:p>
        </w:tc>
      </w:tr>
      <w:tr w:rsidR="005B0376" w14:paraId="0387F0ED" w14:textId="77777777" w:rsidTr="005B0376">
        <w:tc>
          <w:tcPr>
            <w:tcW w:w="4810" w:type="dxa"/>
          </w:tcPr>
          <w:p w14:paraId="01DA62C4" w14:textId="5882632A" w:rsidR="005B0376" w:rsidRPr="00107EE7" w:rsidRDefault="005B0376" w:rsidP="00AD51AB">
            <w:pPr>
              <w:rPr>
                <w:b/>
                <w:bCs/>
              </w:rPr>
            </w:pPr>
            <w:r w:rsidRPr="00107EE7">
              <w:rPr>
                <w:b/>
                <w:bCs/>
              </w:rPr>
              <w:t>Introduction</w:t>
            </w:r>
          </w:p>
        </w:tc>
        <w:tc>
          <w:tcPr>
            <w:tcW w:w="4810" w:type="dxa"/>
          </w:tcPr>
          <w:p w14:paraId="320BA364" w14:textId="7019CB76" w:rsidR="005B0376" w:rsidRPr="000C217A" w:rsidRDefault="00D7226E" w:rsidP="00711F45">
            <w:pPr>
              <w:jc w:val="both"/>
              <w:rPr>
                <w:rFonts w:hAnsiTheme="minorHAnsi" w:cstheme="minorHAnsi"/>
              </w:rPr>
            </w:pPr>
            <w:r w:rsidRPr="000C217A">
              <w:rPr>
                <w:rFonts w:hAnsiTheme="minorHAnsi" w:cstheme="minorHAnsi"/>
              </w:rPr>
              <w:t>This section provides background information, describing the rationale for the project and the business case</w:t>
            </w:r>
            <w:r w:rsidR="00ED121F" w:rsidRPr="000C217A">
              <w:rPr>
                <w:rFonts w:hAnsiTheme="minorHAnsi" w:cstheme="minorHAnsi"/>
              </w:rPr>
              <w:t>. It should describe the purpose of the business case</w:t>
            </w:r>
            <w:r w:rsidR="004B69D9" w:rsidRPr="000C217A">
              <w:rPr>
                <w:rFonts w:hAnsiTheme="minorHAnsi" w:cstheme="minorHAnsi"/>
              </w:rPr>
              <w:t>, the cost of inaction and identify at a high level the private sector investment opportunities and</w:t>
            </w:r>
            <w:r w:rsidR="00A86CCC" w:rsidRPr="000C217A">
              <w:rPr>
                <w:rFonts w:hAnsiTheme="minorHAnsi" w:cstheme="minorHAnsi"/>
              </w:rPr>
              <w:t xml:space="preserve"> strategies specific to the priority sector </w:t>
            </w:r>
            <w:r w:rsidR="00CB2F83" w:rsidRPr="000C217A">
              <w:rPr>
                <w:rFonts w:hAnsiTheme="minorHAnsi" w:cstheme="minorHAnsi"/>
              </w:rPr>
              <w:t>being investigated and the proposed high</w:t>
            </w:r>
            <w:r w:rsidR="001711A8" w:rsidRPr="000C217A">
              <w:rPr>
                <w:rFonts w:hAnsiTheme="minorHAnsi" w:cstheme="minorHAnsi"/>
              </w:rPr>
              <w:t>-</w:t>
            </w:r>
            <w:r w:rsidR="00CB2F83" w:rsidRPr="000C217A">
              <w:rPr>
                <w:rFonts w:hAnsiTheme="minorHAnsi" w:cstheme="minorHAnsi"/>
              </w:rPr>
              <w:t>level country benefits.</w:t>
            </w:r>
          </w:p>
        </w:tc>
      </w:tr>
      <w:tr w:rsidR="005B0376" w14:paraId="739EF56E" w14:textId="77777777" w:rsidTr="005B0376">
        <w:tc>
          <w:tcPr>
            <w:tcW w:w="4810" w:type="dxa"/>
          </w:tcPr>
          <w:p w14:paraId="0BD8E49C" w14:textId="77777777" w:rsidR="005B0376" w:rsidRDefault="005D4F4A" w:rsidP="00AD51AB">
            <w:pPr>
              <w:rPr>
                <w:b/>
                <w:bCs/>
              </w:rPr>
            </w:pPr>
            <w:r w:rsidRPr="00107EE7">
              <w:rPr>
                <w:b/>
                <w:bCs/>
              </w:rPr>
              <w:t>Objective and Scope</w:t>
            </w:r>
          </w:p>
          <w:p w14:paraId="1132640E" w14:textId="7480CA2C" w:rsidR="000539B1" w:rsidRPr="00107EE7" w:rsidRDefault="000539B1" w:rsidP="00AD51AB">
            <w:pPr>
              <w:rPr>
                <w:b/>
                <w:bCs/>
              </w:rPr>
            </w:pPr>
          </w:p>
        </w:tc>
        <w:tc>
          <w:tcPr>
            <w:tcW w:w="4810" w:type="dxa"/>
          </w:tcPr>
          <w:p w14:paraId="55352A27" w14:textId="15E4DD62" w:rsidR="005B0376" w:rsidRPr="000C217A" w:rsidRDefault="005D2B89" w:rsidP="00711F45">
            <w:pPr>
              <w:jc w:val="both"/>
              <w:rPr>
                <w:rFonts w:hAnsiTheme="minorHAnsi" w:cstheme="minorHAnsi"/>
              </w:rPr>
            </w:pPr>
            <w:r>
              <w:rPr>
                <w:rFonts w:hAnsiTheme="minorHAnsi" w:cstheme="minorHAnsi"/>
              </w:rPr>
              <w:t xml:space="preserve">This section will detail the objectives of the </w:t>
            </w:r>
            <w:r w:rsidR="00711F45">
              <w:rPr>
                <w:rFonts w:hAnsiTheme="minorHAnsi" w:cstheme="minorHAnsi"/>
              </w:rPr>
              <w:t>business case</w:t>
            </w:r>
            <w:r w:rsidR="00D36D7F">
              <w:rPr>
                <w:rFonts w:hAnsiTheme="minorHAnsi" w:cstheme="minorHAnsi"/>
              </w:rPr>
              <w:t xml:space="preserve">. Highlighting its benefits to the socio-economic </w:t>
            </w:r>
            <w:r w:rsidR="0013702F">
              <w:rPr>
                <w:rFonts w:hAnsiTheme="minorHAnsi" w:cstheme="minorHAnsi"/>
              </w:rPr>
              <w:t xml:space="preserve">development </w:t>
            </w:r>
            <w:r w:rsidR="00D36D7F">
              <w:rPr>
                <w:rFonts w:hAnsiTheme="minorHAnsi" w:cstheme="minorHAnsi"/>
              </w:rPr>
              <w:t xml:space="preserve">of Saint Vincent and the Grenadines. It </w:t>
            </w:r>
            <w:r w:rsidR="001E62D7">
              <w:rPr>
                <w:rFonts w:hAnsiTheme="minorHAnsi" w:cstheme="minorHAnsi"/>
              </w:rPr>
              <w:t xml:space="preserve">should </w:t>
            </w:r>
            <w:r w:rsidR="001539AB">
              <w:rPr>
                <w:rFonts w:hAnsiTheme="minorHAnsi" w:cstheme="minorHAnsi"/>
              </w:rPr>
              <w:t xml:space="preserve">also </w:t>
            </w:r>
            <w:r w:rsidR="00AD34BA">
              <w:rPr>
                <w:rFonts w:hAnsiTheme="minorHAnsi" w:cstheme="minorHAnsi"/>
              </w:rPr>
              <w:t>describe</w:t>
            </w:r>
            <w:r w:rsidR="001539AB">
              <w:rPr>
                <w:rFonts w:hAnsiTheme="minorHAnsi" w:cstheme="minorHAnsi"/>
              </w:rPr>
              <w:t xml:space="preserve"> the propo</w:t>
            </w:r>
            <w:r w:rsidR="00AD34BA">
              <w:rPr>
                <w:rFonts w:hAnsiTheme="minorHAnsi" w:cstheme="minorHAnsi"/>
              </w:rPr>
              <w:t xml:space="preserve">sed </w:t>
            </w:r>
            <w:r w:rsidR="00841006">
              <w:rPr>
                <w:rFonts w:hAnsiTheme="minorHAnsi" w:cstheme="minorHAnsi"/>
              </w:rPr>
              <w:t>scope of the project to be undertaken within the context of the business case proposal.</w:t>
            </w:r>
          </w:p>
        </w:tc>
      </w:tr>
      <w:tr w:rsidR="005B0376" w14:paraId="3B3C635D" w14:textId="77777777" w:rsidTr="005B0376">
        <w:tc>
          <w:tcPr>
            <w:tcW w:w="4810" w:type="dxa"/>
          </w:tcPr>
          <w:p w14:paraId="343A5FF1" w14:textId="5FFA976B" w:rsidR="005B0376" w:rsidRDefault="00107EE7" w:rsidP="00AD51AB">
            <w:r w:rsidRPr="00107EE7">
              <w:rPr>
                <w:b/>
                <w:bCs/>
                <w:u w:val="single"/>
              </w:rPr>
              <w:t>Priority Sector</w:t>
            </w:r>
            <w:r>
              <w:t xml:space="preserve"> Please identify specific sector/sub-sector of focus here)</w:t>
            </w:r>
            <w:r w:rsidR="0005347F">
              <w:t xml:space="preserve"> Investment </w:t>
            </w:r>
            <w:r>
              <w:t>Opportunities</w:t>
            </w:r>
          </w:p>
        </w:tc>
        <w:tc>
          <w:tcPr>
            <w:tcW w:w="4810" w:type="dxa"/>
          </w:tcPr>
          <w:p w14:paraId="3E7F7871" w14:textId="436E5B96" w:rsidR="005B0376" w:rsidRPr="000C217A" w:rsidRDefault="005D2B89" w:rsidP="00711F45">
            <w:pPr>
              <w:jc w:val="both"/>
              <w:rPr>
                <w:rFonts w:hAnsiTheme="minorHAnsi" w:cstheme="minorHAnsi"/>
              </w:rPr>
            </w:pPr>
            <w:r>
              <w:rPr>
                <w:rFonts w:hAnsiTheme="minorHAnsi" w:cstheme="minorHAnsi"/>
              </w:rPr>
              <w:t>This section wi</w:t>
            </w:r>
            <w:r w:rsidR="005A435C">
              <w:rPr>
                <w:rFonts w:hAnsiTheme="minorHAnsi" w:cstheme="minorHAnsi"/>
              </w:rPr>
              <w:t>ll outline</w:t>
            </w:r>
            <w:r>
              <w:rPr>
                <w:rFonts w:hAnsiTheme="minorHAnsi" w:cstheme="minorHAnsi"/>
              </w:rPr>
              <w:t xml:space="preserve"> the investment opportunit</w:t>
            </w:r>
            <w:r w:rsidR="00B231B4">
              <w:rPr>
                <w:rFonts w:hAnsiTheme="minorHAnsi" w:cstheme="minorHAnsi"/>
              </w:rPr>
              <w:t>ies</w:t>
            </w:r>
            <w:r>
              <w:rPr>
                <w:rFonts w:hAnsiTheme="minorHAnsi" w:cstheme="minorHAnsi"/>
              </w:rPr>
              <w:t xml:space="preserve"> specific to the</w:t>
            </w:r>
            <w:r w:rsidR="00B231B4">
              <w:rPr>
                <w:rFonts w:hAnsiTheme="minorHAnsi" w:cstheme="minorHAnsi"/>
              </w:rPr>
              <w:t xml:space="preserve"> select</w:t>
            </w:r>
            <w:r>
              <w:rPr>
                <w:rFonts w:hAnsiTheme="minorHAnsi" w:cstheme="minorHAnsi"/>
              </w:rPr>
              <w:t xml:space="preserve"> priority sector</w:t>
            </w:r>
            <w:r w:rsidR="001B683E">
              <w:rPr>
                <w:rFonts w:hAnsiTheme="minorHAnsi" w:cstheme="minorHAnsi"/>
              </w:rPr>
              <w:t xml:space="preserve"> </w:t>
            </w:r>
            <w:r w:rsidR="001B683E">
              <w:rPr>
                <w:rFonts w:hAnsiTheme="minorHAnsi" w:cstheme="minorHAnsi"/>
              </w:rPr>
              <w:lastRenderedPageBreak/>
              <w:t>identified</w:t>
            </w:r>
            <w:r w:rsidR="00C01050">
              <w:rPr>
                <w:rFonts w:hAnsiTheme="minorHAnsi" w:cstheme="minorHAnsi"/>
              </w:rPr>
              <w:t xml:space="preserve"> w</w:t>
            </w:r>
            <w:r w:rsidR="00E96B1E">
              <w:rPr>
                <w:rFonts w:hAnsiTheme="minorHAnsi" w:cstheme="minorHAnsi"/>
              </w:rPr>
              <w:t>ith</w:t>
            </w:r>
            <w:r w:rsidR="005E71B1">
              <w:rPr>
                <w:rFonts w:hAnsiTheme="minorHAnsi" w:cstheme="minorHAnsi"/>
              </w:rPr>
              <w:t>in</w:t>
            </w:r>
            <w:r w:rsidR="00E96B1E">
              <w:rPr>
                <w:rFonts w:hAnsiTheme="minorHAnsi" w:cstheme="minorHAnsi"/>
              </w:rPr>
              <w:t xml:space="preserve"> Saint Vincent and the Grenadines</w:t>
            </w:r>
            <w:r w:rsidR="005E71B1">
              <w:rPr>
                <w:rFonts w:hAnsiTheme="minorHAnsi" w:cstheme="minorHAnsi"/>
              </w:rPr>
              <w:t>’</w:t>
            </w:r>
            <w:r w:rsidR="00E96B1E">
              <w:rPr>
                <w:rFonts w:hAnsiTheme="minorHAnsi" w:cstheme="minorHAnsi"/>
              </w:rPr>
              <w:t xml:space="preserve"> NDC</w:t>
            </w:r>
            <w:r w:rsidR="006C23A5">
              <w:rPr>
                <w:rFonts w:hAnsiTheme="minorHAnsi" w:cstheme="minorHAnsi"/>
              </w:rPr>
              <w:t>s</w:t>
            </w:r>
            <w:r>
              <w:rPr>
                <w:rFonts w:hAnsiTheme="minorHAnsi" w:cstheme="minorHAnsi"/>
              </w:rPr>
              <w:t>.</w:t>
            </w:r>
            <w:r w:rsidR="005A435C">
              <w:rPr>
                <w:rFonts w:hAnsiTheme="minorHAnsi" w:cstheme="minorHAnsi"/>
              </w:rPr>
              <w:t xml:space="preserve"> </w:t>
            </w:r>
            <w:r w:rsidR="00F03D50">
              <w:rPr>
                <w:rFonts w:hAnsiTheme="minorHAnsi" w:cstheme="minorHAnsi"/>
              </w:rPr>
              <w:t>Specific and detail information on</w:t>
            </w:r>
            <w:r w:rsidR="007D61C2">
              <w:rPr>
                <w:rFonts w:hAnsiTheme="minorHAnsi" w:cstheme="minorHAnsi"/>
              </w:rPr>
              <w:t xml:space="preserve"> the investmen</w:t>
            </w:r>
            <w:r w:rsidR="0007572E">
              <w:rPr>
                <w:rFonts w:hAnsiTheme="minorHAnsi" w:cstheme="minorHAnsi"/>
              </w:rPr>
              <w:t xml:space="preserve">t opportunities, its relevance and benefits to </w:t>
            </w:r>
            <w:r w:rsidR="006C23A5">
              <w:rPr>
                <w:rFonts w:hAnsiTheme="minorHAnsi" w:cstheme="minorHAnsi"/>
              </w:rPr>
              <w:t>Saint Vincent and the Grenadines should be captured in this session of the proposal.</w:t>
            </w:r>
          </w:p>
        </w:tc>
      </w:tr>
      <w:tr w:rsidR="005B0376" w14:paraId="22CF96BF" w14:textId="77777777" w:rsidTr="005B0376">
        <w:tc>
          <w:tcPr>
            <w:tcW w:w="4810" w:type="dxa"/>
          </w:tcPr>
          <w:p w14:paraId="16BCB83C" w14:textId="0D47E136" w:rsidR="005B0376" w:rsidRPr="005F1E1F" w:rsidRDefault="004F0DAB" w:rsidP="00AD51AB">
            <w:pPr>
              <w:rPr>
                <w:b/>
                <w:bCs/>
              </w:rPr>
            </w:pPr>
            <w:r w:rsidRPr="005F1E1F">
              <w:rPr>
                <w:b/>
                <w:bCs/>
              </w:rPr>
              <w:lastRenderedPageBreak/>
              <w:t>Cost Benefit Analysis</w:t>
            </w:r>
          </w:p>
        </w:tc>
        <w:tc>
          <w:tcPr>
            <w:tcW w:w="4810" w:type="dxa"/>
          </w:tcPr>
          <w:p w14:paraId="60F49A48" w14:textId="22BE20E1" w:rsidR="005B0376" w:rsidRPr="000C217A" w:rsidRDefault="001711A8" w:rsidP="00711F45">
            <w:pPr>
              <w:jc w:val="both"/>
              <w:rPr>
                <w:rFonts w:hAnsiTheme="minorHAnsi" w:cstheme="minorHAnsi"/>
              </w:rPr>
            </w:pPr>
            <w:r w:rsidRPr="000C217A">
              <w:rPr>
                <w:rFonts w:hAnsiTheme="minorHAnsi" w:cstheme="minorHAnsi"/>
              </w:rPr>
              <w:t xml:space="preserve">This section will set out the financial argument for undertaking the recommended </w:t>
            </w:r>
            <w:r w:rsidR="004F7D94">
              <w:rPr>
                <w:rFonts w:hAnsiTheme="minorHAnsi" w:cstheme="minorHAnsi"/>
              </w:rPr>
              <w:t>investment</w:t>
            </w:r>
            <w:r w:rsidRPr="000C217A">
              <w:rPr>
                <w:rFonts w:hAnsiTheme="minorHAnsi" w:cstheme="minorHAnsi"/>
              </w:rPr>
              <w:t xml:space="preserve"> option. All costs and benefits must be captured, and described, and should be quantified if possible.</w:t>
            </w:r>
          </w:p>
        </w:tc>
      </w:tr>
      <w:tr w:rsidR="005F1E1F" w14:paraId="38796C39" w14:textId="77777777" w:rsidTr="005B0376">
        <w:tc>
          <w:tcPr>
            <w:tcW w:w="4810" w:type="dxa"/>
          </w:tcPr>
          <w:p w14:paraId="2CCF52B1" w14:textId="61B36B87" w:rsidR="005F1E1F" w:rsidRPr="005F1E1F" w:rsidRDefault="005F1E1F" w:rsidP="00AD51AB">
            <w:pPr>
              <w:rPr>
                <w:b/>
                <w:bCs/>
              </w:rPr>
            </w:pPr>
            <w:r w:rsidRPr="005F1E1F">
              <w:rPr>
                <w:b/>
                <w:bCs/>
              </w:rPr>
              <w:t>Risk Assessment</w:t>
            </w:r>
          </w:p>
        </w:tc>
        <w:tc>
          <w:tcPr>
            <w:tcW w:w="4810" w:type="dxa"/>
          </w:tcPr>
          <w:p w14:paraId="28A40C52" w14:textId="7E477A53" w:rsidR="005F1E1F" w:rsidRPr="00FB0B33" w:rsidRDefault="000C217A" w:rsidP="00711F45">
            <w:pPr>
              <w:jc w:val="both"/>
              <w:rPr>
                <w:rFonts w:hAnsiTheme="minorHAnsi" w:cstheme="minorHAnsi"/>
                <w:i/>
                <w:iCs/>
              </w:rPr>
            </w:pPr>
            <w:r w:rsidRPr="000C217A">
              <w:rPr>
                <w:rFonts w:hAnsiTheme="minorHAnsi" w:cstheme="minorHAnsi"/>
              </w:rPr>
              <w:t xml:space="preserve">This section will identify and outline the </w:t>
            </w:r>
            <w:r w:rsidR="00E93068">
              <w:rPr>
                <w:rFonts w:hAnsiTheme="minorHAnsi" w:cstheme="minorHAnsi"/>
              </w:rPr>
              <w:t>risk to each propose investment opportunity or busine</w:t>
            </w:r>
            <w:r w:rsidR="00FB0B33">
              <w:rPr>
                <w:rFonts w:hAnsiTheme="minorHAnsi" w:cstheme="minorHAnsi"/>
              </w:rPr>
              <w:t>ss case propose. The</w:t>
            </w:r>
            <w:r w:rsidR="004E3934">
              <w:rPr>
                <w:rFonts w:hAnsiTheme="minorHAnsi" w:cstheme="minorHAnsi"/>
              </w:rPr>
              <w:t xml:space="preserve"> </w:t>
            </w:r>
            <w:r w:rsidR="00FB0B33">
              <w:rPr>
                <w:rFonts w:hAnsiTheme="minorHAnsi" w:cstheme="minorHAnsi"/>
              </w:rPr>
              <w:t>risk</w:t>
            </w:r>
            <w:r w:rsidR="004F7D94">
              <w:rPr>
                <w:rFonts w:hAnsiTheme="minorHAnsi" w:cstheme="minorHAnsi"/>
              </w:rPr>
              <w:t xml:space="preserve"> identified may be </w:t>
            </w:r>
            <w:r w:rsidR="0063676B">
              <w:rPr>
                <w:rFonts w:hAnsiTheme="minorHAnsi" w:cstheme="minorHAnsi"/>
              </w:rPr>
              <w:t xml:space="preserve">related to technical or financial </w:t>
            </w:r>
            <w:r w:rsidR="004E3934">
              <w:rPr>
                <w:rFonts w:hAnsiTheme="minorHAnsi" w:cstheme="minorHAnsi"/>
              </w:rPr>
              <w:t>business/project risk or may be social and economic ris</w:t>
            </w:r>
            <w:r w:rsidR="00E541F2">
              <w:rPr>
                <w:rFonts w:hAnsiTheme="minorHAnsi" w:cstheme="minorHAnsi"/>
              </w:rPr>
              <w:t>k.</w:t>
            </w:r>
          </w:p>
        </w:tc>
      </w:tr>
      <w:tr w:rsidR="008878AB" w14:paraId="456A2309" w14:textId="77777777" w:rsidTr="005B0376">
        <w:tc>
          <w:tcPr>
            <w:tcW w:w="4810" w:type="dxa"/>
          </w:tcPr>
          <w:p w14:paraId="33419EEA" w14:textId="77777777" w:rsidR="008878AB" w:rsidRDefault="008878AB" w:rsidP="008878AB">
            <w:pPr>
              <w:rPr>
                <w:b/>
                <w:bCs/>
              </w:rPr>
            </w:pPr>
            <w:r w:rsidRPr="001816E5">
              <w:rPr>
                <w:b/>
                <w:bCs/>
              </w:rPr>
              <w:t>Business Case Investment Strategy</w:t>
            </w:r>
          </w:p>
          <w:p w14:paraId="64BC701D" w14:textId="77777777" w:rsidR="008878AB" w:rsidRPr="001816E5" w:rsidRDefault="008878AB" w:rsidP="00AD51AB">
            <w:pPr>
              <w:rPr>
                <w:b/>
                <w:bCs/>
              </w:rPr>
            </w:pPr>
          </w:p>
        </w:tc>
        <w:tc>
          <w:tcPr>
            <w:tcW w:w="4810" w:type="dxa"/>
          </w:tcPr>
          <w:p w14:paraId="298AF15E" w14:textId="77777777" w:rsidR="008878AB" w:rsidRDefault="008878AB" w:rsidP="008878AB">
            <w:pPr>
              <w:jc w:val="both"/>
              <w:rPr>
                <w:rFonts w:hAnsiTheme="minorHAnsi" w:cstheme="minorHAnsi"/>
              </w:rPr>
            </w:pPr>
            <w:r>
              <w:rPr>
                <w:rFonts w:hAnsiTheme="minorHAnsi" w:cstheme="minorHAnsi"/>
              </w:rPr>
              <w:t>This section should clearly outline and detail the specific investment strategy for the private sector opportunities identified relative to the priority sector. It should also include the specific financial and human resources needs necessary to support the business case.</w:t>
            </w:r>
          </w:p>
          <w:p w14:paraId="2C25E90B" w14:textId="77777777" w:rsidR="008878AB" w:rsidRDefault="008878AB" w:rsidP="00711F45">
            <w:pPr>
              <w:jc w:val="both"/>
              <w:rPr>
                <w:rFonts w:cstheme="minorHAnsi"/>
              </w:rPr>
            </w:pPr>
          </w:p>
        </w:tc>
      </w:tr>
      <w:tr w:rsidR="005B0376" w14:paraId="6792839B" w14:textId="77777777" w:rsidTr="005B0376">
        <w:tc>
          <w:tcPr>
            <w:tcW w:w="4810" w:type="dxa"/>
          </w:tcPr>
          <w:p w14:paraId="10D6E805" w14:textId="1F192B44" w:rsidR="000B2C4F" w:rsidRPr="001816E5" w:rsidRDefault="008878AB" w:rsidP="008878AB">
            <w:pPr>
              <w:rPr>
                <w:b/>
                <w:bCs/>
              </w:rPr>
            </w:pPr>
            <w:r>
              <w:rPr>
                <w:b/>
                <w:bCs/>
              </w:rPr>
              <w:t>Gender Responsive Climate Financing</w:t>
            </w:r>
          </w:p>
        </w:tc>
        <w:tc>
          <w:tcPr>
            <w:tcW w:w="4810" w:type="dxa"/>
          </w:tcPr>
          <w:p w14:paraId="76F6543B" w14:textId="56AA7C75" w:rsidR="00D14C65" w:rsidRDefault="005E0050" w:rsidP="00711F45">
            <w:pPr>
              <w:jc w:val="both"/>
              <w:rPr>
                <w:rFonts w:hAnsiTheme="minorHAnsi" w:cstheme="minorHAnsi"/>
              </w:rPr>
            </w:pPr>
            <w:r>
              <w:rPr>
                <w:rFonts w:hAnsiTheme="minorHAnsi" w:cstheme="minorHAnsi"/>
              </w:rPr>
              <w:t xml:space="preserve">Gender Responsive Climate financing is a core </w:t>
            </w:r>
            <w:r w:rsidR="008878AB">
              <w:rPr>
                <w:rFonts w:hAnsiTheme="minorHAnsi" w:cstheme="minorHAnsi"/>
              </w:rPr>
              <w:t>el</w:t>
            </w:r>
            <w:r w:rsidR="00343D05">
              <w:rPr>
                <w:rFonts w:hAnsiTheme="minorHAnsi" w:cstheme="minorHAnsi"/>
              </w:rPr>
              <w:t xml:space="preserve">ement of the business case investment </w:t>
            </w:r>
            <w:r w:rsidR="001009E6">
              <w:rPr>
                <w:rFonts w:hAnsiTheme="minorHAnsi" w:cstheme="minorHAnsi"/>
              </w:rPr>
              <w:t xml:space="preserve">strategy but is captured separately given its importance within the design of the concept business case. </w:t>
            </w:r>
            <w:r w:rsidR="0044111B">
              <w:rPr>
                <w:rFonts w:hAnsiTheme="minorHAnsi" w:cstheme="minorHAnsi"/>
              </w:rPr>
              <w:t>This section of the business case should</w:t>
            </w:r>
            <w:r w:rsidR="004F394E">
              <w:rPr>
                <w:rFonts w:hAnsiTheme="minorHAnsi" w:cstheme="minorHAnsi"/>
              </w:rPr>
              <w:t xml:space="preserve"> ensure that a beneficiary and people centred</w:t>
            </w:r>
            <w:r w:rsidR="009D6EA2">
              <w:rPr>
                <w:rFonts w:hAnsiTheme="minorHAnsi" w:cstheme="minorHAnsi"/>
              </w:rPr>
              <w:t xml:space="preserve"> approach is adopted</w:t>
            </w:r>
            <w:r w:rsidR="001219F0">
              <w:rPr>
                <w:rFonts w:hAnsiTheme="minorHAnsi" w:cstheme="minorHAnsi"/>
              </w:rPr>
              <w:t xml:space="preserve"> in the development of the business case investment strategy. This strategy should promote gender equality and women e</w:t>
            </w:r>
            <w:r w:rsidR="00D14C65">
              <w:rPr>
                <w:rFonts w:hAnsiTheme="minorHAnsi" w:cstheme="minorHAnsi"/>
              </w:rPr>
              <w:t xml:space="preserve">mpowerment. </w:t>
            </w:r>
          </w:p>
          <w:p w14:paraId="7C9F90AC" w14:textId="77777777" w:rsidR="00DD1729" w:rsidRDefault="00DD1729" w:rsidP="00711F45">
            <w:pPr>
              <w:jc w:val="both"/>
              <w:rPr>
                <w:rFonts w:hAnsiTheme="minorHAnsi" w:cstheme="minorHAnsi"/>
              </w:rPr>
            </w:pPr>
          </w:p>
          <w:p w14:paraId="1F8FB7FF" w14:textId="6642F17E" w:rsidR="005E0050" w:rsidRPr="000C217A" w:rsidRDefault="00DD1729" w:rsidP="00711F45">
            <w:pPr>
              <w:jc w:val="both"/>
              <w:rPr>
                <w:rFonts w:hAnsiTheme="minorHAnsi" w:cstheme="minorHAnsi"/>
              </w:rPr>
            </w:pPr>
            <w:r>
              <w:rPr>
                <w:rFonts w:hAnsiTheme="minorHAnsi" w:cstheme="minorHAnsi"/>
              </w:rPr>
              <w:t>T</w:t>
            </w:r>
            <w:r w:rsidR="00D14C65">
              <w:rPr>
                <w:rFonts w:hAnsiTheme="minorHAnsi" w:cstheme="minorHAnsi"/>
              </w:rPr>
              <w:t xml:space="preserve">his section of the business case </w:t>
            </w:r>
            <w:r>
              <w:rPr>
                <w:rFonts w:hAnsiTheme="minorHAnsi" w:cstheme="minorHAnsi"/>
              </w:rPr>
              <w:t>should outline</w:t>
            </w:r>
            <w:r w:rsidR="00E02502">
              <w:rPr>
                <w:rFonts w:hAnsiTheme="minorHAnsi" w:cstheme="minorHAnsi"/>
              </w:rPr>
              <w:t xml:space="preserve"> gender-</w:t>
            </w:r>
            <w:r w:rsidR="000A1924">
              <w:rPr>
                <w:rFonts w:hAnsiTheme="minorHAnsi" w:cstheme="minorHAnsi"/>
              </w:rPr>
              <w:t>responsive</w:t>
            </w:r>
            <w:r w:rsidR="00E02502">
              <w:rPr>
                <w:rFonts w:hAnsiTheme="minorHAnsi" w:cstheme="minorHAnsi"/>
              </w:rPr>
              <w:t xml:space="preserve"> </w:t>
            </w:r>
            <w:r w:rsidR="000A1924">
              <w:rPr>
                <w:rFonts w:hAnsiTheme="minorHAnsi" w:cstheme="minorHAnsi"/>
              </w:rPr>
              <w:t>funding guidelines</w:t>
            </w:r>
            <w:r w:rsidR="004F394E">
              <w:rPr>
                <w:rFonts w:hAnsiTheme="minorHAnsi" w:cstheme="minorHAnsi"/>
              </w:rPr>
              <w:t xml:space="preserve"> and</w:t>
            </w:r>
            <w:r w:rsidR="000A1924">
              <w:rPr>
                <w:rFonts w:hAnsiTheme="minorHAnsi" w:cstheme="minorHAnsi"/>
              </w:rPr>
              <w:t xml:space="preserve"> allocation criteria</w:t>
            </w:r>
            <w:r w:rsidR="003A265D">
              <w:rPr>
                <w:rFonts w:hAnsiTheme="minorHAnsi" w:cstheme="minorHAnsi"/>
              </w:rPr>
              <w:t xml:space="preserve"> which ensures that the climate action proposed are gender-responsive.</w:t>
            </w:r>
          </w:p>
        </w:tc>
      </w:tr>
      <w:tr w:rsidR="005B0376" w14:paraId="2C425FB2" w14:textId="77777777" w:rsidTr="005B0376">
        <w:tc>
          <w:tcPr>
            <w:tcW w:w="4810" w:type="dxa"/>
          </w:tcPr>
          <w:p w14:paraId="7ACFC691" w14:textId="1143163F" w:rsidR="005B0376" w:rsidRPr="001816E5" w:rsidRDefault="005F1E1F" w:rsidP="00AD51AB">
            <w:pPr>
              <w:rPr>
                <w:b/>
                <w:bCs/>
              </w:rPr>
            </w:pPr>
            <w:r w:rsidRPr="001816E5">
              <w:rPr>
                <w:b/>
                <w:bCs/>
              </w:rPr>
              <w:t>R</w:t>
            </w:r>
            <w:r w:rsidR="003A54D9" w:rsidRPr="001816E5">
              <w:rPr>
                <w:b/>
                <w:bCs/>
              </w:rPr>
              <w:t>ecommendations</w:t>
            </w:r>
          </w:p>
        </w:tc>
        <w:tc>
          <w:tcPr>
            <w:tcW w:w="4810" w:type="dxa"/>
          </w:tcPr>
          <w:p w14:paraId="1001B326" w14:textId="00862F5F" w:rsidR="005B0376" w:rsidRPr="000C217A" w:rsidRDefault="00C87EC3" w:rsidP="00711F45">
            <w:pPr>
              <w:jc w:val="both"/>
              <w:rPr>
                <w:rFonts w:hAnsiTheme="minorHAnsi" w:cstheme="minorHAnsi"/>
              </w:rPr>
            </w:pPr>
            <w:r>
              <w:rPr>
                <w:rFonts w:hAnsiTheme="minorHAnsi" w:cstheme="minorHAnsi"/>
              </w:rPr>
              <w:t>The recommendation</w:t>
            </w:r>
            <w:r w:rsidR="002669F7">
              <w:rPr>
                <w:rFonts w:hAnsiTheme="minorHAnsi" w:cstheme="minorHAnsi"/>
              </w:rPr>
              <w:t>s</w:t>
            </w:r>
            <w:r>
              <w:rPr>
                <w:rFonts w:hAnsiTheme="minorHAnsi" w:cstheme="minorHAnsi"/>
              </w:rPr>
              <w:t xml:space="preserve"> section should outline specific and detail </w:t>
            </w:r>
            <w:r w:rsidR="0085769C">
              <w:rPr>
                <w:rFonts w:hAnsiTheme="minorHAnsi" w:cstheme="minorHAnsi"/>
              </w:rPr>
              <w:t>actions</w:t>
            </w:r>
            <w:r w:rsidR="002A2CA5">
              <w:rPr>
                <w:rFonts w:hAnsiTheme="minorHAnsi" w:cstheme="minorHAnsi"/>
              </w:rPr>
              <w:t xml:space="preserve"> necessary to support</w:t>
            </w:r>
            <w:r w:rsidR="002669F7">
              <w:rPr>
                <w:rFonts w:hAnsiTheme="minorHAnsi" w:cstheme="minorHAnsi"/>
              </w:rPr>
              <w:t xml:space="preserve"> private sector investment</w:t>
            </w:r>
            <w:r w:rsidR="0085769C">
              <w:rPr>
                <w:rFonts w:hAnsiTheme="minorHAnsi" w:cstheme="minorHAnsi"/>
              </w:rPr>
              <w:t xml:space="preserve"> in the business case developed.</w:t>
            </w:r>
          </w:p>
        </w:tc>
      </w:tr>
      <w:tr w:rsidR="005B0376" w14:paraId="0D54F6F2" w14:textId="77777777" w:rsidTr="005B0376">
        <w:tc>
          <w:tcPr>
            <w:tcW w:w="4810" w:type="dxa"/>
          </w:tcPr>
          <w:p w14:paraId="095DED8F" w14:textId="43B13A0A" w:rsidR="005B0376" w:rsidRPr="001816E5" w:rsidRDefault="001816E5" w:rsidP="00AD51AB">
            <w:pPr>
              <w:rPr>
                <w:b/>
                <w:bCs/>
              </w:rPr>
            </w:pPr>
            <w:r w:rsidRPr="001816E5">
              <w:rPr>
                <w:b/>
                <w:bCs/>
              </w:rPr>
              <w:t>Implementation Plan</w:t>
            </w:r>
          </w:p>
        </w:tc>
        <w:tc>
          <w:tcPr>
            <w:tcW w:w="4810" w:type="dxa"/>
          </w:tcPr>
          <w:p w14:paraId="7DF52B7C" w14:textId="77777777" w:rsidR="00A25003" w:rsidRDefault="00E6581E" w:rsidP="00711F45">
            <w:pPr>
              <w:jc w:val="both"/>
              <w:rPr>
                <w:rFonts w:hAnsiTheme="minorHAnsi" w:cstheme="minorHAnsi"/>
              </w:rPr>
            </w:pPr>
            <w:r w:rsidRPr="00A25003">
              <w:rPr>
                <w:rFonts w:hAnsiTheme="minorHAnsi" w:cstheme="minorHAnsi"/>
              </w:rPr>
              <w:t xml:space="preserve">The implementation plan should be </w:t>
            </w:r>
            <w:r w:rsidR="00E511CF" w:rsidRPr="00A25003">
              <w:rPr>
                <w:rFonts w:hAnsiTheme="minorHAnsi" w:cstheme="minorHAnsi"/>
              </w:rPr>
              <w:t>detailed, actionable</w:t>
            </w:r>
            <w:r w:rsidRPr="00A25003">
              <w:rPr>
                <w:rFonts w:hAnsiTheme="minorHAnsi" w:cstheme="minorHAnsi"/>
              </w:rPr>
              <w:t xml:space="preserve"> and </w:t>
            </w:r>
            <w:r w:rsidR="00E511CF" w:rsidRPr="00A25003">
              <w:rPr>
                <w:rFonts w:hAnsiTheme="minorHAnsi" w:cstheme="minorHAnsi"/>
              </w:rPr>
              <w:t xml:space="preserve">realistic to gain the support of </w:t>
            </w:r>
            <w:r w:rsidR="004B2A54" w:rsidRPr="00A25003">
              <w:rPr>
                <w:rFonts w:hAnsiTheme="minorHAnsi" w:cstheme="minorHAnsi"/>
              </w:rPr>
              <w:t>decision-makers and</w:t>
            </w:r>
            <w:r w:rsidR="0007572E" w:rsidRPr="00A25003">
              <w:rPr>
                <w:rFonts w:hAnsiTheme="minorHAnsi" w:cstheme="minorHAnsi"/>
              </w:rPr>
              <w:t xml:space="preserve"> in-order to attract private sector investment.</w:t>
            </w:r>
          </w:p>
          <w:p w14:paraId="1EAC66DD" w14:textId="77777777" w:rsidR="00A25003" w:rsidRDefault="00A25003" w:rsidP="00711F45">
            <w:pPr>
              <w:jc w:val="both"/>
              <w:rPr>
                <w:rFonts w:hAnsiTheme="minorHAnsi" w:cstheme="minorHAnsi"/>
              </w:rPr>
            </w:pPr>
          </w:p>
          <w:p w14:paraId="6E54EF84" w14:textId="31375DAB" w:rsidR="009C202E" w:rsidRDefault="0008549F" w:rsidP="00711F45">
            <w:pPr>
              <w:jc w:val="both"/>
              <w:rPr>
                <w:rFonts w:hAnsiTheme="minorHAnsi" w:cstheme="minorHAnsi"/>
              </w:rPr>
            </w:pPr>
            <w:r w:rsidRPr="00A25003">
              <w:rPr>
                <w:rFonts w:hAnsiTheme="minorHAnsi" w:cstheme="minorHAnsi"/>
              </w:rPr>
              <w:lastRenderedPageBreak/>
              <w:t xml:space="preserve"> The implementation plan should include the following:</w:t>
            </w:r>
            <w:r w:rsidR="009C202E" w:rsidRPr="00A25003">
              <w:rPr>
                <w:rFonts w:hAnsiTheme="minorHAnsi" w:cstheme="minorHAnsi"/>
              </w:rPr>
              <w:t xml:space="preserve"> </w:t>
            </w:r>
            <w:proofErr w:type="spellStart"/>
            <w:r w:rsidR="00A25003" w:rsidRPr="00A25003">
              <w:rPr>
                <w:rFonts w:hAnsiTheme="minorHAnsi" w:cstheme="minorHAnsi"/>
              </w:rPr>
              <w:t>i</w:t>
            </w:r>
            <w:proofErr w:type="spellEnd"/>
            <w:r w:rsidR="00A25003" w:rsidRPr="00A25003">
              <w:rPr>
                <w:rFonts w:hAnsiTheme="minorHAnsi" w:cstheme="minorHAnsi"/>
              </w:rPr>
              <w:t xml:space="preserve">) </w:t>
            </w:r>
            <w:r w:rsidR="009C202E" w:rsidRPr="00A25003">
              <w:rPr>
                <w:rFonts w:hAnsiTheme="minorHAnsi" w:cstheme="minorHAnsi"/>
              </w:rPr>
              <w:t>project timeline that sets out key milestones and time anticipated to reach them</w:t>
            </w:r>
            <w:r w:rsidR="00A25003" w:rsidRPr="00A25003">
              <w:rPr>
                <w:rFonts w:hAnsiTheme="minorHAnsi" w:cstheme="minorHAnsi"/>
              </w:rPr>
              <w:t>. ii) c</w:t>
            </w:r>
            <w:r w:rsidR="009C202E" w:rsidRPr="00A25003">
              <w:rPr>
                <w:rFonts w:hAnsiTheme="minorHAnsi" w:cstheme="minorHAnsi"/>
              </w:rPr>
              <w:t xml:space="preserve">osts associated with reaching each milestone (a simple version of the project budget) </w:t>
            </w:r>
            <w:r w:rsidR="00A25003" w:rsidRPr="00A25003">
              <w:rPr>
                <w:rFonts w:hAnsiTheme="minorHAnsi" w:cstheme="minorHAnsi"/>
              </w:rPr>
              <w:t xml:space="preserve">iii). </w:t>
            </w:r>
            <w:r w:rsidR="009C202E" w:rsidRPr="00A25003">
              <w:rPr>
                <w:rFonts w:hAnsiTheme="minorHAnsi" w:cstheme="minorHAnsi"/>
              </w:rPr>
              <w:t>Factors that may inhibit reaching milestones (e.g. delays due to climate/weather, construction of other projects such as roads)</w:t>
            </w:r>
            <w:r w:rsidR="00A25003" w:rsidRPr="00A25003">
              <w:rPr>
                <w:rFonts w:hAnsiTheme="minorHAnsi" w:cstheme="minorHAnsi"/>
              </w:rPr>
              <w:t xml:space="preserve"> and iv) </w:t>
            </w:r>
            <w:r w:rsidR="009C202E" w:rsidRPr="00A25003">
              <w:rPr>
                <w:rFonts w:hAnsiTheme="minorHAnsi" w:cstheme="minorHAnsi"/>
              </w:rPr>
              <w:t>Key performance indicators that will allow monitoring of implementation. These should be quantifiable indicators.</w:t>
            </w:r>
          </w:p>
          <w:p w14:paraId="34113C5E" w14:textId="1445B46C" w:rsidR="002E0F87" w:rsidRDefault="002E0F87" w:rsidP="00711F45">
            <w:pPr>
              <w:jc w:val="both"/>
              <w:rPr>
                <w:rFonts w:hAnsiTheme="minorHAnsi" w:cstheme="minorHAnsi"/>
              </w:rPr>
            </w:pPr>
          </w:p>
          <w:p w14:paraId="512757A5" w14:textId="67CEC4DF" w:rsidR="002E0F87" w:rsidRPr="00A25003" w:rsidRDefault="002E0F87" w:rsidP="00711F45">
            <w:pPr>
              <w:jc w:val="both"/>
              <w:rPr>
                <w:rFonts w:hAnsiTheme="minorHAnsi" w:cstheme="minorHAnsi"/>
              </w:rPr>
            </w:pPr>
            <w:r>
              <w:rPr>
                <w:rFonts w:hAnsiTheme="minorHAnsi" w:cstheme="minorHAnsi"/>
              </w:rPr>
              <w:t>It is also important that</w:t>
            </w:r>
            <w:r w:rsidR="00E15845">
              <w:rPr>
                <w:rFonts w:hAnsiTheme="minorHAnsi" w:cstheme="minorHAnsi"/>
              </w:rPr>
              <w:t xml:space="preserve"> explicit gender criteria </w:t>
            </w:r>
            <w:r w:rsidR="00F407AF">
              <w:rPr>
                <w:rFonts w:hAnsiTheme="minorHAnsi" w:cstheme="minorHAnsi"/>
              </w:rPr>
              <w:t>are</w:t>
            </w:r>
            <w:r w:rsidR="00E15845">
              <w:rPr>
                <w:rFonts w:hAnsiTheme="minorHAnsi" w:cstheme="minorHAnsi"/>
              </w:rPr>
              <w:t xml:space="preserve"> included in the implementation plan</w:t>
            </w:r>
            <w:r w:rsidR="00C31FEA">
              <w:rPr>
                <w:rFonts w:hAnsiTheme="minorHAnsi" w:cstheme="minorHAnsi"/>
              </w:rPr>
              <w:t>.</w:t>
            </w:r>
            <w:r w:rsidR="00F407AF">
              <w:t xml:space="preserve"> Such criteria should include a mandatory gender analysis of the proposed project, a gender budget</w:t>
            </w:r>
            <w:r w:rsidR="00FD77AC">
              <w:t>,</w:t>
            </w:r>
            <w:r w:rsidR="00EB52E8">
              <w:t xml:space="preserve"> </w:t>
            </w:r>
            <w:r w:rsidR="00FD77AC">
              <w:t xml:space="preserve">clear quantitative and qualitative indicators measuring </w:t>
            </w:r>
            <w:r w:rsidR="00EB52E8">
              <w:t>the</w:t>
            </w:r>
            <w:r w:rsidR="00015D21">
              <w:t xml:space="preserve"> </w:t>
            </w:r>
            <w:r w:rsidR="00FD77AC">
              <w:t>project</w:t>
            </w:r>
            <w:r w:rsidR="00015D21">
              <w:t>’</w:t>
            </w:r>
            <w:r w:rsidR="00FD77AC">
              <w:t xml:space="preserve">s </w:t>
            </w:r>
            <w:r w:rsidR="00EB52E8">
              <w:t>contribution</w:t>
            </w:r>
            <w:r w:rsidR="00FD77AC">
              <w:t xml:space="preserve"> to gender equality objectives,</w:t>
            </w:r>
            <w:r w:rsidR="0045431B">
              <w:t xml:space="preserve"> as well as the systematic collection of sex-disaggregated data.</w:t>
            </w:r>
          </w:p>
          <w:p w14:paraId="736F3BC5" w14:textId="4B758114" w:rsidR="005B0376" w:rsidRPr="00A25003" w:rsidRDefault="005B0376" w:rsidP="00711F45">
            <w:pPr>
              <w:jc w:val="both"/>
              <w:rPr>
                <w:rFonts w:hAnsiTheme="minorHAnsi" w:cstheme="minorHAnsi"/>
              </w:rPr>
            </w:pPr>
          </w:p>
        </w:tc>
      </w:tr>
    </w:tbl>
    <w:p w14:paraId="2CCF096D" w14:textId="77777777" w:rsidR="00A8235E" w:rsidRPr="00AD51AB" w:rsidRDefault="00A8235E" w:rsidP="00AD51AB"/>
    <w:sectPr w:rsidR="00A8235E" w:rsidRPr="00AD51AB" w:rsidSect="00EC0FB1">
      <w:headerReference w:type="default" r:id="rId11"/>
      <w:footerReference w:type="default" r:id="rId12"/>
      <w:pgSz w:w="12240" w:h="15840" w:code="1"/>
      <w:pgMar w:top="2430" w:right="1170" w:bottom="990" w:left="1440" w:header="54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A5F6" w14:textId="77777777" w:rsidR="003740A7" w:rsidRDefault="003740A7" w:rsidP="005968E5">
      <w:pPr>
        <w:spacing w:after="0" w:line="240" w:lineRule="auto"/>
      </w:pPr>
      <w:r>
        <w:separator/>
      </w:r>
    </w:p>
  </w:endnote>
  <w:endnote w:type="continuationSeparator" w:id="0">
    <w:p w14:paraId="7BB0F989" w14:textId="77777777" w:rsidR="003740A7" w:rsidRDefault="003740A7" w:rsidP="005968E5">
      <w:pPr>
        <w:spacing w:after="0" w:line="240" w:lineRule="auto"/>
      </w:pPr>
      <w:r>
        <w:continuationSeparator/>
      </w:r>
    </w:p>
  </w:endnote>
  <w:endnote w:type="continuationNotice" w:id="1">
    <w:p w14:paraId="7DF065AA" w14:textId="77777777" w:rsidR="003740A7" w:rsidRDefault="00374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e-Semibold">
    <w:altName w:val="Calibri"/>
    <w:charset w:val="FE"/>
    <w:family w:val="swiss"/>
    <w:pitch w:val="default"/>
    <w:sig w:usb0="00000003" w:usb1="00000000" w:usb2="00000000" w:usb3="00000000" w:csb0="00000000" w:csb1="00000000"/>
  </w:font>
  <w:font w:name="MyriadPro-Regular">
    <w:altName w:val="Calibri"/>
    <w:panose1 w:val="00000000000000000000"/>
    <w:charset w:val="FE"/>
    <w:family w:val="swiss"/>
    <w:notTrueType/>
    <w:pitch w:val="default"/>
    <w:sig w:usb0="00000003" w:usb1="00000000" w:usb2="00000000" w:usb3="00000000" w:csb0="0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7CA1" w14:textId="77777777" w:rsidR="00D337B6" w:rsidRDefault="00D337B6" w:rsidP="00E91313">
    <w:pPr>
      <w:pStyle w:val="Footer"/>
      <w:tabs>
        <w:tab w:val="clear" w:pos="9360"/>
        <w:tab w:val="right" w:pos="9630"/>
      </w:tabs>
      <w:jc w:val="right"/>
    </w:pPr>
    <w:r w:rsidRPr="00482B57">
      <w:rPr>
        <w:sz w:val="18"/>
        <w:szCs w:val="18"/>
      </w:rPr>
      <w:fldChar w:fldCharType="begin"/>
    </w:r>
    <w:r w:rsidRPr="00482B57">
      <w:rPr>
        <w:sz w:val="18"/>
        <w:szCs w:val="18"/>
      </w:rPr>
      <w:instrText xml:space="preserve"> PAGE   \* MERGEFORMAT </w:instrText>
    </w:r>
    <w:r w:rsidRPr="00482B57">
      <w:rPr>
        <w:sz w:val="18"/>
        <w:szCs w:val="18"/>
      </w:rPr>
      <w:fldChar w:fldCharType="separate"/>
    </w:r>
    <w:r w:rsidRPr="002349FB">
      <w:rPr>
        <w:b/>
        <w:bCs/>
        <w:noProof/>
        <w:sz w:val="18"/>
        <w:szCs w:val="18"/>
      </w:rPr>
      <w:t>1</w:t>
    </w:r>
    <w:r w:rsidRPr="00482B57">
      <w:rPr>
        <w:b/>
        <w:bCs/>
        <w:noProof/>
        <w:sz w:val="18"/>
        <w:szCs w:val="18"/>
      </w:rPr>
      <w:fldChar w:fldCharType="end"/>
    </w:r>
    <w:r w:rsidRPr="00482B57">
      <w:rPr>
        <w:b/>
        <w:bCs/>
        <w:sz w:val="18"/>
        <w:szCs w:val="18"/>
      </w:rPr>
      <w:t xml:space="preserve"> </w:t>
    </w:r>
    <w:r w:rsidRPr="00482B57">
      <w:rPr>
        <w:sz w:val="18"/>
        <w:szCs w:val="18"/>
      </w:rPr>
      <w:t>|</w:t>
    </w:r>
    <w:r w:rsidRPr="00482B57">
      <w:rPr>
        <w:b/>
        <w:bCs/>
        <w:sz w:val="18"/>
        <w:szCs w:val="18"/>
      </w:rPr>
      <w:t xml:space="preserve"> </w:t>
    </w:r>
    <w:r w:rsidRPr="00482B57">
      <w:rPr>
        <w:color w:val="808080" w:themeColor="background1" w:themeShade="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16D0" w14:textId="77777777" w:rsidR="003740A7" w:rsidRDefault="003740A7" w:rsidP="005968E5">
      <w:pPr>
        <w:spacing w:after="0" w:line="240" w:lineRule="auto"/>
      </w:pPr>
      <w:r>
        <w:separator/>
      </w:r>
    </w:p>
  </w:footnote>
  <w:footnote w:type="continuationSeparator" w:id="0">
    <w:p w14:paraId="48235E3E" w14:textId="77777777" w:rsidR="003740A7" w:rsidRDefault="003740A7" w:rsidP="005968E5">
      <w:pPr>
        <w:spacing w:after="0" w:line="240" w:lineRule="auto"/>
      </w:pPr>
      <w:r>
        <w:continuationSeparator/>
      </w:r>
    </w:p>
  </w:footnote>
  <w:footnote w:type="continuationNotice" w:id="1">
    <w:p w14:paraId="1BCE58CC" w14:textId="77777777" w:rsidR="003740A7" w:rsidRDefault="003740A7">
      <w:pPr>
        <w:spacing w:after="0" w:line="240" w:lineRule="auto"/>
      </w:pPr>
    </w:p>
  </w:footnote>
  <w:footnote w:id="2">
    <w:p w14:paraId="647E30BD" w14:textId="3734BDEE" w:rsidR="00D23D75" w:rsidRPr="007C10A3" w:rsidRDefault="00D23D75">
      <w:pPr>
        <w:pStyle w:val="FootnoteText"/>
        <w:rPr>
          <w:sz w:val="16"/>
          <w:szCs w:val="16"/>
          <w:lang w:val="en-US"/>
        </w:rPr>
      </w:pPr>
      <w:r>
        <w:rPr>
          <w:rStyle w:val="FootnoteReference"/>
        </w:rPr>
        <w:footnoteRef/>
      </w:r>
      <w:r>
        <w:t xml:space="preserve"> </w:t>
      </w:r>
      <w:r w:rsidRPr="007C10A3">
        <w:rPr>
          <w:sz w:val="16"/>
          <w:szCs w:val="16"/>
        </w:rPr>
        <w:t>Mobilising</w:t>
      </w:r>
      <w:r w:rsidRPr="007C10A3">
        <w:rPr>
          <w:sz w:val="16"/>
          <w:szCs w:val="16"/>
          <w:lang w:val="en-US"/>
        </w:rPr>
        <w:t xml:space="preserve"> Investment for NDC Implementation. October 22, 2020.</w:t>
      </w:r>
    </w:p>
    <w:p w14:paraId="7D6726C7" w14:textId="694D6E85" w:rsidR="00D23D75" w:rsidRPr="007C10A3" w:rsidRDefault="00D23D75">
      <w:pPr>
        <w:pStyle w:val="FootnoteText"/>
        <w:rPr>
          <w:sz w:val="16"/>
          <w:szCs w:val="16"/>
          <w:lang w:val="en-US"/>
        </w:rPr>
      </w:pPr>
      <w:r w:rsidRPr="007C10A3">
        <w:rPr>
          <w:sz w:val="16"/>
          <w:szCs w:val="16"/>
          <w:lang w:val="en-US"/>
        </w:rPr>
        <w:t>https://southsouthnorth.org/portfolio_page/mobilising-investment-for-ndc-implementation</w:t>
      </w:r>
    </w:p>
  </w:footnote>
  <w:footnote w:id="3">
    <w:p w14:paraId="72374FD4" w14:textId="77777777" w:rsidR="00D337B6" w:rsidRPr="00D41391" w:rsidRDefault="00D337B6" w:rsidP="00AD468B">
      <w:pPr>
        <w:pStyle w:val="FootnoteText"/>
        <w:rPr>
          <w:sz w:val="16"/>
          <w:szCs w:val="16"/>
          <w:lang w:val="en-US"/>
        </w:rPr>
      </w:pPr>
      <w:r w:rsidRPr="00D41391">
        <w:rPr>
          <w:rStyle w:val="FootnoteReference"/>
          <w:sz w:val="16"/>
          <w:szCs w:val="16"/>
        </w:rPr>
        <w:footnoteRef/>
      </w:r>
      <w:r w:rsidRPr="00D41391">
        <w:rPr>
          <w:sz w:val="16"/>
          <w:szCs w:val="16"/>
        </w:rPr>
        <w:t xml:space="preserve"> </w:t>
      </w:r>
      <w:r w:rsidRPr="00D41391">
        <w:rPr>
          <w:sz w:val="16"/>
          <w:szCs w:val="16"/>
          <w:lang w:val="en-US"/>
        </w:rPr>
        <w:t xml:space="preserve">United Nations Development Programme. </w:t>
      </w:r>
      <w:r w:rsidRPr="00D41391">
        <w:rPr>
          <w:i/>
          <w:iCs/>
          <w:sz w:val="16"/>
          <w:szCs w:val="16"/>
          <w:lang w:val="en-US"/>
        </w:rPr>
        <w:t>UNDP’s Climate Promise Service Offer: Safeguarding Agenda 2030 Through Bold Climate Action</w:t>
      </w:r>
      <w:r w:rsidRPr="00D41391">
        <w:rPr>
          <w:sz w:val="16"/>
          <w:szCs w:val="16"/>
          <w:lang w:val="en-US"/>
        </w:rPr>
        <w:t>. a.i.; 4.</w:t>
      </w:r>
    </w:p>
  </w:footnote>
  <w:footnote w:id="4">
    <w:p w14:paraId="7EF63D48" w14:textId="77777777" w:rsidR="00D337B6" w:rsidRPr="00D41391" w:rsidRDefault="00D337B6" w:rsidP="00804FFB">
      <w:pPr>
        <w:pStyle w:val="FootnoteText"/>
        <w:rPr>
          <w:i/>
          <w:iCs/>
          <w:sz w:val="16"/>
          <w:szCs w:val="16"/>
          <w:lang w:val="en-US"/>
        </w:rPr>
      </w:pPr>
      <w:r w:rsidRPr="00D41391">
        <w:rPr>
          <w:rStyle w:val="FootnoteReference"/>
          <w:sz w:val="16"/>
          <w:szCs w:val="16"/>
        </w:rPr>
        <w:footnoteRef/>
      </w:r>
      <w:r w:rsidRPr="00D41391">
        <w:rPr>
          <w:sz w:val="16"/>
          <w:szCs w:val="16"/>
        </w:rPr>
        <w:t xml:space="preserve"> The Government of Saint Vincent and the Grenadines.</w:t>
      </w:r>
      <w:r w:rsidRPr="00D41391">
        <w:rPr>
          <w:i/>
          <w:iCs/>
          <w:sz w:val="16"/>
          <w:szCs w:val="16"/>
          <w:lang w:val="en-US"/>
        </w:rPr>
        <w:t xml:space="preserve"> Intended Nationally Determined Contribution (INDC) of Saint Vincent and the Grenadines. </w:t>
      </w:r>
      <w:r w:rsidRPr="00D41391">
        <w:rPr>
          <w:sz w:val="16"/>
          <w:szCs w:val="16"/>
          <w:lang w:val="en-US"/>
        </w:rPr>
        <w:t>Kingston</w:t>
      </w:r>
      <w:r w:rsidRPr="00D41391">
        <w:rPr>
          <w:i/>
          <w:iCs/>
          <w:sz w:val="16"/>
          <w:szCs w:val="16"/>
          <w:lang w:val="en-US"/>
        </w:rPr>
        <w:t xml:space="preserve">. </w:t>
      </w:r>
      <w:r w:rsidRPr="00D41391">
        <w:rPr>
          <w:sz w:val="16"/>
          <w:szCs w:val="16"/>
          <w:lang w:val="en-US"/>
        </w:rPr>
        <w:t>2015.3.</w:t>
      </w:r>
    </w:p>
    <w:p w14:paraId="4799FD40" w14:textId="77777777" w:rsidR="00D337B6" w:rsidRPr="00D41391" w:rsidRDefault="003740A7" w:rsidP="00804FFB">
      <w:pPr>
        <w:pStyle w:val="FootnoteText"/>
        <w:rPr>
          <w:sz w:val="16"/>
          <w:szCs w:val="16"/>
          <w:lang w:val="en-US"/>
        </w:rPr>
      </w:pPr>
      <w:hyperlink r:id="rId1" w:history="1">
        <w:r w:rsidR="00D337B6" w:rsidRPr="00D41391">
          <w:rPr>
            <w:rStyle w:val="Hyperlink"/>
            <w:sz w:val="16"/>
            <w:szCs w:val="16"/>
            <w:lang w:val="en-US"/>
          </w:rPr>
          <w:t>https://www4.unfccc.int/sites/ndcstaging/PublishedDocuments/Saint%20Vincent%20and%20Grenadines%20First/Saint%20Vincent%20and%20the%20Grenadines_NDC.pdf</w:t>
        </w:r>
      </w:hyperlink>
    </w:p>
  </w:footnote>
  <w:footnote w:id="5">
    <w:p w14:paraId="45E4AF2C" w14:textId="542F626B" w:rsidR="00D337B6" w:rsidRPr="00D41391" w:rsidRDefault="00D337B6" w:rsidP="00A54397">
      <w:pPr>
        <w:pStyle w:val="FootnoteText"/>
        <w:rPr>
          <w:i/>
          <w:iCs/>
          <w:sz w:val="16"/>
          <w:szCs w:val="16"/>
          <w:lang w:val="en-US"/>
        </w:rPr>
      </w:pPr>
      <w:r w:rsidRPr="00D41391">
        <w:rPr>
          <w:rStyle w:val="FootnoteReference"/>
          <w:sz w:val="16"/>
          <w:szCs w:val="16"/>
        </w:rPr>
        <w:footnoteRef/>
      </w:r>
      <w:r w:rsidRPr="00D41391">
        <w:rPr>
          <w:sz w:val="16"/>
          <w:szCs w:val="16"/>
        </w:rPr>
        <w:t xml:space="preserve"> The Government of Saint Vincent and the Grenadines.</w:t>
      </w:r>
      <w:r w:rsidRPr="00D41391">
        <w:rPr>
          <w:i/>
          <w:iCs/>
          <w:sz w:val="16"/>
          <w:szCs w:val="16"/>
          <w:lang w:val="en-US"/>
        </w:rPr>
        <w:t xml:space="preserve"> Intended Nationally Determined Contribution (INDC) of Saint Vincent and the Grenadines. </w:t>
      </w:r>
      <w:r w:rsidRPr="00D41391">
        <w:rPr>
          <w:sz w:val="16"/>
          <w:szCs w:val="16"/>
          <w:lang w:val="en-US"/>
        </w:rPr>
        <w:t>Kingston</w:t>
      </w:r>
      <w:r w:rsidRPr="00D41391">
        <w:rPr>
          <w:i/>
          <w:iCs/>
          <w:sz w:val="16"/>
          <w:szCs w:val="16"/>
          <w:lang w:val="en-US"/>
        </w:rPr>
        <w:t xml:space="preserve">. </w:t>
      </w:r>
      <w:r w:rsidRPr="00D41391">
        <w:rPr>
          <w:sz w:val="16"/>
          <w:szCs w:val="16"/>
          <w:lang w:val="en-US"/>
        </w:rPr>
        <w:t>2015.14.</w:t>
      </w:r>
    </w:p>
    <w:p w14:paraId="7120F563" w14:textId="77777777" w:rsidR="00D337B6" w:rsidRPr="00D41391" w:rsidRDefault="003740A7" w:rsidP="00A54397">
      <w:pPr>
        <w:pStyle w:val="FootnoteText"/>
        <w:rPr>
          <w:sz w:val="16"/>
          <w:szCs w:val="16"/>
          <w:lang w:val="en-US"/>
        </w:rPr>
      </w:pPr>
      <w:hyperlink r:id="rId2" w:history="1">
        <w:r w:rsidR="00D337B6" w:rsidRPr="00D41391">
          <w:rPr>
            <w:rStyle w:val="Hyperlink"/>
            <w:sz w:val="16"/>
            <w:szCs w:val="16"/>
            <w:lang w:val="en-US"/>
          </w:rPr>
          <w:t>https://www4.unfccc.int/sites/ndcstaging/PublishedDocuments/Saint%20Vincent%20and%20Grenadines%20First/Saint%20Vincent%20and%20the%20Grenadines_NDC.pdf</w:t>
        </w:r>
      </w:hyperlink>
    </w:p>
    <w:p w14:paraId="5158E619" w14:textId="1872BEF8" w:rsidR="00D337B6" w:rsidRPr="00A54397" w:rsidRDefault="00D337B6">
      <w:pPr>
        <w:pStyle w:val="FootnoteText"/>
        <w:rPr>
          <w:lang w:val="en-US"/>
        </w:rPr>
      </w:pPr>
    </w:p>
  </w:footnote>
  <w:footnote w:id="6">
    <w:p w14:paraId="7A785F7A" w14:textId="07CD6062" w:rsidR="00F93F41" w:rsidRPr="007C10A3" w:rsidRDefault="00F93F41">
      <w:pPr>
        <w:pStyle w:val="FootnoteText"/>
        <w:rPr>
          <w:sz w:val="16"/>
          <w:szCs w:val="16"/>
          <w:lang w:val="en-US"/>
        </w:rPr>
      </w:pPr>
      <w:r w:rsidRPr="007C10A3">
        <w:rPr>
          <w:rStyle w:val="FootnoteReference"/>
          <w:sz w:val="16"/>
          <w:szCs w:val="16"/>
        </w:rPr>
        <w:footnoteRef/>
      </w:r>
      <w:r w:rsidRPr="007C10A3">
        <w:rPr>
          <w:sz w:val="16"/>
          <w:szCs w:val="16"/>
        </w:rPr>
        <w:t xml:space="preserve"> </w:t>
      </w:r>
      <w:r w:rsidRPr="007C10A3">
        <w:rPr>
          <w:sz w:val="16"/>
          <w:szCs w:val="16"/>
          <w:lang w:val="en-US"/>
        </w:rPr>
        <w:t xml:space="preserve">The transportation, renewable energy and energy efficiency </w:t>
      </w:r>
      <w:r w:rsidR="00AE290B" w:rsidRPr="007C10A3">
        <w:rPr>
          <w:sz w:val="16"/>
          <w:szCs w:val="16"/>
          <w:lang w:val="en-US"/>
        </w:rPr>
        <w:t xml:space="preserve">sectors are all sub-sectors </w:t>
      </w:r>
      <w:r w:rsidR="009664B4" w:rsidRPr="007C10A3">
        <w:rPr>
          <w:sz w:val="16"/>
          <w:szCs w:val="16"/>
          <w:lang w:val="en-US"/>
        </w:rPr>
        <w:t xml:space="preserve">identified under the </w:t>
      </w:r>
      <w:r w:rsidR="000401DC" w:rsidRPr="007C10A3">
        <w:rPr>
          <w:sz w:val="16"/>
          <w:szCs w:val="16"/>
          <w:lang w:val="en-US"/>
        </w:rPr>
        <w:t>priority</w:t>
      </w:r>
      <w:r w:rsidR="002350B5" w:rsidRPr="007C10A3">
        <w:rPr>
          <w:sz w:val="16"/>
          <w:szCs w:val="16"/>
          <w:lang w:val="en-US"/>
        </w:rPr>
        <w:t xml:space="preserve"> </w:t>
      </w:r>
      <w:r w:rsidR="00891934" w:rsidRPr="007C10A3">
        <w:rPr>
          <w:sz w:val="16"/>
          <w:szCs w:val="16"/>
          <w:lang w:val="en-US"/>
        </w:rPr>
        <w:t>sector of</w:t>
      </w:r>
      <w:r w:rsidR="002350B5" w:rsidRPr="007C10A3">
        <w:rPr>
          <w:sz w:val="16"/>
          <w:szCs w:val="16"/>
          <w:lang w:val="en-US"/>
        </w:rPr>
        <w:t xml:space="preserve"> energy within Saint Vincent and the Grenadines INDCs.</w:t>
      </w:r>
      <w:r w:rsidR="009664B4" w:rsidRPr="007C10A3">
        <w:rPr>
          <w:sz w:val="16"/>
          <w:szCs w:val="16"/>
          <w:lang w:val="en-US"/>
        </w:rPr>
        <w:t xml:space="preserve"> </w:t>
      </w:r>
      <w:r w:rsidR="00FA4FA0" w:rsidRPr="007C10A3">
        <w:rPr>
          <w:sz w:val="16"/>
          <w:szCs w:val="16"/>
          <w:lang w:val="en-US"/>
        </w:rPr>
        <w:t xml:space="preserve">These sub-sectors represent </w:t>
      </w:r>
      <w:r w:rsidR="00513BB0">
        <w:rPr>
          <w:sz w:val="16"/>
          <w:szCs w:val="16"/>
          <w:lang w:val="en-US"/>
        </w:rPr>
        <w:t xml:space="preserve">avenues for </w:t>
      </w:r>
      <w:r w:rsidR="00842E25">
        <w:rPr>
          <w:sz w:val="16"/>
          <w:szCs w:val="16"/>
          <w:lang w:val="en-US"/>
        </w:rPr>
        <w:t xml:space="preserve">the </w:t>
      </w:r>
      <w:r w:rsidR="00B7490E">
        <w:rPr>
          <w:sz w:val="16"/>
          <w:szCs w:val="16"/>
          <w:lang w:val="en-US"/>
        </w:rPr>
        <w:t>country mitigation and adaptation efforts to be achieved in reaching its NDCs targets set.</w:t>
      </w:r>
    </w:p>
  </w:footnote>
  <w:footnote w:id="7">
    <w:p w14:paraId="0C6A786A" w14:textId="11EBA476" w:rsidR="00D337B6" w:rsidRPr="00D41391" w:rsidRDefault="00D337B6">
      <w:pPr>
        <w:pStyle w:val="FootnoteText"/>
        <w:rPr>
          <w:sz w:val="16"/>
          <w:szCs w:val="16"/>
          <w:lang w:val="en-US"/>
        </w:rPr>
      </w:pPr>
      <w:r w:rsidRPr="00D41391">
        <w:rPr>
          <w:rStyle w:val="FootnoteReference"/>
          <w:sz w:val="16"/>
          <w:szCs w:val="16"/>
        </w:rPr>
        <w:footnoteRef/>
      </w:r>
      <w:r w:rsidRPr="00D41391">
        <w:rPr>
          <w:sz w:val="16"/>
          <w:szCs w:val="16"/>
        </w:rPr>
        <w:t xml:space="preserve"> </w:t>
      </w:r>
      <w:r w:rsidRPr="00D41391">
        <w:rPr>
          <w:sz w:val="16"/>
          <w:szCs w:val="16"/>
          <w:lang w:val="en-US"/>
        </w:rPr>
        <w:t xml:space="preserve">Climate &amp; Development Knowledge Network. </w:t>
      </w:r>
      <w:r w:rsidRPr="00EC3F5E">
        <w:rPr>
          <w:sz w:val="16"/>
          <w:szCs w:val="16"/>
        </w:rPr>
        <w:t>Mobilising</w:t>
      </w:r>
      <w:r w:rsidRPr="00D41391">
        <w:rPr>
          <w:sz w:val="16"/>
          <w:szCs w:val="16"/>
          <w:lang w:val="en-US"/>
        </w:rPr>
        <w:t xml:space="preserve"> Investment for NDC Implementation. October 22</w:t>
      </w:r>
      <w:r w:rsidRPr="00D41391">
        <w:rPr>
          <w:sz w:val="16"/>
          <w:szCs w:val="16"/>
          <w:vertAlign w:val="superscript"/>
          <w:lang w:val="en-US"/>
        </w:rPr>
        <w:t>nd</w:t>
      </w:r>
      <w:r w:rsidRPr="00D41391">
        <w:rPr>
          <w:sz w:val="16"/>
          <w:szCs w:val="16"/>
          <w:lang w:val="en-US"/>
        </w:rPr>
        <w:t>, 2020.</w:t>
      </w:r>
      <w:r w:rsidRPr="00D41391">
        <w:rPr>
          <w:sz w:val="16"/>
          <w:szCs w:val="16"/>
        </w:rPr>
        <w:t xml:space="preserve"> </w:t>
      </w:r>
      <w:hyperlink r:id="rId3" w:history="1">
        <w:r w:rsidRPr="00D41391">
          <w:rPr>
            <w:rStyle w:val="Hyperlink"/>
            <w:sz w:val="16"/>
            <w:szCs w:val="16"/>
            <w:lang w:val="en-US"/>
          </w:rPr>
          <w:t>https://cdkn.org/project/mobilising-investment-for-ndc-implementation/?loclang=en_gb</w:t>
        </w:r>
      </w:hyperlink>
    </w:p>
    <w:p w14:paraId="5D5C5F5A" w14:textId="77777777" w:rsidR="00D337B6" w:rsidRPr="00C51196" w:rsidRDefault="00D337B6">
      <w:pPr>
        <w:pStyle w:val="FootnoteText"/>
        <w:rPr>
          <w:lang w:val="en-US"/>
        </w:rPr>
      </w:pPr>
    </w:p>
  </w:footnote>
  <w:footnote w:id="8">
    <w:p w14:paraId="67111368" w14:textId="77777777" w:rsidR="002222BF" w:rsidRPr="00D41391" w:rsidRDefault="002222BF" w:rsidP="002222BF">
      <w:pPr>
        <w:pStyle w:val="FootnoteText"/>
        <w:rPr>
          <w:sz w:val="16"/>
          <w:szCs w:val="16"/>
          <w:lang w:val="en-US"/>
        </w:rPr>
      </w:pPr>
      <w:r>
        <w:rPr>
          <w:rStyle w:val="FootnoteReference"/>
        </w:rPr>
        <w:footnoteRef/>
      </w:r>
      <w:r>
        <w:t xml:space="preserve"> </w:t>
      </w:r>
      <w:r w:rsidRPr="00D41391">
        <w:rPr>
          <w:sz w:val="16"/>
          <w:szCs w:val="16"/>
        </w:rPr>
        <w:t xml:space="preserve">United Nations Development Programme. </w:t>
      </w:r>
      <w:r w:rsidRPr="00D41391">
        <w:rPr>
          <w:i/>
          <w:iCs/>
          <w:sz w:val="16"/>
          <w:szCs w:val="16"/>
        </w:rPr>
        <w:t>UNDP’s Climate Promise Safeguarding Agenda 2030 through Bold Climate Action</w:t>
      </w:r>
      <w:r w:rsidRPr="00D41391">
        <w:rPr>
          <w:sz w:val="16"/>
          <w:szCs w:val="16"/>
        </w:rPr>
        <w:t>. Belgium: United Nations Development Programme, 7.</w:t>
      </w:r>
    </w:p>
    <w:p w14:paraId="43408C28" w14:textId="1522787E" w:rsidR="002222BF" w:rsidRPr="007C10A3" w:rsidRDefault="002222BF">
      <w:pPr>
        <w:pStyle w:val="FootnoteText"/>
        <w:rPr>
          <w:lang w:val="en-US"/>
        </w:rPr>
      </w:pPr>
    </w:p>
  </w:footnote>
  <w:footnote w:id="9">
    <w:p w14:paraId="3138768F" w14:textId="77777777" w:rsidR="00D51CBF" w:rsidRPr="00D41391" w:rsidRDefault="00D51CBF" w:rsidP="00D51CBF">
      <w:pPr>
        <w:pStyle w:val="FootnoteText"/>
        <w:rPr>
          <w:sz w:val="16"/>
          <w:szCs w:val="16"/>
          <w:lang w:val="en-US"/>
        </w:rPr>
      </w:pPr>
      <w:r w:rsidRPr="00D41391">
        <w:rPr>
          <w:rStyle w:val="FootnoteReference"/>
          <w:sz w:val="16"/>
          <w:szCs w:val="16"/>
        </w:rPr>
        <w:footnoteRef/>
      </w:r>
      <w:r w:rsidRPr="00D41391">
        <w:rPr>
          <w:sz w:val="16"/>
          <w:szCs w:val="16"/>
        </w:rPr>
        <w:t xml:space="preserve"> </w:t>
      </w:r>
      <w:r w:rsidRPr="00D41391">
        <w:rPr>
          <w:sz w:val="16"/>
          <w:szCs w:val="16"/>
          <w:lang w:val="en-US"/>
        </w:rPr>
        <w:t>The Government of Canada.  Status of Women Canada. What is GBA+? September 25</w:t>
      </w:r>
      <w:r w:rsidRPr="00D41391">
        <w:rPr>
          <w:sz w:val="16"/>
          <w:szCs w:val="16"/>
          <w:vertAlign w:val="superscript"/>
          <w:lang w:val="en-US"/>
        </w:rPr>
        <w:t>th</w:t>
      </w:r>
      <w:r w:rsidRPr="00D41391">
        <w:rPr>
          <w:sz w:val="16"/>
          <w:szCs w:val="16"/>
          <w:lang w:val="en-US"/>
        </w:rPr>
        <w:t xml:space="preserve">, 2020. </w:t>
      </w:r>
      <w:hyperlink r:id="rId4" w:history="1">
        <w:r w:rsidRPr="00D41391">
          <w:rPr>
            <w:rStyle w:val="Hyperlink"/>
            <w:sz w:val="16"/>
            <w:szCs w:val="16"/>
            <w:lang w:val="en-US"/>
          </w:rPr>
          <w:t>https://cfc-swc.gc.ca/gba-acs/index-en.html</w:t>
        </w:r>
      </w:hyperlink>
      <w:r w:rsidRPr="00D41391">
        <w:rPr>
          <w:sz w:val="16"/>
          <w:szCs w:val="16"/>
          <w:lang w:val="en-US"/>
        </w:rPr>
        <w:t>.</w:t>
      </w:r>
    </w:p>
  </w:footnote>
  <w:footnote w:id="10">
    <w:p w14:paraId="43EE6160" w14:textId="77777777" w:rsidR="00D8704D" w:rsidRPr="00D41391" w:rsidRDefault="00D8704D" w:rsidP="00D8704D">
      <w:pPr>
        <w:pStyle w:val="FootnoteText"/>
        <w:rPr>
          <w:sz w:val="16"/>
          <w:szCs w:val="16"/>
          <w:lang w:val="en-US"/>
        </w:rPr>
      </w:pPr>
      <w:r>
        <w:rPr>
          <w:rStyle w:val="FootnoteReference"/>
        </w:rPr>
        <w:footnoteRef/>
      </w:r>
      <w:r>
        <w:t xml:space="preserve"> </w:t>
      </w:r>
      <w:r w:rsidRPr="00D41391">
        <w:rPr>
          <w:sz w:val="16"/>
          <w:szCs w:val="16"/>
          <w:lang w:val="en-US"/>
        </w:rPr>
        <w:t xml:space="preserve">Saint Vincent and the Grenadines is a signatory to the Revised Treaty of Chaguaramas and as such domestic private sector capital refers to private capital </w:t>
      </w:r>
      <w:r>
        <w:rPr>
          <w:sz w:val="16"/>
          <w:szCs w:val="16"/>
          <w:lang w:val="en-US"/>
        </w:rPr>
        <w:t xml:space="preserve">generated </w:t>
      </w:r>
      <w:r w:rsidRPr="00D41391">
        <w:rPr>
          <w:sz w:val="16"/>
          <w:szCs w:val="16"/>
          <w:lang w:val="en-US"/>
        </w:rPr>
        <w:t>within Saint Vincent and the Grenadines as well as the wider Caribbean Community</w:t>
      </w:r>
      <w:r>
        <w:rPr>
          <w:sz w:val="16"/>
          <w:szCs w:val="16"/>
          <w:lang w:val="en-US"/>
        </w:rPr>
        <w:t xml:space="preserve"> (CARICOM)</w:t>
      </w:r>
      <w:r w:rsidRPr="00D41391">
        <w:rPr>
          <w:sz w:val="16"/>
          <w:szCs w:val="16"/>
          <w:lang w:val="en-US"/>
        </w:rPr>
        <w:t>.</w:t>
      </w:r>
    </w:p>
    <w:p w14:paraId="10B5C386" w14:textId="2B1A8255" w:rsidR="00D8704D" w:rsidRPr="00D8704D" w:rsidRDefault="00D8704D">
      <w:pPr>
        <w:pStyle w:val="FootnoteText"/>
        <w:rPr>
          <w:lang w:val="en-US"/>
        </w:rPr>
      </w:pPr>
    </w:p>
  </w:footnote>
  <w:footnote w:id="11">
    <w:p w14:paraId="0380DF83" w14:textId="752F4A54" w:rsidR="00F97E0F" w:rsidRPr="00983C9C" w:rsidRDefault="00F97E0F">
      <w:pPr>
        <w:pStyle w:val="FootnoteText"/>
        <w:rPr>
          <w:sz w:val="16"/>
          <w:szCs w:val="16"/>
          <w:lang w:val="en-US"/>
        </w:rPr>
      </w:pPr>
      <w:r w:rsidRPr="00983C9C">
        <w:rPr>
          <w:rStyle w:val="FootnoteReference"/>
          <w:sz w:val="16"/>
          <w:szCs w:val="16"/>
        </w:rPr>
        <w:footnoteRef/>
      </w:r>
      <w:r w:rsidRPr="00983C9C">
        <w:rPr>
          <w:sz w:val="16"/>
          <w:szCs w:val="16"/>
        </w:rPr>
        <w:t xml:space="preserve"> </w:t>
      </w:r>
      <w:r w:rsidRPr="00983C9C">
        <w:rPr>
          <w:sz w:val="16"/>
          <w:szCs w:val="16"/>
          <w:lang w:val="en-US"/>
        </w:rPr>
        <w:t xml:space="preserve">Refer to Annex 10 of this ToR which provides </w:t>
      </w:r>
      <w:r w:rsidR="00CA596C" w:rsidRPr="00983C9C">
        <w:rPr>
          <w:sz w:val="16"/>
          <w:szCs w:val="16"/>
          <w:lang w:val="en-US"/>
        </w:rPr>
        <w:t>further guidance on the</w:t>
      </w:r>
      <w:r w:rsidR="00924678" w:rsidRPr="00983C9C">
        <w:rPr>
          <w:sz w:val="16"/>
          <w:szCs w:val="16"/>
          <w:lang w:val="en-US"/>
        </w:rPr>
        <w:t xml:space="preserve"> </w:t>
      </w:r>
      <w:r w:rsidR="00D7408C" w:rsidRPr="00983C9C">
        <w:rPr>
          <w:sz w:val="16"/>
          <w:szCs w:val="16"/>
          <w:lang w:val="en-US"/>
        </w:rPr>
        <w:t>development</w:t>
      </w:r>
      <w:r w:rsidR="005D24A4" w:rsidRPr="00983C9C">
        <w:rPr>
          <w:sz w:val="16"/>
          <w:szCs w:val="16"/>
          <w:lang w:val="en-US"/>
        </w:rPr>
        <w:t xml:space="preserve"> of the concept business cases. What is </w:t>
      </w:r>
      <w:r w:rsidR="00D7408C" w:rsidRPr="00983C9C">
        <w:rPr>
          <w:sz w:val="16"/>
          <w:szCs w:val="16"/>
          <w:lang w:val="en-US"/>
        </w:rPr>
        <w:t>captured</w:t>
      </w:r>
      <w:r w:rsidR="005D24A4" w:rsidRPr="00983C9C">
        <w:rPr>
          <w:sz w:val="16"/>
          <w:szCs w:val="16"/>
          <w:lang w:val="en-US"/>
        </w:rPr>
        <w:t xml:space="preserve"> within Annex 10 </w:t>
      </w:r>
      <w:r w:rsidR="00D7408C" w:rsidRPr="00983C9C">
        <w:rPr>
          <w:sz w:val="16"/>
          <w:szCs w:val="16"/>
          <w:lang w:val="en-US"/>
        </w:rPr>
        <w:t>provides only a minimum guide</w:t>
      </w:r>
      <w:r w:rsidR="004F22B5" w:rsidRPr="00983C9C">
        <w:rPr>
          <w:sz w:val="16"/>
          <w:szCs w:val="16"/>
          <w:lang w:val="en-US"/>
        </w:rPr>
        <w:t>, the specifics will be finalized and agreed by the project partners at the project kick-off meeting.</w:t>
      </w:r>
      <w:r w:rsidR="00D7408C" w:rsidRPr="00983C9C">
        <w:rPr>
          <w:sz w:val="16"/>
          <w:szCs w:val="16"/>
          <w:lang w:val="en-US"/>
        </w:rPr>
        <w:t xml:space="preserve"> </w:t>
      </w:r>
    </w:p>
  </w:footnote>
  <w:footnote w:id="12">
    <w:p w14:paraId="15D083EF" w14:textId="0D17BA92" w:rsidR="00FB4808" w:rsidRPr="00983C9C" w:rsidRDefault="00FB4808">
      <w:pPr>
        <w:pStyle w:val="FootnoteText"/>
        <w:rPr>
          <w:sz w:val="16"/>
          <w:szCs w:val="16"/>
          <w:lang w:val="en-US"/>
        </w:rPr>
      </w:pPr>
      <w:r w:rsidRPr="00983C9C">
        <w:rPr>
          <w:rStyle w:val="FootnoteReference"/>
          <w:sz w:val="16"/>
          <w:szCs w:val="16"/>
        </w:rPr>
        <w:footnoteRef/>
      </w:r>
      <w:r w:rsidRPr="00983C9C">
        <w:rPr>
          <w:sz w:val="16"/>
          <w:szCs w:val="16"/>
        </w:rPr>
        <w:t xml:space="preserve"> United Nations Development Programme. </w:t>
      </w:r>
      <w:r w:rsidRPr="00983C9C">
        <w:rPr>
          <w:i/>
          <w:iCs/>
          <w:sz w:val="16"/>
          <w:szCs w:val="16"/>
        </w:rPr>
        <w:t>UNDP’s Climate Promise Safeguarding Agenda 2030 through Bold Climate Action</w:t>
      </w:r>
      <w:r w:rsidRPr="00983C9C">
        <w:rPr>
          <w:sz w:val="16"/>
          <w:szCs w:val="16"/>
        </w:rPr>
        <w:t>. Belgium: United Nations Development Programme, 6.</w:t>
      </w:r>
    </w:p>
  </w:footnote>
  <w:footnote w:id="13">
    <w:p w14:paraId="36C853C8" w14:textId="267A210A" w:rsidR="00DD259B" w:rsidRPr="00983C9C" w:rsidRDefault="00DD259B">
      <w:pPr>
        <w:pStyle w:val="FootnoteText"/>
        <w:rPr>
          <w:sz w:val="16"/>
          <w:szCs w:val="16"/>
          <w:lang w:val="en-US"/>
        </w:rPr>
      </w:pPr>
      <w:r w:rsidRPr="00983C9C">
        <w:rPr>
          <w:rStyle w:val="FootnoteReference"/>
          <w:sz w:val="16"/>
          <w:szCs w:val="16"/>
        </w:rPr>
        <w:footnoteRef/>
      </w:r>
      <w:r w:rsidRPr="00983C9C">
        <w:rPr>
          <w:sz w:val="16"/>
          <w:szCs w:val="16"/>
        </w:rPr>
        <w:t xml:space="preserve"> </w:t>
      </w:r>
      <w:r w:rsidRPr="00983C9C">
        <w:rPr>
          <w:sz w:val="16"/>
          <w:szCs w:val="16"/>
          <w:lang w:val="en-US"/>
        </w:rPr>
        <w:t>The select priority sectors refer to those priority sectors which based on the initial assessment are most</w:t>
      </w:r>
      <w:r w:rsidR="00E63269" w:rsidRPr="00983C9C">
        <w:rPr>
          <w:sz w:val="16"/>
          <w:szCs w:val="16"/>
          <w:lang w:val="en-US"/>
        </w:rPr>
        <w:t xml:space="preserve"> investment ready and the development of concept </w:t>
      </w:r>
      <w:r w:rsidR="00AC6844" w:rsidRPr="00983C9C">
        <w:rPr>
          <w:sz w:val="16"/>
          <w:szCs w:val="16"/>
          <w:lang w:val="en-US"/>
        </w:rPr>
        <w:t>investment and finance business cases will support speedy private sector investment in Saint Vincent and the Grenadines NDC implementation efforts.</w:t>
      </w:r>
    </w:p>
  </w:footnote>
  <w:footnote w:id="14">
    <w:p w14:paraId="1DFFCE8F" w14:textId="6C6B67C4" w:rsidR="00716448" w:rsidRPr="00983C9C" w:rsidRDefault="00716448">
      <w:pPr>
        <w:pStyle w:val="FootnoteText"/>
        <w:rPr>
          <w:sz w:val="16"/>
          <w:szCs w:val="16"/>
          <w:lang w:val="en-US"/>
        </w:rPr>
      </w:pPr>
      <w:r w:rsidRPr="00983C9C">
        <w:rPr>
          <w:rStyle w:val="FootnoteReference"/>
          <w:sz w:val="16"/>
          <w:szCs w:val="16"/>
        </w:rPr>
        <w:footnoteRef/>
      </w:r>
      <w:r w:rsidRPr="00983C9C">
        <w:rPr>
          <w:sz w:val="16"/>
          <w:szCs w:val="16"/>
        </w:rPr>
        <w:t xml:space="preserve"> </w:t>
      </w:r>
      <w:r w:rsidR="00D41391" w:rsidRPr="00983C9C">
        <w:rPr>
          <w:sz w:val="16"/>
          <w:szCs w:val="16"/>
          <w:lang w:val="en-US"/>
        </w:rPr>
        <w:t xml:space="preserve">Climate &amp; Development Knowledge Network. </w:t>
      </w:r>
      <w:r w:rsidR="00D41391" w:rsidRPr="00983C9C">
        <w:rPr>
          <w:sz w:val="16"/>
          <w:szCs w:val="16"/>
        </w:rPr>
        <w:t>Mobilising</w:t>
      </w:r>
      <w:r w:rsidR="00D41391" w:rsidRPr="00983C9C">
        <w:rPr>
          <w:sz w:val="16"/>
          <w:szCs w:val="16"/>
          <w:lang w:val="en-US"/>
        </w:rPr>
        <w:t xml:space="preserve"> Investment for NDC Implementation. October 22</w:t>
      </w:r>
      <w:r w:rsidR="00D41391" w:rsidRPr="00983C9C">
        <w:rPr>
          <w:sz w:val="16"/>
          <w:szCs w:val="16"/>
          <w:vertAlign w:val="superscript"/>
          <w:lang w:val="en-US"/>
        </w:rPr>
        <w:t>nd</w:t>
      </w:r>
      <w:r w:rsidR="00D41391" w:rsidRPr="00983C9C">
        <w:rPr>
          <w:sz w:val="16"/>
          <w:szCs w:val="16"/>
          <w:lang w:val="en-US"/>
        </w:rPr>
        <w:t>, 2020.</w:t>
      </w:r>
      <w:r w:rsidR="00D41391" w:rsidRPr="00983C9C">
        <w:rPr>
          <w:sz w:val="16"/>
          <w:szCs w:val="16"/>
        </w:rPr>
        <w:t xml:space="preserve"> </w:t>
      </w:r>
      <w:hyperlink r:id="rId5" w:history="1">
        <w:r w:rsidR="00D41391" w:rsidRPr="00983C9C">
          <w:rPr>
            <w:rStyle w:val="Hyperlink"/>
            <w:sz w:val="16"/>
            <w:szCs w:val="16"/>
            <w:lang w:val="en-US"/>
          </w:rPr>
          <w:t>https://cdkn.org/project/mobilising-investment-for-ndc-implementation/?loclang=en_gb</w:t>
        </w:r>
      </w:hyperlink>
    </w:p>
  </w:footnote>
  <w:footnote w:id="15">
    <w:p w14:paraId="7C9BAB81" w14:textId="7F8EFD06" w:rsidR="000A4374" w:rsidRPr="00983C9C" w:rsidRDefault="000A4374">
      <w:pPr>
        <w:pStyle w:val="FootnoteText"/>
        <w:rPr>
          <w:sz w:val="16"/>
          <w:szCs w:val="16"/>
          <w:lang w:val="en-US"/>
        </w:rPr>
      </w:pPr>
      <w:r w:rsidRPr="00983C9C">
        <w:rPr>
          <w:rStyle w:val="FootnoteReference"/>
          <w:sz w:val="16"/>
          <w:szCs w:val="16"/>
        </w:rPr>
        <w:footnoteRef/>
      </w:r>
      <w:r w:rsidRPr="00983C9C">
        <w:rPr>
          <w:sz w:val="16"/>
          <w:szCs w:val="16"/>
        </w:rPr>
        <w:t xml:space="preserve"> </w:t>
      </w:r>
      <w:r w:rsidRPr="00983C9C">
        <w:rPr>
          <w:sz w:val="16"/>
          <w:szCs w:val="16"/>
          <w:lang w:val="en-US"/>
        </w:rPr>
        <w:t>Saint Vincent and the Grenadines is a signatory to the Revised Treaty of Cha</w:t>
      </w:r>
      <w:r w:rsidR="00657597" w:rsidRPr="00983C9C">
        <w:rPr>
          <w:sz w:val="16"/>
          <w:szCs w:val="16"/>
          <w:lang w:val="en-US"/>
        </w:rPr>
        <w:t>guaramas</w:t>
      </w:r>
      <w:r w:rsidRPr="00983C9C">
        <w:rPr>
          <w:sz w:val="16"/>
          <w:szCs w:val="16"/>
          <w:lang w:val="en-US"/>
        </w:rPr>
        <w:t xml:space="preserve"> and as such</w:t>
      </w:r>
      <w:r w:rsidR="00F261C0" w:rsidRPr="00983C9C">
        <w:rPr>
          <w:sz w:val="16"/>
          <w:szCs w:val="16"/>
          <w:lang w:val="en-US"/>
        </w:rPr>
        <w:t xml:space="preserve"> domestic private sector capital refers to</w:t>
      </w:r>
      <w:r w:rsidR="000C21A4" w:rsidRPr="00983C9C">
        <w:rPr>
          <w:sz w:val="16"/>
          <w:szCs w:val="16"/>
          <w:lang w:val="en-US"/>
        </w:rPr>
        <w:t xml:space="preserve"> private capital </w:t>
      </w:r>
      <w:r w:rsidR="00684200" w:rsidRPr="00983C9C">
        <w:rPr>
          <w:sz w:val="16"/>
          <w:szCs w:val="16"/>
          <w:lang w:val="en-US"/>
        </w:rPr>
        <w:t xml:space="preserve">generated </w:t>
      </w:r>
      <w:r w:rsidR="000C21A4" w:rsidRPr="00983C9C">
        <w:rPr>
          <w:sz w:val="16"/>
          <w:szCs w:val="16"/>
          <w:lang w:val="en-US"/>
        </w:rPr>
        <w:t>within Saint Vincent and the Grenadines as well as the wider Caribbean Community</w:t>
      </w:r>
      <w:r w:rsidR="00684200" w:rsidRPr="00983C9C">
        <w:rPr>
          <w:sz w:val="16"/>
          <w:szCs w:val="16"/>
          <w:lang w:val="en-US"/>
        </w:rPr>
        <w:t xml:space="preserve"> (CARICOM)</w:t>
      </w:r>
      <w:r w:rsidR="000C21A4" w:rsidRPr="00983C9C">
        <w:rPr>
          <w:sz w:val="16"/>
          <w:szCs w:val="16"/>
          <w:lang w:val="en-US"/>
        </w:rPr>
        <w:t>.</w:t>
      </w:r>
    </w:p>
  </w:footnote>
  <w:footnote w:id="16">
    <w:p w14:paraId="5E65D2E3" w14:textId="77777777" w:rsidR="00603079" w:rsidRPr="00D41391" w:rsidRDefault="00255288" w:rsidP="00603079">
      <w:pPr>
        <w:pStyle w:val="FootnoteText"/>
        <w:rPr>
          <w:i/>
          <w:iCs/>
          <w:sz w:val="16"/>
          <w:szCs w:val="16"/>
          <w:lang w:val="en-US"/>
        </w:rPr>
      </w:pPr>
      <w:r>
        <w:rPr>
          <w:rStyle w:val="FootnoteReference"/>
        </w:rPr>
        <w:footnoteRef/>
      </w:r>
      <w:r>
        <w:t xml:space="preserve"> </w:t>
      </w:r>
      <w:r w:rsidR="00603079" w:rsidRPr="00D41391">
        <w:rPr>
          <w:sz w:val="16"/>
          <w:szCs w:val="16"/>
        </w:rPr>
        <w:t>The Government of Saint Vincent and the Grenadines.</w:t>
      </w:r>
      <w:r w:rsidR="00603079" w:rsidRPr="00D41391">
        <w:rPr>
          <w:i/>
          <w:iCs/>
          <w:sz w:val="16"/>
          <w:szCs w:val="16"/>
          <w:lang w:val="en-US"/>
        </w:rPr>
        <w:t xml:space="preserve"> Intended Nationally Determined Contribution (INDC) of Saint Vincent and the Grenadines. </w:t>
      </w:r>
      <w:r w:rsidR="00603079" w:rsidRPr="00D41391">
        <w:rPr>
          <w:sz w:val="16"/>
          <w:szCs w:val="16"/>
          <w:lang w:val="en-US"/>
        </w:rPr>
        <w:t>Kingston</w:t>
      </w:r>
      <w:r w:rsidR="00603079" w:rsidRPr="00D41391">
        <w:rPr>
          <w:i/>
          <w:iCs/>
          <w:sz w:val="16"/>
          <w:szCs w:val="16"/>
          <w:lang w:val="en-US"/>
        </w:rPr>
        <w:t xml:space="preserve">. </w:t>
      </w:r>
      <w:r w:rsidR="00603079" w:rsidRPr="00D41391">
        <w:rPr>
          <w:sz w:val="16"/>
          <w:szCs w:val="16"/>
          <w:lang w:val="en-US"/>
        </w:rPr>
        <w:t>2015.14.</w:t>
      </w:r>
    </w:p>
    <w:p w14:paraId="029941E9" w14:textId="03582EAD" w:rsidR="00255288" w:rsidRPr="00255288" w:rsidRDefault="0025528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57BC" w14:textId="060BA2F6" w:rsidR="00C547F0" w:rsidRDefault="00C54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B99"/>
    <w:multiLevelType w:val="hybridMultilevel"/>
    <w:tmpl w:val="800CCC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B357910"/>
    <w:multiLevelType w:val="multilevel"/>
    <w:tmpl w:val="D8F264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F1A6615"/>
    <w:multiLevelType w:val="hybridMultilevel"/>
    <w:tmpl w:val="FF38B62E"/>
    <w:lvl w:ilvl="0" w:tplc="2000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1727C0"/>
    <w:multiLevelType w:val="hybridMultilevel"/>
    <w:tmpl w:val="C644A5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8C42558"/>
    <w:multiLevelType w:val="hybridMultilevel"/>
    <w:tmpl w:val="07EE80B2"/>
    <w:lvl w:ilvl="0" w:tplc="5354304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F847F2"/>
    <w:multiLevelType w:val="hybridMultilevel"/>
    <w:tmpl w:val="AD44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C597B"/>
    <w:multiLevelType w:val="multilevel"/>
    <w:tmpl w:val="3C0852B8"/>
    <w:lvl w:ilvl="0">
      <w:start w:val="1"/>
      <w:numFmt w:val="decimal"/>
      <w:pStyle w:val="Heading1"/>
      <w:lvlText w:val="%1"/>
      <w:lvlJc w:val="left"/>
      <w:pPr>
        <w:ind w:left="3409" w:hanging="432"/>
      </w:pPr>
    </w:lvl>
    <w:lvl w:ilvl="1">
      <w:start w:val="1"/>
      <w:numFmt w:val="decimal"/>
      <w:pStyle w:val="Heading2"/>
      <w:lvlText w:val="%1.%2"/>
      <w:lvlJc w:val="left"/>
      <w:pPr>
        <w:ind w:left="1851"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281AB1"/>
    <w:multiLevelType w:val="hybridMultilevel"/>
    <w:tmpl w:val="F0FEBE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55558"/>
    <w:multiLevelType w:val="hybridMultilevel"/>
    <w:tmpl w:val="AEE286F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5A4852B5"/>
    <w:multiLevelType w:val="hybridMultilevel"/>
    <w:tmpl w:val="F55C71C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EF35F76"/>
    <w:multiLevelType w:val="hybridMultilevel"/>
    <w:tmpl w:val="BA4C9B00"/>
    <w:lvl w:ilvl="0" w:tplc="08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EB56807"/>
    <w:multiLevelType w:val="hybridMultilevel"/>
    <w:tmpl w:val="35EC193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971849"/>
    <w:multiLevelType w:val="hybridMultilevel"/>
    <w:tmpl w:val="13C48520"/>
    <w:lvl w:ilvl="0" w:tplc="B48A8C6A">
      <w:start w:val="1"/>
      <w:numFmt w:val="lowerRoman"/>
      <w:lvlText w:val="%1)"/>
      <w:lvlJc w:val="left"/>
      <w:pPr>
        <w:ind w:left="1080" w:hanging="720"/>
      </w:pPr>
      <w:rPr>
        <w:rFonts w:ascii="Calibri" w:eastAsiaTheme="minorHAnsi" w:hAnsi="Calibri" w:cs="Calibr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EF429A"/>
    <w:multiLevelType w:val="hybridMultilevel"/>
    <w:tmpl w:val="9B1E37F4"/>
    <w:lvl w:ilvl="0" w:tplc="FA10BAAA">
      <w:start w:val="1"/>
      <w:numFmt w:val="lowerRoman"/>
      <w:lvlText w:val="%1."/>
      <w:lvlJc w:val="left"/>
      <w:pPr>
        <w:ind w:left="1080" w:hanging="720"/>
      </w:pPr>
      <w:rPr>
        <w:rFonts w:cstheme="minorBid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C534DB7"/>
    <w:multiLevelType w:val="hybridMultilevel"/>
    <w:tmpl w:val="4ADEA4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D6C74EA"/>
    <w:multiLevelType w:val="hybridMultilevel"/>
    <w:tmpl w:val="04EE69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1"/>
  </w:num>
  <w:num w:numId="6">
    <w:abstractNumId w:val="6"/>
  </w:num>
  <w:num w:numId="7">
    <w:abstractNumId w:val="16"/>
  </w:num>
  <w:num w:numId="8">
    <w:abstractNumId w:val="14"/>
  </w:num>
  <w:num w:numId="9">
    <w:abstractNumId w:val="11"/>
  </w:num>
  <w:num w:numId="10">
    <w:abstractNumId w:val="4"/>
  </w:num>
  <w:num w:numId="11">
    <w:abstractNumId w:val="7"/>
  </w:num>
  <w:num w:numId="12">
    <w:abstractNumId w:val="15"/>
  </w:num>
  <w:num w:numId="13">
    <w:abstractNumId w:val="3"/>
  </w:num>
  <w:num w:numId="14">
    <w:abstractNumId w:val="10"/>
  </w:num>
  <w:num w:numId="15">
    <w:abstractNumId w:val="12"/>
  </w:num>
  <w:num w:numId="16">
    <w:abstractNumId w:val="13"/>
  </w:num>
  <w:num w:numId="17">
    <w:abstractNumId w:val="6"/>
    <w:lvlOverride w:ilvl="0">
      <w:startOverride w:val="6"/>
    </w:lvlOverride>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E5"/>
    <w:rsid w:val="00000F99"/>
    <w:rsid w:val="000015D4"/>
    <w:rsid w:val="00001615"/>
    <w:rsid w:val="00001951"/>
    <w:rsid w:val="00001A37"/>
    <w:rsid w:val="0000267F"/>
    <w:rsid w:val="000026DF"/>
    <w:rsid w:val="00002923"/>
    <w:rsid w:val="00002ACE"/>
    <w:rsid w:val="00002BEB"/>
    <w:rsid w:val="00002CBC"/>
    <w:rsid w:val="00002E3B"/>
    <w:rsid w:val="00002FFB"/>
    <w:rsid w:val="00003680"/>
    <w:rsid w:val="00003EA6"/>
    <w:rsid w:val="0000423A"/>
    <w:rsid w:val="00004517"/>
    <w:rsid w:val="00004BB8"/>
    <w:rsid w:val="00004D3A"/>
    <w:rsid w:val="00004FA3"/>
    <w:rsid w:val="000053E1"/>
    <w:rsid w:val="00005F5B"/>
    <w:rsid w:val="00006122"/>
    <w:rsid w:val="00006A6A"/>
    <w:rsid w:val="000070CE"/>
    <w:rsid w:val="0000758B"/>
    <w:rsid w:val="000075CE"/>
    <w:rsid w:val="0000775A"/>
    <w:rsid w:val="00007968"/>
    <w:rsid w:val="0001094C"/>
    <w:rsid w:val="00010BF0"/>
    <w:rsid w:val="00010EA9"/>
    <w:rsid w:val="00011363"/>
    <w:rsid w:val="00011678"/>
    <w:rsid w:val="000117F2"/>
    <w:rsid w:val="00011AF9"/>
    <w:rsid w:val="00012760"/>
    <w:rsid w:val="00013221"/>
    <w:rsid w:val="00013389"/>
    <w:rsid w:val="00013664"/>
    <w:rsid w:val="00013B8E"/>
    <w:rsid w:val="000140A4"/>
    <w:rsid w:val="0001421F"/>
    <w:rsid w:val="0001549A"/>
    <w:rsid w:val="000157BA"/>
    <w:rsid w:val="00015908"/>
    <w:rsid w:val="00015C18"/>
    <w:rsid w:val="00015D21"/>
    <w:rsid w:val="000166EB"/>
    <w:rsid w:val="00016F8A"/>
    <w:rsid w:val="000170E7"/>
    <w:rsid w:val="000173C5"/>
    <w:rsid w:val="00017EDB"/>
    <w:rsid w:val="0002019B"/>
    <w:rsid w:val="00020290"/>
    <w:rsid w:val="000208BF"/>
    <w:rsid w:val="00021131"/>
    <w:rsid w:val="00021283"/>
    <w:rsid w:val="000219E4"/>
    <w:rsid w:val="000226EB"/>
    <w:rsid w:val="00022C8D"/>
    <w:rsid w:val="00022FC3"/>
    <w:rsid w:val="00023CCD"/>
    <w:rsid w:val="00023FA1"/>
    <w:rsid w:val="0002436E"/>
    <w:rsid w:val="00024D17"/>
    <w:rsid w:val="000257ED"/>
    <w:rsid w:val="00025CE3"/>
    <w:rsid w:val="000265EC"/>
    <w:rsid w:val="00026711"/>
    <w:rsid w:val="00026B31"/>
    <w:rsid w:val="00026D82"/>
    <w:rsid w:val="000306A4"/>
    <w:rsid w:val="00030BE6"/>
    <w:rsid w:val="00030D9A"/>
    <w:rsid w:val="0003199B"/>
    <w:rsid w:val="00032076"/>
    <w:rsid w:val="00033119"/>
    <w:rsid w:val="000333D1"/>
    <w:rsid w:val="0003442B"/>
    <w:rsid w:val="00034693"/>
    <w:rsid w:val="00034950"/>
    <w:rsid w:val="00035710"/>
    <w:rsid w:val="00036070"/>
    <w:rsid w:val="00036721"/>
    <w:rsid w:val="000370BB"/>
    <w:rsid w:val="00037773"/>
    <w:rsid w:val="00037A30"/>
    <w:rsid w:val="00037C2A"/>
    <w:rsid w:val="000401DC"/>
    <w:rsid w:val="000401F9"/>
    <w:rsid w:val="0004036A"/>
    <w:rsid w:val="00040709"/>
    <w:rsid w:val="00040D63"/>
    <w:rsid w:val="0004109E"/>
    <w:rsid w:val="00041B74"/>
    <w:rsid w:val="00041C38"/>
    <w:rsid w:val="00041F14"/>
    <w:rsid w:val="000429F3"/>
    <w:rsid w:val="00042A5E"/>
    <w:rsid w:val="00042A77"/>
    <w:rsid w:val="00042F27"/>
    <w:rsid w:val="000431BF"/>
    <w:rsid w:val="0004362F"/>
    <w:rsid w:val="00044018"/>
    <w:rsid w:val="00044264"/>
    <w:rsid w:val="00045312"/>
    <w:rsid w:val="00045C63"/>
    <w:rsid w:val="00045F68"/>
    <w:rsid w:val="000466AF"/>
    <w:rsid w:val="00046E7B"/>
    <w:rsid w:val="000471DD"/>
    <w:rsid w:val="000479A4"/>
    <w:rsid w:val="000502FF"/>
    <w:rsid w:val="00050861"/>
    <w:rsid w:val="000514DF"/>
    <w:rsid w:val="000523C7"/>
    <w:rsid w:val="00052774"/>
    <w:rsid w:val="0005347F"/>
    <w:rsid w:val="000537EC"/>
    <w:rsid w:val="000539B1"/>
    <w:rsid w:val="00054B3F"/>
    <w:rsid w:val="00054D52"/>
    <w:rsid w:val="00054F48"/>
    <w:rsid w:val="0005517E"/>
    <w:rsid w:val="000554F4"/>
    <w:rsid w:val="00055589"/>
    <w:rsid w:val="0005589D"/>
    <w:rsid w:val="000558FC"/>
    <w:rsid w:val="00056B2A"/>
    <w:rsid w:val="000607DD"/>
    <w:rsid w:val="000608AD"/>
    <w:rsid w:val="000609DF"/>
    <w:rsid w:val="00060D2B"/>
    <w:rsid w:val="00062248"/>
    <w:rsid w:val="000632DA"/>
    <w:rsid w:val="000636A4"/>
    <w:rsid w:val="000639C2"/>
    <w:rsid w:val="0006449A"/>
    <w:rsid w:val="00064C17"/>
    <w:rsid w:val="000654A6"/>
    <w:rsid w:val="00065F44"/>
    <w:rsid w:val="00066272"/>
    <w:rsid w:val="00066611"/>
    <w:rsid w:val="00066935"/>
    <w:rsid w:val="00066A8A"/>
    <w:rsid w:val="00066EE8"/>
    <w:rsid w:val="0006709A"/>
    <w:rsid w:val="000676D3"/>
    <w:rsid w:val="0007060C"/>
    <w:rsid w:val="00070B6A"/>
    <w:rsid w:val="00070E91"/>
    <w:rsid w:val="0007159E"/>
    <w:rsid w:val="00072641"/>
    <w:rsid w:val="0007335F"/>
    <w:rsid w:val="00073434"/>
    <w:rsid w:val="00073550"/>
    <w:rsid w:val="000735AE"/>
    <w:rsid w:val="0007371A"/>
    <w:rsid w:val="00073923"/>
    <w:rsid w:val="00073A0D"/>
    <w:rsid w:val="000747D8"/>
    <w:rsid w:val="00074DC0"/>
    <w:rsid w:val="0007505B"/>
    <w:rsid w:val="00075181"/>
    <w:rsid w:val="0007572E"/>
    <w:rsid w:val="00075911"/>
    <w:rsid w:val="00075EB0"/>
    <w:rsid w:val="000763BB"/>
    <w:rsid w:val="00076792"/>
    <w:rsid w:val="000773D6"/>
    <w:rsid w:val="000775EB"/>
    <w:rsid w:val="00077A31"/>
    <w:rsid w:val="00077E00"/>
    <w:rsid w:val="00077E35"/>
    <w:rsid w:val="000805C7"/>
    <w:rsid w:val="00080D81"/>
    <w:rsid w:val="00080DF8"/>
    <w:rsid w:val="000814BB"/>
    <w:rsid w:val="000814D1"/>
    <w:rsid w:val="0008212D"/>
    <w:rsid w:val="0008216E"/>
    <w:rsid w:val="00082523"/>
    <w:rsid w:val="00083014"/>
    <w:rsid w:val="0008345B"/>
    <w:rsid w:val="000837A1"/>
    <w:rsid w:val="00083C98"/>
    <w:rsid w:val="00083F4F"/>
    <w:rsid w:val="00084528"/>
    <w:rsid w:val="00084C50"/>
    <w:rsid w:val="00084E80"/>
    <w:rsid w:val="00084EAC"/>
    <w:rsid w:val="00084F5C"/>
    <w:rsid w:val="00084FF3"/>
    <w:rsid w:val="000850B2"/>
    <w:rsid w:val="00085169"/>
    <w:rsid w:val="000852A0"/>
    <w:rsid w:val="0008549F"/>
    <w:rsid w:val="0008576A"/>
    <w:rsid w:val="00085AD2"/>
    <w:rsid w:val="00085ECB"/>
    <w:rsid w:val="00086118"/>
    <w:rsid w:val="000867B5"/>
    <w:rsid w:val="00086EDC"/>
    <w:rsid w:val="00086F64"/>
    <w:rsid w:val="000877B1"/>
    <w:rsid w:val="0008782D"/>
    <w:rsid w:val="000879EE"/>
    <w:rsid w:val="00087D33"/>
    <w:rsid w:val="00087DE6"/>
    <w:rsid w:val="00087E71"/>
    <w:rsid w:val="0009003C"/>
    <w:rsid w:val="000904BF"/>
    <w:rsid w:val="000904D7"/>
    <w:rsid w:val="000906C1"/>
    <w:rsid w:val="00090CCD"/>
    <w:rsid w:val="00090D34"/>
    <w:rsid w:val="000915E7"/>
    <w:rsid w:val="00091D04"/>
    <w:rsid w:val="00091D82"/>
    <w:rsid w:val="00091EBC"/>
    <w:rsid w:val="00091F1C"/>
    <w:rsid w:val="0009255F"/>
    <w:rsid w:val="000927CC"/>
    <w:rsid w:val="000927F2"/>
    <w:rsid w:val="00092E6A"/>
    <w:rsid w:val="0009341E"/>
    <w:rsid w:val="000936DE"/>
    <w:rsid w:val="00094372"/>
    <w:rsid w:val="0009454F"/>
    <w:rsid w:val="0009489A"/>
    <w:rsid w:val="00094AE6"/>
    <w:rsid w:val="0009539B"/>
    <w:rsid w:val="000954A8"/>
    <w:rsid w:val="0009550C"/>
    <w:rsid w:val="000955DF"/>
    <w:rsid w:val="00095E49"/>
    <w:rsid w:val="00095FE3"/>
    <w:rsid w:val="000961C2"/>
    <w:rsid w:val="0009671F"/>
    <w:rsid w:val="00096741"/>
    <w:rsid w:val="00096BB4"/>
    <w:rsid w:val="000A0E75"/>
    <w:rsid w:val="000A0F58"/>
    <w:rsid w:val="000A1117"/>
    <w:rsid w:val="000A1584"/>
    <w:rsid w:val="000A1924"/>
    <w:rsid w:val="000A1CE3"/>
    <w:rsid w:val="000A1FB1"/>
    <w:rsid w:val="000A2C5C"/>
    <w:rsid w:val="000A30B7"/>
    <w:rsid w:val="000A3147"/>
    <w:rsid w:val="000A3B25"/>
    <w:rsid w:val="000A3E28"/>
    <w:rsid w:val="000A3FDE"/>
    <w:rsid w:val="000A4098"/>
    <w:rsid w:val="000A4374"/>
    <w:rsid w:val="000A4D86"/>
    <w:rsid w:val="000A506C"/>
    <w:rsid w:val="000A57EA"/>
    <w:rsid w:val="000A5AE8"/>
    <w:rsid w:val="000A5CCB"/>
    <w:rsid w:val="000A64D3"/>
    <w:rsid w:val="000A7C90"/>
    <w:rsid w:val="000A7DE7"/>
    <w:rsid w:val="000B05BC"/>
    <w:rsid w:val="000B07C1"/>
    <w:rsid w:val="000B0C38"/>
    <w:rsid w:val="000B0EEB"/>
    <w:rsid w:val="000B1371"/>
    <w:rsid w:val="000B2B07"/>
    <w:rsid w:val="000B2C4F"/>
    <w:rsid w:val="000B3431"/>
    <w:rsid w:val="000B37BA"/>
    <w:rsid w:val="000B4016"/>
    <w:rsid w:val="000B43EE"/>
    <w:rsid w:val="000B477A"/>
    <w:rsid w:val="000B4C67"/>
    <w:rsid w:val="000B4DC3"/>
    <w:rsid w:val="000B5951"/>
    <w:rsid w:val="000B5FA6"/>
    <w:rsid w:val="000B61BE"/>
    <w:rsid w:val="000B6AEC"/>
    <w:rsid w:val="000B71FA"/>
    <w:rsid w:val="000B7202"/>
    <w:rsid w:val="000B7CBA"/>
    <w:rsid w:val="000C0486"/>
    <w:rsid w:val="000C055C"/>
    <w:rsid w:val="000C05F0"/>
    <w:rsid w:val="000C065F"/>
    <w:rsid w:val="000C0D94"/>
    <w:rsid w:val="000C13A9"/>
    <w:rsid w:val="000C1B36"/>
    <w:rsid w:val="000C2075"/>
    <w:rsid w:val="000C217A"/>
    <w:rsid w:val="000C21A4"/>
    <w:rsid w:val="000C23D2"/>
    <w:rsid w:val="000C26CA"/>
    <w:rsid w:val="000C29F8"/>
    <w:rsid w:val="000C2E0E"/>
    <w:rsid w:val="000C41ED"/>
    <w:rsid w:val="000C482C"/>
    <w:rsid w:val="000C4B56"/>
    <w:rsid w:val="000C4E7B"/>
    <w:rsid w:val="000C546F"/>
    <w:rsid w:val="000C5950"/>
    <w:rsid w:val="000C59E0"/>
    <w:rsid w:val="000C5BA9"/>
    <w:rsid w:val="000C60F6"/>
    <w:rsid w:val="000C61DC"/>
    <w:rsid w:val="000C6249"/>
    <w:rsid w:val="000C6789"/>
    <w:rsid w:val="000C7EE9"/>
    <w:rsid w:val="000C7F97"/>
    <w:rsid w:val="000D053D"/>
    <w:rsid w:val="000D07BF"/>
    <w:rsid w:val="000D08E0"/>
    <w:rsid w:val="000D0901"/>
    <w:rsid w:val="000D095F"/>
    <w:rsid w:val="000D0BA5"/>
    <w:rsid w:val="000D0BA7"/>
    <w:rsid w:val="000D0BDF"/>
    <w:rsid w:val="000D1505"/>
    <w:rsid w:val="000D1755"/>
    <w:rsid w:val="000D1802"/>
    <w:rsid w:val="000D1AE9"/>
    <w:rsid w:val="000D1E96"/>
    <w:rsid w:val="000D1FDF"/>
    <w:rsid w:val="000D2211"/>
    <w:rsid w:val="000D2286"/>
    <w:rsid w:val="000D2540"/>
    <w:rsid w:val="000D2CE4"/>
    <w:rsid w:val="000D2DDE"/>
    <w:rsid w:val="000D30ED"/>
    <w:rsid w:val="000D31FE"/>
    <w:rsid w:val="000D357F"/>
    <w:rsid w:val="000D374C"/>
    <w:rsid w:val="000D378D"/>
    <w:rsid w:val="000D4011"/>
    <w:rsid w:val="000D4666"/>
    <w:rsid w:val="000D5120"/>
    <w:rsid w:val="000D5760"/>
    <w:rsid w:val="000D5951"/>
    <w:rsid w:val="000D67B4"/>
    <w:rsid w:val="000D695A"/>
    <w:rsid w:val="000D6C18"/>
    <w:rsid w:val="000D6E4A"/>
    <w:rsid w:val="000D701B"/>
    <w:rsid w:val="000E0325"/>
    <w:rsid w:val="000E03D9"/>
    <w:rsid w:val="000E0C91"/>
    <w:rsid w:val="000E133B"/>
    <w:rsid w:val="000E14A5"/>
    <w:rsid w:val="000E14C1"/>
    <w:rsid w:val="000E1D1E"/>
    <w:rsid w:val="000E2074"/>
    <w:rsid w:val="000E3152"/>
    <w:rsid w:val="000E35EC"/>
    <w:rsid w:val="000E4507"/>
    <w:rsid w:val="000E50C9"/>
    <w:rsid w:val="000E529D"/>
    <w:rsid w:val="000E58CF"/>
    <w:rsid w:val="000E64CD"/>
    <w:rsid w:val="000E6FD5"/>
    <w:rsid w:val="000E74E0"/>
    <w:rsid w:val="000E7C72"/>
    <w:rsid w:val="000E7CD4"/>
    <w:rsid w:val="000E7D09"/>
    <w:rsid w:val="000E7E4D"/>
    <w:rsid w:val="000F002F"/>
    <w:rsid w:val="000F0B79"/>
    <w:rsid w:val="000F0DBA"/>
    <w:rsid w:val="000F186D"/>
    <w:rsid w:val="000F1A24"/>
    <w:rsid w:val="000F1D2F"/>
    <w:rsid w:val="000F259F"/>
    <w:rsid w:val="000F3002"/>
    <w:rsid w:val="000F3733"/>
    <w:rsid w:val="000F3FEF"/>
    <w:rsid w:val="000F4185"/>
    <w:rsid w:val="000F49AB"/>
    <w:rsid w:val="000F4AA2"/>
    <w:rsid w:val="000F4B9F"/>
    <w:rsid w:val="000F5329"/>
    <w:rsid w:val="000F56B1"/>
    <w:rsid w:val="000F5CF6"/>
    <w:rsid w:val="000F5D9B"/>
    <w:rsid w:val="000F7663"/>
    <w:rsid w:val="000F7C2E"/>
    <w:rsid w:val="000F7D55"/>
    <w:rsid w:val="001009E6"/>
    <w:rsid w:val="00100B1D"/>
    <w:rsid w:val="00100D55"/>
    <w:rsid w:val="00101781"/>
    <w:rsid w:val="0010194A"/>
    <w:rsid w:val="001019F9"/>
    <w:rsid w:val="00101F9A"/>
    <w:rsid w:val="001026D7"/>
    <w:rsid w:val="001028B7"/>
    <w:rsid w:val="00103943"/>
    <w:rsid w:val="00103E29"/>
    <w:rsid w:val="001042E2"/>
    <w:rsid w:val="00104310"/>
    <w:rsid w:val="001043FE"/>
    <w:rsid w:val="00104596"/>
    <w:rsid w:val="00104990"/>
    <w:rsid w:val="00105083"/>
    <w:rsid w:val="001057A7"/>
    <w:rsid w:val="00105AEA"/>
    <w:rsid w:val="00105AEC"/>
    <w:rsid w:val="0010617C"/>
    <w:rsid w:val="00106CE4"/>
    <w:rsid w:val="001071E4"/>
    <w:rsid w:val="001072A3"/>
    <w:rsid w:val="001072DC"/>
    <w:rsid w:val="0010746E"/>
    <w:rsid w:val="001078AC"/>
    <w:rsid w:val="00107B3C"/>
    <w:rsid w:val="00107C2F"/>
    <w:rsid w:val="00107EE7"/>
    <w:rsid w:val="001101C7"/>
    <w:rsid w:val="001102C2"/>
    <w:rsid w:val="00111631"/>
    <w:rsid w:val="00111CD4"/>
    <w:rsid w:val="00112097"/>
    <w:rsid w:val="001127B5"/>
    <w:rsid w:val="00112B10"/>
    <w:rsid w:val="00112D1A"/>
    <w:rsid w:val="00112E48"/>
    <w:rsid w:val="00113350"/>
    <w:rsid w:val="00113CC5"/>
    <w:rsid w:val="0011439B"/>
    <w:rsid w:val="00114796"/>
    <w:rsid w:val="00114915"/>
    <w:rsid w:val="00114BF5"/>
    <w:rsid w:val="001150E7"/>
    <w:rsid w:val="0011591E"/>
    <w:rsid w:val="00115DDF"/>
    <w:rsid w:val="00115E51"/>
    <w:rsid w:val="001160EC"/>
    <w:rsid w:val="00116403"/>
    <w:rsid w:val="0011671A"/>
    <w:rsid w:val="001169F5"/>
    <w:rsid w:val="00116AFD"/>
    <w:rsid w:val="00117146"/>
    <w:rsid w:val="001200A1"/>
    <w:rsid w:val="0012059A"/>
    <w:rsid w:val="00120EAE"/>
    <w:rsid w:val="0012131B"/>
    <w:rsid w:val="0012186E"/>
    <w:rsid w:val="001219F0"/>
    <w:rsid w:val="001220C4"/>
    <w:rsid w:val="00122E2F"/>
    <w:rsid w:val="00123027"/>
    <w:rsid w:val="001232ED"/>
    <w:rsid w:val="0012349A"/>
    <w:rsid w:val="00124444"/>
    <w:rsid w:val="00124609"/>
    <w:rsid w:val="00124931"/>
    <w:rsid w:val="00124A32"/>
    <w:rsid w:val="00124E1F"/>
    <w:rsid w:val="00124EC3"/>
    <w:rsid w:val="0012539C"/>
    <w:rsid w:val="001259F8"/>
    <w:rsid w:val="00126430"/>
    <w:rsid w:val="00126566"/>
    <w:rsid w:val="00126C27"/>
    <w:rsid w:val="00126E58"/>
    <w:rsid w:val="00127771"/>
    <w:rsid w:val="00127B9E"/>
    <w:rsid w:val="001303CA"/>
    <w:rsid w:val="00130974"/>
    <w:rsid w:val="0013231D"/>
    <w:rsid w:val="0013243C"/>
    <w:rsid w:val="001324AE"/>
    <w:rsid w:val="00132F39"/>
    <w:rsid w:val="00133122"/>
    <w:rsid w:val="00133761"/>
    <w:rsid w:val="0013387F"/>
    <w:rsid w:val="00133F75"/>
    <w:rsid w:val="0013483E"/>
    <w:rsid w:val="001349E3"/>
    <w:rsid w:val="001352E8"/>
    <w:rsid w:val="00136704"/>
    <w:rsid w:val="00136A81"/>
    <w:rsid w:val="00136B22"/>
    <w:rsid w:val="00136B83"/>
    <w:rsid w:val="0013702F"/>
    <w:rsid w:val="0013779E"/>
    <w:rsid w:val="00137B84"/>
    <w:rsid w:val="00137E29"/>
    <w:rsid w:val="00140240"/>
    <w:rsid w:val="00140B65"/>
    <w:rsid w:val="0014142B"/>
    <w:rsid w:val="001415BC"/>
    <w:rsid w:val="00141D5C"/>
    <w:rsid w:val="00142AF0"/>
    <w:rsid w:val="00143A9F"/>
    <w:rsid w:val="00143B38"/>
    <w:rsid w:val="00143B51"/>
    <w:rsid w:val="00143EC0"/>
    <w:rsid w:val="00143F6C"/>
    <w:rsid w:val="00144275"/>
    <w:rsid w:val="00144620"/>
    <w:rsid w:val="00144B56"/>
    <w:rsid w:val="00144C56"/>
    <w:rsid w:val="001451CF"/>
    <w:rsid w:val="001455A3"/>
    <w:rsid w:val="0014612A"/>
    <w:rsid w:val="00146610"/>
    <w:rsid w:val="00146742"/>
    <w:rsid w:val="0014680D"/>
    <w:rsid w:val="0014694B"/>
    <w:rsid w:val="00146D74"/>
    <w:rsid w:val="00146EFE"/>
    <w:rsid w:val="0014703D"/>
    <w:rsid w:val="00147068"/>
    <w:rsid w:val="00147675"/>
    <w:rsid w:val="00147849"/>
    <w:rsid w:val="00150428"/>
    <w:rsid w:val="00151310"/>
    <w:rsid w:val="001513AA"/>
    <w:rsid w:val="0015150F"/>
    <w:rsid w:val="00151618"/>
    <w:rsid w:val="00151671"/>
    <w:rsid w:val="0015285A"/>
    <w:rsid w:val="00152A0B"/>
    <w:rsid w:val="00152A7A"/>
    <w:rsid w:val="00152FAE"/>
    <w:rsid w:val="001539AB"/>
    <w:rsid w:val="001547BE"/>
    <w:rsid w:val="0015481C"/>
    <w:rsid w:val="001549AE"/>
    <w:rsid w:val="00154B9B"/>
    <w:rsid w:val="0015506D"/>
    <w:rsid w:val="00155B51"/>
    <w:rsid w:val="00155CE3"/>
    <w:rsid w:val="001560D4"/>
    <w:rsid w:val="0015647F"/>
    <w:rsid w:val="00156F3D"/>
    <w:rsid w:val="0015763F"/>
    <w:rsid w:val="00157887"/>
    <w:rsid w:val="0015798F"/>
    <w:rsid w:val="00157B48"/>
    <w:rsid w:val="00157E35"/>
    <w:rsid w:val="001601BC"/>
    <w:rsid w:val="001601FC"/>
    <w:rsid w:val="00160264"/>
    <w:rsid w:val="00160F5E"/>
    <w:rsid w:val="00160FA7"/>
    <w:rsid w:val="00162E44"/>
    <w:rsid w:val="00163708"/>
    <w:rsid w:val="00163A97"/>
    <w:rsid w:val="00164DA6"/>
    <w:rsid w:val="00164DE9"/>
    <w:rsid w:val="00165503"/>
    <w:rsid w:val="001656AF"/>
    <w:rsid w:val="001659C1"/>
    <w:rsid w:val="00165E2C"/>
    <w:rsid w:val="001664A8"/>
    <w:rsid w:val="001667B8"/>
    <w:rsid w:val="00166AF8"/>
    <w:rsid w:val="00167291"/>
    <w:rsid w:val="00167DE6"/>
    <w:rsid w:val="00170121"/>
    <w:rsid w:val="00170335"/>
    <w:rsid w:val="00170B94"/>
    <w:rsid w:val="001711A8"/>
    <w:rsid w:val="00171339"/>
    <w:rsid w:val="00171EC4"/>
    <w:rsid w:val="001723EE"/>
    <w:rsid w:val="001725F6"/>
    <w:rsid w:val="0017265B"/>
    <w:rsid w:val="00172F6E"/>
    <w:rsid w:val="001736EC"/>
    <w:rsid w:val="00173749"/>
    <w:rsid w:val="00174B7F"/>
    <w:rsid w:val="00174BD5"/>
    <w:rsid w:val="001751B4"/>
    <w:rsid w:val="00175BD7"/>
    <w:rsid w:val="00175CC5"/>
    <w:rsid w:val="00175D62"/>
    <w:rsid w:val="00175D75"/>
    <w:rsid w:val="00175F8F"/>
    <w:rsid w:val="001763B8"/>
    <w:rsid w:val="00176723"/>
    <w:rsid w:val="001768CE"/>
    <w:rsid w:val="00177240"/>
    <w:rsid w:val="0017750C"/>
    <w:rsid w:val="00177B88"/>
    <w:rsid w:val="00180A97"/>
    <w:rsid w:val="00180EDA"/>
    <w:rsid w:val="00181185"/>
    <w:rsid w:val="00181334"/>
    <w:rsid w:val="00181483"/>
    <w:rsid w:val="001815F9"/>
    <w:rsid w:val="00181673"/>
    <w:rsid w:val="001816E5"/>
    <w:rsid w:val="00181C8B"/>
    <w:rsid w:val="00181DD2"/>
    <w:rsid w:val="00181F1C"/>
    <w:rsid w:val="001820A7"/>
    <w:rsid w:val="00182452"/>
    <w:rsid w:val="0018289E"/>
    <w:rsid w:val="00182F7F"/>
    <w:rsid w:val="0018307B"/>
    <w:rsid w:val="00183581"/>
    <w:rsid w:val="001836CB"/>
    <w:rsid w:val="00183A06"/>
    <w:rsid w:val="0018450B"/>
    <w:rsid w:val="0018470A"/>
    <w:rsid w:val="00184932"/>
    <w:rsid w:val="00184EA3"/>
    <w:rsid w:val="00185480"/>
    <w:rsid w:val="00185559"/>
    <w:rsid w:val="00186F9A"/>
    <w:rsid w:val="001875FF"/>
    <w:rsid w:val="0018764A"/>
    <w:rsid w:val="00187A3D"/>
    <w:rsid w:val="0019089B"/>
    <w:rsid w:val="001912B6"/>
    <w:rsid w:val="0019137A"/>
    <w:rsid w:val="00191F8A"/>
    <w:rsid w:val="00192989"/>
    <w:rsid w:val="00192A95"/>
    <w:rsid w:val="00193207"/>
    <w:rsid w:val="00193A49"/>
    <w:rsid w:val="001940CE"/>
    <w:rsid w:val="001941FA"/>
    <w:rsid w:val="00194F9D"/>
    <w:rsid w:val="00195BA6"/>
    <w:rsid w:val="00196A53"/>
    <w:rsid w:val="00196D1A"/>
    <w:rsid w:val="001970B5"/>
    <w:rsid w:val="0019711B"/>
    <w:rsid w:val="001A07A9"/>
    <w:rsid w:val="001A11D4"/>
    <w:rsid w:val="001A126B"/>
    <w:rsid w:val="001A1AFF"/>
    <w:rsid w:val="001A2628"/>
    <w:rsid w:val="001A3731"/>
    <w:rsid w:val="001A373C"/>
    <w:rsid w:val="001A4A92"/>
    <w:rsid w:val="001A4B55"/>
    <w:rsid w:val="001A54E3"/>
    <w:rsid w:val="001A564A"/>
    <w:rsid w:val="001A57F5"/>
    <w:rsid w:val="001A592F"/>
    <w:rsid w:val="001A6050"/>
    <w:rsid w:val="001A70A0"/>
    <w:rsid w:val="001A72F1"/>
    <w:rsid w:val="001A7404"/>
    <w:rsid w:val="001A756C"/>
    <w:rsid w:val="001A7F98"/>
    <w:rsid w:val="001B0D3D"/>
    <w:rsid w:val="001B0FF3"/>
    <w:rsid w:val="001B1E4D"/>
    <w:rsid w:val="001B213C"/>
    <w:rsid w:val="001B2999"/>
    <w:rsid w:val="001B3432"/>
    <w:rsid w:val="001B40C9"/>
    <w:rsid w:val="001B4242"/>
    <w:rsid w:val="001B4CBD"/>
    <w:rsid w:val="001B5595"/>
    <w:rsid w:val="001B5692"/>
    <w:rsid w:val="001B59EA"/>
    <w:rsid w:val="001B5E0A"/>
    <w:rsid w:val="001B60A9"/>
    <w:rsid w:val="001B683E"/>
    <w:rsid w:val="001B6CE2"/>
    <w:rsid w:val="001B6F4C"/>
    <w:rsid w:val="001B7316"/>
    <w:rsid w:val="001B7AEA"/>
    <w:rsid w:val="001C0191"/>
    <w:rsid w:val="001C1DBF"/>
    <w:rsid w:val="001C2102"/>
    <w:rsid w:val="001C21AF"/>
    <w:rsid w:val="001C2619"/>
    <w:rsid w:val="001C2726"/>
    <w:rsid w:val="001C350B"/>
    <w:rsid w:val="001C36BF"/>
    <w:rsid w:val="001C3A66"/>
    <w:rsid w:val="001C3F9E"/>
    <w:rsid w:val="001C4621"/>
    <w:rsid w:val="001C4B9B"/>
    <w:rsid w:val="001C56E9"/>
    <w:rsid w:val="001C5925"/>
    <w:rsid w:val="001C5B55"/>
    <w:rsid w:val="001C61B4"/>
    <w:rsid w:val="001C62BD"/>
    <w:rsid w:val="001C6447"/>
    <w:rsid w:val="001C6A1B"/>
    <w:rsid w:val="001C6CF7"/>
    <w:rsid w:val="001C754A"/>
    <w:rsid w:val="001C78C3"/>
    <w:rsid w:val="001D008F"/>
    <w:rsid w:val="001D066A"/>
    <w:rsid w:val="001D0ACC"/>
    <w:rsid w:val="001D0C37"/>
    <w:rsid w:val="001D0C6F"/>
    <w:rsid w:val="001D0EFF"/>
    <w:rsid w:val="001D11A1"/>
    <w:rsid w:val="001D1BA5"/>
    <w:rsid w:val="001D1FA1"/>
    <w:rsid w:val="001D3050"/>
    <w:rsid w:val="001D31A7"/>
    <w:rsid w:val="001D3E30"/>
    <w:rsid w:val="001D4162"/>
    <w:rsid w:val="001D475C"/>
    <w:rsid w:val="001D4837"/>
    <w:rsid w:val="001D4CBC"/>
    <w:rsid w:val="001D509F"/>
    <w:rsid w:val="001D5348"/>
    <w:rsid w:val="001D5AEB"/>
    <w:rsid w:val="001D62AA"/>
    <w:rsid w:val="001D6774"/>
    <w:rsid w:val="001D7CE9"/>
    <w:rsid w:val="001D7D3A"/>
    <w:rsid w:val="001E1515"/>
    <w:rsid w:val="001E199C"/>
    <w:rsid w:val="001E40D7"/>
    <w:rsid w:val="001E421D"/>
    <w:rsid w:val="001E49DC"/>
    <w:rsid w:val="001E4ED6"/>
    <w:rsid w:val="001E535A"/>
    <w:rsid w:val="001E5D77"/>
    <w:rsid w:val="001E5D91"/>
    <w:rsid w:val="001E614F"/>
    <w:rsid w:val="001E62D7"/>
    <w:rsid w:val="001E65D5"/>
    <w:rsid w:val="001E663E"/>
    <w:rsid w:val="001E6708"/>
    <w:rsid w:val="001E6F92"/>
    <w:rsid w:val="001E726A"/>
    <w:rsid w:val="001E7C01"/>
    <w:rsid w:val="001E7DB8"/>
    <w:rsid w:val="001F01EA"/>
    <w:rsid w:val="001F051E"/>
    <w:rsid w:val="001F0626"/>
    <w:rsid w:val="001F07B8"/>
    <w:rsid w:val="001F097A"/>
    <w:rsid w:val="001F110D"/>
    <w:rsid w:val="001F1D97"/>
    <w:rsid w:val="001F1F65"/>
    <w:rsid w:val="001F2689"/>
    <w:rsid w:val="001F2AD0"/>
    <w:rsid w:val="001F3416"/>
    <w:rsid w:val="001F3A9D"/>
    <w:rsid w:val="001F3ECD"/>
    <w:rsid w:val="001F3F1E"/>
    <w:rsid w:val="001F48F4"/>
    <w:rsid w:val="001F4B7C"/>
    <w:rsid w:val="001F4DD0"/>
    <w:rsid w:val="001F51F5"/>
    <w:rsid w:val="001F56D7"/>
    <w:rsid w:val="001F56DA"/>
    <w:rsid w:val="001F5799"/>
    <w:rsid w:val="001F5F46"/>
    <w:rsid w:val="001F6695"/>
    <w:rsid w:val="001F68A2"/>
    <w:rsid w:val="001F69E2"/>
    <w:rsid w:val="001F6DE2"/>
    <w:rsid w:val="001F6EB8"/>
    <w:rsid w:val="001F72D6"/>
    <w:rsid w:val="001F7414"/>
    <w:rsid w:val="001F7979"/>
    <w:rsid w:val="001F7DF4"/>
    <w:rsid w:val="0020034A"/>
    <w:rsid w:val="00200C0B"/>
    <w:rsid w:val="00201F7D"/>
    <w:rsid w:val="0020219D"/>
    <w:rsid w:val="002026E9"/>
    <w:rsid w:val="00202810"/>
    <w:rsid w:val="0020294E"/>
    <w:rsid w:val="002034CB"/>
    <w:rsid w:val="00203A04"/>
    <w:rsid w:val="00204102"/>
    <w:rsid w:val="0020434C"/>
    <w:rsid w:val="00204E57"/>
    <w:rsid w:val="00205103"/>
    <w:rsid w:val="00205D35"/>
    <w:rsid w:val="002063CB"/>
    <w:rsid w:val="00206D26"/>
    <w:rsid w:val="00207191"/>
    <w:rsid w:val="002071C2"/>
    <w:rsid w:val="00207214"/>
    <w:rsid w:val="00207236"/>
    <w:rsid w:val="00207436"/>
    <w:rsid w:val="00207A25"/>
    <w:rsid w:val="00207EC2"/>
    <w:rsid w:val="00210577"/>
    <w:rsid w:val="0021071E"/>
    <w:rsid w:val="00210B7A"/>
    <w:rsid w:val="00210E05"/>
    <w:rsid w:val="00211011"/>
    <w:rsid w:val="002119C1"/>
    <w:rsid w:val="002123C4"/>
    <w:rsid w:val="00212480"/>
    <w:rsid w:val="00212D26"/>
    <w:rsid w:val="00213059"/>
    <w:rsid w:val="0021324B"/>
    <w:rsid w:val="002137B7"/>
    <w:rsid w:val="00213A8D"/>
    <w:rsid w:val="002142E5"/>
    <w:rsid w:val="00214317"/>
    <w:rsid w:val="00214CD4"/>
    <w:rsid w:val="00214E8D"/>
    <w:rsid w:val="002156FE"/>
    <w:rsid w:val="0021581F"/>
    <w:rsid w:val="0021599D"/>
    <w:rsid w:val="002164E6"/>
    <w:rsid w:val="00216D6A"/>
    <w:rsid w:val="00217463"/>
    <w:rsid w:val="00217BC9"/>
    <w:rsid w:val="00217CC5"/>
    <w:rsid w:val="00217E50"/>
    <w:rsid w:val="00217EF6"/>
    <w:rsid w:val="00217FE2"/>
    <w:rsid w:val="00220418"/>
    <w:rsid w:val="00220508"/>
    <w:rsid w:val="00221A47"/>
    <w:rsid w:val="00221C5A"/>
    <w:rsid w:val="002222BF"/>
    <w:rsid w:val="00222739"/>
    <w:rsid w:val="00223258"/>
    <w:rsid w:val="002234C5"/>
    <w:rsid w:val="00223A81"/>
    <w:rsid w:val="00223CEF"/>
    <w:rsid w:val="0022582E"/>
    <w:rsid w:val="0022591F"/>
    <w:rsid w:val="00225CEA"/>
    <w:rsid w:val="00225D3E"/>
    <w:rsid w:val="00225ED7"/>
    <w:rsid w:val="00225FC0"/>
    <w:rsid w:val="0022638C"/>
    <w:rsid w:val="00226549"/>
    <w:rsid w:val="002268C0"/>
    <w:rsid w:val="0022695D"/>
    <w:rsid w:val="00226AC2"/>
    <w:rsid w:val="00227730"/>
    <w:rsid w:val="002278EA"/>
    <w:rsid w:val="002304CB"/>
    <w:rsid w:val="002310EA"/>
    <w:rsid w:val="0023136B"/>
    <w:rsid w:val="00231EC3"/>
    <w:rsid w:val="00232087"/>
    <w:rsid w:val="00232328"/>
    <w:rsid w:val="00232A23"/>
    <w:rsid w:val="00232FCC"/>
    <w:rsid w:val="002332C9"/>
    <w:rsid w:val="00233899"/>
    <w:rsid w:val="00233A84"/>
    <w:rsid w:val="00233E65"/>
    <w:rsid w:val="00234473"/>
    <w:rsid w:val="002349FB"/>
    <w:rsid w:val="00234CF0"/>
    <w:rsid w:val="00234EC8"/>
    <w:rsid w:val="00235057"/>
    <w:rsid w:val="002350B5"/>
    <w:rsid w:val="00235738"/>
    <w:rsid w:val="00235A20"/>
    <w:rsid w:val="00235B2F"/>
    <w:rsid w:val="00235CEF"/>
    <w:rsid w:val="002360B0"/>
    <w:rsid w:val="0023631D"/>
    <w:rsid w:val="00236A85"/>
    <w:rsid w:val="00237448"/>
    <w:rsid w:val="00237922"/>
    <w:rsid w:val="00237A8B"/>
    <w:rsid w:val="00240C6F"/>
    <w:rsid w:val="002418C3"/>
    <w:rsid w:val="002419BE"/>
    <w:rsid w:val="00241B43"/>
    <w:rsid w:val="0024237A"/>
    <w:rsid w:val="002428A1"/>
    <w:rsid w:val="00242F78"/>
    <w:rsid w:val="00242FFD"/>
    <w:rsid w:val="00243206"/>
    <w:rsid w:val="00243482"/>
    <w:rsid w:val="002438CD"/>
    <w:rsid w:val="00243A24"/>
    <w:rsid w:val="00243ADC"/>
    <w:rsid w:val="00243C3B"/>
    <w:rsid w:val="00243D90"/>
    <w:rsid w:val="002441C3"/>
    <w:rsid w:val="002447CF"/>
    <w:rsid w:val="00244DBE"/>
    <w:rsid w:val="0024509E"/>
    <w:rsid w:val="00245465"/>
    <w:rsid w:val="002471DE"/>
    <w:rsid w:val="00247496"/>
    <w:rsid w:val="00247542"/>
    <w:rsid w:val="00247994"/>
    <w:rsid w:val="00247AB5"/>
    <w:rsid w:val="0025077E"/>
    <w:rsid w:val="00251AD5"/>
    <w:rsid w:val="00251C1B"/>
    <w:rsid w:val="002522F2"/>
    <w:rsid w:val="002526D9"/>
    <w:rsid w:val="0025280F"/>
    <w:rsid w:val="00252A6D"/>
    <w:rsid w:val="002533EB"/>
    <w:rsid w:val="00253507"/>
    <w:rsid w:val="002546CC"/>
    <w:rsid w:val="00254A36"/>
    <w:rsid w:val="00255288"/>
    <w:rsid w:val="00255656"/>
    <w:rsid w:val="002558B4"/>
    <w:rsid w:val="00255A14"/>
    <w:rsid w:val="0025606E"/>
    <w:rsid w:val="00256075"/>
    <w:rsid w:val="00256190"/>
    <w:rsid w:val="002561F0"/>
    <w:rsid w:val="0025629A"/>
    <w:rsid w:val="00256C40"/>
    <w:rsid w:val="00256E15"/>
    <w:rsid w:val="00257335"/>
    <w:rsid w:val="002574A8"/>
    <w:rsid w:val="00257F55"/>
    <w:rsid w:val="00260036"/>
    <w:rsid w:val="002604E7"/>
    <w:rsid w:val="00260EA3"/>
    <w:rsid w:val="0026142D"/>
    <w:rsid w:val="002616A1"/>
    <w:rsid w:val="00261DA7"/>
    <w:rsid w:val="00261E84"/>
    <w:rsid w:val="00262064"/>
    <w:rsid w:val="00262128"/>
    <w:rsid w:val="0026257E"/>
    <w:rsid w:val="00262F3F"/>
    <w:rsid w:val="00263998"/>
    <w:rsid w:val="00263C5F"/>
    <w:rsid w:val="00263F22"/>
    <w:rsid w:val="00264078"/>
    <w:rsid w:val="00264D06"/>
    <w:rsid w:val="00264FA2"/>
    <w:rsid w:val="00265535"/>
    <w:rsid w:val="00265612"/>
    <w:rsid w:val="00265F7B"/>
    <w:rsid w:val="0026634B"/>
    <w:rsid w:val="002669F7"/>
    <w:rsid w:val="00266B75"/>
    <w:rsid w:val="00267C7F"/>
    <w:rsid w:val="00270073"/>
    <w:rsid w:val="00270661"/>
    <w:rsid w:val="0027075D"/>
    <w:rsid w:val="002712F8"/>
    <w:rsid w:val="00271A28"/>
    <w:rsid w:val="00271A9A"/>
    <w:rsid w:val="00271B68"/>
    <w:rsid w:val="00271C42"/>
    <w:rsid w:val="002728F5"/>
    <w:rsid w:val="002729B7"/>
    <w:rsid w:val="0027305A"/>
    <w:rsid w:val="00273499"/>
    <w:rsid w:val="00273972"/>
    <w:rsid w:val="00273F84"/>
    <w:rsid w:val="00274143"/>
    <w:rsid w:val="00274A15"/>
    <w:rsid w:val="00274A7C"/>
    <w:rsid w:val="00275726"/>
    <w:rsid w:val="00275D31"/>
    <w:rsid w:val="00276232"/>
    <w:rsid w:val="002767A6"/>
    <w:rsid w:val="00276C00"/>
    <w:rsid w:val="00277091"/>
    <w:rsid w:val="002773F3"/>
    <w:rsid w:val="00277647"/>
    <w:rsid w:val="00277798"/>
    <w:rsid w:val="00277E4E"/>
    <w:rsid w:val="002800C1"/>
    <w:rsid w:val="00280111"/>
    <w:rsid w:val="00280239"/>
    <w:rsid w:val="002805A2"/>
    <w:rsid w:val="0028079D"/>
    <w:rsid w:val="00280AFE"/>
    <w:rsid w:val="0028144A"/>
    <w:rsid w:val="00281473"/>
    <w:rsid w:val="002814B0"/>
    <w:rsid w:val="002814E6"/>
    <w:rsid w:val="00281634"/>
    <w:rsid w:val="002828A8"/>
    <w:rsid w:val="0028373A"/>
    <w:rsid w:val="00283C22"/>
    <w:rsid w:val="00284254"/>
    <w:rsid w:val="00284516"/>
    <w:rsid w:val="00284C2D"/>
    <w:rsid w:val="00284F7A"/>
    <w:rsid w:val="002859D9"/>
    <w:rsid w:val="002864B4"/>
    <w:rsid w:val="002867BE"/>
    <w:rsid w:val="0028735F"/>
    <w:rsid w:val="00287FDC"/>
    <w:rsid w:val="00290409"/>
    <w:rsid w:val="00290C9E"/>
    <w:rsid w:val="002911C6"/>
    <w:rsid w:val="00291B44"/>
    <w:rsid w:val="00291E12"/>
    <w:rsid w:val="002922BB"/>
    <w:rsid w:val="0029338B"/>
    <w:rsid w:val="00294A9A"/>
    <w:rsid w:val="00294C19"/>
    <w:rsid w:val="0029516A"/>
    <w:rsid w:val="00295EC7"/>
    <w:rsid w:val="0029619F"/>
    <w:rsid w:val="00296C5F"/>
    <w:rsid w:val="002973E0"/>
    <w:rsid w:val="00297611"/>
    <w:rsid w:val="002976B0"/>
    <w:rsid w:val="00297A35"/>
    <w:rsid w:val="002A07E0"/>
    <w:rsid w:val="002A0933"/>
    <w:rsid w:val="002A0BC9"/>
    <w:rsid w:val="002A0DDB"/>
    <w:rsid w:val="002A0E4C"/>
    <w:rsid w:val="002A1584"/>
    <w:rsid w:val="002A1A54"/>
    <w:rsid w:val="002A2312"/>
    <w:rsid w:val="002A2762"/>
    <w:rsid w:val="002A2875"/>
    <w:rsid w:val="002A2A6B"/>
    <w:rsid w:val="002A2B1C"/>
    <w:rsid w:val="002A2CA5"/>
    <w:rsid w:val="002A3AB7"/>
    <w:rsid w:val="002A4325"/>
    <w:rsid w:val="002A47E1"/>
    <w:rsid w:val="002A5B61"/>
    <w:rsid w:val="002A5B68"/>
    <w:rsid w:val="002A6150"/>
    <w:rsid w:val="002A655F"/>
    <w:rsid w:val="002A6A08"/>
    <w:rsid w:val="002A7161"/>
    <w:rsid w:val="002A7846"/>
    <w:rsid w:val="002B003B"/>
    <w:rsid w:val="002B0116"/>
    <w:rsid w:val="002B06F8"/>
    <w:rsid w:val="002B07F4"/>
    <w:rsid w:val="002B0F0C"/>
    <w:rsid w:val="002B13CA"/>
    <w:rsid w:val="002B150F"/>
    <w:rsid w:val="002B1CBD"/>
    <w:rsid w:val="002B1DDD"/>
    <w:rsid w:val="002B1F82"/>
    <w:rsid w:val="002B2776"/>
    <w:rsid w:val="002B2B9E"/>
    <w:rsid w:val="002B2BC0"/>
    <w:rsid w:val="002B2C9F"/>
    <w:rsid w:val="002B38C2"/>
    <w:rsid w:val="002B3ECD"/>
    <w:rsid w:val="002B4781"/>
    <w:rsid w:val="002B5053"/>
    <w:rsid w:val="002B56A6"/>
    <w:rsid w:val="002B5AE4"/>
    <w:rsid w:val="002B6272"/>
    <w:rsid w:val="002B6392"/>
    <w:rsid w:val="002B7337"/>
    <w:rsid w:val="002B733A"/>
    <w:rsid w:val="002C187F"/>
    <w:rsid w:val="002C1C20"/>
    <w:rsid w:val="002C2B99"/>
    <w:rsid w:val="002C2BE9"/>
    <w:rsid w:val="002C2F5F"/>
    <w:rsid w:val="002C375B"/>
    <w:rsid w:val="002C397E"/>
    <w:rsid w:val="002C405F"/>
    <w:rsid w:val="002C423F"/>
    <w:rsid w:val="002C42ED"/>
    <w:rsid w:val="002C438E"/>
    <w:rsid w:val="002C44F1"/>
    <w:rsid w:val="002C49FD"/>
    <w:rsid w:val="002C4E55"/>
    <w:rsid w:val="002C59D4"/>
    <w:rsid w:val="002C5E99"/>
    <w:rsid w:val="002C5FBD"/>
    <w:rsid w:val="002C6227"/>
    <w:rsid w:val="002C7A89"/>
    <w:rsid w:val="002D007F"/>
    <w:rsid w:val="002D0462"/>
    <w:rsid w:val="002D083F"/>
    <w:rsid w:val="002D12FC"/>
    <w:rsid w:val="002D14C7"/>
    <w:rsid w:val="002D15DA"/>
    <w:rsid w:val="002D1E84"/>
    <w:rsid w:val="002D2C2D"/>
    <w:rsid w:val="002D3131"/>
    <w:rsid w:val="002D3680"/>
    <w:rsid w:val="002D3856"/>
    <w:rsid w:val="002D3EC2"/>
    <w:rsid w:val="002D49F5"/>
    <w:rsid w:val="002D4AB4"/>
    <w:rsid w:val="002D5B0C"/>
    <w:rsid w:val="002D5F4E"/>
    <w:rsid w:val="002D64B4"/>
    <w:rsid w:val="002D66B7"/>
    <w:rsid w:val="002D6F8A"/>
    <w:rsid w:val="002E0946"/>
    <w:rsid w:val="002E0EE9"/>
    <w:rsid w:val="002E0F87"/>
    <w:rsid w:val="002E1520"/>
    <w:rsid w:val="002E1B06"/>
    <w:rsid w:val="002E1C29"/>
    <w:rsid w:val="002E1F75"/>
    <w:rsid w:val="002E2784"/>
    <w:rsid w:val="002E3212"/>
    <w:rsid w:val="002E49B1"/>
    <w:rsid w:val="002E4DBC"/>
    <w:rsid w:val="002E5688"/>
    <w:rsid w:val="002E60F6"/>
    <w:rsid w:val="002E62BE"/>
    <w:rsid w:val="002E6452"/>
    <w:rsid w:val="002E6527"/>
    <w:rsid w:val="002E654E"/>
    <w:rsid w:val="002E6F0C"/>
    <w:rsid w:val="002E7C64"/>
    <w:rsid w:val="002E7E0D"/>
    <w:rsid w:val="002F0132"/>
    <w:rsid w:val="002F054E"/>
    <w:rsid w:val="002F0606"/>
    <w:rsid w:val="002F0833"/>
    <w:rsid w:val="002F0978"/>
    <w:rsid w:val="002F0A2C"/>
    <w:rsid w:val="002F17AE"/>
    <w:rsid w:val="002F26C2"/>
    <w:rsid w:val="002F29F2"/>
    <w:rsid w:val="002F2A7E"/>
    <w:rsid w:val="002F2B49"/>
    <w:rsid w:val="002F2D2C"/>
    <w:rsid w:val="002F31F7"/>
    <w:rsid w:val="002F374B"/>
    <w:rsid w:val="002F38C8"/>
    <w:rsid w:val="002F3BE5"/>
    <w:rsid w:val="002F3FB6"/>
    <w:rsid w:val="002F42F8"/>
    <w:rsid w:val="002F484A"/>
    <w:rsid w:val="002F57F2"/>
    <w:rsid w:val="002F5C95"/>
    <w:rsid w:val="002F61A5"/>
    <w:rsid w:val="002F627C"/>
    <w:rsid w:val="002F67B6"/>
    <w:rsid w:val="002F7E1B"/>
    <w:rsid w:val="003004D3"/>
    <w:rsid w:val="00301061"/>
    <w:rsid w:val="00301B90"/>
    <w:rsid w:val="003021CC"/>
    <w:rsid w:val="00302793"/>
    <w:rsid w:val="00302D82"/>
    <w:rsid w:val="00302DD9"/>
    <w:rsid w:val="00302EE1"/>
    <w:rsid w:val="0030301F"/>
    <w:rsid w:val="00303B1E"/>
    <w:rsid w:val="00303BCC"/>
    <w:rsid w:val="00304C37"/>
    <w:rsid w:val="0030702A"/>
    <w:rsid w:val="00307F0F"/>
    <w:rsid w:val="003107A0"/>
    <w:rsid w:val="003115FD"/>
    <w:rsid w:val="00311E50"/>
    <w:rsid w:val="00312243"/>
    <w:rsid w:val="0031242F"/>
    <w:rsid w:val="003126AA"/>
    <w:rsid w:val="003129A3"/>
    <w:rsid w:val="00313819"/>
    <w:rsid w:val="00313F79"/>
    <w:rsid w:val="00313FC1"/>
    <w:rsid w:val="00314FF4"/>
    <w:rsid w:val="00315A5D"/>
    <w:rsid w:val="00315C89"/>
    <w:rsid w:val="00315CEF"/>
    <w:rsid w:val="00315DD4"/>
    <w:rsid w:val="00316911"/>
    <w:rsid w:val="00317457"/>
    <w:rsid w:val="00317A68"/>
    <w:rsid w:val="00317C34"/>
    <w:rsid w:val="003203A1"/>
    <w:rsid w:val="0032053B"/>
    <w:rsid w:val="00320DBA"/>
    <w:rsid w:val="00320F09"/>
    <w:rsid w:val="0032156D"/>
    <w:rsid w:val="003215DC"/>
    <w:rsid w:val="003217C5"/>
    <w:rsid w:val="003223FF"/>
    <w:rsid w:val="003224A4"/>
    <w:rsid w:val="00322563"/>
    <w:rsid w:val="00322A69"/>
    <w:rsid w:val="0032321E"/>
    <w:rsid w:val="00323A4F"/>
    <w:rsid w:val="00324586"/>
    <w:rsid w:val="00325413"/>
    <w:rsid w:val="00325789"/>
    <w:rsid w:val="00325A45"/>
    <w:rsid w:val="00325A8C"/>
    <w:rsid w:val="003263B2"/>
    <w:rsid w:val="003263F7"/>
    <w:rsid w:val="00326762"/>
    <w:rsid w:val="00326ACF"/>
    <w:rsid w:val="00326EB4"/>
    <w:rsid w:val="0032766A"/>
    <w:rsid w:val="003278B0"/>
    <w:rsid w:val="00327A55"/>
    <w:rsid w:val="00330693"/>
    <w:rsid w:val="0033093A"/>
    <w:rsid w:val="00330A63"/>
    <w:rsid w:val="00330AC3"/>
    <w:rsid w:val="00330CB6"/>
    <w:rsid w:val="00331286"/>
    <w:rsid w:val="00331382"/>
    <w:rsid w:val="00331A31"/>
    <w:rsid w:val="0033299E"/>
    <w:rsid w:val="00332E40"/>
    <w:rsid w:val="00332EA4"/>
    <w:rsid w:val="00333032"/>
    <w:rsid w:val="00333214"/>
    <w:rsid w:val="003332A3"/>
    <w:rsid w:val="00333469"/>
    <w:rsid w:val="0033540D"/>
    <w:rsid w:val="00335981"/>
    <w:rsid w:val="00335D3B"/>
    <w:rsid w:val="00335EA7"/>
    <w:rsid w:val="00336A13"/>
    <w:rsid w:val="00336B09"/>
    <w:rsid w:val="00336CF9"/>
    <w:rsid w:val="00336E00"/>
    <w:rsid w:val="00337514"/>
    <w:rsid w:val="00337941"/>
    <w:rsid w:val="003379D1"/>
    <w:rsid w:val="003400AF"/>
    <w:rsid w:val="003401BE"/>
    <w:rsid w:val="00341998"/>
    <w:rsid w:val="00341DEA"/>
    <w:rsid w:val="00342524"/>
    <w:rsid w:val="003428E6"/>
    <w:rsid w:val="00343183"/>
    <w:rsid w:val="00343A2F"/>
    <w:rsid w:val="00343D05"/>
    <w:rsid w:val="00343FA7"/>
    <w:rsid w:val="00344370"/>
    <w:rsid w:val="00344789"/>
    <w:rsid w:val="00344BAC"/>
    <w:rsid w:val="00344EED"/>
    <w:rsid w:val="0034533C"/>
    <w:rsid w:val="0034635A"/>
    <w:rsid w:val="003464FD"/>
    <w:rsid w:val="00346E82"/>
    <w:rsid w:val="003473B1"/>
    <w:rsid w:val="003475BA"/>
    <w:rsid w:val="00347E11"/>
    <w:rsid w:val="0035188F"/>
    <w:rsid w:val="00351C7E"/>
    <w:rsid w:val="00352404"/>
    <w:rsid w:val="00352603"/>
    <w:rsid w:val="00352E95"/>
    <w:rsid w:val="00353187"/>
    <w:rsid w:val="00353324"/>
    <w:rsid w:val="00353C28"/>
    <w:rsid w:val="00354876"/>
    <w:rsid w:val="0035543A"/>
    <w:rsid w:val="00355DD5"/>
    <w:rsid w:val="00355E54"/>
    <w:rsid w:val="003564DD"/>
    <w:rsid w:val="00356691"/>
    <w:rsid w:val="00356B2A"/>
    <w:rsid w:val="00356B65"/>
    <w:rsid w:val="00356F38"/>
    <w:rsid w:val="00360837"/>
    <w:rsid w:val="00360CA0"/>
    <w:rsid w:val="00360EED"/>
    <w:rsid w:val="003622B0"/>
    <w:rsid w:val="0036272D"/>
    <w:rsid w:val="003647B1"/>
    <w:rsid w:val="00364C57"/>
    <w:rsid w:val="00364F12"/>
    <w:rsid w:val="00365146"/>
    <w:rsid w:val="00365476"/>
    <w:rsid w:val="00365F05"/>
    <w:rsid w:val="00366CF5"/>
    <w:rsid w:val="00367439"/>
    <w:rsid w:val="00367C8A"/>
    <w:rsid w:val="003703D5"/>
    <w:rsid w:val="00370E8A"/>
    <w:rsid w:val="003711E0"/>
    <w:rsid w:val="0037139B"/>
    <w:rsid w:val="00371564"/>
    <w:rsid w:val="00371A7C"/>
    <w:rsid w:val="00371C70"/>
    <w:rsid w:val="003731CA"/>
    <w:rsid w:val="00373205"/>
    <w:rsid w:val="003734A7"/>
    <w:rsid w:val="00373885"/>
    <w:rsid w:val="00373903"/>
    <w:rsid w:val="00373BCD"/>
    <w:rsid w:val="00373D2D"/>
    <w:rsid w:val="003740A7"/>
    <w:rsid w:val="00374851"/>
    <w:rsid w:val="00374C0C"/>
    <w:rsid w:val="00374F61"/>
    <w:rsid w:val="0037511E"/>
    <w:rsid w:val="003753D7"/>
    <w:rsid w:val="00375BA0"/>
    <w:rsid w:val="003761A7"/>
    <w:rsid w:val="003761B6"/>
    <w:rsid w:val="003766AC"/>
    <w:rsid w:val="00376838"/>
    <w:rsid w:val="00376A4F"/>
    <w:rsid w:val="00376A50"/>
    <w:rsid w:val="00376E22"/>
    <w:rsid w:val="00377174"/>
    <w:rsid w:val="003771AD"/>
    <w:rsid w:val="00377747"/>
    <w:rsid w:val="003812BF"/>
    <w:rsid w:val="0038163B"/>
    <w:rsid w:val="003819BB"/>
    <w:rsid w:val="00381B0C"/>
    <w:rsid w:val="00381F9D"/>
    <w:rsid w:val="003823BB"/>
    <w:rsid w:val="003823FB"/>
    <w:rsid w:val="003825A8"/>
    <w:rsid w:val="003829F6"/>
    <w:rsid w:val="00382AB3"/>
    <w:rsid w:val="00382F09"/>
    <w:rsid w:val="00382F3B"/>
    <w:rsid w:val="003837DF"/>
    <w:rsid w:val="003838E2"/>
    <w:rsid w:val="003838F0"/>
    <w:rsid w:val="00383AEF"/>
    <w:rsid w:val="00384303"/>
    <w:rsid w:val="00384762"/>
    <w:rsid w:val="003863FB"/>
    <w:rsid w:val="0038699A"/>
    <w:rsid w:val="00386EBC"/>
    <w:rsid w:val="00386ECB"/>
    <w:rsid w:val="0038767A"/>
    <w:rsid w:val="00387B8B"/>
    <w:rsid w:val="00390505"/>
    <w:rsid w:val="0039071E"/>
    <w:rsid w:val="003908CD"/>
    <w:rsid w:val="003910A2"/>
    <w:rsid w:val="00391141"/>
    <w:rsid w:val="0039150F"/>
    <w:rsid w:val="003919DC"/>
    <w:rsid w:val="00391E62"/>
    <w:rsid w:val="00392252"/>
    <w:rsid w:val="0039279E"/>
    <w:rsid w:val="00393624"/>
    <w:rsid w:val="003936AA"/>
    <w:rsid w:val="0039498F"/>
    <w:rsid w:val="00395F6E"/>
    <w:rsid w:val="003963DE"/>
    <w:rsid w:val="0039668C"/>
    <w:rsid w:val="003970B5"/>
    <w:rsid w:val="0039710C"/>
    <w:rsid w:val="00397881"/>
    <w:rsid w:val="00397A0E"/>
    <w:rsid w:val="00397E19"/>
    <w:rsid w:val="00397EF8"/>
    <w:rsid w:val="003A0201"/>
    <w:rsid w:val="003A0225"/>
    <w:rsid w:val="003A0258"/>
    <w:rsid w:val="003A0F57"/>
    <w:rsid w:val="003A170D"/>
    <w:rsid w:val="003A23BE"/>
    <w:rsid w:val="003A2543"/>
    <w:rsid w:val="003A265D"/>
    <w:rsid w:val="003A28C7"/>
    <w:rsid w:val="003A29DA"/>
    <w:rsid w:val="003A2AFD"/>
    <w:rsid w:val="003A2C34"/>
    <w:rsid w:val="003A354C"/>
    <w:rsid w:val="003A3DA5"/>
    <w:rsid w:val="003A3EA4"/>
    <w:rsid w:val="003A44BA"/>
    <w:rsid w:val="003A4676"/>
    <w:rsid w:val="003A4719"/>
    <w:rsid w:val="003A4869"/>
    <w:rsid w:val="003A52A5"/>
    <w:rsid w:val="003A54D9"/>
    <w:rsid w:val="003A5FC0"/>
    <w:rsid w:val="003A6A76"/>
    <w:rsid w:val="003A6F79"/>
    <w:rsid w:val="003A7960"/>
    <w:rsid w:val="003B07AB"/>
    <w:rsid w:val="003B09C9"/>
    <w:rsid w:val="003B0B30"/>
    <w:rsid w:val="003B0EA4"/>
    <w:rsid w:val="003B1E69"/>
    <w:rsid w:val="003B1E85"/>
    <w:rsid w:val="003B2874"/>
    <w:rsid w:val="003B3260"/>
    <w:rsid w:val="003B41DA"/>
    <w:rsid w:val="003B47B0"/>
    <w:rsid w:val="003B5089"/>
    <w:rsid w:val="003B51F2"/>
    <w:rsid w:val="003B55D2"/>
    <w:rsid w:val="003B68C0"/>
    <w:rsid w:val="003B6F37"/>
    <w:rsid w:val="003B74D0"/>
    <w:rsid w:val="003B7A06"/>
    <w:rsid w:val="003C04A4"/>
    <w:rsid w:val="003C09E6"/>
    <w:rsid w:val="003C10B6"/>
    <w:rsid w:val="003C10DD"/>
    <w:rsid w:val="003C3282"/>
    <w:rsid w:val="003C3825"/>
    <w:rsid w:val="003C4358"/>
    <w:rsid w:val="003C4F43"/>
    <w:rsid w:val="003C563F"/>
    <w:rsid w:val="003C582F"/>
    <w:rsid w:val="003C5A1C"/>
    <w:rsid w:val="003C69FD"/>
    <w:rsid w:val="003C6D2A"/>
    <w:rsid w:val="003C700E"/>
    <w:rsid w:val="003C7819"/>
    <w:rsid w:val="003C7B46"/>
    <w:rsid w:val="003C7C6D"/>
    <w:rsid w:val="003C7DDE"/>
    <w:rsid w:val="003C7EF0"/>
    <w:rsid w:val="003D083D"/>
    <w:rsid w:val="003D08C3"/>
    <w:rsid w:val="003D09E4"/>
    <w:rsid w:val="003D1278"/>
    <w:rsid w:val="003D1419"/>
    <w:rsid w:val="003D142D"/>
    <w:rsid w:val="003D148B"/>
    <w:rsid w:val="003D17BB"/>
    <w:rsid w:val="003D1AA8"/>
    <w:rsid w:val="003D2534"/>
    <w:rsid w:val="003D2924"/>
    <w:rsid w:val="003D2B64"/>
    <w:rsid w:val="003D2D64"/>
    <w:rsid w:val="003D2FC0"/>
    <w:rsid w:val="003D358F"/>
    <w:rsid w:val="003D35EF"/>
    <w:rsid w:val="003D41C8"/>
    <w:rsid w:val="003D439E"/>
    <w:rsid w:val="003D514B"/>
    <w:rsid w:val="003D517A"/>
    <w:rsid w:val="003D5796"/>
    <w:rsid w:val="003D5ECB"/>
    <w:rsid w:val="003D62E6"/>
    <w:rsid w:val="003D6439"/>
    <w:rsid w:val="003D689A"/>
    <w:rsid w:val="003D6C6C"/>
    <w:rsid w:val="003D74FE"/>
    <w:rsid w:val="003D7E15"/>
    <w:rsid w:val="003E02B3"/>
    <w:rsid w:val="003E04CC"/>
    <w:rsid w:val="003E064E"/>
    <w:rsid w:val="003E07C6"/>
    <w:rsid w:val="003E081F"/>
    <w:rsid w:val="003E08DC"/>
    <w:rsid w:val="003E1442"/>
    <w:rsid w:val="003E1F38"/>
    <w:rsid w:val="003E2678"/>
    <w:rsid w:val="003E349F"/>
    <w:rsid w:val="003E3CD2"/>
    <w:rsid w:val="003E4052"/>
    <w:rsid w:val="003E4C25"/>
    <w:rsid w:val="003E4DAF"/>
    <w:rsid w:val="003E4DD0"/>
    <w:rsid w:val="003E5360"/>
    <w:rsid w:val="003E61B1"/>
    <w:rsid w:val="003E6ABD"/>
    <w:rsid w:val="003E6B8F"/>
    <w:rsid w:val="003E6CFC"/>
    <w:rsid w:val="003E6F00"/>
    <w:rsid w:val="003E6F31"/>
    <w:rsid w:val="003E724D"/>
    <w:rsid w:val="003E7674"/>
    <w:rsid w:val="003F01C6"/>
    <w:rsid w:val="003F0919"/>
    <w:rsid w:val="003F1829"/>
    <w:rsid w:val="003F1DE5"/>
    <w:rsid w:val="003F2211"/>
    <w:rsid w:val="003F2352"/>
    <w:rsid w:val="003F23D7"/>
    <w:rsid w:val="003F311F"/>
    <w:rsid w:val="003F4450"/>
    <w:rsid w:val="003F4511"/>
    <w:rsid w:val="003F4615"/>
    <w:rsid w:val="003F563E"/>
    <w:rsid w:val="003F5C36"/>
    <w:rsid w:val="003F5E13"/>
    <w:rsid w:val="003F62BD"/>
    <w:rsid w:val="003F726B"/>
    <w:rsid w:val="003F7F07"/>
    <w:rsid w:val="0040001E"/>
    <w:rsid w:val="004002F6"/>
    <w:rsid w:val="00400E06"/>
    <w:rsid w:val="004018EE"/>
    <w:rsid w:val="00401A27"/>
    <w:rsid w:val="004020D5"/>
    <w:rsid w:val="004022B3"/>
    <w:rsid w:val="0040231B"/>
    <w:rsid w:val="004038E6"/>
    <w:rsid w:val="004043D8"/>
    <w:rsid w:val="004044C0"/>
    <w:rsid w:val="00404E3F"/>
    <w:rsid w:val="004050D4"/>
    <w:rsid w:val="00405530"/>
    <w:rsid w:val="00405DB9"/>
    <w:rsid w:val="00405F70"/>
    <w:rsid w:val="00406127"/>
    <w:rsid w:val="004067B5"/>
    <w:rsid w:val="00406A35"/>
    <w:rsid w:val="00406CBE"/>
    <w:rsid w:val="00407D6A"/>
    <w:rsid w:val="00410E2B"/>
    <w:rsid w:val="0041106B"/>
    <w:rsid w:val="0041108C"/>
    <w:rsid w:val="00411130"/>
    <w:rsid w:val="004111B3"/>
    <w:rsid w:val="004112B3"/>
    <w:rsid w:val="0041160E"/>
    <w:rsid w:val="0041174A"/>
    <w:rsid w:val="00411F8F"/>
    <w:rsid w:val="0041280E"/>
    <w:rsid w:val="00412CE4"/>
    <w:rsid w:val="00413266"/>
    <w:rsid w:val="0041496E"/>
    <w:rsid w:val="00415B54"/>
    <w:rsid w:val="00416147"/>
    <w:rsid w:val="004161C0"/>
    <w:rsid w:val="004165D1"/>
    <w:rsid w:val="00416868"/>
    <w:rsid w:val="00417003"/>
    <w:rsid w:val="004175B3"/>
    <w:rsid w:val="004176EB"/>
    <w:rsid w:val="004202B2"/>
    <w:rsid w:val="004205C7"/>
    <w:rsid w:val="00420781"/>
    <w:rsid w:val="00420874"/>
    <w:rsid w:val="00420B08"/>
    <w:rsid w:val="00420C8F"/>
    <w:rsid w:val="00420F0E"/>
    <w:rsid w:val="0042243E"/>
    <w:rsid w:val="004227B4"/>
    <w:rsid w:val="00422871"/>
    <w:rsid w:val="00422A8E"/>
    <w:rsid w:val="004237DB"/>
    <w:rsid w:val="004242BA"/>
    <w:rsid w:val="004246BE"/>
    <w:rsid w:val="004249B0"/>
    <w:rsid w:val="00424A1A"/>
    <w:rsid w:val="00424DFD"/>
    <w:rsid w:val="0042516E"/>
    <w:rsid w:val="00425A7E"/>
    <w:rsid w:val="00425E38"/>
    <w:rsid w:val="00426164"/>
    <w:rsid w:val="004262DA"/>
    <w:rsid w:val="00427660"/>
    <w:rsid w:val="0042797F"/>
    <w:rsid w:val="00427B61"/>
    <w:rsid w:val="00427EBD"/>
    <w:rsid w:val="00427F7E"/>
    <w:rsid w:val="004313A1"/>
    <w:rsid w:val="00431534"/>
    <w:rsid w:val="00432165"/>
    <w:rsid w:val="00433538"/>
    <w:rsid w:val="0043454A"/>
    <w:rsid w:val="0043504A"/>
    <w:rsid w:val="00435409"/>
    <w:rsid w:val="00435FF0"/>
    <w:rsid w:val="0043634F"/>
    <w:rsid w:val="00436C27"/>
    <w:rsid w:val="00437007"/>
    <w:rsid w:val="004373C9"/>
    <w:rsid w:val="00437463"/>
    <w:rsid w:val="00437F20"/>
    <w:rsid w:val="004400C2"/>
    <w:rsid w:val="00441048"/>
    <w:rsid w:val="0044111B"/>
    <w:rsid w:val="00441B5A"/>
    <w:rsid w:val="004422EB"/>
    <w:rsid w:val="00442AF0"/>
    <w:rsid w:val="00442E72"/>
    <w:rsid w:val="00443AC8"/>
    <w:rsid w:val="00443DB5"/>
    <w:rsid w:val="00443DEF"/>
    <w:rsid w:val="00444102"/>
    <w:rsid w:val="0044421E"/>
    <w:rsid w:val="00444672"/>
    <w:rsid w:val="004446EE"/>
    <w:rsid w:val="004450F9"/>
    <w:rsid w:val="00445592"/>
    <w:rsid w:val="004456C7"/>
    <w:rsid w:val="00446113"/>
    <w:rsid w:val="0044619F"/>
    <w:rsid w:val="00446C8F"/>
    <w:rsid w:val="00447359"/>
    <w:rsid w:val="0044740E"/>
    <w:rsid w:val="004502BD"/>
    <w:rsid w:val="004509DC"/>
    <w:rsid w:val="00451124"/>
    <w:rsid w:val="0045170C"/>
    <w:rsid w:val="00451A32"/>
    <w:rsid w:val="00453734"/>
    <w:rsid w:val="004538B9"/>
    <w:rsid w:val="00454025"/>
    <w:rsid w:val="0045431B"/>
    <w:rsid w:val="00455028"/>
    <w:rsid w:val="00455823"/>
    <w:rsid w:val="0045645D"/>
    <w:rsid w:val="004567BC"/>
    <w:rsid w:val="004570C5"/>
    <w:rsid w:val="0045789C"/>
    <w:rsid w:val="004579C1"/>
    <w:rsid w:val="0046028A"/>
    <w:rsid w:val="004603FD"/>
    <w:rsid w:val="0046060B"/>
    <w:rsid w:val="00460AD7"/>
    <w:rsid w:val="0046102E"/>
    <w:rsid w:val="00461325"/>
    <w:rsid w:val="0046263C"/>
    <w:rsid w:val="00462705"/>
    <w:rsid w:val="00462872"/>
    <w:rsid w:val="00462A73"/>
    <w:rsid w:val="00463014"/>
    <w:rsid w:val="004636AC"/>
    <w:rsid w:val="00464507"/>
    <w:rsid w:val="00464572"/>
    <w:rsid w:val="00464A59"/>
    <w:rsid w:val="00464DF1"/>
    <w:rsid w:val="004650A6"/>
    <w:rsid w:val="004659FF"/>
    <w:rsid w:val="00465CCA"/>
    <w:rsid w:val="00465D21"/>
    <w:rsid w:val="004667C4"/>
    <w:rsid w:val="00466AF2"/>
    <w:rsid w:val="00466D4D"/>
    <w:rsid w:val="00467063"/>
    <w:rsid w:val="004670F7"/>
    <w:rsid w:val="004672DC"/>
    <w:rsid w:val="004679DE"/>
    <w:rsid w:val="00467CA8"/>
    <w:rsid w:val="00467F9C"/>
    <w:rsid w:val="00470049"/>
    <w:rsid w:val="0047046A"/>
    <w:rsid w:val="00470EB7"/>
    <w:rsid w:val="00470FC9"/>
    <w:rsid w:val="00471A22"/>
    <w:rsid w:val="00472008"/>
    <w:rsid w:val="00472A93"/>
    <w:rsid w:val="00472C06"/>
    <w:rsid w:val="00472E3D"/>
    <w:rsid w:val="00472F46"/>
    <w:rsid w:val="00473307"/>
    <w:rsid w:val="004739C9"/>
    <w:rsid w:val="00474247"/>
    <w:rsid w:val="00474BC5"/>
    <w:rsid w:val="00474BD4"/>
    <w:rsid w:val="00474CE8"/>
    <w:rsid w:val="00474E92"/>
    <w:rsid w:val="00474FDB"/>
    <w:rsid w:val="004752F3"/>
    <w:rsid w:val="00475501"/>
    <w:rsid w:val="00475AC3"/>
    <w:rsid w:val="004766F3"/>
    <w:rsid w:val="00476988"/>
    <w:rsid w:val="004772B9"/>
    <w:rsid w:val="00477999"/>
    <w:rsid w:val="00477B98"/>
    <w:rsid w:val="0048011E"/>
    <w:rsid w:val="00480699"/>
    <w:rsid w:val="00480CE1"/>
    <w:rsid w:val="00481665"/>
    <w:rsid w:val="00481778"/>
    <w:rsid w:val="004817A6"/>
    <w:rsid w:val="00481868"/>
    <w:rsid w:val="00481B12"/>
    <w:rsid w:val="004823D6"/>
    <w:rsid w:val="004826D2"/>
    <w:rsid w:val="00482B57"/>
    <w:rsid w:val="00482FDF"/>
    <w:rsid w:val="00483593"/>
    <w:rsid w:val="00483676"/>
    <w:rsid w:val="004839DA"/>
    <w:rsid w:val="00483B57"/>
    <w:rsid w:val="00485893"/>
    <w:rsid w:val="00486029"/>
    <w:rsid w:val="004860A6"/>
    <w:rsid w:val="00486C80"/>
    <w:rsid w:val="00487213"/>
    <w:rsid w:val="0048745E"/>
    <w:rsid w:val="00487684"/>
    <w:rsid w:val="004876D7"/>
    <w:rsid w:val="00487AF4"/>
    <w:rsid w:val="00487B49"/>
    <w:rsid w:val="00487CAB"/>
    <w:rsid w:val="0049023F"/>
    <w:rsid w:val="004905AD"/>
    <w:rsid w:val="00490BC0"/>
    <w:rsid w:val="00491257"/>
    <w:rsid w:val="004930B1"/>
    <w:rsid w:val="00493691"/>
    <w:rsid w:val="00493FAF"/>
    <w:rsid w:val="00494D70"/>
    <w:rsid w:val="00495500"/>
    <w:rsid w:val="004955A7"/>
    <w:rsid w:val="00495DC5"/>
    <w:rsid w:val="00496219"/>
    <w:rsid w:val="00496283"/>
    <w:rsid w:val="00496F24"/>
    <w:rsid w:val="004A19EF"/>
    <w:rsid w:val="004A216D"/>
    <w:rsid w:val="004A26EF"/>
    <w:rsid w:val="004A2AE2"/>
    <w:rsid w:val="004A2CAC"/>
    <w:rsid w:val="004A2D04"/>
    <w:rsid w:val="004A2D71"/>
    <w:rsid w:val="004A3167"/>
    <w:rsid w:val="004A3498"/>
    <w:rsid w:val="004A39B7"/>
    <w:rsid w:val="004A3BB4"/>
    <w:rsid w:val="004A3DE5"/>
    <w:rsid w:val="004A43CF"/>
    <w:rsid w:val="004A47F2"/>
    <w:rsid w:val="004A4EC6"/>
    <w:rsid w:val="004A519F"/>
    <w:rsid w:val="004A5B4A"/>
    <w:rsid w:val="004A5D5C"/>
    <w:rsid w:val="004A6513"/>
    <w:rsid w:val="004A7596"/>
    <w:rsid w:val="004A795A"/>
    <w:rsid w:val="004A7B05"/>
    <w:rsid w:val="004B047B"/>
    <w:rsid w:val="004B06A5"/>
    <w:rsid w:val="004B10D7"/>
    <w:rsid w:val="004B15DD"/>
    <w:rsid w:val="004B19C4"/>
    <w:rsid w:val="004B1AED"/>
    <w:rsid w:val="004B2769"/>
    <w:rsid w:val="004B2A52"/>
    <w:rsid w:val="004B2A54"/>
    <w:rsid w:val="004B3673"/>
    <w:rsid w:val="004B4533"/>
    <w:rsid w:val="004B504B"/>
    <w:rsid w:val="004B5898"/>
    <w:rsid w:val="004B611B"/>
    <w:rsid w:val="004B6950"/>
    <w:rsid w:val="004B69D9"/>
    <w:rsid w:val="004B6C1D"/>
    <w:rsid w:val="004B7045"/>
    <w:rsid w:val="004B7818"/>
    <w:rsid w:val="004B7B6D"/>
    <w:rsid w:val="004C1DF7"/>
    <w:rsid w:val="004C22F3"/>
    <w:rsid w:val="004C2F2F"/>
    <w:rsid w:val="004C343B"/>
    <w:rsid w:val="004C3531"/>
    <w:rsid w:val="004C3DD9"/>
    <w:rsid w:val="004C4225"/>
    <w:rsid w:val="004C44AE"/>
    <w:rsid w:val="004C489D"/>
    <w:rsid w:val="004C4DBF"/>
    <w:rsid w:val="004C5095"/>
    <w:rsid w:val="004C5473"/>
    <w:rsid w:val="004C5684"/>
    <w:rsid w:val="004C5756"/>
    <w:rsid w:val="004C58E1"/>
    <w:rsid w:val="004C59B9"/>
    <w:rsid w:val="004C6216"/>
    <w:rsid w:val="004C6494"/>
    <w:rsid w:val="004C7218"/>
    <w:rsid w:val="004C736A"/>
    <w:rsid w:val="004C74A8"/>
    <w:rsid w:val="004C768E"/>
    <w:rsid w:val="004C7830"/>
    <w:rsid w:val="004C786A"/>
    <w:rsid w:val="004C7DFA"/>
    <w:rsid w:val="004D0B0D"/>
    <w:rsid w:val="004D1793"/>
    <w:rsid w:val="004D17F9"/>
    <w:rsid w:val="004D2690"/>
    <w:rsid w:val="004D3893"/>
    <w:rsid w:val="004D3935"/>
    <w:rsid w:val="004D3AEE"/>
    <w:rsid w:val="004D41E1"/>
    <w:rsid w:val="004D4871"/>
    <w:rsid w:val="004D48D9"/>
    <w:rsid w:val="004D5258"/>
    <w:rsid w:val="004D5363"/>
    <w:rsid w:val="004D560E"/>
    <w:rsid w:val="004D67DA"/>
    <w:rsid w:val="004D6B7F"/>
    <w:rsid w:val="004D710D"/>
    <w:rsid w:val="004D7728"/>
    <w:rsid w:val="004E051B"/>
    <w:rsid w:val="004E0822"/>
    <w:rsid w:val="004E0EC9"/>
    <w:rsid w:val="004E0FD0"/>
    <w:rsid w:val="004E1358"/>
    <w:rsid w:val="004E1BE2"/>
    <w:rsid w:val="004E1CE1"/>
    <w:rsid w:val="004E228B"/>
    <w:rsid w:val="004E2403"/>
    <w:rsid w:val="004E2810"/>
    <w:rsid w:val="004E2EC9"/>
    <w:rsid w:val="004E35D6"/>
    <w:rsid w:val="004E36FD"/>
    <w:rsid w:val="004E38AF"/>
    <w:rsid w:val="004E3934"/>
    <w:rsid w:val="004E3B5E"/>
    <w:rsid w:val="004E3EFD"/>
    <w:rsid w:val="004E4243"/>
    <w:rsid w:val="004E4291"/>
    <w:rsid w:val="004E4B50"/>
    <w:rsid w:val="004E5330"/>
    <w:rsid w:val="004E591F"/>
    <w:rsid w:val="004E6399"/>
    <w:rsid w:val="004E67C9"/>
    <w:rsid w:val="004E7A84"/>
    <w:rsid w:val="004E7BE9"/>
    <w:rsid w:val="004F03F2"/>
    <w:rsid w:val="004F0872"/>
    <w:rsid w:val="004F0DAB"/>
    <w:rsid w:val="004F0FAA"/>
    <w:rsid w:val="004F10F5"/>
    <w:rsid w:val="004F16AB"/>
    <w:rsid w:val="004F22B5"/>
    <w:rsid w:val="004F2464"/>
    <w:rsid w:val="004F24A8"/>
    <w:rsid w:val="004F26C5"/>
    <w:rsid w:val="004F394E"/>
    <w:rsid w:val="004F402E"/>
    <w:rsid w:val="004F4EEA"/>
    <w:rsid w:val="004F519B"/>
    <w:rsid w:val="004F549D"/>
    <w:rsid w:val="004F5E33"/>
    <w:rsid w:val="004F67D3"/>
    <w:rsid w:val="004F67DD"/>
    <w:rsid w:val="004F7200"/>
    <w:rsid w:val="004F7C34"/>
    <w:rsid w:val="004F7D94"/>
    <w:rsid w:val="005008AF"/>
    <w:rsid w:val="005021A6"/>
    <w:rsid w:val="0050221B"/>
    <w:rsid w:val="00503478"/>
    <w:rsid w:val="00503954"/>
    <w:rsid w:val="00503C49"/>
    <w:rsid w:val="005041F2"/>
    <w:rsid w:val="00504DFD"/>
    <w:rsid w:val="00504E08"/>
    <w:rsid w:val="00505525"/>
    <w:rsid w:val="00505E8E"/>
    <w:rsid w:val="00506D73"/>
    <w:rsid w:val="00506EBC"/>
    <w:rsid w:val="00510651"/>
    <w:rsid w:val="005107D7"/>
    <w:rsid w:val="00510DCA"/>
    <w:rsid w:val="00511666"/>
    <w:rsid w:val="005121F5"/>
    <w:rsid w:val="0051246B"/>
    <w:rsid w:val="005126B4"/>
    <w:rsid w:val="00512E39"/>
    <w:rsid w:val="0051333E"/>
    <w:rsid w:val="0051339D"/>
    <w:rsid w:val="00513BB0"/>
    <w:rsid w:val="00513E4B"/>
    <w:rsid w:val="00513F15"/>
    <w:rsid w:val="00513F62"/>
    <w:rsid w:val="005143B4"/>
    <w:rsid w:val="005154AF"/>
    <w:rsid w:val="0051622F"/>
    <w:rsid w:val="00517382"/>
    <w:rsid w:val="00517FC9"/>
    <w:rsid w:val="005202C3"/>
    <w:rsid w:val="00520872"/>
    <w:rsid w:val="00520E40"/>
    <w:rsid w:val="00521543"/>
    <w:rsid w:val="00522336"/>
    <w:rsid w:val="00522BAA"/>
    <w:rsid w:val="00522D59"/>
    <w:rsid w:val="00522E20"/>
    <w:rsid w:val="005230F1"/>
    <w:rsid w:val="0052371A"/>
    <w:rsid w:val="00523A04"/>
    <w:rsid w:val="00523FE5"/>
    <w:rsid w:val="00524686"/>
    <w:rsid w:val="00525EB0"/>
    <w:rsid w:val="005266AC"/>
    <w:rsid w:val="0052677B"/>
    <w:rsid w:val="00526D4E"/>
    <w:rsid w:val="00526DDB"/>
    <w:rsid w:val="0053034C"/>
    <w:rsid w:val="0053040F"/>
    <w:rsid w:val="005308AA"/>
    <w:rsid w:val="00530933"/>
    <w:rsid w:val="00532F62"/>
    <w:rsid w:val="00533420"/>
    <w:rsid w:val="00533962"/>
    <w:rsid w:val="00533CE9"/>
    <w:rsid w:val="00534084"/>
    <w:rsid w:val="005344F2"/>
    <w:rsid w:val="00534683"/>
    <w:rsid w:val="00534F74"/>
    <w:rsid w:val="005350F1"/>
    <w:rsid w:val="00535C84"/>
    <w:rsid w:val="00535DF9"/>
    <w:rsid w:val="00535EA3"/>
    <w:rsid w:val="00536548"/>
    <w:rsid w:val="00536ED5"/>
    <w:rsid w:val="00537945"/>
    <w:rsid w:val="00537E63"/>
    <w:rsid w:val="00540563"/>
    <w:rsid w:val="00540865"/>
    <w:rsid w:val="00540AFE"/>
    <w:rsid w:val="00540BAE"/>
    <w:rsid w:val="00540D44"/>
    <w:rsid w:val="00540E43"/>
    <w:rsid w:val="005412FA"/>
    <w:rsid w:val="00541E63"/>
    <w:rsid w:val="00542214"/>
    <w:rsid w:val="00542489"/>
    <w:rsid w:val="005426E8"/>
    <w:rsid w:val="00543ECB"/>
    <w:rsid w:val="00543F80"/>
    <w:rsid w:val="005445E1"/>
    <w:rsid w:val="00545723"/>
    <w:rsid w:val="00545FA9"/>
    <w:rsid w:val="005469A2"/>
    <w:rsid w:val="005469D8"/>
    <w:rsid w:val="00546B53"/>
    <w:rsid w:val="00546EEC"/>
    <w:rsid w:val="00550E2B"/>
    <w:rsid w:val="00551648"/>
    <w:rsid w:val="0055264E"/>
    <w:rsid w:val="00553557"/>
    <w:rsid w:val="00553AEA"/>
    <w:rsid w:val="00553BF6"/>
    <w:rsid w:val="005543AD"/>
    <w:rsid w:val="005550B7"/>
    <w:rsid w:val="00556601"/>
    <w:rsid w:val="005568FB"/>
    <w:rsid w:val="00556ECD"/>
    <w:rsid w:val="00557239"/>
    <w:rsid w:val="005572AC"/>
    <w:rsid w:val="0055769A"/>
    <w:rsid w:val="00557965"/>
    <w:rsid w:val="00557EB0"/>
    <w:rsid w:val="005601A7"/>
    <w:rsid w:val="005620C7"/>
    <w:rsid w:val="005622BB"/>
    <w:rsid w:val="005626C0"/>
    <w:rsid w:val="005633E4"/>
    <w:rsid w:val="00563BD3"/>
    <w:rsid w:val="005647FA"/>
    <w:rsid w:val="00564DFF"/>
    <w:rsid w:val="0056508F"/>
    <w:rsid w:val="0056596C"/>
    <w:rsid w:val="0056623F"/>
    <w:rsid w:val="0056672E"/>
    <w:rsid w:val="00566AE4"/>
    <w:rsid w:val="00566E0E"/>
    <w:rsid w:val="00566F08"/>
    <w:rsid w:val="00567298"/>
    <w:rsid w:val="00567F00"/>
    <w:rsid w:val="0057055A"/>
    <w:rsid w:val="0057092C"/>
    <w:rsid w:val="00570F4B"/>
    <w:rsid w:val="005716E2"/>
    <w:rsid w:val="00571853"/>
    <w:rsid w:val="00571C31"/>
    <w:rsid w:val="0057266B"/>
    <w:rsid w:val="00572960"/>
    <w:rsid w:val="00572C02"/>
    <w:rsid w:val="00572DBF"/>
    <w:rsid w:val="0057357E"/>
    <w:rsid w:val="00573607"/>
    <w:rsid w:val="00573C3A"/>
    <w:rsid w:val="00573FCE"/>
    <w:rsid w:val="00574604"/>
    <w:rsid w:val="00574B3D"/>
    <w:rsid w:val="00574CCA"/>
    <w:rsid w:val="00576268"/>
    <w:rsid w:val="005768A3"/>
    <w:rsid w:val="005770FF"/>
    <w:rsid w:val="00577AAC"/>
    <w:rsid w:val="00577F6C"/>
    <w:rsid w:val="00580842"/>
    <w:rsid w:val="00580D03"/>
    <w:rsid w:val="0058105B"/>
    <w:rsid w:val="0058122D"/>
    <w:rsid w:val="0058138B"/>
    <w:rsid w:val="00581A04"/>
    <w:rsid w:val="00581A74"/>
    <w:rsid w:val="005822F7"/>
    <w:rsid w:val="00582399"/>
    <w:rsid w:val="005823A2"/>
    <w:rsid w:val="005823CE"/>
    <w:rsid w:val="0058294E"/>
    <w:rsid w:val="00582FC2"/>
    <w:rsid w:val="00584104"/>
    <w:rsid w:val="005841F7"/>
    <w:rsid w:val="005847A9"/>
    <w:rsid w:val="0058485F"/>
    <w:rsid w:val="00585147"/>
    <w:rsid w:val="00585BB9"/>
    <w:rsid w:val="00585D93"/>
    <w:rsid w:val="00586125"/>
    <w:rsid w:val="00586699"/>
    <w:rsid w:val="005868AD"/>
    <w:rsid w:val="005869B0"/>
    <w:rsid w:val="00586A86"/>
    <w:rsid w:val="0058789C"/>
    <w:rsid w:val="005902E4"/>
    <w:rsid w:val="0059030C"/>
    <w:rsid w:val="00590619"/>
    <w:rsid w:val="005906EF"/>
    <w:rsid w:val="005907C3"/>
    <w:rsid w:val="0059092F"/>
    <w:rsid w:val="00590D78"/>
    <w:rsid w:val="00591C2B"/>
    <w:rsid w:val="005936CB"/>
    <w:rsid w:val="00593D6C"/>
    <w:rsid w:val="00594087"/>
    <w:rsid w:val="00594904"/>
    <w:rsid w:val="00594F5C"/>
    <w:rsid w:val="005957AF"/>
    <w:rsid w:val="005957BB"/>
    <w:rsid w:val="00595809"/>
    <w:rsid w:val="005959E5"/>
    <w:rsid w:val="005968E5"/>
    <w:rsid w:val="00596BC1"/>
    <w:rsid w:val="00597218"/>
    <w:rsid w:val="0059739C"/>
    <w:rsid w:val="005977CB"/>
    <w:rsid w:val="005978A6"/>
    <w:rsid w:val="0059790B"/>
    <w:rsid w:val="005A029C"/>
    <w:rsid w:val="005A0A37"/>
    <w:rsid w:val="005A0A5D"/>
    <w:rsid w:val="005A0B34"/>
    <w:rsid w:val="005A0BCC"/>
    <w:rsid w:val="005A147A"/>
    <w:rsid w:val="005A1A7D"/>
    <w:rsid w:val="005A1AF5"/>
    <w:rsid w:val="005A2287"/>
    <w:rsid w:val="005A26D0"/>
    <w:rsid w:val="005A2EB0"/>
    <w:rsid w:val="005A3873"/>
    <w:rsid w:val="005A39E7"/>
    <w:rsid w:val="005A3A52"/>
    <w:rsid w:val="005A435C"/>
    <w:rsid w:val="005A43DB"/>
    <w:rsid w:val="005A453C"/>
    <w:rsid w:val="005A47F7"/>
    <w:rsid w:val="005A49F1"/>
    <w:rsid w:val="005A50BA"/>
    <w:rsid w:val="005A514F"/>
    <w:rsid w:val="005A58C6"/>
    <w:rsid w:val="005A5D26"/>
    <w:rsid w:val="005A61A1"/>
    <w:rsid w:val="005A6FD0"/>
    <w:rsid w:val="005A7218"/>
    <w:rsid w:val="005A778C"/>
    <w:rsid w:val="005A7973"/>
    <w:rsid w:val="005A7C4C"/>
    <w:rsid w:val="005A7CE9"/>
    <w:rsid w:val="005A7E32"/>
    <w:rsid w:val="005A7F76"/>
    <w:rsid w:val="005B0376"/>
    <w:rsid w:val="005B0840"/>
    <w:rsid w:val="005B08BE"/>
    <w:rsid w:val="005B08CE"/>
    <w:rsid w:val="005B10B0"/>
    <w:rsid w:val="005B174D"/>
    <w:rsid w:val="005B1DD3"/>
    <w:rsid w:val="005B2436"/>
    <w:rsid w:val="005B253C"/>
    <w:rsid w:val="005B29F3"/>
    <w:rsid w:val="005B363C"/>
    <w:rsid w:val="005B3955"/>
    <w:rsid w:val="005B3B96"/>
    <w:rsid w:val="005B42D9"/>
    <w:rsid w:val="005B4321"/>
    <w:rsid w:val="005B44A6"/>
    <w:rsid w:val="005B4622"/>
    <w:rsid w:val="005B59E5"/>
    <w:rsid w:val="005B5E68"/>
    <w:rsid w:val="005B6514"/>
    <w:rsid w:val="005B6A7E"/>
    <w:rsid w:val="005B74F8"/>
    <w:rsid w:val="005B77DD"/>
    <w:rsid w:val="005B7802"/>
    <w:rsid w:val="005B7A83"/>
    <w:rsid w:val="005B7D64"/>
    <w:rsid w:val="005C037E"/>
    <w:rsid w:val="005C1A8A"/>
    <w:rsid w:val="005C1B71"/>
    <w:rsid w:val="005C243E"/>
    <w:rsid w:val="005C26DF"/>
    <w:rsid w:val="005C29FF"/>
    <w:rsid w:val="005C2FB3"/>
    <w:rsid w:val="005C32F2"/>
    <w:rsid w:val="005C333F"/>
    <w:rsid w:val="005C3DFC"/>
    <w:rsid w:val="005C4079"/>
    <w:rsid w:val="005C4367"/>
    <w:rsid w:val="005C44FE"/>
    <w:rsid w:val="005C55AE"/>
    <w:rsid w:val="005C5A73"/>
    <w:rsid w:val="005C60F7"/>
    <w:rsid w:val="005C6C26"/>
    <w:rsid w:val="005C6C44"/>
    <w:rsid w:val="005C7499"/>
    <w:rsid w:val="005C74EA"/>
    <w:rsid w:val="005C782E"/>
    <w:rsid w:val="005C7B32"/>
    <w:rsid w:val="005D0156"/>
    <w:rsid w:val="005D03A8"/>
    <w:rsid w:val="005D0601"/>
    <w:rsid w:val="005D06D3"/>
    <w:rsid w:val="005D0856"/>
    <w:rsid w:val="005D1287"/>
    <w:rsid w:val="005D1E61"/>
    <w:rsid w:val="005D24A4"/>
    <w:rsid w:val="005D2801"/>
    <w:rsid w:val="005D2B89"/>
    <w:rsid w:val="005D2CAD"/>
    <w:rsid w:val="005D335C"/>
    <w:rsid w:val="005D347A"/>
    <w:rsid w:val="005D3C9E"/>
    <w:rsid w:val="005D3F80"/>
    <w:rsid w:val="005D44AD"/>
    <w:rsid w:val="005D469C"/>
    <w:rsid w:val="005D474D"/>
    <w:rsid w:val="005D4DD2"/>
    <w:rsid w:val="005D4E6F"/>
    <w:rsid w:val="005D4F4A"/>
    <w:rsid w:val="005D4FFC"/>
    <w:rsid w:val="005D53AB"/>
    <w:rsid w:val="005D5538"/>
    <w:rsid w:val="005D6C14"/>
    <w:rsid w:val="005D73C4"/>
    <w:rsid w:val="005D75B3"/>
    <w:rsid w:val="005D7A2B"/>
    <w:rsid w:val="005D7C67"/>
    <w:rsid w:val="005E0050"/>
    <w:rsid w:val="005E036C"/>
    <w:rsid w:val="005E06E0"/>
    <w:rsid w:val="005E0855"/>
    <w:rsid w:val="005E0BCD"/>
    <w:rsid w:val="005E0CB1"/>
    <w:rsid w:val="005E0ED4"/>
    <w:rsid w:val="005E1132"/>
    <w:rsid w:val="005E1354"/>
    <w:rsid w:val="005E1770"/>
    <w:rsid w:val="005E196F"/>
    <w:rsid w:val="005E1B12"/>
    <w:rsid w:val="005E2EAB"/>
    <w:rsid w:val="005E2FFC"/>
    <w:rsid w:val="005E30F9"/>
    <w:rsid w:val="005E39AC"/>
    <w:rsid w:val="005E3AA2"/>
    <w:rsid w:val="005E3D88"/>
    <w:rsid w:val="005E406A"/>
    <w:rsid w:val="005E4576"/>
    <w:rsid w:val="005E46E2"/>
    <w:rsid w:val="005E56AD"/>
    <w:rsid w:val="005E5A1C"/>
    <w:rsid w:val="005E5F5C"/>
    <w:rsid w:val="005E6010"/>
    <w:rsid w:val="005E6317"/>
    <w:rsid w:val="005E6714"/>
    <w:rsid w:val="005E6D5B"/>
    <w:rsid w:val="005E6DBC"/>
    <w:rsid w:val="005E71B1"/>
    <w:rsid w:val="005E7688"/>
    <w:rsid w:val="005E77D8"/>
    <w:rsid w:val="005E7830"/>
    <w:rsid w:val="005E7B4A"/>
    <w:rsid w:val="005E7DC8"/>
    <w:rsid w:val="005F0025"/>
    <w:rsid w:val="005F0A1E"/>
    <w:rsid w:val="005F0A9D"/>
    <w:rsid w:val="005F0BB5"/>
    <w:rsid w:val="005F0C51"/>
    <w:rsid w:val="005F1523"/>
    <w:rsid w:val="005F1675"/>
    <w:rsid w:val="005F1728"/>
    <w:rsid w:val="005F1E1F"/>
    <w:rsid w:val="005F4D65"/>
    <w:rsid w:val="005F4F26"/>
    <w:rsid w:val="005F4FF2"/>
    <w:rsid w:val="005F59F5"/>
    <w:rsid w:val="005F6129"/>
    <w:rsid w:val="005F65BF"/>
    <w:rsid w:val="005F6B26"/>
    <w:rsid w:val="005F6F19"/>
    <w:rsid w:val="005F7060"/>
    <w:rsid w:val="005F72D6"/>
    <w:rsid w:val="005F74B0"/>
    <w:rsid w:val="005F7ECF"/>
    <w:rsid w:val="00600782"/>
    <w:rsid w:val="00600B3D"/>
    <w:rsid w:val="00600E65"/>
    <w:rsid w:val="006012AE"/>
    <w:rsid w:val="006015EA"/>
    <w:rsid w:val="006016F4"/>
    <w:rsid w:val="0060175D"/>
    <w:rsid w:val="00601865"/>
    <w:rsid w:val="006021EA"/>
    <w:rsid w:val="006023F2"/>
    <w:rsid w:val="006026E9"/>
    <w:rsid w:val="00602F11"/>
    <w:rsid w:val="00603079"/>
    <w:rsid w:val="006034FE"/>
    <w:rsid w:val="00604171"/>
    <w:rsid w:val="006041CF"/>
    <w:rsid w:val="00604C54"/>
    <w:rsid w:val="00604CEB"/>
    <w:rsid w:val="00605A8C"/>
    <w:rsid w:val="00605EBD"/>
    <w:rsid w:val="0060680E"/>
    <w:rsid w:val="00606934"/>
    <w:rsid w:val="00607E82"/>
    <w:rsid w:val="0061079C"/>
    <w:rsid w:val="00611132"/>
    <w:rsid w:val="00611306"/>
    <w:rsid w:val="00611804"/>
    <w:rsid w:val="006118FA"/>
    <w:rsid w:val="00611C9B"/>
    <w:rsid w:val="00612541"/>
    <w:rsid w:val="006129B5"/>
    <w:rsid w:val="00612D11"/>
    <w:rsid w:val="00612F9E"/>
    <w:rsid w:val="006130B1"/>
    <w:rsid w:val="006132F6"/>
    <w:rsid w:val="00613D32"/>
    <w:rsid w:val="00613EEA"/>
    <w:rsid w:val="006145BE"/>
    <w:rsid w:val="006148B5"/>
    <w:rsid w:val="006149D4"/>
    <w:rsid w:val="00614DFA"/>
    <w:rsid w:val="006156A0"/>
    <w:rsid w:val="00616D98"/>
    <w:rsid w:val="00617344"/>
    <w:rsid w:val="00617D0F"/>
    <w:rsid w:val="00617D5B"/>
    <w:rsid w:val="00620E10"/>
    <w:rsid w:val="00621235"/>
    <w:rsid w:val="00621A37"/>
    <w:rsid w:val="00621BCB"/>
    <w:rsid w:val="00622BBD"/>
    <w:rsid w:val="00622C80"/>
    <w:rsid w:val="006235BA"/>
    <w:rsid w:val="00623A63"/>
    <w:rsid w:val="00623F85"/>
    <w:rsid w:val="0062434F"/>
    <w:rsid w:val="006243A7"/>
    <w:rsid w:val="00624B10"/>
    <w:rsid w:val="006250F4"/>
    <w:rsid w:val="00625138"/>
    <w:rsid w:val="006251BB"/>
    <w:rsid w:val="0062590B"/>
    <w:rsid w:val="00625928"/>
    <w:rsid w:val="00626177"/>
    <w:rsid w:val="00626737"/>
    <w:rsid w:val="006268DA"/>
    <w:rsid w:val="00626B07"/>
    <w:rsid w:val="00626B96"/>
    <w:rsid w:val="00627481"/>
    <w:rsid w:val="00627C2E"/>
    <w:rsid w:val="0063046E"/>
    <w:rsid w:val="006304A4"/>
    <w:rsid w:val="00630AF4"/>
    <w:rsid w:val="00630CE0"/>
    <w:rsid w:val="00631EE0"/>
    <w:rsid w:val="006321D1"/>
    <w:rsid w:val="00632476"/>
    <w:rsid w:val="006324C0"/>
    <w:rsid w:val="00632596"/>
    <w:rsid w:val="006325F1"/>
    <w:rsid w:val="00632652"/>
    <w:rsid w:val="0063291A"/>
    <w:rsid w:val="006339FA"/>
    <w:rsid w:val="006340F5"/>
    <w:rsid w:val="00634225"/>
    <w:rsid w:val="00634531"/>
    <w:rsid w:val="006346D7"/>
    <w:rsid w:val="0063676B"/>
    <w:rsid w:val="00636BC4"/>
    <w:rsid w:val="00637040"/>
    <w:rsid w:val="006370A8"/>
    <w:rsid w:val="0063718E"/>
    <w:rsid w:val="00637479"/>
    <w:rsid w:val="006402EF"/>
    <w:rsid w:val="00640A73"/>
    <w:rsid w:val="00640D9B"/>
    <w:rsid w:val="0064172D"/>
    <w:rsid w:val="00641DE1"/>
    <w:rsid w:val="006420A5"/>
    <w:rsid w:val="00642292"/>
    <w:rsid w:val="00642327"/>
    <w:rsid w:val="006423A3"/>
    <w:rsid w:val="00642C3E"/>
    <w:rsid w:val="00643263"/>
    <w:rsid w:val="0064410D"/>
    <w:rsid w:val="006446BB"/>
    <w:rsid w:val="00644FCB"/>
    <w:rsid w:val="00645679"/>
    <w:rsid w:val="00645C22"/>
    <w:rsid w:val="00645DAF"/>
    <w:rsid w:val="0064717D"/>
    <w:rsid w:val="006475E1"/>
    <w:rsid w:val="00647793"/>
    <w:rsid w:val="00647ED5"/>
    <w:rsid w:val="00650084"/>
    <w:rsid w:val="00650093"/>
    <w:rsid w:val="006500AC"/>
    <w:rsid w:val="006508B2"/>
    <w:rsid w:val="00650B7F"/>
    <w:rsid w:val="00651686"/>
    <w:rsid w:val="00651CFD"/>
    <w:rsid w:val="0065242B"/>
    <w:rsid w:val="006526D6"/>
    <w:rsid w:val="0065291A"/>
    <w:rsid w:val="00653881"/>
    <w:rsid w:val="006538A0"/>
    <w:rsid w:val="00653BB2"/>
    <w:rsid w:val="00653C09"/>
    <w:rsid w:val="00653D18"/>
    <w:rsid w:val="00654A97"/>
    <w:rsid w:val="00655020"/>
    <w:rsid w:val="0065564E"/>
    <w:rsid w:val="00655D57"/>
    <w:rsid w:val="006563A2"/>
    <w:rsid w:val="00656773"/>
    <w:rsid w:val="0065692A"/>
    <w:rsid w:val="006574D9"/>
    <w:rsid w:val="00657597"/>
    <w:rsid w:val="0065798C"/>
    <w:rsid w:val="00657E6E"/>
    <w:rsid w:val="00660080"/>
    <w:rsid w:val="0066083E"/>
    <w:rsid w:val="0066132C"/>
    <w:rsid w:val="006615B1"/>
    <w:rsid w:val="006616FC"/>
    <w:rsid w:val="00661C26"/>
    <w:rsid w:val="006624E3"/>
    <w:rsid w:val="00662587"/>
    <w:rsid w:val="006627ED"/>
    <w:rsid w:val="00662ADA"/>
    <w:rsid w:val="006630CB"/>
    <w:rsid w:val="0066312E"/>
    <w:rsid w:val="00663B9E"/>
    <w:rsid w:val="00663C87"/>
    <w:rsid w:val="00664B8D"/>
    <w:rsid w:val="006650EA"/>
    <w:rsid w:val="0066561C"/>
    <w:rsid w:val="00665AC5"/>
    <w:rsid w:val="00665DE4"/>
    <w:rsid w:val="00667389"/>
    <w:rsid w:val="006674FE"/>
    <w:rsid w:val="0067022B"/>
    <w:rsid w:val="006707D4"/>
    <w:rsid w:val="006708B0"/>
    <w:rsid w:val="00671AF0"/>
    <w:rsid w:val="00672C20"/>
    <w:rsid w:val="00672D20"/>
    <w:rsid w:val="00672EF0"/>
    <w:rsid w:val="00673B80"/>
    <w:rsid w:val="00673D7D"/>
    <w:rsid w:val="00673E1C"/>
    <w:rsid w:val="00673F7F"/>
    <w:rsid w:val="006740B9"/>
    <w:rsid w:val="00674289"/>
    <w:rsid w:val="006742B9"/>
    <w:rsid w:val="00674393"/>
    <w:rsid w:val="00674767"/>
    <w:rsid w:val="0067693C"/>
    <w:rsid w:val="006776A7"/>
    <w:rsid w:val="00677E4C"/>
    <w:rsid w:val="00680388"/>
    <w:rsid w:val="00680B01"/>
    <w:rsid w:val="00680E5A"/>
    <w:rsid w:val="00681043"/>
    <w:rsid w:val="00681A5D"/>
    <w:rsid w:val="00682110"/>
    <w:rsid w:val="0068233E"/>
    <w:rsid w:val="006826A7"/>
    <w:rsid w:val="00683702"/>
    <w:rsid w:val="00683744"/>
    <w:rsid w:val="00683BEC"/>
    <w:rsid w:val="00683F5D"/>
    <w:rsid w:val="0068407A"/>
    <w:rsid w:val="00684200"/>
    <w:rsid w:val="00684498"/>
    <w:rsid w:val="006844DE"/>
    <w:rsid w:val="0068465E"/>
    <w:rsid w:val="0068488E"/>
    <w:rsid w:val="0068498C"/>
    <w:rsid w:val="00684A68"/>
    <w:rsid w:val="00684D88"/>
    <w:rsid w:val="00685191"/>
    <w:rsid w:val="0068538B"/>
    <w:rsid w:val="00685C79"/>
    <w:rsid w:val="00686193"/>
    <w:rsid w:val="00686244"/>
    <w:rsid w:val="00686BD2"/>
    <w:rsid w:val="00687239"/>
    <w:rsid w:val="00690296"/>
    <w:rsid w:val="00690493"/>
    <w:rsid w:val="00690A3B"/>
    <w:rsid w:val="00690BC7"/>
    <w:rsid w:val="0069151E"/>
    <w:rsid w:val="006917DE"/>
    <w:rsid w:val="006917E9"/>
    <w:rsid w:val="006918AC"/>
    <w:rsid w:val="00691F1C"/>
    <w:rsid w:val="00692F1F"/>
    <w:rsid w:val="00693071"/>
    <w:rsid w:val="00693786"/>
    <w:rsid w:val="00693B2C"/>
    <w:rsid w:val="0069426C"/>
    <w:rsid w:val="006948AD"/>
    <w:rsid w:val="00695CAD"/>
    <w:rsid w:val="0069633D"/>
    <w:rsid w:val="006964EB"/>
    <w:rsid w:val="00696840"/>
    <w:rsid w:val="00697BC0"/>
    <w:rsid w:val="00697CDE"/>
    <w:rsid w:val="006A0275"/>
    <w:rsid w:val="006A043A"/>
    <w:rsid w:val="006A0906"/>
    <w:rsid w:val="006A0C85"/>
    <w:rsid w:val="006A0EFB"/>
    <w:rsid w:val="006A112D"/>
    <w:rsid w:val="006A11CC"/>
    <w:rsid w:val="006A1BAF"/>
    <w:rsid w:val="006A1FFF"/>
    <w:rsid w:val="006A241C"/>
    <w:rsid w:val="006A27BB"/>
    <w:rsid w:val="006A2C12"/>
    <w:rsid w:val="006A2FD1"/>
    <w:rsid w:val="006A329E"/>
    <w:rsid w:val="006A32EC"/>
    <w:rsid w:val="006A4587"/>
    <w:rsid w:val="006A48E5"/>
    <w:rsid w:val="006A4D20"/>
    <w:rsid w:val="006A4E9B"/>
    <w:rsid w:val="006A5086"/>
    <w:rsid w:val="006A5222"/>
    <w:rsid w:val="006A52F6"/>
    <w:rsid w:val="006A55AE"/>
    <w:rsid w:val="006A6396"/>
    <w:rsid w:val="006A66A4"/>
    <w:rsid w:val="006A6CFD"/>
    <w:rsid w:val="006A72DD"/>
    <w:rsid w:val="006A73CA"/>
    <w:rsid w:val="006B0332"/>
    <w:rsid w:val="006B0A84"/>
    <w:rsid w:val="006B0BCB"/>
    <w:rsid w:val="006B14B8"/>
    <w:rsid w:val="006B15F5"/>
    <w:rsid w:val="006B19D3"/>
    <w:rsid w:val="006B28E2"/>
    <w:rsid w:val="006B2AD7"/>
    <w:rsid w:val="006B2D9A"/>
    <w:rsid w:val="006B2DDB"/>
    <w:rsid w:val="006B2DF6"/>
    <w:rsid w:val="006B2F82"/>
    <w:rsid w:val="006B3418"/>
    <w:rsid w:val="006B3A02"/>
    <w:rsid w:val="006B423A"/>
    <w:rsid w:val="006B447D"/>
    <w:rsid w:val="006B5736"/>
    <w:rsid w:val="006B600A"/>
    <w:rsid w:val="006B7827"/>
    <w:rsid w:val="006C0046"/>
    <w:rsid w:val="006C034A"/>
    <w:rsid w:val="006C1736"/>
    <w:rsid w:val="006C1871"/>
    <w:rsid w:val="006C23A5"/>
    <w:rsid w:val="006C2A20"/>
    <w:rsid w:val="006C32EC"/>
    <w:rsid w:val="006C37A8"/>
    <w:rsid w:val="006C3955"/>
    <w:rsid w:val="006C3B7F"/>
    <w:rsid w:val="006C5A81"/>
    <w:rsid w:val="006C5BAF"/>
    <w:rsid w:val="006C5C8C"/>
    <w:rsid w:val="006C5D94"/>
    <w:rsid w:val="006C62FE"/>
    <w:rsid w:val="006C678B"/>
    <w:rsid w:val="006C75DB"/>
    <w:rsid w:val="006C7900"/>
    <w:rsid w:val="006C7923"/>
    <w:rsid w:val="006C7C83"/>
    <w:rsid w:val="006C7FAF"/>
    <w:rsid w:val="006D00CD"/>
    <w:rsid w:val="006D07DC"/>
    <w:rsid w:val="006D14EC"/>
    <w:rsid w:val="006D1820"/>
    <w:rsid w:val="006D1F1F"/>
    <w:rsid w:val="006D2E8A"/>
    <w:rsid w:val="006D320E"/>
    <w:rsid w:val="006D3E02"/>
    <w:rsid w:val="006D3F31"/>
    <w:rsid w:val="006D42AD"/>
    <w:rsid w:val="006D446A"/>
    <w:rsid w:val="006D47DD"/>
    <w:rsid w:val="006D522A"/>
    <w:rsid w:val="006D5303"/>
    <w:rsid w:val="006D5AC6"/>
    <w:rsid w:val="006D5C8A"/>
    <w:rsid w:val="006D5FB8"/>
    <w:rsid w:val="006D636E"/>
    <w:rsid w:val="006D7875"/>
    <w:rsid w:val="006D798B"/>
    <w:rsid w:val="006E0A9B"/>
    <w:rsid w:val="006E12B7"/>
    <w:rsid w:val="006E19CF"/>
    <w:rsid w:val="006E1C7A"/>
    <w:rsid w:val="006E1DAB"/>
    <w:rsid w:val="006E20C7"/>
    <w:rsid w:val="006E22C1"/>
    <w:rsid w:val="006E2E51"/>
    <w:rsid w:val="006E32FB"/>
    <w:rsid w:val="006E33D7"/>
    <w:rsid w:val="006E35A0"/>
    <w:rsid w:val="006E4058"/>
    <w:rsid w:val="006E40E2"/>
    <w:rsid w:val="006E471E"/>
    <w:rsid w:val="006E4CDA"/>
    <w:rsid w:val="006E4FFE"/>
    <w:rsid w:val="006E5307"/>
    <w:rsid w:val="006E567C"/>
    <w:rsid w:val="006E5826"/>
    <w:rsid w:val="006E5E6D"/>
    <w:rsid w:val="006E63D4"/>
    <w:rsid w:val="006E6DDA"/>
    <w:rsid w:val="006E7C54"/>
    <w:rsid w:val="006F07D2"/>
    <w:rsid w:val="006F0B72"/>
    <w:rsid w:val="006F148C"/>
    <w:rsid w:val="006F2353"/>
    <w:rsid w:val="006F2421"/>
    <w:rsid w:val="006F2B58"/>
    <w:rsid w:val="006F2C4E"/>
    <w:rsid w:val="006F2E28"/>
    <w:rsid w:val="006F2FFE"/>
    <w:rsid w:val="006F40D8"/>
    <w:rsid w:val="006F4554"/>
    <w:rsid w:val="006F4C6E"/>
    <w:rsid w:val="006F51D5"/>
    <w:rsid w:val="006F62E5"/>
    <w:rsid w:val="006F65C5"/>
    <w:rsid w:val="006F683D"/>
    <w:rsid w:val="006F7048"/>
    <w:rsid w:val="006F774F"/>
    <w:rsid w:val="006F77C8"/>
    <w:rsid w:val="00700C12"/>
    <w:rsid w:val="00700CE9"/>
    <w:rsid w:val="00701EA3"/>
    <w:rsid w:val="00702460"/>
    <w:rsid w:val="007027EC"/>
    <w:rsid w:val="0070294A"/>
    <w:rsid w:val="007037EB"/>
    <w:rsid w:val="007056A3"/>
    <w:rsid w:val="00705A2B"/>
    <w:rsid w:val="00705F4D"/>
    <w:rsid w:val="007069F1"/>
    <w:rsid w:val="00706C14"/>
    <w:rsid w:val="00706ED5"/>
    <w:rsid w:val="00707189"/>
    <w:rsid w:val="00707806"/>
    <w:rsid w:val="00707B60"/>
    <w:rsid w:val="00707CDA"/>
    <w:rsid w:val="00707E3D"/>
    <w:rsid w:val="007100C4"/>
    <w:rsid w:val="0071039E"/>
    <w:rsid w:val="00710FE0"/>
    <w:rsid w:val="00711F45"/>
    <w:rsid w:val="00712120"/>
    <w:rsid w:val="007122ED"/>
    <w:rsid w:val="0071269D"/>
    <w:rsid w:val="00712CB0"/>
    <w:rsid w:val="00712D55"/>
    <w:rsid w:val="007131BE"/>
    <w:rsid w:val="007131FF"/>
    <w:rsid w:val="00713324"/>
    <w:rsid w:val="007135F7"/>
    <w:rsid w:val="00713CE4"/>
    <w:rsid w:val="007143F2"/>
    <w:rsid w:val="00714404"/>
    <w:rsid w:val="00714622"/>
    <w:rsid w:val="0071471E"/>
    <w:rsid w:val="00714B2F"/>
    <w:rsid w:val="00714C29"/>
    <w:rsid w:val="00714CB1"/>
    <w:rsid w:val="00714F30"/>
    <w:rsid w:val="00715957"/>
    <w:rsid w:val="00716448"/>
    <w:rsid w:val="00716F36"/>
    <w:rsid w:val="00716FFE"/>
    <w:rsid w:val="00717050"/>
    <w:rsid w:val="0071729C"/>
    <w:rsid w:val="007175BE"/>
    <w:rsid w:val="00717CE3"/>
    <w:rsid w:val="00720B02"/>
    <w:rsid w:val="00721099"/>
    <w:rsid w:val="007212C7"/>
    <w:rsid w:val="007213C0"/>
    <w:rsid w:val="00722015"/>
    <w:rsid w:val="00722A1E"/>
    <w:rsid w:val="00722B5C"/>
    <w:rsid w:val="00722D2D"/>
    <w:rsid w:val="00723C40"/>
    <w:rsid w:val="0072455B"/>
    <w:rsid w:val="00724B42"/>
    <w:rsid w:val="00724BEA"/>
    <w:rsid w:val="00724D6B"/>
    <w:rsid w:val="00725681"/>
    <w:rsid w:val="00725D41"/>
    <w:rsid w:val="00725DAB"/>
    <w:rsid w:val="00726576"/>
    <w:rsid w:val="007267B5"/>
    <w:rsid w:val="00726AC2"/>
    <w:rsid w:val="00726F61"/>
    <w:rsid w:val="007275F8"/>
    <w:rsid w:val="0072767F"/>
    <w:rsid w:val="0072772B"/>
    <w:rsid w:val="00727FE7"/>
    <w:rsid w:val="00730F31"/>
    <w:rsid w:val="0073120C"/>
    <w:rsid w:val="00731308"/>
    <w:rsid w:val="00731793"/>
    <w:rsid w:val="007317F7"/>
    <w:rsid w:val="00731F91"/>
    <w:rsid w:val="0073223C"/>
    <w:rsid w:val="0073240D"/>
    <w:rsid w:val="0073246C"/>
    <w:rsid w:val="0073251D"/>
    <w:rsid w:val="00734092"/>
    <w:rsid w:val="00734415"/>
    <w:rsid w:val="00734577"/>
    <w:rsid w:val="00734DAC"/>
    <w:rsid w:val="00734DE3"/>
    <w:rsid w:val="00735AA4"/>
    <w:rsid w:val="007367FE"/>
    <w:rsid w:val="00737354"/>
    <w:rsid w:val="0074054F"/>
    <w:rsid w:val="00740B47"/>
    <w:rsid w:val="00740CC9"/>
    <w:rsid w:val="00740DEC"/>
    <w:rsid w:val="007420BE"/>
    <w:rsid w:val="00742C4D"/>
    <w:rsid w:val="00742E26"/>
    <w:rsid w:val="007432CD"/>
    <w:rsid w:val="00743A63"/>
    <w:rsid w:val="00743B67"/>
    <w:rsid w:val="00743F4A"/>
    <w:rsid w:val="0074443D"/>
    <w:rsid w:val="00744972"/>
    <w:rsid w:val="00744D45"/>
    <w:rsid w:val="00745553"/>
    <w:rsid w:val="007456CC"/>
    <w:rsid w:val="00745A97"/>
    <w:rsid w:val="00745DE5"/>
    <w:rsid w:val="00745EFD"/>
    <w:rsid w:val="00745F91"/>
    <w:rsid w:val="007462D1"/>
    <w:rsid w:val="00746657"/>
    <w:rsid w:val="007472AB"/>
    <w:rsid w:val="00750345"/>
    <w:rsid w:val="00750F85"/>
    <w:rsid w:val="00751E77"/>
    <w:rsid w:val="00752045"/>
    <w:rsid w:val="0075231B"/>
    <w:rsid w:val="007524EF"/>
    <w:rsid w:val="00752520"/>
    <w:rsid w:val="00752717"/>
    <w:rsid w:val="00752EAE"/>
    <w:rsid w:val="00753AD1"/>
    <w:rsid w:val="00753E64"/>
    <w:rsid w:val="00753EBF"/>
    <w:rsid w:val="00754E24"/>
    <w:rsid w:val="007551F3"/>
    <w:rsid w:val="007554CB"/>
    <w:rsid w:val="0075598B"/>
    <w:rsid w:val="00755E5A"/>
    <w:rsid w:val="00755EF6"/>
    <w:rsid w:val="0075680E"/>
    <w:rsid w:val="0075689E"/>
    <w:rsid w:val="007574A2"/>
    <w:rsid w:val="0076094E"/>
    <w:rsid w:val="00761092"/>
    <w:rsid w:val="007616A0"/>
    <w:rsid w:val="007623C3"/>
    <w:rsid w:val="00762736"/>
    <w:rsid w:val="00762737"/>
    <w:rsid w:val="00762759"/>
    <w:rsid w:val="00762A39"/>
    <w:rsid w:val="00762B8A"/>
    <w:rsid w:val="007631F4"/>
    <w:rsid w:val="007635AC"/>
    <w:rsid w:val="00763619"/>
    <w:rsid w:val="007636AC"/>
    <w:rsid w:val="0076485C"/>
    <w:rsid w:val="00765086"/>
    <w:rsid w:val="0076534F"/>
    <w:rsid w:val="00765AC3"/>
    <w:rsid w:val="007667AC"/>
    <w:rsid w:val="00766C66"/>
    <w:rsid w:val="0076708D"/>
    <w:rsid w:val="00767395"/>
    <w:rsid w:val="00767B24"/>
    <w:rsid w:val="00767EB2"/>
    <w:rsid w:val="00767EEC"/>
    <w:rsid w:val="00770110"/>
    <w:rsid w:val="00770CE4"/>
    <w:rsid w:val="00771AD8"/>
    <w:rsid w:val="00772236"/>
    <w:rsid w:val="00773193"/>
    <w:rsid w:val="007731F7"/>
    <w:rsid w:val="0077341A"/>
    <w:rsid w:val="00773C98"/>
    <w:rsid w:val="00774973"/>
    <w:rsid w:val="00774A36"/>
    <w:rsid w:val="007752E3"/>
    <w:rsid w:val="007756AA"/>
    <w:rsid w:val="007757D9"/>
    <w:rsid w:val="00775B2A"/>
    <w:rsid w:val="00775E97"/>
    <w:rsid w:val="00775F19"/>
    <w:rsid w:val="0077603E"/>
    <w:rsid w:val="00776BB1"/>
    <w:rsid w:val="00776F32"/>
    <w:rsid w:val="00776F37"/>
    <w:rsid w:val="007775FC"/>
    <w:rsid w:val="00777D02"/>
    <w:rsid w:val="00777E10"/>
    <w:rsid w:val="00780616"/>
    <w:rsid w:val="0078185D"/>
    <w:rsid w:val="00781BFF"/>
    <w:rsid w:val="00781E4B"/>
    <w:rsid w:val="0078216B"/>
    <w:rsid w:val="00782286"/>
    <w:rsid w:val="007822A1"/>
    <w:rsid w:val="00782806"/>
    <w:rsid w:val="00783A37"/>
    <w:rsid w:val="00784527"/>
    <w:rsid w:val="00785473"/>
    <w:rsid w:val="00785BF8"/>
    <w:rsid w:val="007863E4"/>
    <w:rsid w:val="007868E0"/>
    <w:rsid w:val="007871C8"/>
    <w:rsid w:val="00787EA3"/>
    <w:rsid w:val="00787F73"/>
    <w:rsid w:val="00787FA9"/>
    <w:rsid w:val="007908B3"/>
    <w:rsid w:val="00790D7B"/>
    <w:rsid w:val="007910CD"/>
    <w:rsid w:val="00791CCC"/>
    <w:rsid w:val="007927BD"/>
    <w:rsid w:val="00792ACA"/>
    <w:rsid w:val="00792C44"/>
    <w:rsid w:val="00793258"/>
    <w:rsid w:val="00793B3C"/>
    <w:rsid w:val="00794274"/>
    <w:rsid w:val="007945DF"/>
    <w:rsid w:val="00794B4F"/>
    <w:rsid w:val="00794E3D"/>
    <w:rsid w:val="007951E3"/>
    <w:rsid w:val="0079661D"/>
    <w:rsid w:val="00796957"/>
    <w:rsid w:val="00796BCF"/>
    <w:rsid w:val="0079700A"/>
    <w:rsid w:val="00797555"/>
    <w:rsid w:val="007A02A0"/>
    <w:rsid w:val="007A0D00"/>
    <w:rsid w:val="007A0DE8"/>
    <w:rsid w:val="007A0DF0"/>
    <w:rsid w:val="007A1192"/>
    <w:rsid w:val="007A1202"/>
    <w:rsid w:val="007A1731"/>
    <w:rsid w:val="007A1746"/>
    <w:rsid w:val="007A1923"/>
    <w:rsid w:val="007A1EDF"/>
    <w:rsid w:val="007A2293"/>
    <w:rsid w:val="007A2552"/>
    <w:rsid w:val="007A2A70"/>
    <w:rsid w:val="007A2F47"/>
    <w:rsid w:val="007A330D"/>
    <w:rsid w:val="007A3F73"/>
    <w:rsid w:val="007A41A0"/>
    <w:rsid w:val="007A41E8"/>
    <w:rsid w:val="007A480D"/>
    <w:rsid w:val="007A4A0F"/>
    <w:rsid w:val="007A4C37"/>
    <w:rsid w:val="007A501C"/>
    <w:rsid w:val="007A5219"/>
    <w:rsid w:val="007A5350"/>
    <w:rsid w:val="007A6916"/>
    <w:rsid w:val="007A6FFC"/>
    <w:rsid w:val="007A72E0"/>
    <w:rsid w:val="007A7351"/>
    <w:rsid w:val="007A7426"/>
    <w:rsid w:val="007A74DB"/>
    <w:rsid w:val="007A7CA5"/>
    <w:rsid w:val="007A7CF5"/>
    <w:rsid w:val="007B0083"/>
    <w:rsid w:val="007B05B5"/>
    <w:rsid w:val="007B13F0"/>
    <w:rsid w:val="007B1AB4"/>
    <w:rsid w:val="007B2670"/>
    <w:rsid w:val="007B2CFA"/>
    <w:rsid w:val="007B2D09"/>
    <w:rsid w:val="007B3730"/>
    <w:rsid w:val="007B40B5"/>
    <w:rsid w:val="007B4DB1"/>
    <w:rsid w:val="007B5966"/>
    <w:rsid w:val="007B5BB0"/>
    <w:rsid w:val="007B5CB1"/>
    <w:rsid w:val="007B5DAD"/>
    <w:rsid w:val="007B60D6"/>
    <w:rsid w:val="007B65DA"/>
    <w:rsid w:val="007B689D"/>
    <w:rsid w:val="007B6944"/>
    <w:rsid w:val="007B6A5E"/>
    <w:rsid w:val="007B6BF0"/>
    <w:rsid w:val="007B6FCF"/>
    <w:rsid w:val="007B72BA"/>
    <w:rsid w:val="007B734D"/>
    <w:rsid w:val="007B7561"/>
    <w:rsid w:val="007B75EB"/>
    <w:rsid w:val="007B79D6"/>
    <w:rsid w:val="007B7E90"/>
    <w:rsid w:val="007C00AD"/>
    <w:rsid w:val="007C08BA"/>
    <w:rsid w:val="007C0D23"/>
    <w:rsid w:val="007C0DB3"/>
    <w:rsid w:val="007C0E62"/>
    <w:rsid w:val="007C0E9D"/>
    <w:rsid w:val="007C10A3"/>
    <w:rsid w:val="007C1798"/>
    <w:rsid w:val="007C1C2D"/>
    <w:rsid w:val="007C2C05"/>
    <w:rsid w:val="007C2DEA"/>
    <w:rsid w:val="007C32BB"/>
    <w:rsid w:val="007C3388"/>
    <w:rsid w:val="007C3CF8"/>
    <w:rsid w:val="007C3E6B"/>
    <w:rsid w:val="007C4219"/>
    <w:rsid w:val="007C446D"/>
    <w:rsid w:val="007C467E"/>
    <w:rsid w:val="007C48CB"/>
    <w:rsid w:val="007C4950"/>
    <w:rsid w:val="007C49BB"/>
    <w:rsid w:val="007C5243"/>
    <w:rsid w:val="007C53E8"/>
    <w:rsid w:val="007C57FE"/>
    <w:rsid w:val="007C5A41"/>
    <w:rsid w:val="007C5ACD"/>
    <w:rsid w:val="007C5CA5"/>
    <w:rsid w:val="007C5E45"/>
    <w:rsid w:val="007C601C"/>
    <w:rsid w:val="007C6A7B"/>
    <w:rsid w:val="007C6E63"/>
    <w:rsid w:val="007C7455"/>
    <w:rsid w:val="007C797E"/>
    <w:rsid w:val="007D01B8"/>
    <w:rsid w:val="007D1071"/>
    <w:rsid w:val="007D1452"/>
    <w:rsid w:val="007D2585"/>
    <w:rsid w:val="007D2BD7"/>
    <w:rsid w:val="007D2C3C"/>
    <w:rsid w:val="007D3073"/>
    <w:rsid w:val="007D330B"/>
    <w:rsid w:val="007D3722"/>
    <w:rsid w:val="007D383C"/>
    <w:rsid w:val="007D38D8"/>
    <w:rsid w:val="007D39E2"/>
    <w:rsid w:val="007D3D56"/>
    <w:rsid w:val="007D47DF"/>
    <w:rsid w:val="007D4C01"/>
    <w:rsid w:val="007D5051"/>
    <w:rsid w:val="007D5B24"/>
    <w:rsid w:val="007D604A"/>
    <w:rsid w:val="007D61C2"/>
    <w:rsid w:val="007D69D7"/>
    <w:rsid w:val="007D6D72"/>
    <w:rsid w:val="007D6E29"/>
    <w:rsid w:val="007D73F9"/>
    <w:rsid w:val="007D77D3"/>
    <w:rsid w:val="007D7BD9"/>
    <w:rsid w:val="007D7D43"/>
    <w:rsid w:val="007E0BFC"/>
    <w:rsid w:val="007E1051"/>
    <w:rsid w:val="007E106E"/>
    <w:rsid w:val="007E1295"/>
    <w:rsid w:val="007E268F"/>
    <w:rsid w:val="007E27F4"/>
    <w:rsid w:val="007E2AD1"/>
    <w:rsid w:val="007E2AE9"/>
    <w:rsid w:val="007E31A1"/>
    <w:rsid w:val="007E3301"/>
    <w:rsid w:val="007E3AD1"/>
    <w:rsid w:val="007E3BBA"/>
    <w:rsid w:val="007E4A72"/>
    <w:rsid w:val="007E5082"/>
    <w:rsid w:val="007E5629"/>
    <w:rsid w:val="007E5803"/>
    <w:rsid w:val="007E5B5C"/>
    <w:rsid w:val="007E5C98"/>
    <w:rsid w:val="007E5E01"/>
    <w:rsid w:val="007E6157"/>
    <w:rsid w:val="007E667A"/>
    <w:rsid w:val="007E6707"/>
    <w:rsid w:val="007E69ED"/>
    <w:rsid w:val="007E752A"/>
    <w:rsid w:val="007E7613"/>
    <w:rsid w:val="007E7B09"/>
    <w:rsid w:val="007E7E8B"/>
    <w:rsid w:val="007F0457"/>
    <w:rsid w:val="007F04DB"/>
    <w:rsid w:val="007F0ADF"/>
    <w:rsid w:val="007F1696"/>
    <w:rsid w:val="007F17A2"/>
    <w:rsid w:val="007F1F7A"/>
    <w:rsid w:val="007F282F"/>
    <w:rsid w:val="007F2A4E"/>
    <w:rsid w:val="007F33C2"/>
    <w:rsid w:val="007F3804"/>
    <w:rsid w:val="007F38AA"/>
    <w:rsid w:val="007F3FF8"/>
    <w:rsid w:val="007F443A"/>
    <w:rsid w:val="007F4490"/>
    <w:rsid w:val="007F4D53"/>
    <w:rsid w:val="007F5C35"/>
    <w:rsid w:val="007F5CCB"/>
    <w:rsid w:val="007F5ED6"/>
    <w:rsid w:val="007F6BEF"/>
    <w:rsid w:val="007F6EAC"/>
    <w:rsid w:val="00800621"/>
    <w:rsid w:val="00800992"/>
    <w:rsid w:val="00800D02"/>
    <w:rsid w:val="00801194"/>
    <w:rsid w:val="008020C9"/>
    <w:rsid w:val="008023DF"/>
    <w:rsid w:val="00802514"/>
    <w:rsid w:val="00802C4A"/>
    <w:rsid w:val="00802DD3"/>
    <w:rsid w:val="008030D3"/>
    <w:rsid w:val="008034F5"/>
    <w:rsid w:val="00803591"/>
    <w:rsid w:val="00803E01"/>
    <w:rsid w:val="008044F4"/>
    <w:rsid w:val="0080450B"/>
    <w:rsid w:val="008047FB"/>
    <w:rsid w:val="00804905"/>
    <w:rsid w:val="00804B3C"/>
    <w:rsid w:val="00804FFB"/>
    <w:rsid w:val="00805445"/>
    <w:rsid w:val="008060E7"/>
    <w:rsid w:val="0080791E"/>
    <w:rsid w:val="008105F4"/>
    <w:rsid w:val="00810B83"/>
    <w:rsid w:val="0081192A"/>
    <w:rsid w:val="00812159"/>
    <w:rsid w:val="0081217C"/>
    <w:rsid w:val="008121A5"/>
    <w:rsid w:val="00812654"/>
    <w:rsid w:val="008129D1"/>
    <w:rsid w:val="00812E0C"/>
    <w:rsid w:val="0081323A"/>
    <w:rsid w:val="00813F99"/>
    <w:rsid w:val="008149F7"/>
    <w:rsid w:val="00814C5F"/>
    <w:rsid w:val="00814F84"/>
    <w:rsid w:val="00815BB1"/>
    <w:rsid w:val="00816165"/>
    <w:rsid w:val="008162A8"/>
    <w:rsid w:val="0081643C"/>
    <w:rsid w:val="00816C12"/>
    <w:rsid w:val="008171D2"/>
    <w:rsid w:val="00820C71"/>
    <w:rsid w:val="00820C77"/>
    <w:rsid w:val="00820F2C"/>
    <w:rsid w:val="0082145F"/>
    <w:rsid w:val="0082182B"/>
    <w:rsid w:val="00821964"/>
    <w:rsid w:val="00821B8C"/>
    <w:rsid w:val="00821E1B"/>
    <w:rsid w:val="00821FD6"/>
    <w:rsid w:val="00822544"/>
    <w:rsid w:val="008228B5"/>
    <w:rsid w:val="008230CB"/>
    <w:rsid w:val="00823344"/>
    <w:rsid w:val="00823A78"/>
    <w:rsid w:val="00824B48"/>
    <w:rsid w:val="00824EBA"/>
    <w:rsid w:val="00825909"/>
    <w:rsid w:val="00825DC9"/>
    <w:rsid w:val="00825F73"/>
    <w:rsid w:val="008275F8"/>
    <w:rsid w:val="008301D5"/>
    <w:rsid w:val="00830C4E"/>
    <w:rsid w:val="00830ED7"/>
    <w:rsid w:val="0083119B"/>
    <w:rsid w:val="00831254"/>
    <w:rsid w:val="00833116"/>
    <w:rsid w:val="00833537"/>
    <w:rsid w:val="008338D4"/>
    <w:rsid w:val="00833C70"/>
    <w:rsid w:val="00833EA1"/>
    <w:rsid w:val="00833EEA"/>
    <w:rsid w:val="00834385"/>
    <w:rsid w:val="00834D43"/>
    <w:rsid w:val="008350FF"/>
    <w:rsid w:val="0083599F"/>
    <w:rsid w:val="0083626B"/>
    <w:rsid w:val="008362A1"/>
    <w:rsid w:val="00840A0E"/>
    <w:rsid w:val="00841006"/>
    <w:rsid w:val="00842693"/>
    <w:rsid w:val="00842E25"/>
    <w:rsid w:val="0084352A"/>
    <w:rsid w:val="008438C0"/>
    <w:rsid w:val="0084393E"/>
    <w:rsid w:val="00843984"/>
    <w:rsid w:val="00844230"/>
    <w:rsid w:val="008447AF"/>
    <w:rsid w:val="00844BB0"/>
    <w:rsid w:val="00844C56"/>
    <w:rsid w:val="008450FE"/>
    <w:rsid w:val="008454CA"/>
    <w:rsid w:val="0084565A"/>
    <w:rsid w:val="00845DC1"/>
    <w:rsid w:val="008461DC"/>
    <w:rsid w:val="0084631D"/>
    <w:rsid w:val="00846671"/>
    <w:rsid w:val="008470CD"/>
    <w:rsid w:val="008477EF"/>
    <w:rsid w:val="008479C2"/>
    <w:rsid w:val="0085029B"/>
    <w:rsid w:val="008504E1"/>
    <w:rsid w:val="00850CDD"/>
    <w:rsid w:val="008511C6"/>
    <w:rsid w:val="00851C75"/>
    <w:rsid w:val="008524A2"/>
    <w:rsid w:val="00852E5D"/>
    <w:rsid w:val="00852F9B"/>
    <w:rsid w:val="008531D3"/>
    <w:rsid w:val="008532AA"/>
    <w:rsid w:val="00853A4C"/>
    <w:rsid w:val="00853F87"/>
    <w:rsid w:val="00854570"/>
    <w:rsid w:val="008547F5"/>
    <w:rsid w:val="00854BD2"/>
    <w:rsid w:val="00854EF4"/>
    <w:rsid w:val="00854FB0"/>
    <w:rsid w:val="008550B7"/>
    <w:rsid w:val="00855145"/>
    <w:rsid w:val="00855C98"/>
    <w:rsid w:val="008566F0"/>
    <w:rsid w:val="008572AA"/>
    <w:rsid w:val="00857380"/>
    <w:rsid w:val="0085769C"/>
    <w:rsid w:val="008576A1"/>
    <w:rsid w:val="00860A38"/>
    <w:rsid w:val="00860CF2"/>
    <w:rsid w:val="00860FC8"/>
    <w:rsid w:val="008616D3"/>
    <w:rsid w:val="00861C90"/>
    <w:rsid w:val="008630AB"/>
    <w:rsid w:val="008633E2"/>
    <w:rsid w:val="008636A7"/>
    <w:rsid w:val="00863A0D"/>
    <w:rsid w:val="00864A44"/>
    <w:rsid w:val="008652A6"/>
    <w:rsid w:val="00866894"/>
    <w:rsid w:val="0086713B"/>
    <w:rsid w:val="008672E5"/>
    <w:rsid w:val="00867479"/>
    <w:rsid w:val="00867B86"/>
    <w:rsid w:val="00867ED9"/>
    <w:rsid w:val="008700E2"/>
    <w:rsid w:val="008701A0"/>
    <w:rsid w:val="008706D4"/>
    <w:rsid w:val="00870839"/>
    <w:rsid w:val="00870BC5"/>
    <w:rsid w:val="00870C8F"/>
    <w:rsid w:val="00871967"/>
    <w:rsid w:val="0087282F"/>
    <w:rsid w:val="00872A8C"/>
    <w:rsid w:val="0087312E"/>
    <w:rsid w:val="00873164"/>
    <w:rsid w:val="00874AC5"/>
    <w:rsid w:val="008752F7"/>
    <w:rsid w:val="00875992"/>
    <w:rsid w:val="00875B12"/>
    <w:rsid w:val="008764D2"/>
    <w:rsid w:val="008766F9"/>
    <w:rsid w:val="00876CCB"/>
    <w:rsid w:val="00877477"/>
    <w:rsid w:val="0087755E"/>
    <w:rsid w:val="008776D6"/>
    <w:rsid w:val="00877CBD"/>
    <w:rsid w:val="00877D85"/>
    <w:rsid w:val="00877EB0"/>
    <w:rsid w:val="00880259"/>
    <w:rsid w:val="008810F7"/>
    <w:rsid w:val="00881560"/>
    <w:rsid w:val="0088176B"/>
    <w:rsid w:val="00881F03"/>
    <w:rsid w:val="008822B9"/>
    <w:rsid w:val="008823E2"/>
    <w:rsid w:val="00882D2D"/>
    <w:rsid w:val="00882DDF"/>
    <w:rsid w:val="00883084"/>
    <w:rsid w:val="00883D53"/>
    <w:rsid w:val="00884769"/>
    <w:rsid w:val="00885143"/>
    <w:rsid w:val="008853B3"/>
    <w:rsid w:val="00885618"/>
    <w:rsid w:val="008862E6"/>
    <w:rsid w:val="0088694F"/>
    <w:rsid w:val="00886A87"/>
    <w:rsid w:val="008876DD"/>
    <w:rsid w:val="008878AB"/>
    <w:rsid w:val="00887E97"/>
    <w:rsid w:val="00890524"/>
    <w:rsid w:val="00890759"/>
    <w:rsid w:val="008908D7"/>
    <w:rsid w:val="008914B9"/>
    <w:rsid w:val="00891689"/>
    <w:rsid w:val="00891934"/>
    <w:rsid w:val="00892137"/>
    <w:rsid w:val="0089275E"/>
    <w:rsid w:val="00892CCF"/>
    <w:rsid w:val="00892E34"/>
    <w:rsid w:val="008940C6"/>
    <w:rsid w:val="00894167"/>
    <w:rsid w:val="00894963"/>
    <w:rsid w:val="00894A24"/>
    <w:rsid w:val="00894FD7"/>
    <w:rsid w:val="0089556C"/>
    <w:rsid w:val="00895A34"/>
    <w:rsid w:val="00895EF7"/>
    <w:rsid w:val="0089606C"/>
    <w:rsid w:val="00896B6A"/>
    <w:rsid w:val="00896E72"/>
    <w:rsid w:val="00897063"/>
    <w:rsid w:val="00897499"/>
    <w:rsid w:val="008A02F9"/>
    <w:rsid w:val="008A0433"/>
    <w:rsid w:val="008A07B4"/>
    <w:rsid w:val="008A0E8D"/>
    <w:rsid w:val="008A1017"/>
    <w:rsid w:val="008A1378"/>
    <w:rsid w:val="008A20BC"/>
    <w:rsid w:val="008A29B1"/>
    <w:rsid w:val="008A2AF6"/>
    <w:rsid w:val="008A35D3"/>
    <w:rsid w:val="008A4303"/>
    <w:rsid w:val="008A43CA"/>
    <w:rsid w:val="008A4819"/>
    <w:rsid w:val="008A4CA6"/>
    <w:rsid w:val="008A51C2"/>
    <w:rsid w:val="008A5EFF"/>
    <w:rsid w:val="008A60D5"/>
    <w:rsid w:val="008A646A"/>
    <w:rsid w:val="008A7FB3"/>
    <w:rsid w:val="008B03F6"/>
    <w:rsid w:val="008B14FB"/>
    <w:rsid w:val="008B1E54"/>
    <w:rsid w:val="008B2043"/>
    <w:rsid w:val="008B25FB"/>
    <w:rsid w:val="008B2F38"/>
    <w:rsid w:val="008B32D0"/>
    <w:rsid w:val="008B4670"/>
    <w:rsid w:val="008B4C8F"/>
    <w:rsid w:val="008B4CE1"/>
    <w:rsid w:val="008B4F06"/>
    <w:rsid w:val="008B5593"/>
    <w:rsid w:val="008B56C0"/>
    <w:rsid w:val="008B583F"/>
    <w:rsid w:val="008B5E7E"/>
    <w:rsid w:val="008B6027"/>
    <w:rsid w:val="008B6663"/>
    <w:rsid w:val="008B6A62"/>
    <w:rsid w:val="008B741C"/>
    <w:rsid w:val="008B7550"/>
    <w:rsid w:val="008B76D7"/>
    <w:rsid w:val="008B7ACA"/>
    <w:rsid w:val="008C0F51"/>
    <w:rsid w:val="008C28F0"/>
    <w:rsid w:val="008C2975"/>
    <w:rsid w:val="008C2A03"/>
    <w:rsid w:val="008C2E21"/>
    <w:rsid w:val="008C3237"/>
    <w:rsid w:val="008C34D3"/>
    <w:rsid w:val="008C3AA8"/>
    <w:rsid w:val="008C3CD1"/>
    <w:rsid w:val="008C4243"/>
    <w:rsid w:val="008C42B9"/>
    <w:rsid w:val="008C451C"/>
    <w:rsid w:val="008C4884"/>
    <w:rsid w:val="008C49EC"/>
    <w:rsid w:val="008C4D01"/>
    <w:rsid w:val="008C4DF6"/>
    <w:rsid w:val="008C5B69"/>
    <w:rsid w:val="008C6743"/>
    <w:rsid w:val="008C77CD"/>
    <w:rsid w:val="008C7F94"/>
    <w:rsid w:val="008D04AF"/>
    <w:rsid w:val="008D0A2E"/>
    <w:rsid w:val="008D0E45"/>
    <w:rsid w:val="008D1074"/>
    <w:rsid w:val="008D123E"/>
    <w:rsid w:val="008D1412"/>
    <w:rsid w:val="008D172B"/>
    <w:rsid w:val="008D1745"/>
    <w:rsid w:val="008D1BF7"/>
    <w:rsid w:val="008D1C91"/>
    <w:rsid w:val="008D20EB"/>
    <w:rsid w:val="008D311F"/>
    <w:rsid w:val="008D390E"/>
    <w:rsid w:val="008D3BA2"/>
    <w:rsid w:val="008D4970"/>
    <w:rsid w:val="008D4E28"/>
    <w:rsid w:val="008D5019"/>
    <w:rsid w:val="008D5A23"/>
    <w:rsid w:val="008D5ACF"/>
    <w:rsid w:val="008D5F4C"/>
    <w:rsid w:val="008D640E"/>
    <w:rsid w:val="008D6886"/>
    <w:rsid w:val="008D6A17"/>
    <w:rsid w:val="008D6B90"/>
    <w:rsid w:val="008D6DC3"/>
    <w:rsid w:val="008D6FE8"/>
    <w:rsid w:val="008D7152"/>
    <w:rsid w:val="008D7539"/>
    <w:rsid w:val="008D7F04"/>
    <w:rsid w:val="008E0574"/>
    <w:rsid w:val="008E0701"/>
    <w:rsid w:val="008E090E"/>
    <w:rsid w:val="008E0E5C"/>
    <w:rsid w:val="008E10B2"/>
    <w:rsid w:val="008E1201"/>
    <w:rsid w:val="008E136C"/>
    <w:rsid w:val="008E164E"/>
    <w:rsid w:val="008E1934"/>
    <w:rsid w:val="008E1E4D"/>
    <w:rsid w:val="008E1EBD"/>
    <w:rsid w:val="008E22BB"/>
    <w:rsid w:val="008E3947"/>
    <w:rsid w:val="008E4DD6"/>
    <w:rsid w:val="008E5D34"/>
    <w:rsid w:val="008E5D67"/>
    <w:rsid w:val="008E5ECC"/>
    <w:rsid w:val="008E6581"/>
    <w:rsid w:val="008E673A"/>
    <w:rsid w:val="008E6969"/>
    <w:rsid w:val="008E6B07"/>
    <w:rsid w:val="008E7484"/>
    <w:rsid w:val="008E7670"/>
    <w:rsid w:val="008E7C7E"/>
    <w:rsid w:val="008F011E"/>
    <w:rsid w:val="008F01DD"/>
    <w:rsid w:val="008F05EE"/>
    <w:rsid w:val="008F092F"/>
    <w:rsid w:val="008F16D5"/>
    <w:rsid w:val="008F17DE"/>
    <w:rsid w:val="008F21A0"/>
    <w:rsid w:val="008F2672"/>
    <w:rsid w:val="008F2856"/>
    <w:rsid w:val="008F2FBA"/>
    <w:rsid w:val="008F3297"/>
    <w:rsid w:val="008F33BA"/>
    <w:rsid w:val="008F3866"/>
    <w:rsid w:val="008F3C69"/>
    <w:rsid w:val="008F40DF"/>
    <w:rsid w:val="008F48C7"/>
    <w:rsid w:val="008F48F4"/>
    <w:rsid w:val="008F4E6F"/>
    <w:rsid w:val="008F58D2"/>
    <w:rsid w:val="008F5FFA"/>
    <w:rsid w:val="008F612E"/>
    <w:rsid w:val="008F670A"/>
    <w:rsid w:val="008F6B17"/>
    <w:rsid w:val="008F6C55"/>
    <w:rsid w:val="008F6E5C"/>
    <w:rsid w:val="008F7812"/>
    <w:rsid w:val="008F7937"/>
    <w:rsid w:val="008F7B75"/>
    <w:rsid w:val="00900A6C"/>
    <w:rsid w:val="00900C79"/>
    <w:rsid w:val="00900E8D"/>
    <w:rsid w:val="00901137"/>
    <w:rsid w:val="00901746"/>
    <w:rsid w:val="00901831"/>
    <w:rsid w:val="009025E2"/>
    <w:rsid w:val="0090295B"/>
    <w:rsid w:val="00902AB5"/>
    <w:rsid w:val="00902FD2"/>
    <w:rsid w:val="009048E6"/>
    <w:rsid w:val="00905019"/>
    <w:rsid w:val="0090507A"/>
    <w:rsid w:val="009059DD"/>
    <w:rsid w:val="00905B35"/>
    <w:rsid w:val="00906036"/>
    <w:rsid w:val="009061B3"/>
    <w:rsid w:val="00906347"/>
    <w:rsid w:val="0090638E"/>
    <w:rsid w:val="00906ACD"/>
    <w:rsid w:val="00906F66"/>
    <w:rsid w:val="0090715C"/>
    <w:rsid w:val="00910055"/>
    <w:rsid w:val="00910784"/>
    <w:rsid w:val="009107CE"/>
    <w:rsid w:val="00910E13"/>
    <w:rsid w:val="00911408"/>
    <w:rsid w:val="0091151F"/>
    <w:rsid w:val="00911567"/>
    <w:rsid w:val="00911B6A"/>
    <w:rsid w:val="0091225F"/>
    <w:rsid w:val="00912C4C"/>
    <w:rsid w:val="009134CC"/>
    <w:rsid w:val="009139B2"/>
    <w:rsid w:val="00913CD3"/>
    <w:rsid w:val="00913CEE"/>
    <w:rsid w:val="009142AA"/>
    <w:rsid w:val="009142B6"/>
    <w:rsid w:val="00914C10"/>
    <w:rsid w:val="00914D00"/>
    <w:rsid w:val="00914EE8"/>
    <w:rsid w:val="00915397"/>
    <w:rsid w:val="0091541C"/>
    <w:rsid w:val="0091597B"/>
    <w:rsid w:val="00915DA1"/>
    <w:rsid w:val="0091616E"/>
    <w:rsid w:val="00916CD2"/>
    <w:rsid w:val="00916D70"/>
    <w:rsid w:val="0091793C"/>
    <w:rsid w:val="009179D4"/>
    <w:rsid w:val="00917C37"/>
    <w:rsid w:val="00917FF9"/>
    <w:rsid w:val="009204F3"/>
    <w:rsid w:val="009208A7"/>
    <w:rsid w:val="00921197"/>
    <w:rsid w:val="009214B2"/>
    <w:rsid w:val="0092179A"/>
    <w:rsid w:val="009217EC"/>
    <w:rsid w:val="00921A1B"/>
    <w:rsid w:val="00921AE8"/>
    <w:rsid w:val="009221F0"/>
    <w:rsid w:val="009229B7"/>
    <w:rsid w:val="00922C7B"/>
    <w:rsid w:val="0092340C"/>
    <w:rsid w:val="009239E8"/>
    <w:rsid w:val="00923B2F"/>
    <w:rsid w:val="00923D83"/>
    <w:rsid w:val="009243DF"/>
    <w:rsid w:val="00924483"/>
    <w:rsid w:val="00924678"/>
    <w:rsid w:val="00924937"/>
    <w:rsid w:val="00924D43"/>
    <w:rsid w:val="00924D78"/>
    <w:rsid w:val="0092560A"/>
    <w:rsid w:val="009275A7"/>
    <w:rsid w:val="0092776A"/>
    <w:rsid w:val="00927775"/>
    <w:rsid w:val="00930375"/>
    <w:rsid w:val="0093075A"/>
    <w:rsid w:val="009311B9"/>
    <w:rsid w:val="009312A1"/>
    <w:rsid w:val="00931585"/>
    <w:rsid w:val="009315F4"/>
    <w:rsid w:val="00931AA1"/>
    <w:rsid w:val="00931C2C"/>
    <w:rsid w:val="00932039"/>
    <w:rsid w:val="00932108"/>
    <w:rsid w:val="009327FB"/>
    <w:rsid w:val="00932AC2"/>
    <w:rsid w:val="00932D0A"/>
    <w:rsid w:val="0093350D"/>
    <w:rsid w:val="0093376E"/>
    <w:rsid w:val="00933833"/>
    <w:rsid w:val="00933904"/>
    <w:rsid w:val="00933F26"/>
    <w:rsid w:val="0093410A"/>
    <w:rsid w:val="009347FD"/>
    <w:rsid w:val="00934CA9"/>
    <w:rsid w:val="00935777"/>
    <w:rsid w:val="00935ADE"/>
    <w:rsid w:val="00935BAA"/>
    <w:rsid w:val="00935D62"/>
    <w:rsid w:val="0093650D"/>
    <w:rsid w:val="0093673B"/>
    <w:rsid w:val="00937154"/>
    <w:rsid w:val="0093758B"/>
    <w:rsid w:val="00937669"/>
    <w:rsid w:val="009377A8"/>
    <w:rsid w:val="00937DDF"/>
    <w:rsid w:val="00937EC3"/>
    <w:rsid w:val="00940323"/>
    <w:rsid w:val="00940AE6"/>
    <w:rsid w:val="009414CC"/>
    <w:rsid w:val="00941823"/>
    <w:rsid w:val="00941869"/>
    <w:rsid w:val="00941DC7"/>
    <w:rsid w:val="009422F3"/>
    <w:rsid w:val="00942330"/>
    <w:rsid w:val="009424C1"/>
    <w:rsid w:val="009429C2"/>
    <w:rsid w:val="00942BA9"/>
    <w:rsid w:val="00942E6A"/>
    <w:rsid w:val="00943064"/>
    <w:rsid w:val="009431D1"/>
    <w:rsid w:val="00943340"/>
    <w:rsid w:val="009433CB"/>
    <w:rsid w:val="00943493"/>
    <w:rsid w:val="00943DD5"/>
    <w:rsid w:val="0094447B"/>
    <w:rsid w:val="009448D8"/>
    <w:rsid w:val="009450F6"/>
    <w:rsid w:val="00945216"/>
    <w:rsid w:val="00945891"/>
    <w:rsid w:val="00945D6A"/>
    <w:rsid w:val="009460F7"/>
    <w:rsid w:val="00946677"/>
    <w:rsid w:val="009468D7"/>
    <w:rsid w:val="00946E2D"/>
    <w:rsid w:val="009471F2"/>
    <w:rsid w:val="009472B0"/>
    <w:rsid w:val="0094738E"/>
    <w:rsid w:val="00947E7C"/>
    <w:rsid w:val="00950654"/>
    <w:rsid w:val="00950DF2"/>
    <w:rsid w:val="00950F99"/>
    <w:rsid w:val="00950FEF"/>
    <w:rsid w:val="009511F9"/>
    <w:rsid w:val="00952C9B"/>
    <w:rsid w:val="00953292"/>
    <w:rsid w:val="00954080"/>
    <w:rsid w:val="00954491"/>
    <w:rsid w:val="009545E5"/>
    <w:rsid w:val="00954BD0"/>
    <w:rsid w:val="0095517B"/>
    <w:rsid w:val="00955CA4"/>
    <w:rsid w:val="0095601B"/>
    <w:rsid w:val="00956860"/>
    <w:rsid w:val="00956AA8"/>
    <w:rsid w:val="00956EBA"/>
    <w:rsid w:val="009570A0"/>
    <w:rsid w:val="0095739F"/>
    <w:rsid w:val="0095797C"/>
    <w:rsid w:val="00957ABC"/>
    <w:rsid w:val="00957C11"/>
    <w:rsid w:val="00957C27"/>
    <w:rsid w:val="009604EE"/>
    <w:rsid w:val="009606C1"/>
    <w:rsid w:val="00960BFA"/>
    <w:rsid w:val="00960CE8"/>
    <w:rsid w:val="009615C2"/>
    <w:rsid w:val="00961F48"/>
    <w:rsid w:val="00962BDF"/>
    <w:rsid w:val="00962C58"/>
    <w:rsid w:val="00962E03"/>
    <w:rsid w:val="00962E98"/>
    <w:rsid w:val="0096315D"/>
    <w:rsid w:val="00963543"/>
    <w:rsid w:val="00963656"/>
    <w:rsid w:val="00963D62"/>
    <w:rsid w:val="00963F23"/>
    <w:rsid w:val="00965FE3"/>
    <w:rsid w:val="009664B4"/>
    <w:rsid w:val="00966752"/>
    <w:rsid w:val="00966D61"/>
    <w:rsid w:val="00967938"/>
    <w:rsid w:val="00967F75"/>
    <w:rsid w:val="00970A89"/>
    <w:rsid w:val="00970B4E"/>
    <w:rsid w:val="00971748"/>
    <w:rsid w:val="00971EEC"/>
    <w:rsid w:val="0097279B"/>
    <w:rsid w:val="00972E30"/>
    <w:rsid w:val="00972F06"/>
    <w:rsid w:val="0097367E"/>
    <w:rsid w:val="00973A30"/>
    <w:rsid w:val="00973A97"/>
    <w:rsid w:val="00973B51"/>
    <w:rsid w:val="00973E8D"/>
    <w:rsid w:val="00973F89"/>
    <w:rsid w:val="0097406D"/>
    <w:rsid w:val="00974172"/>
    <w:rsid w:val="0097488E"/>
    <w:rsid w:val="00974948"/>
    <w:rsid w:val="00975663"/>
    <w:rsid w:val="00975AE3"/>
    <w:rsid w:val="009762A0"/>
    <w:rsid w:val="00976A78"/>
    <w:rsid w:val="00976D76"/>
    <w:rsid w:val="00977ECB"/>
    <w:rsid w:val="009801D7"/>
    <w:rsid w:val="009804FD"/>
    <w:rsid w:val="0098074D"/>
    <w:rsid w:val="00981D64"/>
    <w:rsid w:val="00981E2D"/>
    <w:rsid w:val="0098249E"/>
    <w:rsid w:val="00982CD7"/>
    <w:rsid w:val="00982F37"/>
    <w:rsid w:val="0098379D"/>
    <w:rsid w:val="00983870"/>
    <w:rsid w:val="00983A7E"/>
    <w:rsid w:val="00983B93"/>
    <w:rsid w:val="00983C9C"/>
    <w:rsid w:val="00983DD0"/>
    <w:rsid w:val="00983ECD"/>
    <w:rsid w:val="00983F2A"/>
    <w:rsid w:val="009846BF"/>
    <w:rsid w:val="009847D5"/>
    <w:rsid w:val="00984A97"/>
    <w:rsid w:val="00984DE6"/>
    <w:rsid w:val="00984EAB"/>
    <w:rsid w:val="0098627B"/>
    <w:rsid w:val="0098686A"/>
    <w:rsid w:val="00986ABC"/>
    <w:rsid w:val="009879C8"/>
    <w:rsid w:val="00987A73"/>
    <w:rsid w:val="00987A79"/>
    <w:rsid w:val="00987C70"/>
    <w:rsid w:val="00987D91"/>
    <w:rsid w:val="00987FA4"/>
    <w:rsid w:val="00991100"/>
    <w:rsid w:val="00991925"/>
    <w:rsid w:val="00991C66"/>
    <w:rsid w:val="00991E62"/>
    <w:rsid w:val="0099208C"/>
    <w:rsid w:val="0099257C"/>
    <w:rsid w:val="00992F1C"/>
    <w:rsid w:val="00993070"/>
    <w:rsid w:val="009931EB"/>
    <w:rsid w:val="0099320B"/>
    <w:rsid w:val="00993284"/>
    <w:rsid w:val="009935B5"/>
    <w:rsid w:val="0099360B"/>
    <w:rsid w:val="00993642"/>
    <w:rsid w:val="00993C20"/>
    <w:rsid w:val="00993D73"/>
    <w:rsid w:val="00994319"/>
    <w:rsid w:val="009944CC"/>
    <w:rsid w:val="009945B5"/>
    <w:rsid w:val="0099482A"/>
    <w:rsid w:val="00994A23"/>
    <w:rsid w:val="00995040"/>
    <w:rsid w:val="00995066"/>
    <w:rsid w:val="009954CB"/>
    <w:rsid w:val="00995500"/>
    <w:rsid w:val="00995D1E"/>
    <w:rsid w:val="00995DBD"/>
    <w:rsid w:val="00996173"/>
    <w:rsid w:val="0099623F"/>
    <w:rsid w:val="00996303"/>
    <w:rsid w:val="009970D4"/>
    <w:rsid w:val="009978FD"/>
    <w:rsid w:val="00997D61"/>
    <w:rsid w:val="009A05F8"/>
    <w:rsid w:val="009A08FC"/>
    <w:rsid w:val="009A0A63"/>
    <w:rsid w:val="009A0E3D"/>
    <w:rsid w:val="009A14A5"/>
    <w:rsid w:val="009A1759"/>
    <w:rsid w:val="009A18CE"/>
    <w:rsid w:val="009A1DC2"/>
    <w:rsid w:val="009A29CF"/>
    <w:rsid w:val="009A2EC8"/>
    <w:rsid w:val="009A30E5"/>
    <w:rsid w:val="009A3197"/>
    <w:rsid w:val="009A357B"/>
    <w:rsid w:val="009A3957"/>
    <w:rsid w:val="009A44FC"/>
    <w:rsid w:val="009A4906"/>
    <w:rsid w:val="009A551F"/>
    <w:rsid w:val="009A55F0"/>
    <w:rsid w:val="009A5943"/>
    <w:rsid w:val="009A62A4"/>
    <w:rsid w:val="009A74B0"/>
    <w:rsid w:val="009A7E5D"/>
    <w:rsid w:val="009B0337"/>
    <w:rsid w:val="009B0DD0"/>
    <w:rsid w:val="009B19A5"/>
    <w:rsid w:val="009B26F8"/>
    <w:rsid w:val="009B27EC"/>
    <w:rsid w:val="009B3E97"/>
    <w:rsid w:val="009B4544"/>
    <w:rsid w:val="009B5365"/>
    <w:rsid w:val="009B5474"/>
    <w:rsid w:val="009B5563"/>
    <w:rsid w:val="009B5C08"/>
    <w:rsid w:val="009B5C84"/>
    <w:rsid w:val="009B5E3A"/>
    <w:rsid w:val="009B5F74"/>
    <w:rsid w:val="009B5FB0"/>
    <w:rsid w:val="009B61D6"/>
    <w:rsid w:val="009B6256"/>
    <w:rsid w:val="009B6A4D"/>
    <w:rsid w:val="009B6EBA"/>
    <w:rsid w:val="009B71D9"/>
    <w:rsid w:val="009B720F"/>
    <w:rsid w:val="009B7490"/>
    <w:rsid w:val="009C031D"/>
    <w:rsid w:val="009C05BE"/>
    <w:rsid w:val="009C09C9"/>
    <w:rsid w:val="009C0AFA"/>
    <w:rsid w:val="009C0B8F"/>
    <w:rsid w:val="009C1112"/>
    <w:rsid w:val="009C1193"/>
    <w:rsid w:val="009C1937"/>
    <w:rsid w:val="009C1B7D"/>
    <w:rsid w:val="009C202E"/>
    <w:rsid w:val="009C237D"/>
    <w:rsid w:val="009C2A43"/>
    <w:rsid w:val="009C303F"/>
    <w:rsid w:val="009C33F5"/>
    <w:rsid w:val="009C3E3A"/>
    <w:rsid w:val="009C420B"/>
    <w:rsid w:val="009C434D"/>
    <w:rsid w:val="009C4EC8"/>
    <w:rsid w:val="009C6D72"/>
    <w:rsid w:val="009C70BC"/>
    <w:rsid w:val="009C74A9"/>
    <w:rsid w:val="009C7AF5"/>
    <w:rsid w:val="009D00DC"/>
    <w:rsid w:val="009D00DF"/>
    <w:rsid w:val="009D01DE"/>
    <w:rsid w:val="009D058C"/>
    <w:rsid w:val="009D069F"/>
    <w:rsid w:val="009D1517"/>
    <w:rsid w:val="009D18C0"/>
    <w:rsid w:val="009D2568"/>
    <w:rsid w:val="009D263E"/>
    <w:rsid w:val="009D2C59"/>
    <w:rsid w:val="009D30FD"/>
    <w:rsid w:val="009D33A9"/>
    <w:rsid w:val="009D3B04"/>
    <w:rsid w:val="009D3DF1"/>
    <w:rsid w:val="009D4CAC"/>
    <w:rsid w:val="009D4CC7"/>
    <w:rsid w:val="009D4E69"/>
    <w:rsid w:val="009D4EB5"/>
    <w:rsid w:val="009D508F"/>
    <w:rsid w:val="009D5162"/>
    <w:rsid w:val="009D5696"/>
    <w:rsid w:val="009D5B2C"/>
    <w:rsid w:val="009D5E65"/>
    <w:rsid w:val="009D64B7"/>
    <w:rsid w:val="009D671D"/>
    <w:rsid w:val="009D6A96"/>
    <w:rsid w:val="009D6AB3"/>
    <w:rsid w:val="009D6B4E"/>
    <w:rsid w:val="009D6C5D"/>
    <w:rsid w:val="009D6EA2"/>
    <w:rsid w:val="009D7ABA"/>
    <w:rsid w:val="009D7D28"/>
    <w:rsid w:val="009E05CC"/>
    <w:rsid w:val="009E0B8E"/>
    <w:rsid w:val="009E1286"/>
    <w:rsid w:val="009E1487"/>
    <w:rsid w:val="009E26EE"/>
    <w:rsid w:val="009E27D4"/>
    <w:rsid w:val="009E28AA"/>
    <w:rsid w:val="009E29C8"/>
    <w:rsid w:val="009E34D2"/>
    <w:rsid w:val="009E3B8A"/>
    <w:rsid w:val="009E3F1A"/>
    <w:rsid w:val="009E49B2"/>
    <w:rsid w:val="009E5028"/>
    <w:rsid w:val="009E56FC"/>
    <w:rsid w:val="009E58B6"/>
    <w:rsid w:val="009E5E05"/>
    <w:rsid w:val="009E6745"/>
    <w:rsid w:val="009E6763"/>
    <w:rsid w:val="009E6843"/>
    <w:rsid w:val="009E68CB"/>
    <w:rsid w:val="009E6BBE"/>
    <w:rsid w:val="009E6D82"/>
    <w:rsid w:val="009E6FB2"/>
    <w:rsid w:val="009E773B"/>
    <w:rsid w:val="009F0114"/>
    <w:rsid w:val="009F0243"/>
    <w:rsid w:val="009F0C17"/>
    <w:rsid w:val="009F0E67"/>
    <w:rsid w:val="009F10D3"/>
    <w:rsid w:val="009F14EB"/>
    <w:rsid w:val="009F2FD6"/>
    <w:rsid w:val="009F31EC"/>
    <w:rsid w:val="009F33C7"/>
    <w:rsid w:val="009F38F6"/>
    <w:rsid w:val="009F3DC7"/>
    <w:rsid w:val="009F413A"/>
    <w:rsid w:val="009F4345"/>
    <w:rsid w:val="009F43A8"/>
    <w:rsid w:val="009F5560"/>
    <w:rsid w:val="009F5B1B"/>
    <w:rsid w:val="009F5CA0"/>
    <w:rsid w:val="009F5CD2"/>
    <w:rsid w:val="009F5F8F"/>
    <w:rsid w:val="009F6000"/>
    <w:rsid w:val="009F606B"/>
    <w:rsid w:val="009F6386"/>
    <w:rsid w:val="009F6441"/>
    <w:rsid w:val="009F67F3"/>
    <w:rsid w:val="009F6C5D"/>
    <w:rsid w:val="009F6D11"/>
    <w:rsid w:val="009F6FF8"/>
    <w:rsid w:val="009F7D37"/>
    <w:rsid w:val="009F7F8F"/>
    <w:rsid w:val="00A0028D"/>
    <w:rsid w:val="00A005B2"/>
    <w:rsid w:val="00A024C8"/>
    <w:rsid w:val="00A024F3"/>
    <w:rsid w:val="00A0254B"/>
    <w:rsid w:val="00A02A2C"/>
    <w:rsid w:val="00A02A6E"/>
    <w:rsid w:val="00A02FB9"/>
    <w:rsid w:val="00A03423"/>
    <w:rsid w:val="00A04A16"/>
    <w:rsid w:val="00A04B0D"/>
    <w:rsid w:val="00A05191"/>
    <w:rsid w:val="00A051F1"/>
    <w:rsid w:val="00A05FB2"/>
    <w:rsid w:val="00A061F0"/>
    <w:rsid w:val="00A06392"/>
    <w:rsid w:val="00A065EC"/>
    <w:rsid w:val="00A06884"/>
    <w:rsid w:val="00A06C32"/>
    <w:rsid w:val="00A07D15"/>
    <w:rsid w:val="00A07F26"/>
    <w:rsid w:val="00A07F42"/>
    <w:rsid w:val="00A10423"/>
    <w:rsid w:val="00A11B7D"/>
    <w:rsid w:val="00A11F4A"/>
    <w:rsid w:val="00A120D2"/>
    <w:rsid w:val="00A12644"/>
    <w:rsid w:val="00A129D0"/>
    <w:rsid w:val="00A1376D"/>
    <w:rsid w:val="00A13B2B"/>
    <w:rsid w:val="00A13CF0"/>
    <w:rsid w:val="00A13E63"/>
    <w:rsid w:val="00A13EF3"/>
    <w:rsid w:val="00A142E0"/>
    <w:rsid w:val="00A1482C"/>
    <w:rsid w:val="00A14D36"/>
    <w:rsid w:val="00A14E32"/>
    <w:rsid w:val="00A151FD"/>
    <w:rsid w:val="00A15AAA"/>
    <w:rsid w:val="00A15FEC"/>
    <w:rsid w:val="00A16381"/>
    <w:rsid w:val="00A16F72"/>
    <w:rsid w:val="00A17CDA"/>
    <w:rsid w:val="00A20040"/>
    <w:rsid w:val="00A200C5"/>
    <w:rsid w:val="00A20808"/>
    <w:rsid w:val="00A212ED"/>
    <w:rsid w:val="00A216F1"/>
    <w:rsid w:val="00A21A8A"/>
    <w:rsid w:val="00A21CFC"/>
    <w:rsid w:val="00A22066"/>
    <w:rsid w:val="00A22332"/>
    <w:rsid w:val="00A2245D"/>
    <w:rsid w:val="00A22BED"/>
    <w:rsid w:val="00A234E8"/>
    <w:rsid w:val="00A2374A"/>
    <w:rsid w:val="00A23B85"/>
    <w:rsid w:val="00A23E9F"/>
    <w:rsid w:val="00A245DC"/>
    <w:rsid w:val="00A2480C"/>
    <w:rsid w:val="00A24BFF"/>
    <w:rsid w:val="00A24D43"/>
    <w:rsid w:val="00A25003"/>
    <w:rsid w:val="00A258C5"/>
    <w:rsid w:val="00A25B27"/>
    <w:rsid w:val="00A25F28"/>
    <w:rsid w:val="00A26BB6"/>
    <w:rsid w:val="00A26E26"/>
    <w:rsid w:val="00A2712F"/>
    <w:rsid w:val="00A2729C"/>
    <w:rsid w:val="00A30D26"/>
    <w:rsid w:val="00A31637"/>
    <w:rsid w:val="00A316D7"/>
    <w:rsid w:val="00A319BD"/>
    <w:rsid w:val="00A31D98"/>
    <w:rsid w:val="00A31F9D"/>
    <w:rsid w:val="00A32E7E"/>
    <w:rsid w:val="00A339C6"/>
    <w:rsid w:val="00A33A16"/>
    <w:rsid w:val="00A33E14"/>
    <w:rsid w:val="00A3428A"/>
    <w:rsid w:val="00A34CA9"/>
    <w:rsid w:val="00A34E49"/>
    <w:rsid w:val="00A3505B"/>
    <w:rsid w:val="00A3521D"/>
    <w:rsid w:val="00A35298"/>
    <w:rsid w:val="00A3561B"/>
    <w:rsid w:val="00A3573D"/>
    <w:rsid w:val="00A35BC7"/>
    <w:rsid w:val="00A36DB3"/>
    <w:rsid w:val="00A37099"/>
    <w:rsid w:val="00A3745B"/>
    <w:rsid w:val="00A37629"/>
    <w:rsid w:val="00A37A06"/>
    <w:rsid w:val="00A37F36"/>
    <w:rsid w:val="00A40D34"/>
    <w:rsid w:val="00A41A9F"/>
    <w:rsid w:val="00A41EE9"/>
    <w:rsid w:val="00A42070"/>
    <w:rsid w:val="00A420FE"/>
    <w:rsid w:val="00A42122"/>
    <w:rsid w:val="00A42176"/>
    <w:rsid w:val="00A426E2"/>
    <w:rsid w:val="00A428D8"/>
    <w:rsid w:val="00A42AD3"/>
    <w:rsid w:val="00A44706"/>
    <w:rsid w:val="00A4497C"/>
    <w:rsid w:val="00A44C0F"/>
    <w:rsid w:val="00A45431"/>
    <w:rsid w:val="00A45675"/>
    <w:rsid w:val="00A45773"/>
    <w:rsid w:val="00A45BEB"/>
    <w:rsid w:val="00A46731"/>
    <w:rsid w:val="00A469B1"/>
    <w:rsid w:val="00A46E14"/>
    <w:rsid w:val="00A47DB3"/>
    <w:rsid w:val="00A47E7A"/>
    <w:rsid w:val="00A500D5"/>
    <w:rsid w:val="00A50170"/>
    <w:rsid w:val="00A512BB"/>
    <w:rsid w:val="00A512E7"/>
    <w:rsid w:val="00A5281A"/>
    <w:rsid w:val="00A53082"/>
    <w:rsid w:val="00A539EF"/>
    <w:rsid w:val="00A5412D"/>
    <w:rsid w:val="00A54397"/>
    <w:rsid w:val="00A54582"/>
    <w:rsid w:val="00A54A18"/>
    <w:rsid w:val="00A54D1D"/>
    <w:rsid w:val="00A55402"/>
    <w:rsid w:val="00A55520"/>
    <w:rsid w:val="00A556FA"/>
    <w:rsid w:val="00A5576B"/>
    <w:rsid w:val="00A55B52"/>
    <w:rsid w:val="00A56111"/>
    <w:rsid w:val="00A56A11"/>
    <w:rsid w:val="00A56BEB"/>
    <w:rsid w:val="00A56C2D"/>
    <w:rsid w:val="00A571E1"/>
    <w:rsid w:val="00A572A4"/>
    <w:rsid w:val="00A578B2"/>
    <w:rsid w:val="00A579D9"/>
    <w:rsid w:val="00A604EC"/>
    <w:rsid w:val="00A60A32"/>
    <w:rsid w:val="00A60EC5"/>
    <w:rsid w:val="00A60EC7"/>
    <w:rsid w:val="00A61317"/>
    <w:rsid w:val="00A62C7C"/>
    <w:rsid w:val="00A62C96"/>
    <w:rsid w:val="00A62E78"/>
    <w:rsid w:val="00A633C6"/>
    <w:rsid w:val="00A6366C"/>
    <w:rsid w:val="00A63C14"/>
    <w:rsid w:val="00A640B0"/>
    <w:rsid w:val="00A640FC"/>
    <w:rsid w:val="00A641A2"/>
    <w:rsid w:val="00A6455B"/>
    <w:rsid w:val="00A64B5C"/>
    <w:rsid w:val="00A64E8E"/>
    <w:rsid w:val="00A6531F"/>
    <w:rsid w:val="00A65604"/>
    <w:rsid w:val="00A65892"/>
    <w:rsid w:val="00A659B6"/>
    <w:rsid w:val="00A66369"/>
    <w:rsid w:val="00A66480"/>
    <w:rsid w:val="00A6682D"/>
    <w:rsid w:val="00A66853"/>
    <w:rsid w:val="00A66AE8"/>
    <w:rsid w:val="00A67028"/>
    <w:rsid w:val="00A6706C"/>
    <w:rsid w:val="00A67812"/>
    <w:rsid w:val="00A67E85"/>
    <w:rsid w:val="00A707A1"/>
    <w:rsid w:val="00A70963"/>
    <w:rsid w:val="00A70DA4"/>
    <w:rsid w:val="00A71167"/>
    <w:rsid w:val="00A7118F"/>
    <w:rsid w:val="00A714CA"/>
    <w:rsid w:val="00A717B3"/>
    <w:rsid w:val="00A71A53"/>
    <w:rsid w:val="00A71BCC"/>
    <w:rsid w:val="00A71EEA"/>
    <w:rsid w:val="00A722B8"/>
    <w:rsid w:val="00A725EC"/>
    <w:rsid w:val="00A732B2"/>
    <w:rsid w:val="00A73562"/>
    <w:rsid w:val="00A74150"/>
    <w:rsid w:val="00A74E4B"/>
    <w:rsid w:val="00A74EB2"/>
    <w:rsid w:val="00A75593"/>
    <w:rsid w:val="00A75A85"/>
    <w:rsid w:val="00A75BE1"/>
    <w:rsid w:val="00A766C8"/>
    <w:rsid w:val="00A7709E"/>
    <w:rsid w:val="00A775B9"/>
    <w:rsid w:val="00A779CD"/>
    <w:rsid w:val="00A77B6A"/>
    <w:rsid w:val="00A80DA2"/>
    <w:rsid w:val="00A80F56"/>
    <w:rsid w:val="00A81034"/>
    <w:rsid w:val="00A814DD"/>
    <w:rsid w:val="00A81EDE"/>
    <w:rsid w:val="00A820BD"/>
    <w:rsid w:val="00A8235E"/>
    <w:rsid w:val="00A82652"/>
    <w:rsid w:val="00A828AB"/>
    <w:rsid w:val="00A8291E"/>
    <w:rsid w:val="00A82DBF"/>
    <w:rsid w:val="00A82E07"/>
    <w:rsid w:val="00A83082"/>
    <w:rsid w:val="00A830B0"/>
    <w:rsid w:val="00A8391E"/>
    <w:rsid w:val="00A8473E"/>
    <w:rsid w:val="00A85A7B"/>
    <w:rsid w:val="00A861F5"/>
    <w:rsid w:val="00A865A1"/>
    <w:rsid w:val="00A86A11"/>
    <w:rsid w:val="00A86B69"/>
    <w:rsid w:val="00A86CCC"/>
    <w:rsid w:val="00A8703C"/>
    <w:rsid w:val="00A8735E"/>
    <w:rsid w:val="00A8780C"/>
    <w:rsid w:val="00A879CA"/>
    <w:rsid w:val="00A90779"/>
    <w:rsid w:val="00A90AE4"/>
    <w:rsid w:val="00A91750"/>
    <w:rsid w:val="00A91C4E"/>
    <w:rsid w:val="00A92284"/>
    <w:rsid w:val="00A92315"/>
    <w:rsid w:val="00A92866"/>
    <w:rsid w:val="00A93481"/>
    <w:rsid w:val="00A934F5"/>
    <w:rsid w:val="00A935B4"/>
    <w:rsid w:val="00A93BFD"/>
    <w:rsid w:val="00A93D0A"/>
    <w:rsid w:val="00A940DB"/>
    <w:rsid w:val="00A94BCC"/>
    <w:rsid w:val="00A94D38"/>
    <w:rsid w:val="00A95861"/>
    <w:rsid w:val="00A95962"/>
    <w:rsid w:val="00A95E20"/>
    <w:rsid w:val="00A960F1"/>
    <w:rsid w:val="00A961E8"/>
    <w:rsid w:val="00A962D0"/>
    <w:rsid w:val="00A965BB"/>
    <w:rsid w:val="00A9669A"/>
    <w:rsid w:val="00A96982"/>
    <w:rsid w:val="00A971B2"/>
    <w:rsid w:val="00AA068D"/>
    <w:rsid w:val="00AA092F"/>
    <w:rsid w:val="00AA0EA6"/>
    <w:rsid w:val="00AA0F95"/>
    <w:rsid w:val="00AA17BF"/>
    <w:rsid w:val="00AA235D"/>
    <w:rsid w:val="00AA244D"/>
    <w:rsid w:val="00AA2B87"/>
    <w:rsid w:val="00AA2D07"/>
    <w:rsid w:val="00AA3285"/>
    <w:rsid w:val="00AA3F09"/>
    <w:rsid w:val="00AA4B2F"/>
    <w:rsid w:val="00AA51CB"/>
    <w:rsid w:val="00AA5D5B"/>
    <w:rsid w:val="00AA631F"/>
    <w:rsid w:val="00AA6AFB"/>
    <w:rsid w:val="00AA6C0C"/>
    <w:rsid w:val="00AA6F17"/>
    <w:rsid w:val="00AA7105"/>
    <w:rsid w:val="00AA792B"/>
    <w:rsid w:val="00AA7A9F"/>
    <w:rsid w:val="00AA7D71"/>
    <w:rsid w:val="00AB030E"/>
    <w:rsid w:val="00AB0978"/>
    <w:rsid w:val="00AB1077"/>
    <w:rsid w:val="00AB159C"/>
    <w:rsid w:val="00AB256E"/>
    <w:rsid w:val="00AB2779"/>
    <w:rsid w:val="00AB2BE4"/>
    <w:rsid w:val="00AB2CDB"/>
    <w:rsid w:val="00AB3090"/>
    <w:rsid w:val="00AB32BC"/>
    <w:rsid w:val="00AB3636"/>
    <w:rsid w:val="00AB3876"/>
    <w:rsid w:val="00AB3A01"/>
    <w:rsid w:val="00AB40A7"/>
    <w:rsid w:val="00AB4159"/>
    <w:rsid w:val="00AB4493"/>
    <w:rsid w:val="00AB50DC"/>
    <w:rsid w:val="00AB5786"/>
    <w:rsid w:val="00AB5B7D"/>
    <w:rsid w:val="00AB60A9"/>
    <w:rsid w:val="00AB63F7"/>
    <w:rsid w:val="00AB66F9"/>
    <w:rsid w:val="00AB7104"/>
    <w:rsid w:val="00AB71BB"/>
    <w:rsid w:val="00AB7318"/>
    <w:rsid w:val="00AB7DB8"/>
    <w:rsid w:val="00AC01D0"/>
    <w:rsid w:val="00AC060A"/>
    <w:rsid w:val="00AC0BD3"/>
    <w:rsid w:val="00AC14AB"/>
    <w:rsid w:val="00AC1EE0"/>
    <w:rsid w:val="00AC216B"/>
    <w:rsid w:val="00AC26E1"/>
    <w:rsid w:val="00AC2944"/>
    <w:rsid w:val="00AC2EC1"/>
    <w:rsid w:val="00AC3A83"/>
    <w:rsid w:val="00AC3E97"/>
    <w:rsid w:val="00AC461E"/>
    <w:rsid w:val="00AC4A4B"/>
    <w:rsid w:val="00AC4E5C"/>
    <w:rsid w:val="00AC54CA"/>
    <w:rsid w:val="00AC58C9"/>
    <w:rsid w:val="00AC592F"/>
    <w:rsid w:val="00AC6226"/>
    <w:rsid w:val="00AC655B"/>
    <w:rsid w:val="00AC65B8"/>
    <w:rsid w:val="00AC6844"/>
    <w:rsid w:val="00AC7046"/>
    <w:rsid w:val="00AC78F7"/>
    <w:rsid w:val="00AD0445"/>
    <w:rsid w:val="00AD0550"/>
    <w:rsid w:val="00AD09CA"/>
    <w:rsid w:val="00AD1A85"/>
    <w:rsid w:val="00AD2448"/>
    <w:rsid w:val="00AD34BA"/>
    <w:rsid w:val="00AD38FD"/>
    <w:rsid w:val="00AD3B5C"/>
    <w:rsid w:val="00AD468B"/>
    <w:rsid w:val="00AD46B1"/>
    <w:rsid w:val="00AD494E"/>
    <w:rsid w:val="00AD4CBC"/>
    <w:rsid w:val="00AD51AB"/>
    <w:rsid w:val="00AD5E9D"/>
    <w:rsid w:val="00AD5F76"/>
    <w:rsid w:val="00AD7231"/>
    <w:rsid w:val="00AD73EF"/>
    <w:rsid w:val="00AD78D7"/>
    <w:rsid w:val="00AD7AD6"/>
    <w:rsid w:val="00AD7E59"/>
    <w:rsid w:val="00AE03B2"/>
    <w:rsid w:val="00AE05E7"/>
    <w:rsid w:val="00AE0B05"/>
    <w:rsid w:val="00AE1A3B"/>
    <w:rsid w:val="00AE2341"/>
    <w:rsid w:val="00AE290B"/>
    <w:rsid w:val="00AE2A9A"/>
    <w:rsid w:val="00AE2CFF"/>
    <w:rsid w:val="00AE320A"/>
    <w:rsid w:val="00AE3257"/>
    <w:rsid w:val="00AE343E"/>
    <w:rsid w:val="00AE34D1"/>
    <w:rsid w:val="00AE42AA"/>
    <w:rsid w:val="00AE4627"/>
    <w:rsid w:val="00AE4A54"/>
    <w:rsid w:val="00AE4D15"/>
    <w:rsid w:val="00AE4FE3"/>
    <w:rsid w:val="00AE509D"/>
    <w:rsid w:val="00AE5286"/>
    <w:rsid w:val="00AE5D2A"/>
    <w:rsid w:val="00AE6552"/>
    <w:rsid w:val="00AE6D8C"/>
    <w:rsid w:val="00AE6E5C"/>
    <w:rsid w:val="00AE71C3"/>
    <w:rsid w:val="00AE734F"/>
    <w:rsid w:val="00AE753E"/>
    <w:rsid w:val="00AE7C87"/>
    <w:rsid w:val="00AF0226"/>
    <w:rsid w:val="00AF0F26"/>
    <w:rsid w:val="00AF12C4"/>
    <w:rsid w:val="00AF13D0"/>
    <w:rsid w:val="00AF14F2"/>
    <w:rsid w:val="00AF187A"/>
    <w:rsid w:val="00AF1C54"/>
    <w:rsid w:val="00AF285A"/>
    <w:rsid w:val="00AF2DCC"/>
    <w:rsid w:val="00AF2E18"/>
    <w:rsid w:val="00AF3A2B"/>
    <w:rsid w:val="00AF3AFE"/>
    <w:rsid w:val="00AF3B6A"/>
    <w:rsid w:val="00AF3D3F"/>
    <w:rsid w:val="00AF44EA"/>
    <w:rsid w:val="00AF4893"/>
    <w:rsid w:val="00AF4D77"/>
    <w:rsid w:val="00AF4EF0"/>
    <w:rsid w:val="00AF554E"/>
    <w:rsid w:val="00AF5847"/>
    <w:rsid w:val="00AF5AF4"/>
    <w:rsid w:val="00AF5EBF"/>
    <w:rsid w:val="00AF7EC6"/>
    <w:rsid w:val="00B0197C"/>
    <w:rsid w:val="00B022AE"/>
    <w:rsid w:val="00B0282E"/>
    <w:rsid w:val="00B02B18"/>
    <w:rsid w:val="00B02E07"/>
    <w:rsid w:val="00B030A5"/>
    <w:rsid w:val="00B03310"/>
    <w:rsid w:val="00B03F9D"/>
    <w:rsid w:val="00B0408B"/>
    <w:rsid w:val="00B041FA"/>
    <w:rsid w:val="00B04D14"/>
    <w:rsid w:val="00B0515A"/>
    <w:rsid w:val="00B05182"/>
    <w:rsid w:val="00B052C6"/>
    <w:rsid w:val="00B0581B"/>
    <w:rsid w:val="00B05A5E"/>
    <w:rsid w:val="00B06404"/>
    <w:rsid w:val="00B06801"/>
    <w:rsid w:val="00B06CAA"/>
    <w:rsid w:val="00B07376"/>
    <w:rsid w:val="00B079D0"/>
    <w:rsid w:val="00B07B94"/>
    <w:rsid w:val="00B07D3E"/>
    <w:rsid w:val="00B107E1"/>
    <w:rsid w:val="00B10833"/>
    <w:rsid w:val="00B10D82"/>
    <w:rsid w:val="00B11072"/>
    <w:rsid w:val="00B11C3B"/>
    <w:rsid w:val="00B1218F"/>
    <w:rsid w:val="00B121AC"/>
    <w:rsid w:val="00B127C7"/>
    <w:rsid w:val="00B12BCC"/>
    <w:rsid w:val="00B1304B"/>
    <w:rsid w:val="00B13C29"/>
    <w:rsid w:val="00B13C42"/>
    <w:rsid w:val="00B142C5"/>
    <w:rsid w:val="00B1431C"/>
    <w:rsid w:val="00B147A0"/>
    <w:rsid w:val="00B14F04"/>
    <w:rsid w:val="00B15821"/>
    <w:rsid w:val="00B1633B"/>
    <w:rsid w:val="00B16BE2"/>
    <w:rsid w:val="00B16DDA"/>
    <w:rsid w:val="00B17212"/>
    <w:rsid w:val="00B1767F"/>
    <w:rsid w:val="00B17969"/>
    <w:rsid w:val="00B2023D"/>
    <w:rsid w:val="00B20364"/>
    <w:rsid w:val="00B207A1"/>
    <w:rsid w:val="00B20C7E"/>
    <w:rsid w:val="00B2118B"/>
    <w:rsid w:val="00B21894"/>
    <w:rsid w:val="00B2197C"/>
    <w:rsid w:val="00B21F98"/>
    <w:rsid w:val="00B2201D"/>
    <w:rsid w:val="00B22522"/>
    <w:rsid w:val="00B22B5A"/>
    <w:rsid w:val="00B22BC1"/>
    <w:rsid w:val="00B231B4"/>
    <w:rsid w:val="00B23369"/>
    <w:rsid w:val="00B248E9"/>
    <w:rsid w:val="00B24965"/>
    <w:rsid w:val="00B24E0F"/>
    <w:rsid w:val="00B253CA"/>
    <w:rsid w:val="00B25D79"/>
    <w:rsid w:val="00B264ED"/>
    <w:rsid w:val="00B26561"/>
    <w:rsid w:val="00B26CB5"/>
    <w:rsid w:val="00B27013"/>
    <w:rsid w:val="00B27194"/>
    <w:rsid w:val="00B27713"/>
    <w:rsid w:val="00B27FF8"/>
    <w:rsid w:val="00B30190"/>
    <w:rsid w:val="00B3026C"/>
    <w:rsid w:val="00B30348"/>
    <w:rsid w:val="00B3067C"/>
    <w:rsid w:val="00B30BFD"/>
    <w:rsid w:val="00B30F5A"/>
    <w:rsid w:val="00B31732"/>
    <w:rsid w:val="00B323BA"/>
    <w:rsid w:val="00B32BFB"/>
    <w:rsid w:val="00B331F3"/>
    <w:rsid w:val="00B33AFA"/>
    <w:rsid w:val="00B33B50"/>
    <w:rsid w:val="00B34CA3"/>
    <w:rsid w:val="00B35211"/>
    <w:rsid w:val="00B35232"/>
    <w:rsid w:val="00B35442"/>
    <w:rsid w:val="00B35602"/>
    <w:rsid w:val="00B35E12"/>
    <w:rsid w:val="00B36182"/>
    <w:rsid w:val="00B36B88"/>
    <w:rsid w:val="00B3770C"/>
    <w:rsid w:val="00B37C0F"/>
    <w:rsid w:val="00B37E7D"/>
    <w:rsid w:val="00B40509"/>
    <w:rsid w:val="00B40598"/>
    <w:rsid w:val="00B40CE5"/>
    <w:rsid w:val="00B40DC4"/>
    <w:rsid w:val="00B41967"/>
    <w:rsid w:val="00B41D86"/>
    <w:rsid w:val="00B41F9F"/>
    <w:rsid w:val="00B42129"/>
    <w:rsid w:val="00B42459"/>
    <w:rsid w:val="00B4355D"/>
    <w:rsid w:val="00B4450F"/>
    <w:rsid w:val="00B45159"/>
    <w:rsid w:val="00B45744"/>
    <w:rsid w:val="00B45E7A"/>
    <w:rsid w:val="00B4692F"/>
    <w:rsid w:val="00B46CC9"/>
    <w:rsid w:val="00B46DB2"/>
    <w:rsid w:val="00B46EF5"/>
    <w:rsid w:val="00B4710F"/>
    <w:rsid w:val="00B47120"/>
    <w:rsid w:val="00B472A5"/>
    <w:rsid w:val="00B47337"/>
    <w:rsid w:val="00B47A2F"/>
    <w:rsid w:val="00B47C0E"/>
    <w:rsid w:val="00B47D93"/>
    <w:rsid w:val="00B47D94"/>
    <w:rsid w:val="00B505C0"/>
    <w:rsid w:val="00B5094D"/>
    <w:rsid w:val="00B5099C"/>
    <w:rsid w:val="00B50B34"/>
    <w:rsid w:val="00B510B2"/>
    <w:rsid w:val="00B51761"/>
    <w:rsid w:val="00B51766"/>
    <w:rsid w:val="00B525A7"/>
    <w:rsid w:val="00B52D80"/>
    <w:rsid w:val="00B52EF0"/>
    <w:rsid w:val="00B53159"/>
    <w:rsid w:val="00B53D1B"/>
    <w:rsid w:val="00B53F16"/>
    <w:rsid w:val="00B55104"/>
    <w:rsid w:val="00B56762"/>
    <w:rsid w:val="00B56A95"/>
    <w:rsid w:val="00B56D86"/>
    <w:rsid w:val="00B56F18"/>
    <w:rsid w:val="00B570AE"/>
    <w:rsid w:val="00B57946"/>
    <w:rsid w:val="00B57E60"/>
    <w:rsid w:val="00B60026"/>
    <w:rsid w:val="00B60033"/>
    <w:rsid w:val="00B60048"/>
    <w:rsid w:val="00B600E1"/>
    <w:rsid w:val="00B60365"/>
    <w:rsid w:val="00B60562"/>
    <w:rsid w:val="00B61139"/>
    <w:rsid w:val="00B612AF"/>
    <w:rsid w:val="00B617EA"/>
    <w:rsid w:val="00B61DD7"/>
    <w:rsid w:val="00B620AF"/>
    <w:rsid w:val="00B620FE"/>
    <w:rsid w:val="00B62B22"/>
    <w:rsid w:val="00B62D4D"/>
    <w:rsid w:val="00B62E73"/>
    <w:rsid w:val="00B630C7"/>
    <w:rsid w:val="00B641C1"/>
    <w:rsid w:val="00B64404"/>
    <w:rsid w:val="00B64949"/>
    <w:rsid w:val="00B65AA9"/>
    <w:rsid w:val="00B663AB"/>
    <w:rsid w:val="00B667F0"/>
    <w:rsid w:val="00B66CEB"/>
    <w:rsid w:val="00B67002"/>
    <w:rsid w:val="00B6713B"/>
    <w:rsid w:val="00B674D5"/>
    <w:rsid w:val="00B67741"/>
    <w:rsid w:val="00B67E40"/>
    <w:rsid w:val="00B700DB"/>
    <w:rsid w:val="00B704DC"/>
    <w:rsid w:val="00B70778"/>
    <w:rsid w:val="00B70B0F"/>
    <w:rsid w:val="00B70E13"/>
    <w:rsid w:val="00B711EE"/>
    <w:rsid w:val="00B71973"/>
    <w:rsid w:val="00B72940"/>
    <w:rsid w:val="00B72A6E"/>
    <w:rsid w:val="00B72C8D"/>
    <w:rsid w:val="00B73061"/>
    <w:rsid w:val="00B73201"/>
    <w:rsid w:val="00B7373A"/>
    <w:rsid w:val="00B74631"/>
    <w:rsid w:val="00B7490E"/>
    <w:rsid w:val="00B7506A"/>
    <w:rsid w:val="00B752C8"/>
    <w:rsid w:val="00B75D98"/>
    <w:rsid w:val="00B76B11"/>
    <w:rsid w:val="00B76CF3"/>
    <w:rsid w:val="00B77A8D"/>
    <w:rsid w:val="00B802FE"/>
    <w:rsid w:val="00B80318"/>
    <w:rsid w:val="00B804F5"/>
    <w:rsid w:val="00B816E5"/>
    <w:rsid w:val="00B81734"/>
    <w:rsid w:val="00B81837"/>
    <w:rsid w:val="00B82262"/>
    <w:rsid w:val="00B8233F"/>
    <w:rsid w:val="00B8246C"/>
    <w:rsid w:val="00B828AB"/>
    <w:rsid w:val="00B82C85"/>
    <w:rsid w:val="00B83032"/>
    <w:rsid w:val="00B83077"/>
    <w:rsid w:val="00B8336F"/>
    <w:rsid w:val="00B83D3B"/>
    <w:rsid w:val="00B84159"/>
    <w:rsid w:val="00B8417B"/>
    <w:rsid w:val="00B843D5"/>
    <w:rsid w:val="00B851B6"/>
    <w:rsid w:val="00B85498"/>
    <w:rsid w:val="00B85BB1"/>
    <w:rsid w:val="00B85C89"/>
    <w:rsid w:val="00B86695"/>
    <w:rsid w:val="00B86C71"/>
    <w:rsid w:val="00B86E2D"/>
    <w:rsid w:val="00B871A4"/>
    <w:rsid w:val="00B8760F"/>
    <w:rsid w:val="00B9078D"/>
    <w:rsid w:val="00B90A5B"/>
    <w:rsid w:val="00B90DCB"/>
    <w:rsid w:val="00B91494"/>
    <w:rsid w:val="00B92069"/>
    <w:rsid w:val="00B9237E"/>
    <w:rsid w:val="00B92B2E"/>
    <w:rsid w:val="00B92CAD"/>
    <w:rsid w:val="00B9311A"/>
    <w:rsid w:val="00B93D0C"/>
    <w:rsid w:val="00B93E87"/>
    <w:rsid w:val="00B93F60"/>
    <w:rsid w:val="00B944ED"/>
    <w:rsid w:val="00B94BEB"/>
    <w:rsid w:val="00B94C22"/>
    <w:rsid w:val="00B94C64"/>
    <w:rsid w:val="00B95068"/>
    <w:rsid w:val="00B9555E"/>
    <w:rsid w:val="00B9584E"/>
    <w:rsid w:val="00B95DA2"/>
    <w:rsid w:val="00B96B3E"/>
    <w:rsid w:val="00B96CC4"/>
    <w:rsid w:val="00B9717D"/>
    <w:rsid w:val="00B97C6A"/>
    <w:rsid w:val="00BA046E"/>
    <w:rsid w:val="00BA0B71"/>
    <w:rsid w:val="00BA0D38"/>
    <w:rsid w:val="00BA0E3C"/>
    <w:rsid w:val="00BA103E"/>
    <w:rsid w:val="00BA1A1B"/>
    <w:rsid w:val="00BA1B8F"/>
    <w:rsid w:val="00BA20DB"/>
    <w:rsid w:val="00BA23F6"/>
    <w:rsid w:val="00BA2600"/>
    <w:rsid w:val="00BA2FFC"/>
    <w:rsid w:val="00BA300A"/>
    <w:rsid w:val="00BA316B"/>
    <w:rsid w:val="00BA3BF5"/>
    <w:rsid w:val="00BA3DB8"/>
    <w:rsid w:val="00BA3E70"/>
    <w:rsid w:val="00BA43A5"/>
    <w:rsid w:val="00BA449A"/>
    <w:rsid w:val="00BA475D"/>
    <w:rsid w:val="00BA4A96"/>
    <w:rsid w:val="00BA4D32"/>
    <w:rsid w:val="00BA4F01"/>
    <w:rsid w:val="00BA4F69"/>
    <w:rsid w:val="00BA502A"/>
    <w:rsid w:val="00BA539E"/>
    <w:rsid w:val="00BA581C"/>
    <w:rsid w:val="00BA5B6A"/>
    <w:rsid w:val="00BA6409"/>
    <w:rsid w:val="00BA6AD9"/>
    <w:rsid w:val="00BA75FE"/>
    <w:rsid w:val="00BB02C2"/>
    <w:rsid w:val="00BB116C"/>
    <w:rsid w:val="00BB26E0"/>
    <w:rsid w:val="00BB2FA1"/>
    <w:rsid w:val="00BB330C"/>
    <w:rsid w:val="00BB3CDA"/>
    <w:rsid w:val="00BB3DA2"/>
    <w:rsid w:val="00BB461D"/>
    <w:rsid w:val="00BB4925"/>
    <w:rsid w:val="00BB4D52"/>
    <w:rsid w:val="00BB5A72"/>
    <w:rsid w:val="00BB5B4C"/>
    <w:rsid w:val="00BB5F1C"/>
    <w:rsid w:val="00BB64E7"/>
    <w:rsid w:val="00BB6AEB"/>
    <w:rsid w:val="00BB6FB7"/>
    <w:rsid w:val="00BB7030"/>
    <w:rsid w:val="00BB70CB"/>
    <w:rsid w:val="00BB7A7E"/>
    <w:rsid w:val="00BC07C0"/>
    <w:rsid w:val="00BC1427"/>
    <w:rsid w:val="00BC150A"/>
    <w:rsid w:val="00BC15C1"/>
    <w:rsid w:val="00BC19A3"/>
    <w:rsid w:val="00BC1DB2"/>
    <w:rsid w:val="00BC2613"/>
    <w:rsid w:val="00BC2668"/>
    <w:rsid w:val="00BC2E21"/>
    <w:rsid w:val="00BC39CC"/>
    <w:rsid w:val="00BC3D37"/>
    <w:rsid w:val="00BC4239"/>
    <w:rsid w:val="00BC50D7"/>
    <w:rsid w:val="00BC5705"/>
    <w:rsid w:val="00BC5975"/>
    <w:rsid w:val="00BC59DB"/>
    <w:rsid w:val="00BC5E26"/>
    <w:rsid w:val="00BC655A"/>
    <w:rsid w:val="00BC6A21"/>
    <w:rsid w:val="00BC6CA8"/>
    <w:rsid w:val="00BC6F10"/>
    <w:rsid w:val="00BC757B"/>
    <w:rsid w:val="00BC76BA"/>
    <w:rsid w:val="00BC7D54"/>
    <w:rsid w:val="00BC7E12"/>
    <w:rsid w:val="00BD0BB9"/>
    <w:rsid w:val="00BD1202"/>
    <w:rsid w:val="00BD21B2"/>
    <w:rsid w:val="00BD29D6"/>
    <w:rsid w:val="00BD2A1E"/>
    <w:rsid w:val="00BD3101"/>
    <w:rsid w:val="00BD32A0"/>
    <w:rsid w:val="00BD3F27"/>
    <w:rsid w:val="00BD4487"/>
    <w:rsid w:val="00BD4FBC"/>
    <w:rsid w:val="00BD509A"/>
    <w:rsid w:val="00BD5401"/>
    <w:rsid w:val="00BD5450"/>
    <w:rsid w:val="00BD61F7"/>
    <w:rsid w:val="00BD639E"/>
    <w:rsid w:val="00BD63EF"/>
    <w:rsid w:val="00BD679F"/>
    <w:rsid w:val="00BD6C87"/>
    <w:rsid w:val="00BD7500"/>
    <w:rsid w:val="00BD7D6E"/>
    <w:rsid w:val="00BD7E14"/>
    <w:rsid w:val="00BE1938"/>
    <w:rsid w:val="00BE199D"/>
    <w:rsid w:val="00BE287B"/>
    <w:rsid w:val="00BE2A07"/>
    <w:rsid w:val="00BE31BC"/>
    <w:rsid w:val="00BE3D18"/>
    <w:rsid w:val="00BE3F9D"/>
    <w:rsid w:val="00BE51D7"/>
    <w:rsid w:val="00BE595C"/>
    <w:rsid w:val="00BE5AE2"/>
    <w:rsid w:val="00BE5B73"/>
    <w:rsid w:val="00BE5BBE"/>
    <w:rsid w:val="00BE5E58"/>
    <w:rsid w:val="00BE6513"/>
    <w:rsid w:val="00BF04A2"/>
    <w:rsid w:val="00BF1667"/>
    <w:rsid w:val="00BF1A77"/>
    <w:rsid w:val="00BF26BA"/>
    <w:rsid w:val="00BF28B0"/>
    <w:rsid w:val="00BF2F6E"/>
    <w:rsid w:val="00BF3063"/>
    <w:rsid w:val="00BF3819"/>
    <w:rsid w:val="00BF4058"/>
    <w:rsid w:val="00BF430E"/>
    <w:rsid w:val="00BF492C"/>
    <w:rsid w:val="00BF5F66"/>
    <w:rsid w:val="00BF62C0"/>
    <w:rsid w:val="00BF7235"/>
    <w:rsid w:val="00BF7D52"/>
    <w:rsid w:val="00C00621"/>
    <w:rsid w:val="00C007F4"/>
    <w:rsid w:val="00C00D7C"/>
    <w:rsid w:val="00C01050"/>
    <w:rsid w:val="00C013D7"/>
    <w:rsid w:val="00C01B85"/>
    <w:rsid w:val="00C0242E"/>
    <w:rsid w:val="00C031BF"/>
    <w:rsid w:val="00C03722"/>
    <w:rsid w:val="00C03C27"/>
    <w:rsid w:val="00C03F94"/>
    <w:rsid w:val="00C04037"/>
    <w:rsid w:val="00C0406F"/>
    <w:rsid w:val="00C04362"/>
    <w:rsid w:val="00C0443C"/>
    <w:rsid w:val="00C04746"/>
    <w:rsid w:val="00C049C6"/>
    <w:rsid w:val="00C04A99"/>
    <w:rsid w:val="00C04F4A"/>
    <w:rsid w:val="00C0518B"/>
    <w:rsid w:val="00C05873"/>
    <w:rsid w:val="00C0655D"/>
    <w:rsid w:val="00C06799"/>
    <w:rsid w:val="00C06F51"/>
    <w:rsid w:val="00C071C9"/>
    <w:rsid w:val="00C0765F"/>
    <w:rsid w:val="00C07C87"/>
    <w:rsid w:val="00C105A8"/>
    <w:rsid w:val="00C1191E"/>
    <w:rsid w:val="00C11C39"/>
    <w:rsid w:val="00C11EBC"/>
    <w:rsid w:val="00C122C1"/>
    <w:rsid w:val="00C129EB"/>
    <w:rsid w:val="00C12FD8"/>
    <w:rsid w:val="00C13193"/>
    <w:rsid w:val="00C132BC"/>
    <w:rsid w:val="00C136EF"/>
    <w:rsid w:val="00C13837"/>
    <w:rsid w:val="00C1403E"/>
    <w:rsid w:val="00C140CA"/>
    <w:rsid w:val="00C14777"/>
    <w:rsid w:val="00C15339"/>
    <w:rsid w:val="00C15569"/>
    <w:rsid w:val="00C15A63"/>
    <w:rsid w:val="00C15B33"/>
    <w:rsid w:val="00C15C91"/>
    <w:rsid w:val="00C16E1E"/>
    <w:rsid w:val="00C173D1"/>
    <w:rsid w:val="00C17D48"/>
    <w:rsid w:val="00C17DA9"/>
    <w:rsid w:val="00C2009F"/>
    <w:rsid w:val="00C20430"/>
    <w:rsid w:val="00C20635"/>
    <w:rsid w:val="00C20776"/>
    <w:rsid w:val="00C20CD7"/>
    <w:rsid w:val="00C21181"/>
    <w:rsid w:val="00C21583"/>
    <w:rsid w:val="00C224DE"/>
    <w:rsid w:val="00C229B2"/>
    <w:rsid w:val="00C229E1"/>
    <w:rsid w:val="00C22AB1"/>
    <w:rsid w:val="00C22D44"/>
    <w:rsid w:val="00C23838"/>
    <w:rsid w:val="00C23A00"/>
    <w:rsid w:val="00C23E47"/>
    <w:rsid w:val="00C23EB0"/>
    <w:rsid w:val="00C2407F"/>
    <w:rsid w:val="00C24902"/>
    <w:rsid w:val="00C24CBA"/>
    <w:rsid w:val="00C25EEC"/>
    <w:rsid w:val="00C26422"/>
    <w:rsid w:val="00C268D3"/>
    <w:rsid w:val="00C270B8"/>
    <w:rsid w:val="00C271F4"/>
    <w:rsid w:val="00C27554"/>
    <w:rsid w:val="00C3045C"/>
    <w:rsid w:val="00C30635"/>
    <w:rsid w:val="00C30B8D"/>
    <w:rsid w:val="00C316FA"/>
    <w:rsid w:val="00C31EFD"/>
    <w:rsid w:val="00C31FEA"/>
    <w:rsid w:val="00C3280C"/>
    <w:rsid w:val="00C32A4C"/>
    <w:rsid w:val="00C3302B"/>
    <w:rsid w:val="00C33637"/>
    <w:rsid w:val="00C3461D"/>
    <w:rsid w:val="00C3490A"/>
    <w:rsid w:val="00C34F5B"/>
    <w:rsid w:val="00C355A0"/>
    <w:rsid w:val="00C357D9"/>
    <w:rsid w:val="00C35B07"/>
    <w:rsid w:val="00C35B5F"/>
    <w:rsid w:val="00C360A6"/>
    <w:rsid w:val="00C3742C"/>
    <w:rsid w:val="00C37666"/>
    <w:rsid w:val="00C37F1A"/>
    <w:rsid w:val="00C40213"/>
    <w:rsid w:val="00C403DA"/>
    <w:rsid w:val="00C4082F"/>
    <w:rsid w:val="00C410AE"/>
    <w:rsid w:val="00C411B0"/>
    <w:rsid w:val="00C41925"/>
    <w:rsid w:val="00C41949"/>
    <w:rsid w:val="00C422E4"/>
    <w:rsid w:val="00C4412B"/>
    <w:rsid w:val="00C4427A"/>
    <w:rsid w:val="00C443A6"/>
    <w:rsid w:val="00C44D01"/>
    <w:rsid w:val="00C44DE3"/>
    <w:rsid w:val="00C45453"/>
    <w:rsid w:val="00C45715"/>
    <w:rsid w:val="00C45B91"/>
    <w:rsid w:val="00C45E85"/>
    <w:rsid w:val="00C474C6"/>
    <w:rsid w:val="00C478E3"/>
    <w:rsid w:val="00C50408"/>
    <w:rsid w:val="00C51196"/>
    <w:rsid w:val="00C51D0D"/>
    <w:rsid w:val="00C52598"/>
    <w:rsid w:val="00C5285A"/>
    <w:rsid w:val="00C53826"/>
    <w:rsid w:val="00C53A5B"/>
    <w:rsid w:val="00C53D66"/>
    <w:rsid w:val="00C540E0"/>
    <w:rsid w:val="00C5439C"/>
    <w:rsid w:val="00C547F0"/>
    <w:rsid w:val="00C54A51"/>
    <w:rsid w:val="00C54DD5"/>
    <w:rsid w:val="00C550F8"/>
    <w:rsid w:val="00C55148"/>
    <w:rsid w:val="00C55C7C"/>
    <w:rsid w:val="00C55FDA"/>
    <w:rsid w:val="00C567EE"/>
    <w:rsid w:val="00C56C78"/>
    <w:rsid w:val="00C577CB"/>
    <w:rsid w:val="00C600A6"/>
    <w:rsid w:val="00C600CA"/>
    <w:rsid w:val="00C603BE"/>
    <w:rsid w:val="00C6090C"/>
    <w:rsid w:val="00C61B70"/>
    <w:rsid w:val="00C61E95"/>
    <w:rsid w:val="00C6235F"/>
    <w:rsid w:val="00C62493"/>
    <w:rsid w:val="00C6297F"/>
    <w:rsid w:val="00C62F0D"/>
    <w:rsid w:val="00C6437B"/>
    <w:rsid w:val="00C64A19"/>
    <w:rsid w:val="00C64D99"/>
    <w:rsid w:val="00C65625"/>
    <w:rsid w:val="00C65810"/>
    <w:rsid w:val="00C65B41"/>
    <w:rsid w:val="00C662A9"/>
    <w:rsid w:val="00C66D58"/>
    <w:rsid w:val="00C6738F"/>
    <w:rsid w:val="00C70200"/>
    <w:rsid w:val="00C70396"/>
    <w:rsid w:val="00C70975"/>
    <w:rsid w:val="00C70EC6"/>
    <w:rsid w:val="00C713E9"/>
    <w:rsid w:val="00C71593"/>
    <w:rsid w:val="00C7187E"/>
    <w:rsid w:val="00C72087"/>
    <w:rsid w:val="00C737BC"/>
    <w:rsid w:val="00C73D68"/>
    <w:rsid w:val="00C74117"/>
    <w:rsid w:val="00C74343"/>
    <w:rsid w:val="00C747AB"/>
    <w:rsid w:val="00C74B95"/>
    <w:rsid w:val="00C75526"/>
    <w:rsid w:val="00C75E12"/>
    <w:rsid w:val="00C75FD8"/>
    <w:rsid w:val="00C76718"/>
    <w:rsid w:val="00C76A05"/>
    <w:rsid w:val="00C76E9C"/>
    <w:rsid w:val="00C77749"/>
    <w:rsid w:val="00C777EB"/>
    <w:rsid w:val="00C778F9"/>
    <w:rsid w:val="00C801C3"/>
    <w:rsid w:val="00C80390"/>
    <w:rsid w:val="00C80E56"/>
    <w:rsid w:val="00C80EBB"/>
    <w:rsid w:val="00C8152A"/>
    <w:rsid w:val="00C8183D"/>
    <w:rsid w:val="00C81FAB"/>
    <w:rsid w:val="00C81FCF"/>
    <w:rsid w:val="00C827C9"/>
    <w:rsid w:val="00C83FA5"/>
    <w:rsid w:val="00C8420E"/>
    <w:rsid w:val="00C849DE"/>
    <w:rsid w:val="00C84EDB"/>
    <w:rsid w:val="00C8522C"/>
    <w:rsid w:val="00C85237"/>
    <w:rsid w:val="00C85A01"/>
    <w:rsid w:val="00C85C89"/>
    <w:rsid w:val="00C85F6D"/>
    <w:rsid w:val="00C868A8"/>
    <w:rsid w:val="00C86C23"/>
    <w:rsid w:val="00C86C35"/>
    <w:rsid w:val="00C86C8B"/>
    <w:rsid w:val="00C87248"/>
    <w:rsid w:val="00C87254"/>
    <w:rsid w:val="00C8748D"/>
    <w:rsid w:val="00C87594"/>
    <w:rsid w:val="00C875C7"/>
    <w:rsid w:val="00C8777D"/>
    <w:rsid w:val="00C8794D"/>
    <w:rsid w:val="00C87989"/>
    <w:rsid w:val="00C87A94"/>
    <w:rsid w:val="00C87E45"/>
    <w:rsid w:val="00C87EC3"/>
    <w:rsid w:val="00C90A45"/>
    <w:rsid w:val="00C90C3A"/>
    <w:rsid w:val="00C91C4B"/>
    <w:rsid w:val="00C9243E"/>
    <w:rsid w:val="00C927C7"/>
    <w:rsid w:val="00C92BAB"/>
    <w:rsid w:val="00C935D9"/>
    <w:rsid w:val="00C94168"/>
    <w:rsid w:val="00C947AE"/>
    <w:rsid w:val="00C94F30"/>
    <w:rsid w:val="00C95562"/>
    <w:rsid w:val="00C95A6E"/>
    <w:rsid w:val="00C9785F"/>
    <w:rsid w:val="00C97AF9"/>
    <w:rsid w:val="00CA0751"/>
    <w:rsid w:val="00CA2077"/>
    <w:rsid w:val="00CA21B6"/>
    <w:rsid w:val="00CA2221"/>
    <w:rsid w:val="00CA313C"/>
    <w:rsid w:val="00CA3E41"/>
    <w:rsid w:val="00CA439C"/>
    <w:rsid w:val="00CA5065"/>
    <w:rsid w:val="00CA56A6"/>
    <w:rsid w:val="00CA56B3"/>
    <w:rsid w:val="00CA596C"/>
    <w:rsid w:val="00CA63FE"/>
    <w:rsid w:val="00CA6452"/>
    <w:rsid w:val="00CA68C5"/>
    <w:rsid w:val="00CA6BFB"/>
    <w:rsid w:val="00CA6C33"/>
    <w:rsid w:val="00CA7171"/>
    <w:rsid w:val="00CA745B"/>
    <w:rsid w:val="00CA7832"/>
    <w:rsid w:val="00CA7F41"/>
    <w:rsid w:val="00CB01D2"/>
    <w:rsid w:val="00CB033C"/>
    <w:rsid w:val="00CB0373"/>
    <w:rsid w:val="00CB089A"/>
    <w:rsid w:val="00CB08C2"/>
    <w:rsid w:val="00CB0AE0"/>
    <w:rsid w:val="00CB0C94"/>
    <w:rsid w:val="00CB14DA"/>
    <w:rsid w:val="00CB193C"/>
    <w:rsid w:val="00CB236A"/>
    <w:rsid w:val="00CB24F0"/>
    <w:rsid w:val="00CB26FC"/>
    <w:rsid w:val="00CB29F9"/>
    <w:rsid w:val="00CB29FA"/>
    <w:rsid w:val="00CB2A3C"/>
    <w:rsid w:val="00CB2E63"/>
    <w:rsid w:val="00CB2F83"/>
    <w:rsid w:val="00CB3029"/>
    <w:rsid w:val="00CB329F"/>
    <w:rsid w:val="00CB369A"/>
    <w:rsid w:val="00CB3D4E"/>
    <w:rsid w:val="00CB3DB4"/>
    <w:rsid w:val="00CB3ED6"/>
    <w:rsid w:val="00CB4A19"/>
    <w:rsid w:val="00CB5CB1"/>
    <w:rsid w:val="00CB5DC5"/>
    <w:rsid w:val="00CB5F4D"/>
    <w:rsid w:val="00CB60D1"/>
    <w:rsid w:val="00CB639A"/>
    <w:rsid w:val="00CB6A1B"/>
    <w:rsid w:val="00CB7427"/>
    <w:rsid w:val="00CB7528"/>
    <w:rsid w:val="00CB796B"/>
    <w:rsid w:val="00CC0037"/>
    <w:rsid w:val="00CC0DF0"/>
    <w:rsid w:val="00CC0E35"/>
    <w:rsid w:val="00CC0EE1"/>
    <w:rsid w:val="00CC124F"/>
    <w:rsid w:val="00CC1414"/>
    <w:rsid w:val="00CC18DC"/>
    <w:rsid w:val="00CC1CA5"/>
    <w:rsid w:val="00CC2532"/>
    <w:rsid w:val="00CC26DC"/>
    <w:rsid w:val="00CC2811"/>
    <w:rsid w:val="00CC2C9B"/>
    <w:rsid w:val="00CC2E2B"/>
    <w:rsid w:val="00CC32EF"/>
    <w:rsid w:val="00CC3C98"/>
    <w:rsid w:val="00CC425C"/>
    <w:rsid w:val="00CC4B6B"/>
    <w:rsid w:val="00CC54E5"/>
    <w:rsid w:val="00CC5658"/>
    <w:rsid w:val="00CC5EE2"/>
    <w:rsid w:val="00CC625C"/>
    <w:rsid w:val="00CC634A"/>
    <w:rsid w:val="00CC64C9"/>
    <w:rsid w:val="00CC6632"/>
    <w:rsid w:val="00CC6A38"/>
    <w:rsid w:val="00CC72A9"/>
    <w:rsid w:val="00CC73D4"/>
    <w:rsid w:val="00CD0210"/>
    <w:rsid w:val="00CD0B8A"/>
    <w:rsid w:val="00CD19CA"/>
    <w:rsid w:val="00CD31F3"/>
    <w:rsid w:val="00CD324D"/>
    <w:rsid w:val="00CD330B"/>
    <w:rsid w:val="00CD3395"/>
    <w:rsid w:val="00CD342E"/>
    <w:rsid w:val="00CD36DD"/>
    <w:rsid w:val="00CD36F9"/>
    <w:rsid w:val="00CD38FC"/>
    <w:rsid w:val="00CD3EA8"/>
    <w:rsid w:val="00CD47A7"/>
    <w:rsid w:val="00CD5A09"/>
    <w:rsid w:val="00CD5BB3"/>
    <w:rsid w:val="00CD5CDB"/>
    <w:rsid w:val="00CD6695"/>
    <w:rsid w:val="00CD6B64"/>
    <w:rsid w:val="00CD73E7"/>
    <w:rsid w:val="00CD76E7"/>
    <w:rsid w:val="00CE0694"/>
    <w:rsid w:val="00CE1050"/>
    <w:rsid w:val="00CE17FF"/>
    <w:rsid w:val="00CE1B63"/>
    <w:rsid w:val="00CE2C82"/>
    <w:rsid w:val="00CE3A3F"/>
    <w:rsid w:val="00CE4620"/>
    <w:rsid w:val="00CE4A6F"/>
    <w:rsid w:val="00CE4B89"/>
    <w:rsid w:val="00CE4DB0"/>
    <w:rsid w:val="00CE59CD"/>
    <w:rsid w:val="00CE5F2F"/>
    <w:rsid w:val="00CE66E1"/>
    <w:rsid w:val="00CE770E"/>
    <w:rsid w:val="00CE7818"/>
    <w:rsid w:val="00CF0246"/>
    <w:rsid w:val="00CF0977"/>
    <w:rsid w:val="00CF0C15"/>
    <w:rsid w:val="00CF0D9E"/>
    <w:rsid w:val="00CF1772"/>
    <w:rsid w:val="00CF2233"/>
    <w:rsid w:val="00CF2701"/>
    <w:rsid w:val="00CF27D8"/>
    <w:rsid w:val="00CF2A9A"/>
    <w:rsid w:val="00CF2CFA"/>
    <w:rsid w:val="00CF3F8B"/>
    <w:rsid w:val="00CF4128"/>
    <w:rsid w:val="00CF4573"/>
    <w:rsid w:val="00CF4F28"/>
    <w:rsid w:val="00CF52CC"/>
    <w:rsid w:val="00CF56B6"/>
    <w:rsid w:val="00CF627D"/>
    <w:rsid w:val="00CF6493"/>
    <w:rsid w:val="00CF6983"/>
    <w:rsid w:val="00CF6F32"/>
    <w:rsid w:val="00CF76CD"/>
    <w:rsid w:val="00CF794E"/>
    <w:rsid w:val="00CF7D5A"/>
    <w:rsid w:val="00CF7DEB"/>
    <w:rsid w:val="00D0049F"/>
    <w:rsid w:val="00D00809"/>
    <w:rsid w:val="00D00ED5"/>
    <w:rsid w:val="00D01A73"/>
    <w:rsid w:val="00D01D23"/>
    <w:rsid w:val="00D02180"/>
    <w:rsid w:val="00D027F3"/>
    <w:rsid w:val="00D02BBC"/>
    <w:rsid w:val="00D03080"/>
    <w:rsid w:val="00D0357A"/>
    <w:rsid w:val="00D0381D"/>
    <w:rsid w:val="00D03980"/>
    <w:rsid w:val="00D03FCB"/>
    <w:rsid w:val="00D04785"/>
    <w:rsid w:val="00D04B47"/>
    <w:rsid w:val="00D05042"/>
    <w:rsid w:val="00D05F63"/>
    <w:rsid w:val="00D05FFD"/>
    <w:rsid w:val="00D0654D"/>
    <w:rsid w:val="00D06ADD"/>
    <w:rsid w:val="00D06AFA"/>
    <w:rsid w:val="00D06C4C"/>
    <w:rsid w:val="00D06C55"/>
    <w:rsid w:val="00D0716E"/>
    <w:rsid w:val="00D0716F"/>
    <w:rsid w:val="00D07E4F"/>
    <w:rsid w:val="00D1006A"/>
    <w:rsid w:val="00D10B3C"/>
    <w:rsid w:val="00D112D7"/>
    <w:rsid w:val="00D11790"/>
    <w:rsid w:val="00D11CFF"/>
    <w:rsid w:val="00D11F3D"/>
    <w:rsid w:val="00D12E54"/>
    <w:rsid w:val="00D13145"/>
    <w:rsid w:val="00D1329B"/>
    <w:rsid w:val="00D13457"/>
    <w:rsid w:val="00D13D56"/>
    <w:rsid w:val="00D141AA"/>
    <w:rsid w:val="00D1438E"/>
    <w:rsid w:val="00D14C65"/>
    <w:rsid w:val="00D14F34"/>
    <w:rsid w:val="00D15AB5"/>
    <w:rsid w:val="00D165E7"/>
    <w:rsid w:val="00D16B06"/>
    <w:rsid w:val="00D16BCA"/>
    <w:rsid w:val="00D16EB9"/>
    <w:rsid w:val="00D171AA"/>
    <w:rsid w:val="00D1720B"/>
    <w:rsid w:val="00D17454"/>
    <w:rsid w:val="00D1747D"/>
    <w:rsid w:val="00D203EC"/>
    <w:rsid w:val="00D20677"/>
    <w:rsid w:val="00D206ED"/>
    <w:rsid w:val="00D21372"/>
    <w:rsid w:val="00D2275B"/>
    <w:rsid w:val="00D22F26"/>
    <w:rsid w:val="00D22FFF"/>
    <w:rsid w:val="00D230B7"/>
    <w:rsid w:val="00D231D4"/>
    <w:rsid w:val="00D235BE"/>
    <w:rsid w:val="00D23D75"/>
    <w:rsid w:val="00D24542"/>
    <w:rsid w:val="00D24588"/>
    <w:rsid w:val="00D2479B"/>
    <w:rsid w:val="00D258DB"/>
    <w:rsid w:val="00D259AD"/>
    <w:rsid w:val="00D25F3C"/>
    <w:rsid w:val="00D26263"/>
    <w:rsid w:val="00D265F5"/>
    <w:rsid w:val="00D266FD"/>
    <w:rsid w:val="00D26955"/>
    <w:rsid w:val="00D26A31"/>
    <w:rsid w:val="00D2768C"/>
    <w:rsid w:val="00D300D7"/>
    <w:rsid w:val="00D3038D"/>
    <w:rsid w:val="00D30538"/>
    <w:rsid w:val="00D30A7D"/>
    <w:rsid w:val="00D30CEB"/>
    <w:rsid w:val="00D30E78"/>
    <w:rsid w:val="00D31898"/>
    <w:rsid w:val="00D31A64"/>
    <w:rsid w:val="00D31E5C"/>
    <w:rsid w:val="00D3208E"/>
    <w:rsid w:val="00D32648"/>
    <w:rsid w:val="00D32E5A"/>
    <w:rsid w:val="00D3322F"/>
    <w:rsid w:val="00D33622"/>
    <w:rsid w:val="00D3367E"/>
    <w:rsid w:val="00D337B2"/>
    <w:rsid w:val="00D337B6"/>
    <w:rsid w:val="00D3461C"/>
    <w:rsid w:val="00D346C1"/>
    <w:rsid w:val="00D34AF7"/>
    <w:rsid w:val="00D34EAB"/>
    <w:rsid w:val="00D35C91"/>
    <w:rsid w:val="00D362AC"/>
    <w:rsid w:val="00D36839"/>
    <w:rsid w:val="00D36AB8"/>
    <w:rsid w:val="00D36D40"/>
    <w:rsid w:val="00D36D7F"/>
    <w:rsid w:val="00D36F8B"/>
    <w:rsid w:val="00D37158"/>
    <w:rsid w:val="00D37647"/>
    <w:rsid w:val="00D40763"/>
    <w:rsid w:val="00D40853"/>
    <w:rsid w:val="00D40927"/>
    <w:rsid w:val="00D40AEF"/>
    <w:rsid w:val="00D40DD2"/>
    <w:rsid w:val="00D410B7"/>
    <w:rsid w:val="00D41391"/>
    <w:rsid w:val="00D41703"/>
    <w:rsid w:val="00D41FA1"/>
    <w:rsid w:val="00D4288D"/>
    <w:rsid w:val="00D42DBC"/>
    <w:rsid w:val="00D42ED4"/>
    <w:rsid w:val="00D42FB9"/>
    <w:rsid w:val="00D43236"/>
    <w:rsid w:val="00D43669"/>
    <w:rsid w:val="00D43CFE"/>
    <w:rsid w:val="00D43F68"/>
    <w:rsid w:val="00D4428E"/>
    <w:rsid w:val="00D445E1"/>
    <w:rsid w:val="00D44817"/>
    <w:rsid w:val="00D455A9"/>
    <w:rsid w:val="00D4564E"/>
    <w:rsid w:val="00D456FD"/>
    <w:rsid w:val="00D45C37"/>
    <w:rsid w:val="00D46218"/>
    <w:rsid w:val="00D46377"/>
    <w:rsid w:val="00D4657C"/>
    <w:rsid w:val="00D468A5"/>
    <w:rsid w:val="00D46E61"/>
    <w:rsid w:val="00D46F8E"/>
    <w:rsid w:val="00D46FDD"/>
    <w:rsid w:val="00D470E0"/>
    <w:rsid w:val="00D47261"/>
    <w:rsid w:val="00D47895"/>
    <w:rsid w:val="00D50348"/>
    <w:rsid w:val="00D5044A"/>
    <w:rsid w:val="00D5141F"/>
    <w:rsid w:val="00D51CBF"/>
    <w:rsid w:val="00D523EF"/>
    <w:rsid w:val="00D525BD"/>
    <w:rsid w:val="00D5280E"/>
    <w:rsid w:val="00D52843"/>
    <w:rsid w:val="00D5294C"/>
    <w:rsid w:val="00D52ED5"/>
    <w:rsid w:val="00D5350B"/>
    <w:rsid w:val="00D5409B"/>
    <w:rsid w:val="00D54175"/>
    <w:rsid w:val="00D54579"/>
    <w:rsid w:val="00D54A59"/>
    <w:rsid w:val="00D54E21"/>
    <w:rsid w:val="00D55CD2"/>
    <w:rsid w:val="00D564EE"/>
    <w:rsid w:val="00D5734C"/>
    <w:rsid w:val="00D57465"/>
    <w:rsid w:val="00D57663"/>
    <w:rsid w:val="00D6002D"/>
    <w:rsid w:val="00D6055C"/>
    <w:rsid w:val="00D60A0B"/>
    <w:rsid w:val="00D60FA7"/>
    <w:rsid w:val="00D6192C"/>
    <w:rsid w:val="00D621ED"/>
    <w:rsid w:val="00D62657"/>
    <w:rsid w:val="00D63047"/>
    <w:rsid w:val="00D63056"/>
    <w:rsid w:val="00D6305B"/>
    <w:rsid w:val="00D631C8"/>
    <w:rsid w:val="00D64FF5"/>
    <w:rsid w:val="00D65251"/>
    <w:rsid w:val="00D653A7"/>
    <w:rsid w:val="00D6555D"/>
    <w:rsid w:val="00D65ADE"/>
    <w:rsid w:val="00D65D34"/>
    <w:rsid w:val="00D66059"/>
    <w:rsid w:val="00D666D1"/>
    <w:rsid w:val="00D66817"/>
    <w:rsid w:val="00D66844"/>
    <w:rsid w:val="00D67131"/>
    <w:rsid w:val="00D67370"/>
    <w:rsid w:val="00D713E9"/>
    <w:rsid w:val="00D71619"/>
    <w:rsid w:val="00D71CA5"/>
    <w:rsid w:val="00D71EF9"/>
    <w:rsid w:val="00D721E3"/>
    <w:rsid w:val="00D7226E"/>
    <w:rsid w:val="00D7251C"/>
    <w:rsid w:val="00D72696"/>
    <w:rsid w:val="00D7289B"/>
    <w:rsid w:val="00D72BB5"/>
    <w:rsid w:val="00D72C7C"/>
    <w:rsid w:val="00D73387"/>
    <w:rsid w:val="00D73D31"/>
    <w:rsid w:val="00D7408C"/>
    <w:rsid w:val="00D74293"/>
    <w:rsid w:val="00D74347"/>
    <w:rsid w:val="00D74BA3"/>
    <w:rsid w:val="00D74C24"/>
    <w:rsid w:val="00D755EA"/>
    <w:rsid w:val="00D755F3"/>
    <w:rsid w:val="00D75A2F"/>
    <w:rsid w:val="00D76562"/>
    <w:rsid w:val="00D76A73"/>
    <w:rsid w:val="00D76BBF"/>
    <w:rsid w:val="00D76CE9"/>
    <w:rsid w:val="00D7770F"/>
    <w:rsid w:val="00D77A37"/>
    <w:rsid w:val="00D77B43"/>
    <w:rsid w:val="00D802B4"/>
    <w:rsid w:val="00D806BA"/>
    <w:rsid w:val="00D80995"/>
    <w:rsid w:val="00D80ADE"/>
    <w:rsid w:val="00D81728"/>
    <w:rsid w:val="00D81BBD"/>
    <w:rsid w:val="00D81C17"/>
    <w:rsid w:val="00D82FB5"/>
    <w:rsid w:val="00D82FC4"/>
    <w:rsid w:val="00D836AF"/>
    <w:rsid w:val="00D83DE6"/>
    <w:rsid w:val="00D83DFD"/>
    <w:rsid w:val="00D84304"/>
    <w:rsid w:val="00D845FD"/>
    <w:rsid w:val="00D84BEE"/>
    <w:rsid w:val="00D8545F"/>
    <w:rsid w:val="00D854A9"/>
    <w:rsid w:val="00D85B3F"/>
    <w:rsid w:val="00D85C80"/>
    <w:rsid w:val="00D86386"/>
    <w:rsid w:val="00D8704D"/>
    <w:rsid w:val="00D872B9"/>
    <w:rsid w:val="00D874A7"/>
    <w:rsid w:val="00D87E88"/>
    <w:rsid w:val="00D90FB9"/>
    <w:rsid w:val="00D910A6"/>
    <w:rsid w:val="00D93818"/>
    <w:rsid w:val="00D942AC"/>
    <w:rsid w:val="00D94867"/>
    <w:rsid w:val="00D94E05"/>
    <w:rsid w:val="00D94F6A"/>
    <w:rsid w:val="00D95284"/>
    <w:rsid w:val="00D956E1"/>
    <w:rsid w:val="00D95741"/>
    <w:rsid w:val="00D9591C"/>
    <w:rsid w:val="00D95B67"/>
    <w:rsid w:val="00D95C6F"/>
    <w:rsid w:val="00D95E11"/>
    <w:rsid w:val="00D9680F"/>
    <w:rsid w:val="00D96D6C"/>
    <w:rsid w:val="00D979A8"/>
    <w:rsid w:val="00DA029C"/>
    <w:rsid w:val="00DA0377"/>
    <w:rsid w:val="00DA0E92"/>
    <w:rsid w:val="00DA1347"/>
    <w:rsid w:val="00DA18D9"/>
    <w:rsid w:val="00DA2974"/>
    <w:rsid w:val="00DA2F69"/>
    <w:rsid w:val="00DA2FB3"/>
    <w:rsid w:val="00DA30E7"/>
    <w:rsid w:val="00DA3749"/>
    <w:rsid w:val="00DA3EB2"/>
    <w:rsid w:val="00DA3EC4"/>
    <w:rsid w:val="00DA40B2"/>
    <w:rsid w:val="00DA411A"/>
    <w:rsid w:val="00DA4275"/>
    <w:rsid w:val="00DA5101"/>
    <w:rsid w:val="00DA62C7"/>
    <w:rsid w:val="00DA6717"/>
    <w:rsid w:val="00DA6A22"/>
    <w:rsid w:val="00DA6CFC"/>
    <w:rsid w:val="00DA7208"/>
    <w:rsid w:val="00DA7F8B"/>
    <w:rsid w:val="00DB00A9"/>
    <w:rsid w:val="00DB02DA"/>
    <w:rsid w:val="00DB202C"/>
    <w:rsid w:val="00DB2991"/>
    <w:rsid w:val="00DB2DEA"/>
    <w:rsid w:val="00DB3AC4"/>
    <w:rsid w:val="00DB3AE1"/>
    <w:rsid w:val="00DB3CDD"/>
    <w:rsid w:val="00DB3EF7"/>
    <w:rsid w:val="00DB4945"/>
    <w:rsid w:val="00DB4D57"/>
    <w:rsid w:val="00DB4FF6"/>
    <w:rsid w:val="00DB5063"/>
    <w:rsid w:val="00DB5406"/>
    <w:rsid w:val="00DB5712"/>
    <w:rsid w:val="00DB5C7E"/>
    <w:rsid w:val="00DB6D5F"/>
    <w:rsid w:val="00DB6D7E"/>
    <w:rsid w:val="00DB71A4"/>
    <w:rsid w:val="00DB7363"/>
    <w:rsid w:val="00DB7489"/>
    <w:rsid w:val="00DB78AE"/>
    <w:rsid w:val="00DB7F91"/>
    <w:rsid w:val="00DC00AD"/>
    <w:rsid w:val="00DC02F0"/>
    <w:rsid w:val="00DC05AF"/>
    <w:rsid w:val="00DC0CEE"/>
    <w:rsid w:val="00DC1236"/>
    <w:rsid w:val="00DC1248"/>
    <w:rsid w:val="00DC1422"/>
    <w:rsid w:val="00DC1456"/>
    <w:rsid w:val="00DC1AF9"/>
    <w:rsid w:val="00DC1E77"/>
    <w:rsid w:val="00DC2713"/>
    <w:rsid w:val="00DC29FD"/>
    <w:rsid w:val="00DC32EF"/>
    <w:rsid w:val="00DC3A10"/>
    <w:rsid w:val="00DC4765"/>
    <w:rsid w:val="00DC476F"/>
    <w:rsid w:val="00DC494B"/>
    <w:rsid w:val="00DC4963"/>
    <w:rsid w:val="00DC49EE"/>
    <w:rsid w:val="00DC4BEA"/>
    <w:rsid w:val="00DC506D"/>
    <w:rsid w:val="00DC58F1"/>
    <w:rsid w:val="00DC5CAE"/>
    <w:rsid w:val="00DC5F48"/>
    <w:rsid w:val="00DC682A"/>
    <w:rsid w:val="00DC6DE0"/>
    <w:rsid w:val="00DC718C"/>
    <w:rsid w:val="00DC7299"/>
    <w:rsid w:val="00DC7307"/>
    <w:rsid w:val="00DC76A2"/>
    <w:rsid w:val="00DC785F"/>
    <w:rsid w:val="00DD00D5"/>
    <w:rsid w:val="00DD0B94"/>
    <w:rsid w:val="00DD1729"/>
    <w:rsid w:val="00DD1749"/>
    <w:rsid w:val="00DD1B72"/>
    <w:rsid w:val="00DD217B"/>
    <w:rsid w:val="00DD22E3"/>
    <w:rsid w:val="00DD259B"/>
    <w:rsid w:val="00DD2A63"/>
    <w:rsid w:val="00DD2B6A"/>
    <w:rsid w:val="00DD3068"/>
    <w:rsid w:val="00DD438F"/>
    <w:rsid w:val="00DD51E0"/>
    <w:rsid w:val="00DD548F"/>
    <w:rsid w:val="00DD553C"/>
    <w:rsid w:val="00DD629A"/>
    <w:rsid w:val="00DD68C6"/>
    <w:rsid w:val="00DD6986"/>
    <w:rsid w:val="00DD6A26"/>
    <w:rsid w:val="00DD6AD4"/>
    <w:rsid w:val="00DD6E2A"/>
    <w:rsid w:val="00DD7001"/>
    <w:rsid w:val="00DD7751"/>
    <w:rsid w:val="00DE04C1"/>
    <w:rsid w:val="00DE0DB2"/>
    <w:rsid w:val="00DE20B2"/>
    <w:rsid w:val="00DE25F3"/>
    <w:rsid w:val="00DE292F"/>
    <w:rsid w:val="00DE3B7D"/>
    <w:rsid w:val="00DE3C20"/>
    <w:rsid w:val="00DE4045"/>
    <w:rsid w:val="00DE40CB"/>
    <w:rsid w:val="00DE426E"/>
    <w:rsid w:val="00DE4345"/>
    <w:rsid w:val="00DE4470"/>
    <w:rsid w:val="00DE48B2"/>
    <w:rsid w:val="00DE4F0D"/>
    <w:rsid w:val="00DE669E"/>
    <w:rsid w:val="00DE69A2"/>
    <w:rsid w:val="00DE7E2B"/>
    <w:rsid w:val="00DF0227"/>
    <w:rsid w:val="00DF0268"/>
    <w:rsid w:val="00DF17F2"/>
    <w:rsid w:val="00DF180C"/>
    <w:rsid w:val="00DF1D36"/>
    <w:rsid w:val="00DF2384"/>
    <w:rsid w:val="00DF24D1"/>
    <w:rsid w:val="00DF25A1"/>
    <w:rsid w:val="00DF28E6"/>
    <w:rsid w:val="00DF2950"/>
    <w:rsid w:val="00DF2AE2"/>
    <w:rsid w:val="00DF2B33"/>
    <w:rsid w:val="00DF2DA8"/>
    <w:rsid w:val="00DF2EBC"/>
    <w:rsid w:val="00DF34A1"/>
    <w:rsid w:val="00DF3F77"/>
    <w:rsid w:val="00DF3FFE"/>
    <w:rsid w:val="00DF40E1"/>
    <w:rsid w:val="00DF4307"/>
    <w:rsid w:val="00DF43AF"/>
    <w:rsid w:val="00DF4B3D"/>
    <w:rsid w:val="00DF4C84"/>
    <w:rsid w:val="00DF4E06"/>
    <w:rsid w:val="00DF50A3"/>
    <w:rsid w:val="00DF55DF"/>
    <w:rsid w:val="00DF58B5"/>
    <w:rsid w:val="00DF5D87"/>
    <w:rsid w:val="00DF6494"/>
    <w:rsid w:val="00DF69A2"/>
    <w:rsid w:val="00DF73B2"/>
    <w:rsid w:val="00DF7D92"/>
    <w:rsid w:val="00DF7F91"/>
    <w:rsid w:val="00E00188"/>
    <w:rsid w:val="00E00463"/>
    <w:rsid w:val="00E00C1F"/>
    <w:rsid w:val="00E00D64"/>
    <w:rsid w:val="00E00DAA"/>
    <w:rsid w:val="00E00EA6"/>
    <w:rsid w:val="00E00EAD"/>
    <w:rsid w:val="00E011FA"/>
    <w:rsid w:val="00E01927"/>
    <w:rsid w:val="00E02502"/>
    <w:rsid w:val="00E02684"/>
    <w:rsid w:val="00E0350C"/>
    <w:rsid w:val="00E0371E"/>
    <w:rsid w:val="00E038DC"/>
    <w:rsid w:val="00E03A4B"/>
    <w:rsid w:val="00E04381"/>
    <w:rsid w:val="00E04C36"/>
    <w:rsid w:val="00E059FC"/>
    <w:rsid w:val="00E06406"/>
    <w:rsid w:val="00E066F8"/>
    <w:rsid w:val="00E06D90"/>
    <w:rsid w:val="00E06E7C"/>
    <w:rsid w:val="00E07062"/>
    <w:rsid w:val="00E07AEF"/>
    <w:rsid w:val="00E119B8"/>
    <w:rsid w:val="00E11C7A"/>
    <w:rsid w:val="00E11CB9"/>
    <w:rsid w:val="00E12896"/>
    <w:rsid w:val="00E14BD7"/>
    <w:rsid w:val="00E15845"/>
    <w:rsid w:val="00E159A4"/>
    <w:rsid w:val="00E15F37"/>
    <w:rsid w:val="00E16846"/>
    <w:rsid w:val="00E1793F"/>
    <w:rsid w:val="00E205A5"/>
    <w:rsid w:val="00E214CC"/>
    <w:rsid w:val="00E21556"/>
    <w:rsid w:val="00E21827"/>
    <w:rsid w:val="00E219DA"/>
    <w:rsid w:val="00E21D9E"/>
    <w:rsid w:val="00E226C6"/>
    <w:rsid w:val="00E22E96"/>
    <w:rsid w:val="00E234AA"/>
    <w:rsid w:val="00E23818"/>
    <w:rsid w:val="00E25275"/>
    <w:rsid w:val="00E25403"/>
    <w:rsid w:val="00E25E3E"/>
    <w:rsid w:val="00E26342"/>
    <w:rsid w:val="00E26DBC"/>
    <w:rsid w:val="00E276C0"/>
    <w:rsid w:val="00E2786E"/>
    <w:rsid w:val="00E27BA8"/>
    <w:rsid w:val="00E30979"/>
    <w:rsid w:val="00E30B98"/>
    <w:rsid w:val="00E30C9D"/>
    <w:rsid w:val="00E31106"/>
    <w:rsid w:val="00E31BF0"/>
    <w:rsid w:val="00E31FB1"/>
    <w:rsid w:val="00E31FB8"/>
    <w:rsid w:val="00E32387"/>
    <w:rsid w:val="00E33C31"/>
    <w:rsid w:val="00E33EBA"/>
    <w:rsid w:val="00E33F5F"/>
    <w:rsid w:val="00E340E8"/>
    <w:rsid w:val="00E3412B"/>
    <w:rsid w:val="00E34CD6"/>
    <w:rsid w:val="00E3534A"/>
    <w:rsid w:val="00E35492"/>
    <w:rsid w:val="00E35880"/>
    <w:rsid w:val="00E36095"/>
    <w:rsid w:val="00E364D1"/>
    <w:rsid w:val="00E3652A"/>
    <w:rsid w:val="00E369EC"/>
    <w:rsid w:val="00E36B2B"/>
    <w:rsid w:val="00E373C6"/>
    <w:rsid w:val="00E37DA6"/>
    <w:rsid w:val="00E41825"/>
    <w:rsid w:val="00E43957"/>
    <w:rsid w:val="00E43A27"/>
    <w:rsid w:val="00E44C4D"/>
    <w:rsid w:val="00E457A4"/>
    <w:rsid w:val="00E45CEE"/>
    <w:rsid w:val="00E461D6"/>
    <w:rsid w:val="00E464AD"/>
    <w:rsid w:val="00E468FE"/>
    <w:rsid w:val="00E47A48"/>
    <w:rsid w:val="00E47C2C"/>
    <w:rsid w:val="00E50584"/>
    <w:rsid w:val="00E50A20"/>
    <w:rsid w:val="00E50AF7"/>
    <w:rsid w:val="00E511CF"/>
    <w:rsid w:val="00E51ADD"/>
    <w:rsid w:val="00E51D09"/>
    <w:rsid w:val="00E5215C"/>
    <w:rsid w:val="00E52C10"/>
    <w:rsid w:val="00E52FF6"/>
    <w:rsid w:val="00E53C4E"/>
    <w:rsid w:val="00E53E0C"/>
    <w:rsid w:val="00E541F2"/>
    <w:rsid w:val="00E546B9"/>
    <w:rsid w:val="00E547F2"/>
    <w:rsid w:val="00E5504A"/>
    <w:rsid w:val="00E550B0"/>
    <w:rsid w:val="00E5525E"/>
    <w:rsid w:val="00E557E5"/>
    <w:rsid w:val="00E55D09"/>
    <w:rsid w:val="00E56048"/>
    <w:rsid w:val="00E562A8"/>
    <w:rsid w:val="00E5642A"/>
    <w:rsid w:val="00E56461"/>
    <w:rsid w:val="00E5690E"/>
    <w:rsid w:val="00E56D61"/>
    <w:rsid w:val="00E573D3"/>
    <w:rsid w:val="00E577D6"/>
    <w:rsid w:val="00E579EF"/>
    <w:rsid w:val="00E600AA"/>
    <w:rsid w:val="00E60DA9"/>
    <w:rsid w:val="00E61131"/>
    <w:rsid w:val="00E61589"/>
    <w:rsid w:val="00E62042"/>
    <w:rsid w:val="00E629CA"/>
    <w:rsid w:val="00E62BE8"/>
    <w:rsid w:val="00E62CB0"/>
    <w:rsid w:val="00E62FB4"/>
    <w:rsid w:val="00E63269"/>
    <w:rsid w:val="00E63C0A"/>
    <w:rsid w:val="00E63C32"/>
    <w:rsid w:val="00E64D04"/>
    <w:rsid w:val="00E6581E"/>
    <w:rsid w:val="00E6638C"/>
    <w:rsid w:val="00E668DE"/>
    <w:rsid w:val="00E66C5E"/>
    <w:rsid w:val="00E66D5D"/>
    <w:rsid w:val="00E66D86"/>
    <w:rsid w:val="00E67193"/>
    <w:rsid w:val="00E672DF"/>
    <w:rsid w:val="00E6737A"/>
    <w:rsid w:val="00E67523"/>
    <w:rsid w:val="00E70065"/>
    <w:rsid w:val="00E708DA"/>
    <w:rsid w:val="00E7104C"/>
    <w:rsid w:val="00E71513"/>
    <w:rsid w:val="00E71E01"/>
    <w:rsid w:val="00E7271A"/>
    <w:rsid w:val="00E72807"/>
    <w:rsid w:val="00E72ADB"/>
    <w:rsid w:val="00E732D7"/>
    <w:rsid w:val="00E733BF"/>
    <w:rsid w:val="00E734B1"/>
    <w:rsid w:val="00E73DDF"/>
    <w:rsid w:val="00E74204"/>
    <w:rsid w:val="00E7422F"/>
    <w:rsid w:val="00E7493D"/>
    <w:rsid w:val="00E74EB6"/>
    <w:rsid w:val="00E75127"/>
    <w:rsid w:val="00E75370"/>
    <w:rsid w:val="00E753AE"/>
    <w:rsid w:val="00E754D2"/>
    <w:rsid w:val="00E76860"/>
    <w:rsid w:val="00E76BE9"/>
    <w:rsid w:val="00E77B6B"/>
    <w:rsid w:val="00E80020"/>
    <w:rsid w:val="00E80ACD"/>
    <w:rsid w:val="00E80ADF"/>
    <w:rsid w:val="00E80C32"/>
    <w:rsid w:val="00E80CEF"/>
    <w:rsid w:val="00E813FF"/>
    <w:rsid w:val="00E816BA"/>
    <w:rsid w:val="00E8171C"/>
    <w:rsid w:val="00E818DC"/>
    <w:rsid w:val="00E821D1"/>
    <w:rsid w:val="00E82FE4"/>
    <w:rsid w:val="00E832FB"/>
    <w:rsid w:val="00E83DFB"/>
    <w:rsid w:val="00E8428F"/>
    <w:rsid w:val="00E84389"/>
    <w:rsid w:val="00E84554"/>
    <w:rsid w:val="00E84D1D"/>
    <w:rsid w:val="00E84E03"/>
    <w:rsid w:val="00E851AC"/>
    <w:rsid w:val="00E85735"/>
    <w:rsid w:val="00E85814"/>
    <w:rsid w:val="00E85A55"/>
    <w:rsid w:val="00E85AC0"/>
    <w:rsid w:val="00E860FE"/>
    <w:rsid w:val="00E866BA"/>
    <w:rsid w:val="00E86E18"/>
    <w:rsid w:val="00E8711E"/>
    <w:rsid w:val="00E8714A"/>
    <w:rsid w:val="00E872ED"/>
    <w:rsid w:val="00E87A3D"/>
    <w:rsid w:val="00E87AE0"/>
    <w:rsid w:val="00E90227"/>
    <w:rsid w:val="00E90741"/>
    <w:rsid w:val="00E91313"/>
    <w:rsid w:val="00E91374"/>
    <w:rsid w:val="00E92E60"/>
    <w:rsid w:val="00E93068"/>
    <w:rsid w:val="00E93EB2"/>
    <w:rsid w:val="00E94F3A"/>
    <w:rsid w:val="00E9513B"/>
    <w:rsid w:val="00E95A6F"/>
    <w:rsid w:val="00E95C18"/>
    <w:rsid w:val="00E95C1F"/>
    <w:rsid w:val="00E95C9B"/>
    <w:rsid w:val="00E96077"/>
    <w:rsid w:val="00E96217"/>
    <w:rsid w:val="00E96350"/>
    <w:rsid w:val="00E965E0"/>
    <w:rsid w:val="00E96B1E"/>
    <w:rsid w:val="00E9732F"/>
    <w:rsid w:val="00E975E0"/>
    <w:rsid w:val="00E97A54"/>
    <w:rsid w:val="00EA0409"/>
    <w:rsid w:val="00EA047B"/>
    <w:rsid w:val="00EA0DF5"/>
    <w:rsid w:val="00EA19E7"/>
    <w:rsid w:val="00EA1A7F"/>
    <w:rsid w:val="00EA1F06"/>
    <w:rsid w:val="00EA20CE"/>
    <w:rsid w:val="00EA21E2"/>
    <w:rsid w:val="00EA25D4"/>
    <w:rsid w:val="00EA28EB"/>
    <w:rsid w:val="00EA2EB8"/>
    <w:rsid w:val="00EA3442"/>
    <w:rsid w:val="00EA35D4"/>
    <w:rsid w:val="00EA35DD"/>
    <w:rsid w:val="00EA39E6"/>
    <w:rsid w:val="00EA3CF2"/>
    <w:rsid w:val="00EA45EC"/>
    <w:rsid w:val="00EA5196"/>
    <w:rsid w:val="00EA59A3"/>
    <w:rsid w:val="00EA5A73"/>
    <w:rsid w:val="00EA5C08"/>
    <w:rsid w:val="00EA5DC1"/>
    <w:rsid w:val="00EA6169"/>
    <w:rsid w:val="00EA62D8"/>
    <w:rsid w:val="00EB0305"/>
    <w:rsid w:val="00EB0890"/>
    <w:rsid w:val="00EB0F7B"/>
    <w:rsid w:val="00EB13BF"/>
    <w:rsid w:val="00EB1771"/>
    <w:rsid w:val="00EB1E9F"/>
    <w:rsid w:val="00EB2447"/>
    <w:rsid w:val="00EB26EB"/>
    <w:rsid w:val="00EB47DA"/>
    <w:rsid w:val="00EB4FEB"/>
    <w:rsid w:val="00EB5176"/>
    <w:rsid w:val="00EB51E4"/>
    <w:rsid w:val="00EB52E8"/>
    <w:rsid w:val="00EB5333"/>
    <w:rsid w:val="00EB60D3"/>
    <w:rsid w:val="00EB6C74"/>
    <w:rsid w:val="00EB6E48"/>
    <w:rsid w:val="00EB6F82"/>
    <w:rsid w:val="00EB7EED"/>
    <w:rsid w:val="00EC07FB"/>
    <w:rsid w:val="00EC0A60"/>
    <w:rsid w:val="00EC0DD4"/>
    <w:rsid w:val="00EC0FB1"/>
    <w:rsid w:val="00EC237E"/>
    <w:rsid w:val="00EC23AF"/>
    <w:rsid w:val="00EC28A9"/>
    <w:rsid w:val="00EC29DD"/>
    <w:rsid w:val="00EC2CD4"/>
    <w:rsid w:val="00EC2E76"/>
    <w:rsid w:val="00EC382C"/>
    <w:rsid w:val="00EC3A4F"/>
    <w:rsid w:val="00EC3F5E"/>
    <w:rsid w:val="00EC4402"/>
    <w:rsid w:val="00EC49B4"/>
    <w:rsid w:val="00EC530A"/>
    <w:rsid w:val="00EC6263"/>
    <w:rsid w:val="00EC666D"/>
    <w:rsid w:val="00EC68C3"/>
    <w:rsid w:val="00EC68E9"/>
    <w:rsid w:val="00EC7220"/>
    <w:rsid w:val="00EC7510"/>
    <w:rsid w:val="00EC7A83"/>
    <w:rsid w:val="00ED0376"/>
    <w:rsid w:val="00ED0629"/>
    <w:rsid w:val="00ED0F6D"/>
    <w:rsid w:val="00ED11FF"/>
    <w:rsid w:val="00ED121F"/>
    <w:rsid w:val="00ED1CB8"/>
    <w:rsid w:val="00ED279A"/>
    <w:rsid w:val="00ED282B"/>
    <w:rsid w:val="00ED2D54"/>
    <w:rsid w:val="00ED3559"/>
    <w:rsid w:val="00ED36B4"/>
    <w:rsid w:val="00ED3D6D"/>
    <w:rsid w:val="00ED3F7D"/>
    <w:rsid w:val="00ED4252"/>
    <w:rsid w:val="00ED455C"/>
    <w:rsid w:val="00ED47D5"/>
    <w:rsid w:val="00ED4C5E"/>
    <w:rsid w:val="00ED5992"/>
    <w:rsid w:val="00ED5DAF"/>
    <w:rsid w:val="00ED5EE0"/>
    <w:rsid w:val="00ED6F44"/>
    <w:rsid w:val="00ED70C1"/>
    <w:rsid w:val="00ED70F8"/>
    <w:rsid w:val="00ED7894"/>
    <w:rsid w:val="00ED78B7"/>
    <w:rsid w:val="00EE18AF"/>
    <w:rsid w:val="00EE21F4"/>
    <w:rsid w:val="00EE241E"/>
    <w:rsid w:val="00EE2920"/>
    <w:rsid w:val="00EE3C02"/>
    <w:rsid w:val="00EE3CD0"/>
    <w:rsid w:val="00EE3D18"/>
    <w:rsid w:val="00EE46C7"/>
    <w:rsid w:val="00EE497A"/>
    <w:rsid w:val="00EE4A77"/>
    <w:rsid w:val="00EE4AC6"/>
    <w:rsid w:val="00EE514B"/>
    <w:rsid w:val="00EE54F4"/>
    <w:rsid w:val="00EE57DA"/>
    <w:rsid w:val="00EE5FD5"/>
    <w:rsid w:val="00EE671F"/>
    <w:rsid w:val="00EE6C46"/>
    <w:rsid w:val="00EE6D44"/>
    <w:rsid w:val="00EE732E"/>
    <w:rsid w:val="00EE76EE"/>
    <w:rsid w:val="00EE799C"/>
    <w:rsid w:val="00EF00ED"/>
    <w:rsid w:val="00EF01E0"/>
    <w:rsid w:val="00EF0597"/>
    <w:rsid w:val="00EF09FE"/>
    <w:rsid w:val="00EF146B"/>
    <w:rsid w:val="00EF20DE"/>
    <w:rsid w:val="00EF2626"/>
    <w:rsid w:val="00EF2DB7"/>
    <w:rsid w:val="00EF3409"/>
    <w:rsid w:val="00EF34B0"/>
    <w:rsid w:val="00EF3DAC"/>
    <w:rsid w:val="00EF40D3"/>
    <w:rsid w:val="00EF48FA"/>
    <w:rsid w:val="00EF4BE3"/>
    <w:rsid w:val="00EF4C45"/>
    <w:rsid w:val="00EF5134"/>
    <w:rsid w:val="00EF51A6"/>
    <w:rsid w:val="00EF52AB"/>
    <w:rsid w:val="00EF567E"/>
    <w:rsid w:val="00EF5EB4"/>
    <w:rsid w:val="00EF6171"/>
    <w:rsid w:val="00EF6642"/>
    <w:rsid w:val="00EF6CDF"/>
    <w:rsid w:val="00EF736D"/>
    <w:rsid w:val="00EF7563"/>
    <w:rsid w:val="00EF79B5"/>
    <w:rsid w:val="00EF7EF6"/>
    <w:rsid w:val="00F00904"/>
    <w:rsid w:val="00F02A70"/>
    <w:rsid w:val="00F02CB9"/>
    <w:rsid w:val="00F036C6"/>
    <w:rsid w:val="00F03CD1"/>
    <w:rsid w:val="00F03D50"/>
    <w:rsid w:val="00F0455A"/>
    <w:rsid w:val="00F04DF4"/>
    <w:rsid w:val="00F05495"/>
    <w:rsid w:val="00F05592"/>
    <w:rsid w:val="00F05C43"/>
    <w:rsid w:val="00F0676C"/>
    <w:rsid w:val="00F06B36"/>
    <w:rsid w:val="00F06B8D"/>
    <w:rsid w:val="00F073A8"/>
    <w:rsid w:val="00F07F06"/>
    <w:rsid w:val="00F1010E"/>
    <w:rsid w:val="00F10438"/>
    <w:rsid w:val="00F104C3"/>
    <w:rsid w:val="00F10AE7"/>
    <w:rsid w:val="00F10DE6"/>
    <w:rsid w:val="00F1105B"/>
    <w:rsid w:val="00F11336"/>
    <w:rsid w:val="00F116CB"/>
    <w:rsid w:val="00F1171B"/>
    <w:rsid w:val="00F117AB"/>
    <w:rsid w:val="00F1204F"/>
    <w:rsid w:val="00F121D2"/>
    <w:rsid w:val="00F126F1"/>
    <w:rsid w:val="00F12CBF"/>
    <w:rsid w:val="00F12FB3"/>
    <w:rsid w:val="00F13AF8"/>
    <w:rsid w:val="00F14BA7"/>
    <w:rsid w:val="00F14FFE"/>
    <w:rsid w:val="00F152AB"/>
    <w:rsid w:val="00F15546"/>
    <w:rsid w:val="00F15B7C"/>
    <w:rsid w:val="00F16109"/>
    <w:rsid w:val="00F16567"/>
    <w:rsid w:val="00F17314"/>
    <w:rsid w:val="00F17389"/>
    <w:rsid w:val="00F179C0"/>
    <w:rsid w:val="00F17A2A"/>
    <w:rsid w:val="00F17BCE"/>
    <w:rsid w:val="00F17CA9"/>
    <w:rsid w:val="00F2016D"/>
    <w:rsid w:val="00F20437"/>
    <w:rsid w:val="00F2068E"/>
    <w:rsid w:val="00F207A9"/>
    <w:rsid w:val="00F20CB6"/>
    <w:rsid w:val="00F22867"/>
    <w:rsid w:val="00F228FF"/>
    <w:rsid w:val="00F23717"/>
    <w:rsid w:val="00F243F1"/>
    <w:rsid w:val="00F24838"/>
    <w:rsid w:val="00F24E17"/>
    <w:rsid w:val="00F252D5"/>
    <w:rsid w:val="00F25744"/>
    <w:rsid w:val="00F257DF"/>
    <w:rsid w:val="00F25A44"/>
    <w:rsid w:val="00F25CAB"/>
    <w:rsid w:val="00F261C0"/>
    <w:rsid w:val="00F2633C"/>
    <w:rsid w:val="00F269E0"/>
    <w:rsid w:val="00F27AA4"/>
    <w:rsid w:val="00F30279"/>
    <w:rsid w:val="00F30429"/>
    <w:rsid w:val="00F3070E"/>
    <w:rsid w:val="00F309CC"/>
    <w:rsid w:val="00F312C8"/>
    <w:rsid w:val="00F312F3"/>
    <w:rsid w:val="00F31C10"/>
    <w:rsid w:val="00F31E4F"/>
    <w:rsid w:val="00F321C8"/>
    <w:rsid w:val="00F32679"/>
    <w:rsid w:val="00F32746"/>
    <w:rsid w:val="00F3292E"/>
    <w:rsid w:val="00F32F18"/>
    <w:rsid w:val="00F32F7E"/>
    <w:rsid w:val="00F33107"/>
    <w:rsid w:val="00F332B6"/>
    <w:rsid w:val="00F332C8"/>
    <w:rsid w:val="00F333BE"/>
    <w:rsid w:val="00F333CE"/>
    <w:rsid w:val="00F33743"/>
    <w:rsid w:val="00F338E3"/>
    <w:rsid w:val="00F339CE"/>
    <w:rsid w:val="00F33A83"/>
    <w:rsid w:val="00F34123"/>
    <w:rsid w:val="00F347E7"/>
    <w:rsid w:val="00F34981"/>
    <w:rsid w:val="00F34BC3"/>
    <w:rsid w:val="00F34C15"/>
    <w:rsid w:val="00F3536D"/>
    <w:rsid w:val="00F363B7"/>
    <w:rsid w:val="00F3659A"/>
    <w:rsid w:val="00F36639"/>
    <w:rsid w:val="00F3718A"/>
    <w:rsid w:val="00F374DC"/>
    <w:rsid w:val="00F379C1"/>
    <w:rsid w:val="00F37A6F"/>
    <w:rsid w:val="00F37B07"/>
    <w:rsid w:val="00F40709"/>
    <w:rsid w:val="00F407AF"/>
    <w:rsid w:val="00F40BCB"/>
    <w:rsid w:val="00F410E7"/>
    <w:rsid w:val="00F416E2"/>
    <w:rsid w:val="00F41DA0"/>
    <w:rsid w:val="00F422A3"/>
    <w:rsid w:val="00F423C2"/>
    <w:rsid w:val="00F42B56"/>
    <w:rsid w:val="00F42BFB"/>
    <w:rsid w:val="00F42D34"/>
    <w:rsid w:val="00F42E26"/>
    <w:rsid w:val="00F43B99"/>
    <w:rsid w:val="00F43F68"/>
    <w:rsid w:val="00F4418B"/>
    <w:rsid w:val="00F443A4"/>
    <w:rsid w:val="00F44BE6"/>
    <w:rsid w:val="00F45420"/>
    <w:rsid w:val="00F45A0D"/>
    <w:rsid w:val="00F45A74"/>
    <w:rsid w:val="00F4616D"/>
    <w:rsid w:val="00F465CA"/>
    <w:rsid w:val="00F46A3D"/>
    <w:rsid w:val="00F46AB6"/>
    <w:rsid w:val="00F46E79"/>
    <w:rsid w:val="00F47216"/>
    <w:rsid w:val="00F472C7"/>
    <w:rsid w:val="00F47836"/>
    <w:rsid w:val="00F479C4"/>
    <w:rsid w:val="00F47D95"/>
    <w:rsid w:val="00F47DF0"/>
    <w:rsid w:val="00F500E2"/>
    <w:rsid w:val="00F50A36"/>
    <w:rsid w:val="00F50DDA"/>
    <w:rsid w:val="00F51252"/>
    <w:rsid w:val="00F51761"/>
    <w:rsid w:val="00F52227"/>
    <w:rsid w:val="00F52EE0"/>
    <w:rsid w:val="00F53575"/>
    <w:rsid w:val="00F5363B"/>
    <w:rsid w:val="00F536FA"/>
    <w:rsid w:val="00F5492F"/>
    <w:rsid w:val="00F55318"/>
    <w:rsid w:val="00F5586C"/>
    <w:rsid w:val="00F559B7"/>
    <w:rsid w:val="00F55A6E"/>
    <w:rsid w:val="00F5635F"/>
    <w:rsid w:val="00F56E0A"/>
    <w:rsid w:val="00F5794F"/>
    <w:rsid w:val="00F57BC6"/>
    <w:rsid w:val="00F57E1A"/>
    <w:rsid w:val="00F600BB"/>
    <w:rsid w:val="00F6084E"/>
    <w:rsid w:val="00F614D7"/>
    <w:rsid w:val="00F61CD2"/>
    <w:rsid w:val="00F61DE6"/>
    <w:rsid w:val="00F63CC8"/>
    <w:rsid w:val="00F64608"/>
    <w:rsid w:val="00F647D9"/>
    <w:rsid w:val="00F6483C"/>
    <w:rsid w:val="00F650FB"/>
    <w:rsid w:val="00F65B2B"/>
    <w:rsid w:val="00F6650A"/>
    <w:rsid w:val="00F6797A"/>
    <w:rsid w:val="00F67AB6"/>
    <w:rsid w:val="00F67DCD"/>
    <w:rsid w:val="00F70955"/>
    <w:rsid w:val="00F70EED"/>
    <w:rsid w:val="00F710B6"/>
    <w:rsid w:val="00F710E7"/>
    <w:rsid w:val="00F71346"/>
    <w:rsid w:val="00F71ACD"/>
    <w:rsid w:val="00F72711"/>
    <w:rsid w:val="00F7295E"/>
    <w:rsid w:val="00F729CD"/>
    <w:rsid w:val="00F72DA7"/>
    <w:rsid w:val="00F730E0"/>
    <w:rsid w:val="00F73B55"/>
    <w:rsid w:val="00F74465"/>
    <w:rsid w:val="00F74C67"/>
    <w:rsid w:val="00F7505D"/>
    <w:rsid w:val="00F750FC"/>
    <w:rsid w:val="00F757CD"/>
    <w:rsid w:val="00F75ACF"/>
    <w:rsid w:val="00F7606D"/>
    <w:rsid w:val="00F760C9"/>
    <w:rsid w:val="00F760FB"/>
    <w:rsid w:val="00F76153"/>
    <w:rsid w:val="00F7697D"/>
    <w:rsid w:val="00F76E6B"/>
    <w:rsid w:val="00F777D1"/>
    <w:rsid w:val="00F77DEF"/>
    <w:rsid w:val="00F77E37"/>
    <w:rsid w:val="00F80B3C"/>
    <w:rsid w:val="00F80D87"/>
    <w:rsid w:val="00F814C0"/>
    <w:rsid w:val="00F818C8"/>
    <w:rsid w:val="00F819EC"/>
    <w:rsid w:val="00F81A5C"/>
    <w:rsid w:val="00F821A6"/>
    <w:rsid w:val="00F83C89"/>
    <w:rsid w:val="00F83F93"/>
    <w:rsid w:val="00F8488E"/>
    <w:rsid w:val="00F84D54"/>
    <w:rsid w:val="00F84E06"/>
    <w:rsid w:val="00F85708"/>
    <w:rsid w:val="00F85AC5"/>
    <w:rsid w:val="00F85AE0"/>
    <w:rsid w:val="00F85C19"/>
    <w:rsid w:val="00F85F35"/>
    <w:rsid w:val="00F8607F"/>
    <w:rsid w:val="00F864E7"/>
    <w:rsid w:val="00F8672E"/>
    <w:rsid w:val="00F869BE"/>
    <w:rsid w:val="00F87088"/>
    <w:rsid w:val="00F8768A"/>
    <w:rsid w:val="00F87739"/>
    <w:rsid w:val="00F87FD7"/>
    <w:rsid w:val="00F908CF"/>
    <w:rsid w:val="00F91230"/>
    <w:rsid w:val="00F912AA"/>
    <w:rsid w:val="00F91C76"/>
    <w:rsid w:val="00F91C9C"/>
    <w:rsid w:val="00F91EDD"/>
    <w:rsid w:val="00F92717"/>
    <w:rsid w:val="00F92DD2"/>
    <w:rsid w:val="00F93B85"/>
    <w:rsid w:val="00F93F41"/>
    <w:rsid w:val="00F94C8F"/>
    <w:rsid w:val="00F953D3"/>
    <w:rsid w:val="00F9540B"/>
    <w:rsid w:val="00F962ED"/>
    <w:rsid w:val="00F96672"/>
    <w:rsid w:val="00F9675A"/>
    <w:rsid w:val="00F96928"/>
    <w:rsid w:val="00F96DFD"/>
    <w:rsid w:val="00F96EB0"/>
    <w:rsid w:val="00F97DA4"/>
    <w:rsid w:val="00F97E0F"/>
    <w:rsid w:val="00F97FCA"/>
    <w:rsid w:val="00FA060A"/>
    <w:rsid w:val="00FA0662"/>
    <w:rsid w:val="00FA0945"/>
    <w:rsid w:val="00FA0DEC"/>
    <w:rsid w:val="00FA0DFF"/>
    <w:rsid w:val="00FA2042"/>
    <w:rsid w:val="00FA24F1"/>
    <w:rsid w:val="00FA2C5E"/>
    <w:rsid w:val="00FA3E6B"/>
    <w:rsid w:val="00FA4777"/>
    <w:rsid w:val="00FA4FA0"/>
    <w:rsid w:val="00FA4FBB"/>
    <w:rsid w:val="00FA55DD"/>
    <w:rsid w:val="00FA56D6"/>
    <w:rsid w:val="00FA6429"/>
    <w:rsid w:val="00FA6830"/>
    <w:rsid w:val="00FA6929"/>
    <w:rsid w:val="00FA6E97"/>
    <w:rsid w:val="00FA7780"/>
    <w:rsid w:val="00FA7D28"/>
    <w:rsid w:val="00FA7E89"/>
    <w:rsid w:val="00FB0B33"/>
    <w:rsid w:val="00FB0BF8"/>
    <w:rsid w:val="00FB0CBE"/>
    <w:rsid w:val="00FB0EC2"/>
    <w:rsid w:val="00FB13A8"/>
    <w:rsid w:val="00FB14D0"/>
    <w:rsid w:val="00FB16CD"/>
    <w:rsid w:val="00FB184E"/>
    <w:rsid w:val="00FB1EB5"/>
    <w:rsid w:val="00FB2014"/>
    <w:rsid w:val="00FB3827"/>
    <w:rsid w:val="00FB436F"/>
    <w:rsid w:val="00FB4808"/>
    <w:rsid w:val="00FB4909"/>
    <w:rsid w:val="00FB4B00"/>
    <w:rsid w:val="00FB5260"/>
    <w:rsid w:val="00FB58DA"/>
    <w:rsid w:val="00FB59DB"/>
    <w:rsid w:val="00FB6059"/>
    <w:rsid w:val="00FB6468"/>
    <w:rsid w:val="00FB66ED"/>
    <w:rsid w:val="00FB6702"/>
    <w:rsid w:val="00FB6975"/>
    <w:rsid w:val="00FB6DB3"/>
    <w:rsid w:val="00FB6E10"/>
    <w:rsid w:val="00FB75D8"/>
    <w:rsid w:val="00FB75E8"/>
    <w:rsid w:val="00FB7646"/>
    <w:rsid w:val="00FB7B2C"/>
    <w:rsid w:val="00FB7C9D"/>
    <w:rsid w:val="00FB7F8B"/>
    <w:rsid w:val="00FC02C0"/>
    <w:rsid w:val="00FC0472"/>
    <w:rsid w:val="00FC0999"/>
    <w:rsid w:val="00FC0AD5"/>
    <w:rsid w:val="00FC101E"/>
    <w:rsid w:val="00FC1AAB"/>
    <w:rsid w:val="00FC1EC4"/>
    <w:rsid w:val="00FC268F"/>
    <w:rsid w:val="00FC2825"/>
    <w:rsid w:val="00FC2AAB"/>
    <w:rsid w:val="00FC3459"/>
    <w:rsid w:val="00FC3A7A"/>
    <w:rsid w:val="00FC3CF3"/>
    <w:rsid w:val="00FC4660"/>
    <w:rsid w:val="00FC4B92"/>
    <w:rsid w:val="00FC5CAC"/>
    <w:rsid w:val="00FC6155"/>
    <w:rsid w:val="00FC6517"/>
    <w:rsid w:val="00FC6D81"/>
    <w:rsid w:val="00FC6DFC"/>
    <w:rsid w:val="00FC79C7"/>
    <w:rsid w:val="00FD0093"/>
    <w:rsid w:val="00FD07D5"/>
    <w:rsid w:val="00FD0948"/>
    <w:rsid w:val="00FD0EF7"/>
    <w:rsid w:val="00FD1242"/>
    <w:rsid w:val="00FD1288"/>
    <w:rsid w:val="00FD236C"/>
    <w:rsid w:val="00FD25B7"/>
    <w:rsid w:val="00FD2A61"/>
    <w:rsid w:val="00FD32FD"/>
    <w:rsid w:val="00FD373F"/>
    <w:rsid w:val="00FD423D"/>
    <w:rsid w:val="00FD44CB"/>
    <w:rsid w:val="00FD4B09"/>
    <w:rsid w:val="00FD50A9"/>
    <w:rsid w:val="00FD50D5"/>
    <w:rsid w:val="00FD5C8B"/>
    <w:rsid w:val="00FD5F63"/>
    <w:rsid w:val="00FD71D7"/>
    <w:rsid w:val="00FD77AC"/>
    <w:rsid w:val="00FD78E1"/>
    <w:rsid w:val="00FE072D"/>
    <w:rsid w:val="00FE0813"/>
    <w:rsid w:val="00FE0B21"/>
    <w:rsid w:val="00FE0D6A"/>
    <w:rsid w:val="00FE0E06"/>
    <w:rsid w:val="00FE1115"/>
    <w:rsid w:val="00FE11A6"/>
    <w:rsid w:val="00FE1AD7"/>
    <w:rsid w:val="00FE20CD"/>
    <w:rsid w:val="00FE253B"/>
    <w:rsid w:val="00FE2A0D"/>
    <w:rsid w:val="00FE2A29"/>
    <w:rsid w:val="00FE2B1C"/>
    <w:rsid w:val="00FE31FE"/>
    <w:rsid w:val="00FE3494"/>
    <w:rsid w:val="00FE3CC0"/>
    <w:rsid w:val="00FE4069"/>
    <w:rsid w:val="00FE42B6"/>
    <w:rsid w:val="00FE54EF"/>
    <w:rsid w:val="00FE58F3"/>
    <w:rsid w:val="00FE5ADF"/>
    <w:rsid w:val="00FE5BC7"/>
    <w:rsid w:val="00FE5D82"/>
    <w:rsid w:val="00FE6A03"/>
    <w:rsid w:val="00FE6F4C"/>
    <w:rsid w:val="00FE73D6"/>
    <w:rsid w:val="00FE7420"/>
    <w:rsid w:val="00FF01E5"/>
    <w:rsid w:val="00FF1107"/>
    <w:rsid w:val="00FF2929"/>
    <w:rsid w:val="00FF32B5"/>
    <w:rsid w:val="00FF3FA2"/>
    <w:rsid w:val="00FF4064"/>
    <w:rsid w:val="00FF436D"/>
    <w:rsid w:val="00FF4CAC"/>
    <w:rsid w:val="00FF53CA"/>
    <w:rsid w:val="00FF59ED"/>
    <w:rsid w:val="00FF5C3F"/>
    <w:rsid w:val="00FF5FC4"/>
    <w:rsid w:val="00FF6F9C"/>
    <w:rsid w:val="00FF704A"/>
    <w:rsid w:val="00FF79EC"/>
    <w:rsid w:val="00FF7CAA"/>
    <w:rsid w:val="00FF7D15"/>
    <w:rsid w:val="01D1FDAF"/>
    <w:rsid w:val="06B074E8"/>
    <w:rsid w:val="08558E11"/>
    <w:rsid w:val="0864859B"/>
    <w:rsid w:val="0937720C"/>
    <w:rsid w:val="0A0AEFF9"/>
    <w:rsid w:val="0AD06ABC"/>
    <w:rsid w:val="0BEAE451"/>
    <w:rsid w:val="0D4290BB"/>
    <w:rsid w:val="0D5E9408"/>
    <w:rsid w:val="0E97585A"/>
    <w:rsid w:val="0FFBE70C"/>
    <w:rsid w:val="114EA9B6"/>
    <w:rsid w:val="12C64CC7"/>
    <w:rsid w:val="148B10C0"/>
    <w:rsid w:val="15643F8B"/>
    <w:rsid w:val="16866E17"/>
    <w:rsid w:val="1809C210"/>
    <w:rsid w:val="18B6EA23"/>
    <w:rsid w:val="1BE318C8"/>
    <w:rsid w:val="1D0F83FF"/>
    <w:rsid w:val="1DEC4659"/>
    <w:rsid w:val="1E056EB6"/>
    <w:rsid w:val="1E17B7ED"/>
    <w:rsid w:val="1F2D5EEA"/>
    <w:rsid w:val="1F34FD7D"/>
    <w:rsid w:val="1F8816BA"/>
    <w:rsid w:val="226F653C"/>
    <w:rsid w:val="24A2909F"/>
    <w:rsid w:val="274451EA"/>
    <w:rsid w:val="281D3AA3"/>
    <w:rsid w:val="2A4DC137"/>
    <w:rsid w:val="2C49C1BC"/>
    <w:rsid w:val="30223ABE"/>
    <w:rsid w:val="3047AB89"/>
    <w:rsid w:val="3149BDDB"/>
    <w:rsid w:val="34116C4F"/>
    <w:rsid w:val="3615698E"/>
    <w:rsid w:val="369DD017"/>
    <w:rsid w:val="36A9E7BE"/>
    <w:rsid w:val="3987522D"/>
    <w:rsid w:val="40C940C1"/>
    <w:rsid w:val="44AC3E4A"/>
    <w:rsid w:val="47CA508C"/>
    <w:rsid w:val="47D86CEF"/>
    <w:rsid w:val="49754FED"/>
    <w:rsid w:val="50AD0A34"/>
    <w:rsid w:val="54FA4479"/>
    <w:rsid w:val="58E5FC7E"/>
    <w:rsid w:val="59B369D5"/>
    <w:rsid w:val="639690E0"/>
    <w:rsid w:val="639E9B67"/>
    <w:rsid w:val="63D7F543"/>
    <w:rsid w:val="64042A4D"/>
    <w:rsid w:val="6503502C"/>
    <w:rsid w:val="65E9371B"/>
    <w:rsid w:val="690A2C78"/>
    <w:rsid w:val="69E32256"/>
    <w:rsid w:val="6B431743"/>
    <w:rsid w:val="6B44AADA"/>
    <w:rsid w:val="6C4FCD7F"/>
    <w:rsid w:val="6D1AC318"/>
    <w:rsid w:val="6E04CF36"/>
    <w:rsid w:val="6F734F52"/>
    <w:rsid w:val="705BC0F5"/>
    <w:rsid w:val="713424AC"/>
    <w:rsid w:val="733FA955"/>
    <w:rsid w:val="7509345A"/>
    <w:rsid w:val="7647E7C5"/>
    <w:rsid w:val="766BD7FA"/>
    <w:rsid w:val="776538DA"/>
    <w:rsid w:val="7AE9D430"/>
    <w:rsid w:val="7B7CFC2B"/>
    <w:rsid w:val="7C561FB1"/>
    <w:rsid w:val="7F8632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A95F6"/>
  <w15:docId w15:val="{41EA2800-D3BD-4309-9491-64D0145F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59"/>
    <w:rPr>
      <w:lang w:val="en-GB"/>
    </w:rPr>
  </w:style>
  <w:style w:type="paragraph" w:styleId="Heading1">
    <w:name w:val="heading 1"/>
    <w:basedOn w:val="Normal"/>
    <w:next w:val="Normal"/>
    <w:link w:val="Heading1Char"/>
    <w:uiPriority w:val="9"/>
    <w:qFormat/>
    <w:rsid w:val="00DA2974"/>
    <w:pPr>
      <w:numPr>
        <w:numId w:val="6"/>
      </w:numPr>
      <w:shd w:val="clear" w:color="auto" w:fill="D9D9D9"/>
      <w:spacing w:after="0"/>
      <w:outlineLvl w:val="0"/>
    </w:pPr>
    <w:rPr>
      <w:rFonts w:cs="Calibri"/>
      <w:b/>
      <w:caps/>
      <w:sz w:val="24"/>
    </w:rPr>
  </w:style>
  <w:style w:type="paragraph" w:styleId="Heading2">
    <w:name w:val="heading 2"/>
    <w:basedOn w:val="Heading1"/>
    <w:next w:val="Normal"/>
    <w:link w:val="Heading2Char"/>
    <w:uiPriority w:val="9"/>
    <w:unhideWhenUsed/>
    <w:qFormat/>
    <w:rsid w:val="00753EBF"/>
    <w:pPr>
      <w:keepNext/>
      <w:keepLines/>
      <w:numPr>
        <w:ilvl w:val="1"/>
      </w:numPr>
      <w:spacing w:before="40"/>
      <w:outlineLvl w:val="1"/>
    </w:pPr>
    <w:rPr>
      <w:rFonts w:eastAsiaTheme="majorEastAsia" w:cstheme="majorBidi"/>
      <w:caps w:val="0"/>
      <w:szCs w:val="26"/>
    </w:rPr>
  </w:style>
  <w:style w:type="paragraph" w:styleId="Heading3">
    <w:name w:val="heading 3"/>
    <w:basedOn w:val="Normal"/>
    <w:next w:val="Normal"/>
    <w:link w:val="Heading3Char"/>
    <w:uiPriority w:val="9"/>
    <w:unhideWhenUsed/>
    <w:qFormat/>
    <w:rsid w:val="00AE05E7"/>
    <w:pPr>
      <w:keepNext/>
      <w:keepLines/>
      <w:numPr>
        <w:ilvl w:val="2"/>
        <w:numId w:val="6"/>
      </w:numPr>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7F6BEF"/>
    <w:pPr>
      <w:keepNext/>
      <w:keepLines/>
      <w:numPr>
        <w:ilvl w:val="3"/>
        <w:numId w:val="6"/>
      </w:numPr>
      <w:spacing w:before="200" w:after="0" w:line="240" w:lineRule="auto"/>
      <w:outlineLvl w:val="3"/>
    </w:pPr>
    <w:rPr>
      <w:rFonts w:ascii="Calibri" w:eastAsia="MS Gothic" w:hAnsi="Calibri" w:cs="Times New Roman"/>
      <w:b/>
      <w:bCs/>
      <w:iCs/>
      <w:color w:val="4F81BD"/>
      <w:szCs w:val="24"/>
      <w:lang w:eastAsia="ja-JP"/>
    </w:rPr>
  </w:style>
  <w:style w:type="paragraph" w:styleId="Heading5">
    <w:name w:val="heading 5"/>
    <w:basedOn w:val="Normal"/>
    <w:next w:val="Normal"/>
    <w:link w:val="Heading5Char"/>
    <w:uiPriority w:val="9"/>
    <w:semiHidden/>
    <w:unhideWhenUsed/>
    <w:qFormat/>
    <w:rsid w:val="007F6BEF"/>
    <w:pPr>
      <w:keepNext/>
      <w:keepLines/>
      <w:numPr>
        <w:ilvl w:val="4"/>
        <w:numId w:val="6"/>
      </w:numPr>
      <w:spacing w:before="200" w:after="0" w:line="240" w:lineRule="auto"/>
      <w:outlineLvl w:val="4"/>
    </w:pPr>
    <w:rPr>
      <w:rFonts w:asciiTheme="majorHAnsi" w:eastAsiaTheme="majorEastAsia" w:hAnsiTheme="majorHAnsi" w:cstheme="majorBidi"/>
      <w:color w:val="243F60" w:themeColor="accent1" w:themeShade="7F"/>
      <w:sz w:val="20"/>
      <w:szCs w:val="24"/>
      <w:lang w:eastAsia="ja-JP"/>
    </w:rPr>
  </w:style>
  <w:style w:type="paragraph" w:styleId="Heading6">
    <w:name w:val="heading 6"/>
    <w:basedOn w:val="Normal"/>
    <w:next w:val="Normal"/>
    <w:link w:val="Heading6Char"/>
    <w:uiPriority w:val="9"/>
    <w:semiHidden/>
    <w:unhideWhenUsed/>
    <w:qFormat/>
    <w:rsid w:val="007F6BEF"/>
    <w:pPr>
      <w:keepNext/>
      <w:keepLines/>
      <w:numPr>
        <w:ilvl w:val="5"/>
        <w:numId w:val="6"/>
      </w:numPr>
      <w:spacing w:before="200" w:after="0" w:line="240" w:lineRule="auto"/>
      <w:outlineLvl w:val="5"/>
    </w:pPr>
    <w:rPr>
      <w:rFonts w:asciiTheme="majorHAnsi" w:eastAsiaTheme="majorEastAsia" w:hAnsiTheme="majorHAnsi" w:cstheme="majorBidi"/>
      <w:i/>
      <w:iCs/>
      <w:color w:val="243F60" w:themeColor="accent1" w:themeShade="7F"/>
      <w:sz w:val="20"/>
      <w:szCs w:val="24"/>
      <w:lang w:eastAsia="ja-JP"/>
    </w:rPr>
  </w:style>
  <w:style w:type="paragraph" w:styleId="Heading7">
    <w:name w:val="heading 7"/>
    <w:basedOn w:val="Normal"/>
    <w:next w:val="Normal"/>
    <w:link w:val="Heading7Char"/>
    <w:uiPriority w:val="9"/>
    <w:unhideWhenUsed/>
    <w:qFormat/>
    <w:rsid w:val="007F6BEF"/>
    <w:pPr>
      <w:keepNext/>
      <w:keepLines/>
      <w:numPr>
        <w:ilvl w:val="6"/>
        <w:numId w:val="6"/>
      </w:numPr>
      <w:spacing w:before="200" w:after="0" w:line="240" w:lineRule="auto"/>
      <w:outlineLvl w:val="6"/>
    </w:pPr>
    <w:rPr>
      <w:rFonts w:asciiTheme="majorHAnsi" w:eastAsiaTheme="majorEastAsia" w:hAnsiTheme="majorHAnsi" w:cstheme="majorBidi"/>
      <w:i/>
      <w:iCs/>
      <w:color w:val="404040" w:themeColor="text1" w:themeTint="BF"/>
      <w:sz w:val="20"/>
      <w:szCs w:val="24"/>
      <w:lang w:eastAsia="ja-JP"/>
    </w:rPr>
  </w:style>
  <w:style w:type="paragraph" w:styleId="Heading8">
    <w:name w:val="heading 8"/>
    <w:basedOn w:val="Normal"/>
    <w:next w:val="Normal"/>
    <w:link w:val="Heading8Char"/>
    <w:uiPriority w:val="9"/>
    <w:semiHidden/>
    <w:unhideWhenUsed/>
    <w:qFormat/>
    <w:rsid w:val="007F6BEF"/>
    <w:pPr>
      <w:keepNext/>
      <w:keepLines/>
      <w:numPr>
        <w:ilvl w:val="7"/>
        <w:numId w:val="6"/>
      </w:numPr>
      <w:spacing w:before="200" w:after="0" w:line="240"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7F6BEF"/>
    <w:pPr>
      <w:keepNext/>
      <w:keepLines/>
      <w:numPr>
        <w:ilvl w:val="8"/>
        <w:numId w:val="6"/>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E5"/>
    <w:rPr>
      <w:rFonts w:ascii="Tahoma" w:hAnsi="Tahoma" w:cs="Tahoma"/>
      <w:sz w:val="16"/>
      <w:szCs w:val="16"/>
    </w:rPr>
  </w:style>
  <w:style w:type="paragraph" w:styleId="Header">
    <w:name w:val="header"/>
    <w:basedOn w:val="Normal"/>
    <w:link w:val="HeaderChar"/>
    <w:rsid w:val="005968E5"/>
    <w:pPr>
      <w:tabs>
        <w:tab w:val="center" w:pos="4320"/>
        <w:tab w:val="right" w:pos="8640"/>
      </w:tabs>
      <w:spacing w:after="0" w:line="240" w:lineRule="auto"/>
    </w:pPr>
    <w:rPr>
      <w:rFonts w:ascii="Times New Roman" w:eastAsia="SimSun" w:hAnsi="Times New Roman" w:cs="Times New Roman"/>
      <w:sz w:val="24"/>
      <w:szCs w:val="20"/>
    </w:rPr>
  </w:style>
  <w:style w:type="character" w:customStyle="1" w:styleId="HeaderChar">
    <w:name w:val="Header Char"/>
    <w:basedOn w:val="DefaultParagraphFont"/>
    <w:link w:val="Header"/>
    <w:uiPriority w:val="99"/>
    <w:rsid w:val="005968E5"/>
    <w:rPr>
      <w:rFonts w:ascii="Times New Roman" w:eastAsia="SimSun" w:hAnsi="Times New Roman" w:cs="Times New Roman"/>
      <w:sz w:val="24"/>
      <w:szCs w:val="20"/>
    </w:rPr>
  </w:style>
  <w:style w:type="paragraph" w:styleId="Footer">
    <w:name w:val="footer"/>
    <w:basedOn w:val="Normal"/>
    <w:link w:val="FooterChar"/>
    <w:uiPriority w:val="99"/>
    <w:unhideWhenUsed/>
    <w:rsid w:val="00596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E5"/>
  </w:style>
  <w:style w:type="character" w:styleId="Hyperlink">
    <w:name w:val="Hyperlink"/>
    <w:basedOn w:val="DefaultParagraphFont"/>
    <w:uiPriority w:val="99"/>
    <w:unhideWhenUsed/>
    <w:rsid w:val="005968E5"/>
    <w:rPr>
      <w:color w:val="0000FF" w:themeColor="hyperlink"/>
      <w:u w:val="single"/>
    </w:rPr>
  </w:style>
  <w:style w:type="paragraph" w:styleId="ListParagraph">
    <w:name w:val="List Paragraph"/>
    <w:aliases w:val="List Paragraph1,Heading,Bullets,List Paragraph (numbered (a)),WB Para,Cuadrícula clara - Énfasis 31"/>
    <w:basedOn w:val="Normal"/>
    <w:link w:val="ListParagraphChar"/>
    <w:uiPriority w:val="34"/>
    <w:qFormat/>
    <w:rsid w:val="00BD63EF"/>
    <w:pPr>
      <w:ind w:left="720"/>
      <w:contextualSpacing/>
    </w:pPr>
  </w:style>
  <w:style w:type="paragraph" w:styleId="BodyText">
    <w:name w:val="Body Text"/>
    <w:basedOn w:val="Normal"/>
    <w:link w:val="BodyTextChar"/>
    <w:semiHidden/>
    <w:unhideWhenUsed/>
    <w:rsid w:val="00C577C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577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577CB"/>
    <w:pPr>
      <w:spacing w:after="0" w:line="240" w:lineRule="auto"/>
      <w:ind w:left="14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577CB"/>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F5222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F52227"/>
    <w:rPr>
      <w:rFonts w:ascii="Arial" w:eastAsia="Times New Roman" w:hAnsi="Arial" w:cs="Times New Roman"/>
      <w:sz w:val="20"/>
      <w:szCs w:val="20"/>
    </w:rPr>
  </w:style>
  <w:style w:type="character" w:styleId="EndnoteReference">
    <w:name w:val="endnote reference"/>
    <w:uiPriority w:val="99"/>
    <w:semiHidden/>
    <w:unhideWhenUsed/>
    <w:rsid w:val="00F52227"/>
    <w:rPr>
      <w:vertAlign w:val="superscript"/>
    </w:rPr>
  </w:style>
  <w:style w:type="paragraph" w:customStyle="1" w:styleId="MediumGrid21">
    <w:name w:val="Medium Grid 21"/>
    <w:uiPriority w:val="1"/>
    <w:qFormat/>
    <w:rsid w:val="00353C2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6D320E"/>
    <w:rPr>
      <w:color w:val="800080" w:themeColor="followedHyperlink"/>
      <w:u w:val="single"/>
    </w:rPr>
  </w:style>
  <w:style w:type="character" w:customStyle="1" w:styleId="Heading1Char">
    <w:name w:val="Heading 1 Char"/>
    <w:basedOn w:val="DefaultParagraphFont"/>
    <w:link w:val="Heading1"/>
    <w:uiPriority w:val="9"/>
    <w:rsid w:val="00DA2974"/>
    <w:rPr>
      <w:rFonts w:cs="Calibri"/>
      <w:b/>
      <w:caps/>
      <w:sz w:val="24"/>
      <w:shd w:val="clear" w:color="auto" w:fill="D9D9D9"/>
      <w:lang w:val="en-GB"/>
    </w:rPr>
  </w:style>
  <w:style w:type="character" w:customStyle="1" w:styleId="Heading4Char">
    <w:name w:val="Heading 4 Char"/>
    <w:basedOn w:val="DefaultParagraphFont"/>
    <w:link w:val="Heading4"/>
    <w:uiPriority w:val="9"/>
    <w:rsid w:val="007F6BEF"/>
    <w:rPr>
      <w:rFonts w:ascii="Calibri" w:eastAsia="MS Gothic" w:hAnsi="Calibri" w:cs="Times New Roman"/>
      <w:b/>
      <w:bCs/>
      <w:iCs/>
      <w:color w:val="4F81BD"/>
      <w:szCs w:val="24"/>
      <w:lang w:val="en-GB" w:eastAsia="ja-JP"/>
    </w:rPr>
  </w:style>
  <w:style w:type="character" w:customStyle="1" w:styleId="Heading5Char">
    <w:name w:val="Heading 5 Char"/>
    <w:basedOn w:val="DefaultParagraphFont"/>
    <w:link w:val="Heading5"/>
    <w:uiPriority w:val="9"/>
    <w:semiHidden/>
    <w:rsid w:val="007F6BEF"/>
    <w:rPr>
      <w:rFonts w:asciiTheme="majorHAnsi" w:eastAsiaTheme="majorEastAsia" w:hAnsiTheme="majorHAnsi" w:cstheme="majorBidi"/>
      <w:color w:val="243F60" w:themeColor="accent1" w:themeShade="7F"/>
      <w:sz w:val="20"/>
      <w:szCs w:val="24"/>
      <w:lang w:val="en-GB" w:eastAsia="ja-JP"/>
    </w:rPr>
  </w:style>
  <w:style w:type="character" w:customStyle="1" w:styleId="Heading6Char">
    <w:name w:val="Heading 6 Char"/>
    <w:basedOn w:val="DefaultParagraphFont"/>
    <w:link w:val="Heading6"/>
    <w:uiPriority w:val="9"/>
    <w:semiHidden/>
    <w:rsid w:val="007F6BEF"/>
    <w:rPr>
      <w:rFonts w:asciiTheme="majorHAnsi" w:eastAsiaTheme="majorEastAsia" w:hAnsiTheme="majorHAnsi" w:cstheme="majorBidi"/>
      <w:i/>
      <w:iCs/>
      <w:color w:val="243F60" w:themeColor="accent1" w:themeShade="7F"/>
      <w:sz w:val="20"/>
      <w:szCs w:val="24"/>
      <w:lang w:val="en-GB" w:eastAsia="ja-JP"/>
    </w:rPr>
  </w:style>
  <w:style w:type="character" w:customStyle="1" w:styleId="Heading7Char">
    <w:name w:val="Heading 7 Char"/>
    <w:basedOn w:val="DefaultParagraphFont"/>
    <w:link w:val="Heading7"/>
    <w:uiPriority w:val="9"/>
    <w:rsid w:val="007F6BEF"/>
    <w:rPr>
      <w:rFonts w:asciiTheme="majorHAnsi" w:eastAsiaTheme="majorEastAsia" w:hAnsiTheme="majorHAnsi" w:cstheme="majorBidi"/>
      <w:i/>
      <w:iCs/>
      <w:color w:val="404040" w:themeColor="text1" w:themeTint="BF"/>
      <w:sz w:val="20"/>
      <w:szCs w:val="24"/>
      <w:lang w:val="en-GB" w:eastAsia="ja-JP"/>
    </w:rPr>
  </w:style>
  <w:style w:type="character" w:customStyle="1" w:styleId="Heading8Char">
    <w:name w:val="Heading 8 Char"/>
    <w:basedOn w:val="DefaultParagraphFont"/>
    <w:link w:val="Heading8"/>
    <w:uiPriority w:val="9"/>
    <w:semiHidden/>
    <w:rsid w:val="007F6BEF"/>
    <w:rPr>
      <w:rFonts w:asciiTheme="majorHAnsi" w:eastAsiaTheme="majorEastAsia" w:hAnsiTheme="majorHAnsi" w:cstheme="majorBidi"/>
      <w:color w:val="404040" w:themeColor="text1" w:themeTint="BF"/>
      <w:sz w:val="20"/>
      <w:szCs w:val="20"/>
      <w:lang w:val="en-GB" w:eastAsia="ja-JP"/>
    </w:rPr>
  </w:style>
  <w:style w:type="character" w:customStyle="1" w:styleId="Heading9Char">
    <w:name w:val="Heading 9 Char"/>
    <w:basedOn w:val="DefaultParagraphFont"/>
    <w:link w:val="Heading9"/>
    <w:uiPriority w:val="9"/>
    <w:semiHidden/>
    <w:rsid w:val="007F6BEF"/>
    <w:rPr>
      <w:rFonts w:asciiTheme="majorHAnsi" w:eastAsiaTheme="majorEastAsia" w:hAnsiTheme="majorHAnsi" w:cstheme="majorBidi"/>
      <w:i/>
      <w:iCs/>
      <w:color w:val="404040" w:themeColor="text1" w:themeTint="BF"/>
      <w:sz w:val="20"/>
      <w:szCs w:val="20"/>
      <w:lang w:val="en-GB" w:eastAsia="ja-JP"/>
    </w:rPr>
  </w:style>
  <w:style w:type="paragraph" w:customStyle="1" w:styleId="SESPbodynumbered">
    <w:name w:val="SESP body numbered"/>
    <w:basedOn w:val="Normal"/>
    <w:qFormat/>
    <w:rsid w:val="007F6BEF"/>
    <w:pPr>
      <w:numPr>
        <w:numId w:val="1"/>
      </w:numPr>
      <w:tabs>
        <w:tab w:val="left" w:pos="360"/>
      </w:tabs>
      <w:spacing w:before="120" w:after="120" w:line="264" w:lineRule="auto"/>
    </w:pPr>
    <w:rPr>
      <w:rFonts w:ascii="Calibri" w:eastAsia="MS Mincho" w:hAnsi="Calibri" w:cs="Times New Roman"/>
      <w:sz w:val="20"/>
      <w:szCs w:val="20"/>
      <w:lang w:eastAsia="ja-JP"/>
    </w:rPr>
  </w:style>
  <w:style w:type="character" w:styleId="PageNumber">
    <w:name w:val="page number"/>
    <w:basedOn w:val="DefaultParagraphFont"/>
    <w:uiPriority w:val="99"/>
    <w:semiHidden/>
    <w:unhideWhenUsed/>
    <w:rsid w:val="007F6BEF"/>
  </w:style>
  <w:style w:type="character" w:styleId="CommentReference">
    <w:name w:val="annotation reference"/>
    <w:basedOn w:val="DefaultParagraphFont"/>
    <w:uiPriority w:val="99"/>
    <w:semiHidden/>
    <w:unhideWhenUsed/>
    <w:rsid w:val="00FF3FA2"/>
    <w:rPr>
      <w:sz w:val="16"/>
      <w:szCs w:val="16"/>
    </w:rPr>
  </w:style>
  <w:style w:type="paragraph" w:styleId="CommentText">
    <w:name w:val="annotation text"/>
    <w:basedOn w:val="Normal"/>
    <w:link w:val="CommentTextChar"/>
    <w:uiPriority w:val="99"/>
    <w:semiHidden/>
    <w:unhideWhenUsed/>
    <w:rsid w:val="00FF3FA2"/>
    <w:pPr>
      <w:spacing w:line="240" w:lineRule="auto"/>
    </w:pPr>
    <w:rPr>
      <w:sz w:val="20"/>
      <w:szCs w:val="20"/>
    </w:rPr>
  </w:style>
  <w:style w:type="character" w:customStyle="1" w:styleId="CommentTextChar">
    <w:name w:val="Comment Text Char"/>
    <w:basedOn w:val="DefaultParagraphFont"/>
    <w:link w:val="CommentText"/>
    <w:uiPriority w:val="99"/>
    <w:semiHidden/>
    <w:rsid w:val="00FF3FA2"/>
    <w:rPr>
      <w:sz w:val="20"/>
      <w:szCs w:val="20"/>
    </w:rPr>
  </w:style>
  <w:style w:type="paragraph" w:styleId="CommentSubject">
    <w:name w:val="annotation subject"/>
    <w:basedOn w:val="CommentText"/>
    <w:next w:val="CommentText"/>
    <w:link w:val="CommentSubjectChar"/>
    <w:uiPriority w:val="99"/>
    <w:semiHidden/>
    <w:unhideWhenUsed/>
    <w:rsid w:val="00FF3FA2"/>
    <w:rPr>
      <w:b/>
      <w:bCs/>
    </w:rPr>
  </w:style>
  <w:style w:type="character" w:customStyle="1" w:styleId="CommentSubjectChar">
    <w:name w:val="Comment Subject Char"/>
    <w:basedOn w:val="CommentTextChar"/>
    <w:link w:val="CommentSubject"/>
    <w:uiPriority w:val="99"/>
    <w:semiHidden/>
    <w:rsid w:val="00FF3FA2"/>
    <w:rPr>
      <w:b/>
      <w:bCs/>
      <w:sz w:val="20"/>
      <w:szCs w:val="20"/>
    </w:rPr>
  </w:style>
  <w:style w:type="paragraph" w:styleId="NoSpacing">
    <w:name w:val="No Spacing"/>
    <w:uiPriority w:val="1"/>
    <w:qFormat/>
    <w:rsid w:val="00FF3FA2"/>
    <w:pPr>
      <w:spacing w:after="0" w:line="240" w:lineRule="auto"/>
    </w:pPr>
    <w:rPr>
      <w:rFonts w:ascii="Calibri" w:eastAsia="Calibri" w:hAnsi="Calibri" w:cs="Times New Roman"/>
    </w:rPr>
  </w:style>
  <w:style w:type="character" w:customStyle="1" w:styleId="ListParagraphChar">
    <w:name w:val="List Paragraph Char"/>
    <w:aliases w:val="List Paragraph1 Char,Heading Char,Bullets Char,List Paragraph (numbered (a)) Char,WB Para Char,Cuadrícula clara - Énfasis 31 Char"/>
    <w:link w:val="ListParagraph"/>
    <w:uiPriority w:val="34"/>
    <w:locked/>
    <w:rsid w:val="004F5E33"/>
  </w:style>
  <w:style w:type="paragraph" w:styleId="NormalWeb">
    <w:name w:val="Normal (Web)"/>
    <w:basedOn w:val="Normal"/>
    <w:uiPriority w:val="99"/>
    <w:semiHidden/>
    <w:unhideWhenUsed/>
    <w:rsid w:val="00276C00"/>
    <w:pPr>
      <w:spacing w:before="100" w:beforeAutospacing="1" w:after="100" w:afterAutospacing="1" w:line="360" w:lineRule="auto"/>
    </w:pPr>
    <w:rPr>
      <w:rFonts w:ascii="Times New Roman" w:eastAsia="Times New Roman" w:hAnsi="Times New Roman" w:cs="Times New Roman"/>
      <w:sz w:val="24"/>
      <w:szCs w:val="24"/>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B14F04"/>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B14F04"/>
    <w:rPr>
      <w:sz w:val="20"/>
      <w:szCs w:val="20"/>
    </w:rPr>
  </w:style>
  <w:style w:type="character" w:styleId="FootnoteReference">
    <w:name w:val="footnote reference"/>
    <w:aliases w:val="16 Point,Superscript 6 Point,ftref, BVI fnr,BVI fnr,Ref,de nota al pie,fr,Used by Word for Help footnote symbols,Car Car Char Car Char Car Car Char Car Char Char,SUPERS,BVI f, Car Car Char Car Char Car Car Char Car Char Char,R,number"/>
    <w:basedOn w:val="DefaultParagraphFont"/>
    <w:unhideWhenUsed/>
    <w:rsid w:val="00B14F04"/>
    <w:rPr>
      <w:vertAlign w:val="superscript"/>
    </w:rPr>
  </w:style>
  <w:style w:type="paragraph" w:styleId="Revision">
    <w:name w:val="Revision"/>
    <w:hidden/>
    <w:uiPriority w:val="99"/>
    <w:semiHidden/>
    <w:rsid w:val="00376A4F"/>
    <w:pPr>
      <w:spacing w:after="0" w:line="240" w:lineRule="auto"/>
    </w:pPr>
  </w:style>
  <w:style w:type="paragraph" w:customStyle="1" w:styleId="ccafslevel2head">
    <w:name w:val="ccafs level 2 head"/>
    <w:basedOn w:val="Normal"/>
    <w:qFormat/>
    <w:rsid w:val="004D2690"/>
    <w:pPr>
      <w:suppressAutoHyphens/>
      <w:spacing w:after="120" w:line="300" w:lineRule="exact"/>
    </w:pPr>
    <w:rPr>
      <w:rFonts w:ascii="Arial" w:eastAsia="Times New Roman" w:hAnsi="Arial" w:cs="Times New Roman"/>
      <w:b/>
      <w:color w:val="547730"/>
      <w:sz w:val="26"/>
      <w:szCs w:val="24"/>
    </w:rPr>
  </w:style>
  <w:style w:type="character" w:customStyle="1" w:styleId="apple-converted-space">
    <w:name w:val="apple-converted-space"/>
    <w:basedOn w:val="DefaultParagraphFont"/>
    <w:rsid w:val="00243C3B"/>
  </w:style>
  <w:style w:type="character" w:customStyle="1" w:styleId="shorttext">
    <w:name w:val="short_text"/>
    <w:basedOn w:val="DefaultParagraphFont"/>
    <w:rsid w:val="007D2C3C"/>
  </w:style>
  <w:style w:type="character" w:customStyle="1" w:styleId="pseditboxdisponly1">
    <w:name w:val="pseditbox_disponly1"/>
    <w:basedOn w:val="DefaultParagraphFont"/>
    <w:rsid w:val="00DD629A"/>
    <w:rPr>
      <w:rFonts w:ascii="Arial" w:hAnsi="Arial" w:cs="Arial" w:hint="default"/>
      <w:b w:val="0"/>
      <w:bCs w:val="0"/>
      <w:i w:val="0"/>
      <w:iCs w:val="0"/>
      <w:color w:val="3C3C3C"/>
      <w:sz w:val="18"/>
      <w:szCs w:val="18"/>
      <w:bdr w:val="none" w:sz="0" w:space="0" w:color="auto" w:frame="1"/>
    </w:rPr>
  </w:style>
  <w:style w:type="paragraph" w:customStyle="1" w:styleId="Default">
    <w:name w:val="Default"/>
    <w:rsid w:val="00A005B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0C61DC"/>
    <w:rPr>
      <w:color w:val="605E5C"/>
      <w:shd w:val="clear" w:color="auto" w:fill="E1DFDD"/>
    </w:rPr>
  </w:style>
  <w:style w:type="table" w:styleId="TableGrid">
    <w:name w:val="Table Grid"/>
    <w:basedOn w:val="TableNormal"/>
    <w:uiPriority w:val="39"/>
    <w:rsid w:val="00683BEC"/>
    <w:pPr>
      <w:spacing w:after="0" w:line="240" w:lineRule="auto"/>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contenttext">
    <w:name w:val="ocha_content_text"/>
    <w:qFormat/>
    <w:rsid w:val="009D069F"/>
    <w:pPr>
      <w:spacing w:after="100" w:line="240" w:lineRule="auto"/>
    </w:pPr>
    <w:rPr>
      <w:rFonts w:ascii="Arial" w:eastAsia="PMingLiU" w:hAnsi="Arial" w:cs="Times New Roman"/>
      <w:color w:val="404040"/>
      <w:sz w:val="20"/>
      <w:szCs w:val="24"/>
      <w:lang w:val="en-GB" w:eastAsia="zh-TW"/>
    </w:rPr>
  </w:style>
  <w:style w:type="table" w:styleId="GridTable4">
    <w:name w:val="Grid Table 4"/>
    <w:basedOn w:val="TableNormal"/>
    <w:uiPriority w:val="49"/>
    <w:rsid w:val="004A2D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4A2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53EBF"/>
    <w:rPr>
      <w:rFonts w:eastAsiaTheme="majorEastAsia" w:cstheme="majorBidi"/>
      <w:b/>
      <w:sz w:val="24"/>
      <w:szCs w:val="26"/>
      <w:shd w:val="clear" w:color="auto" w:fill="D9D9D9"/>
      <w:lang w:val="en-GB"/>
    </w:rPr>
  </w:style>
  <w:style w:type="character" w:customStyle="1" w:styleId="Heading3Char">
    <w:name w:val="Heading 3 Char"/>
    <w:basedOn w:val="DefaultParagraphFont"/>
    <w:link w:val="Heading3"/>
    <w:uiPriority w:val="9"/>
    <w:rsid w:val="00AE05E7"/>
    <w:rPr>
      <w:rFonts w:eastAsiaTheme="majorEastAsia" w:cstheme="majorBidi"/>
      <w:szCs w:val="24"/>
      <w:u w:val="single"/>
      <w:lang w:val="en-GB"/>
    </w:rPr>
  </w:style>
  <w:style w:type="paragraph" w:styleId="Caption">
    <w:name w:val="caption"/>
    <w:basedOn w:val="Normal"/>
    <w:next w:val="Normal"/>
    <w:uiPriority w:val="35"/>
    <w:unhideWhenUsed/>
    <w:qFormat/>
    <w:rsid w:val="007C6A7B"/>
    <w:pPr>
      <w:spacing w:line="240" w:lineRule="auto"/>
    </w:pPr>
    <w:rPr>
      <w:i/>
      <w:iCs/>
      <w:color w:val="1F497D" w:themeColor="text2"/>
      <w:sz w:val="18"/>
      <w:szCs w:val="18"/>
    </w:rPr>
  </w:style>
  <w:style w:type="character" w:customStyle="1" w:styleId="normaltextrun">
    <w:name w:val="normaltextrun"/>
    <w:basedOn w:val="DefaultParagraphFont"/>
    <w:rsid w:val="007D39E2"/>
  </w:style>
  <w:style w:type="character" w:customStyle="1" w:styleId="eop">
    <w:name w:val="eop"/>
    <w:basedOn w:val="DefaultParagraphFont"/>
    <w:rsid w:val="007D39E2"/>
  </w:style>
  <w:style w:type="table" w:customStyle="1" w:styleId="TableGrid1">
    <w:name w:val="Table Grid1"/>
    <w:basedOn w:val="TableNormal"/>
    <w:next w:val="TableGrid"/>
    <w:uiPriority w:val="39"/>
    <w:rsid w:val="008162A8"/>
    <w:pPr>
      <w:spacing w:after="0" w:line="240" w:lineRule="auto"/>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425">
      <w:bodyDiv w:val="1"/>
      <w:marLeft w:val="0"/>
      <w:marRight w:val="0"/>
      <w:marTop w:val="0"/>
      <w:marBottom w:val="0"/>
      <w:divBdr>
        <w:top w:val="none" w:sz="0" w:space="0" w:color="auto"/>
        <w:left w:val="none" w:sz="0" w:space="0" w:color="auto"/>
        <w:bottom w:val="none" w:sz="0" w:space="0" w:color="auto"/>
        <w:right w:val="none" w:sz="0" w:space="0" w:color="auto"/>
      </w:divBdr>
    </w:div>
    <w:div w:id="78405254">
      <w:bodyDiv w:val="1"/>
      <w:marLeft w:val="0"/>
      <w:marRight w:val="0"/>
      <w:marTop w:val="0"/>
      <w:marBottom w:val="0"/>
      <w:divBdr>
        <w:top w:val="none" w:sz="0" w:space="0" w:color="auto"/>
        <w:left w:val="none" w:sz="0" w:space="0" w:color="auto"/>
        <w:bottom w:val="none" w:sz="0" w:space="0" w:color="auto"/>
        <w:right w:val="none" w:sz="0" w:space="0" w:color="auto"/>
      </w:divBdr>
    </w:div>
    <w:div w:id="164825326">
      <w:bodyDiv w:val="1"/>
      <w:marLeft w:val="0"/>
      <w:marRight w:val="0"/>
      <w:marTop w:val="0"/>
      <w:marBottom w:val="0"/>
      <w:divBdr>
        <w:top w:val="none" w:sz="0" w:space="0" w:color="auto"/>
        <w:left w:val="none" w:sz="0" w:space="0" w:color="auto"/>
        <w:bottom w:val="none" w:sz="0" w:space="0" w:color="auto"/>
        <w:right w:val="none" w:sz="0" w:space="0" w:color="auto"/>
      </w:divBdr>
    </w:div>
    <w:div w:id="168524137">
      <w:bodyDiv w:val="1"/>
      <w:marLeft w:val="0"/>
      <w:marRight w:val="0"/>
      <w:marTop w:val="0"/>
      <w:marBottom w:val="0"/>
      <w:divBdr>
        <w:top w:val="none" w:sz="0" w:space="0" w:color="auto"/>
        <w:left w:val="none" w:sz="0" w:space="0" w:color="auto"/>
        <w:bottom w:val="none" w:sz="0" w:space="0" w:color="auto"/>
        <w:right w:val="none" w:sz="0" w:space="0" w:color="auto"/>
      </w:divBdr>
    </w:div>
    <w:div w:id="243875347">
      <w:bodyDiv w:val="1"/>
      <w:marLeft w:val="0"/>
      <w:marRight w:val="0"/>
      <w:marTop w:val="0"/>
      <w:marBottom w:val="0"/>
      <w:divBdr>
        <w:top w:val="none" w:sz="0" w:space="0" w:color="auto"/>
        <w:left w:val="none" w:sz="0" w:space="0" w:color="auto"/>
        <w:bottom w:val="none" w:sz="0" w:space="0" w:color="auto"/>
        <w:right w:val="none" w:sz="0" w:space="0" w:color="auto"/>
      </w:divBdr>
    </w:div>
    <w:div w:id="250743227">
      <w:bodyDiv w:val="1"/>
      <w:marLeft w:val="0"/>
      <w:marRight w:val="0"/>
      <w:marTop w:val="0"/>
      <w:marBottom w:val="0"/>
      <w:divBdr>
        <w:top w:val="none" w:sz="0" w:space="0" w:color="auto"/>
        <w:left w:val="none" w:sz="0" w:space="0" w:color="auto"/>
        <w:bottom w:val="none" w:sz="0" w:space="0" w:color="auto"/>
        <w:right w:val="none" w:sz="0" w:space="0" w:color="auto"/>
      </w:divBdr>
    </w:div>
    <w:div w:id="262298332">
      <w:bodyDiv w:val="1"/>
      <w:marLeft w:val="0"/>
      <w:marRight w:val="0"/>
      <w:marTop w:val="0"/>
      <w:marBottom w:val="0"/>
      <w:divBdr>
        <w:top w:val="none" w:sz="0" w:space="0" w:color="auto"/>
        <w:left w:val="none" w:sz="0" w:space="0" w:color="auto"/>
        <w:bottom w:val="none" w:sz="0" w:space="0" w:color="auto"/>
        <w:right w:val="none" w:sz="0" w:space="0" w:color="auto"/>
      </w:divBdr>
    </w:div>
    <w:div w:id="288172577">
      <w:bodyDiv w:val="1"/>
      <w:marLeft w:val="0"/>
      <w:marRight w:val="0"/>
      <w:marTop w:val="0"/>
      <w:marBottom w:val="0"/>
      <w:divBdr>
        <w:top w:val="none" w:sz="0" w:space="0" w:color="auto"/>
        <w:left w:val="none" w:sz="0" w:space="0" w:color="auto"/>
        <w:bottom w:val="none" w:sz="0" w:space="0" w:color="auto"/>
        <w:right w:val="none" w:sz="0" w:space="0" w:color="auto"/>
      </w:divBdr>
    </w:div>
    <w:div w:id="345064951">
      <w:bodyDiv w:val="1"/>
      <w:marLeft w:val="0"/>
      <w:marRight w:val="0"/>
      <w:marTop w:val="0"/>
      <w:marBottom w:val="0"/>
      <w:divBdr>
        <w:top w:val="none" w:sz="0" w:space="0" w:color="auto"/>
        <w:left w:val="none" w:sz="0" w:space="0" w:color="auto"/>
        <w:bottom w:val="none" w:sz="0" w:space="0" w:color="auto"/>
        <w:right w:val="none" w:sz="0" w:space="0" w:color="auto"/>
      </w:divBdr>
    </w:div>
    <w:div w:id="386759143">
      <w:bodyDiv w:val="1"/>
      <w:marLeft w:val="0"/>
      <w:marRight w:val="0"/>
      <w:marTop w:val="0"/>
      <w:marBottom w:val="0"/>
      <w:divBdr>
        <w:top w:val="none" w:sz="0" w:space="0" w:color="auto"/>
        <w:left w:val="none" w:sz="0" w:space="0" w:color="auto"/>
        <w:bottom w:val="none" w:sz="0" w:space="0" w:color="auto"/>
        <w:right w:val="none" w:sz="0" w:space="0" w:color="auto"/>
      </w:divBdr>
    </w:div>
    <w:div w:id="466120589">
      <w:bodyDiv w:val="1"/>
      <w:marLeft w:val="0"/>
      <w:marRight w:val="0"/>
      <w:marTop w:val="0"/>
      <w:marBottom w:val="0"/>
      <w:divBdr>
        <w:top w:val="none" w:sz="0" w:space="0" w:color="auto"/>
        <w:left w:val="none" w:sz="0" w:space="0" w:color="auto"/>
        <w:bottom w:val="none" w:sz="0" w:space="0" w:color="auto"/>
        <w:right w:val="none" w:sz="0" w:space="0" w:color="auto"/>
      </w:divBdr>
    </w:div>
    <w:div w:id="551767328">
      <w:bodyDiv w:val="1"/>
      <w:marLeft w:val="0"/>
      <w:marRight w:val="0"/>
      <w:marTop w:val="0"/>
      <w:marBottom w:val="0"/>
      <w:divBdr>
        <w:top w:val="none" w:sz="0" w:space="0" w:color="auto"/>
        <w:left w:val="none" w:sz="0" w:space="0" w:color="auto"/>
        <w:bottom w:val="none" w:sz="0" w:space="0" w:color="auto"/>
        <w:right w:val="none" w:sz="0" w:space="0" w:color="auto"/>
      </w:divBdr>
    </w:div>
    <w:div w:id="616331031">
      <w:bodyDiv w:val="1"/>
      <w:marLeft w:val="0"/>
      <w:marRight w:val="0"/>
      <w:marTop w:val="0"/>
      <w:marBottom w:val="0"/>
      <w:divBdr>
        <w:top w:val="none" w:sz="0" w:space="0" w:color="auto"/>
        <w:left w:val="none" w:sz="0" w:space="0" w:color="auto"/>
        <w:bottom w:val="none" w:sz="0" w:space="0" w:color="auto"/>
        <w:right w:val="none" w:sz="0" w:space="0" w:color="auto"/>
      </w:divBdr>
    </w:div>
    <w:div w:id="638072404">
      <w:bodyDiv w:val="1"/>
      <w:marLeft w:val="0"/>
      <w:marRight w:val="0"/>
      <w:marTop w:val="0"/>
      <w:marBottom w:val="0"/>
      <w:divBdr>
        <w:top w:val="none" w:sz="0" w:space="0" w:color="auto"/>
        <w:left w:val="none" w:sz="0" w:space="0" w:color="auto"/>
        <w:bottom w:val="none" w:sz="0" w:space="0" w:color="auto"/>
        <w:right w:val="none" w:sz="0" w:space="0" w:color="auto"/>
      </w:divBdr>
    </w:div>
    <w:div w:id="651984523">
      <w:bodyDiv w:val="1"/>
      <w:marLeft w:val="0"/>
      <w:marRight w:val="0"/>
      <w:marTop w:val="0"/>
      <w:marBottom w:val="0"/>
      <w:divBdr>
        <w:top w:val="none" w:sz="0" w:space="0" w:color="auto"/>
        <w:left w:val="none" w:sz="0" w:space="0" w:color="auto"/>
        <w:bottom w:val="none" w:sz="0" w:space="0" w:color="auto"/>
        <w:right w:val="none" w:sz="0" w:space="0" w:color="auto"/>
      </w:divBdr>
    </w:div>
    <w:div w:id="759256659">
      <w:bodyDiv w:val="1"/>
      <w:marLeft w:val="0"/>
      <w:marRight w:val="0"/>
      <w:marTop w:val="0"/>
      <w:marBottom w:val="0"/>
      <w:divBdr>
        <w:top w:val="none" w:sz="0" w:space="0" w:color="auto"/>
        <w:left w:val="none" w:sz="0" w:space="0" w:color="auto"/>
        <w:bottom w:val="none" w:sz="0" w:space="0" w:color="auto"/>
        <w:right w:val="none" w:sz="0" w:space="0" w:color="auto"/>
      </w:divBdr>
    </w:div>
    <w:div w:id="875653157">
      <w:bodyDiv w:val="1"/>
      <w:marLeft w:val="0"/>
      <w:marRight w:val="0"/>
      <w:marTop w:val="0"/>
      <w:marBottom w:val="0"/>
      <w:divBdr>
        <w:top w:val="none" w:sz="0" w:space="0" w:color="auto"/>
        <w:left w:val="none" w:sz="0" w:space="0" w:color="auto"/>
        <w:bottom w:val="none" w:sz="0" w:space="0" w:color="auto"/>
        <w:right w:val="none" w:sz="0" w:space="0" w:color="auto"/>
      </w:divBdr>
    </w:div>
    <w:div w:id="887838992">
      <w:bodyDiv w:val="1"/>
      <w:marLeft w:val="0"/>
      <w:marRight w:val="0"/>
      <w:marTop w:val="0"/>
      <w:marBottom w:val="0"/>
      <w:divBdr>
        <w:top w:val="none" w:sz="0" w:space="0" w:color="auto"/>
        <w:left w:val="none" w:sz="0" w:space="0" w:color="auto"/>
        <w:bottom w:val="none" w:sz="0" w:space="0" w:color="auto"/>
        <w:right w:val="none" w:sz="0" w:space="0" w:color="auto"/>
      </w:divBdr>
    </w:div>
    <w:div w:id="920872778">
      <w:bodyDiv w:val="1"/>
      <w:marLeft w:val="0"/>
      <w:marRight w:val="0"/>
      <w:marTop w:val="0"/>
      <w:marBottom w:val="0"/>
      <w:divBdr>
        <w:top w:val="none" w:sz="0" w:space="0" w:color="auto"/>
        <w:left w:val="none" w:sz="0" w:space="0" w:color="auto"/>
        <w:bottom w:val="none" w:sz="0" w:space="0" w:color="auto"/>
        <w:right w:val="none" w:sz="0" w:space="0" w:color="auto"/>
      </w:divBdr>
    </w:div>
    <w:div w:id="965550748">
      <w:bodyDiv w:val="1"/>
      <w:marLeft w:val="0"/>
      <w:marRight w:val="0"/>
      <w:marTop w:val="0"/>
      <w:marBottom w:val="0"/>
      <w:divBdr>
        <w:top w:val="none" w:sz="0" w:space="0" w:color="auto"/>
        <w:left w:val="none" w:sz="0" w:space="0" w:color="auto"/>
        <w:bottom w:val="none" w:sz="0" w:space="0" w:color="auto"/>
        <w:right w:val="none" w:sz="0" w:space="0" w:color="auto"/>
      </w:divBdr>
    </w:div>
    <w:div w:id="967736058">
      <w:bodyDiv w:val="1"/>
      <w:marLeft w:val="0"/>
      <w:marRight w:val="0"/>
      <w:marTop w:val="0"/>
      <w:marBottom w:val="0"/>
      <w:divBdr>
        <w:top w:val="none" w:sz="0" w:space="0" w:color="auto"/>
        <w:left w:val="none" w:sz="0" w:space="0" w:color="auto"/>
        <w:bottom w:val="none" w:sz="0" w:space="0" w:color="auto"/>
        <w:right w:val="none" w:sz="0" w:space="0" w:color="auto"/>
      </w:divBdr>
    </w:div>
    <w:div w:id="978846725">
      <w:bodyDiv w:val="1"/>
      <w:marLeft w:val="0"/>
      <w:marRight w:val="0"/>
      <w:marTop w:val="0"/>
      <w:marBottom w:val="0"/>
      <w:divBdr>
        <w:top w:val="none" w:sz="0" w:space="0" w:color="auto"/>
        <w:left w:val="none" w:sz="0" w:space="0" w:color="auto"/>
        <w:bottom w:val="none" w:sz="0" w:space="0" w:color="auto"/>
        <w:right w:val="none" w:sz="0" w:space="0" w:color="auto"/>
      </w:divBdr>
    </w:div>
    <w:div w:id="1063528907">
      <w:bodyDiv w:val="1"/>
      <w:marLeft w:val="0"/>
      <w:marRight w:val="0"/>
      <w:marTop w:val="0"/>
      <w:marBottom w:val="0"/>
      <w:divBdr>
        <w:top w:val="none" w:sz="0" w:space="0" w:color="auto"/>
        <w:left w:val="none" w:sz="0" w:space="0" w:color="auto"/>
        <w:bottom w:val="none" w:sz="0" w:space="0" w:color="auto"/>
        <w:right w:val="none" w:sz="0" w:space="0" w:color="auto"/>
      </w:divBdr>
    </w:div>
    <w:div w:id="1134372566">
      <w:bodyDiv w:val="1"/>
      <w:marLeft w:val="0"/>
      <w:marRight w:val="0"/>
      <w:marTop w:val="0"/>
      <w:marBottom w:val="0"/>
      <w:divBdr>
        <w:top w:val="none" w:sz="0" w:space="0" w:color="auto"/>
        <w:left w:val="none" w:sz="0" w:space="0" w:color="auto"/>
        <w:bottom w:val="none" w:sz="0" w:space="0" w:color="auto"/>
        <w:right w:val="none" w:sz="0" w:space="0" w:color="auto"/>
      </w:divBdr>
    </w:div>
    <w:div w:id="1137725387">
      <w:bodyDiv w:val="1"/>
      <w:marLeft w:val="0"/>
      <w:marRight w:val="0"/>
      <w:marTop w:val="0"/>
      <w:marBottom w:val="0"/>
      <w:divBdr>
        <w:top w:val="none" w:sz="0" w:space="0" w:color="auto"/>
        <w:left w:val="none" w:sz="0" w:space="0" w:color="auto"/>
        <w:bottom w:val="none" w:sz="0" w:space="0" w:color="auto"/>
        <w:right w:val="none" w:sz="0" w:space="0" w:color="auto"/>
      </w:divBdr>
    </w:div>
    <w:div w:id="1138260641">
      <w:bodyDiv w:val="1"/>
      <w:marLeft w:val="0"/>
      <w:marRight w:val="0"/>
      <w:marTop w:val="0"/>
      <w:marBottom w:val="0"/>
      <w:divBdr>
        <w:top w:val="none" w:sz="0" w:space="0" w:color="auto"/>
        <w:left w:val="none" w:sz="0" w:space="0" w:color="auto"/>
        <w:bottom w:val="none" w:sz="0" w:space="0" w:color="auto"/>
        <w:right w:val="none" w:sz="0" w:space="0" w:color="auto"/>
      </w:divBdr>
    </w:div>
    <w:div w:id="1146700383">
      <w:bodyDiv w:val="1"/>
      <w:marLeft w:val="0"/>
      <w:marRight w:val="0"/>
      <w:marTop w:val="0"/>
      <w:marBottom w:val="0"/>
      <w:divBdr>
        <w:top w:val="none" w:sz="0" w:space="0" w:color="auto"/>
        <w:left w:val="none" w:sz="0" w:space="0" w:color="auto"/>
        <w:bottom w:val="none" w:sz="0" w:space="0" w:color="auto"/>
        <w:right w:val="none" w:sz="0" w:space="0" w:color="auto"/>
      </w:divBdr>
      <w:divsChild>
        <w:div w:id="363485814">
          <w:marLeft w:val="0"/>
          <w:marRight w:val="0"/>
          <w:marTop w:val="0"/>
          <w:marBottom w:val="36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2425">
      <w:bodyDiv w:val="1"/>
      <w:marLeft w:val="0"/>
      <w:marRight w:val="0"/>
      <w:marTop w:val="0"/>
      <w:marBottom w:val="0"/>
      <w:divBdr>
        <w:top w:val="none" w:sz="0" w:space="0" w:color="auto"/>
        <w:left w:val="none" w:sz="0" w:space="0" w:color="auto"/>
        <w:bottom w:val="none" w:sz="0" w:space="0" w:color="auto"/>
        <w:right w:val="none" w:sz="0" w:space="0" w:color="auto"/>
      </w:divBdr>
    </w:div>
    <w:div w:id="1166898489">
      <w:bodyDiv w:val="1"/>
      <w:marLeft w:val="0"/>
      <w:marRight w:val="0"/>
      <w:marTop w:val="0"/>
      <w:marBottom w:val="0"/>
      <w:divBdr>
        <w:top w:val="none" w:sz="0" w:space="0" w:color="auto"/>
        <w:left w:val="none" w:sz="0" w:space="0" w:color="auto"/>
        <w:bottom w:val="none" w:sz="0" w:space="0" w:color="auto"/>
        <w:right w:val="none" w:sz="0" w:space="0" w:color="auto"/>
      </w:divBdr>
    </w:div>
    <w:div w:id="1288661991">
      <w:bodyDiv w:val="1"/>
      <w:marLeft w:val="0"/>
      <w:marRight w:val="0"/>
      <w:marTop w:val="0"/>
      <w:marBottom w:val="0"/>
      <w:divBdr>
        <w:top w:val="none" w:sz="0" w:space="0" w:color="auto"/>
        <w:left w:val="none" w:sz="0" w:space="0" w:color="auto"/>
        <w:bottom w:val="none" w:sz="0" w:space="0" w:color="auto"/>
        <w:right w:val="none" w:sz="0" w:space="0" w:color="auto"/>
      </w:divBdr>
    </w:div>
    <w:div w:id="1654337737">
      <w:bodyDiv w:val="1"/>
      <w:marLeft w:val="0"/>
      <w:marRight w:val="0"/>
      <w:marTop w:val="0"/>
      <w:marBottom w:val="0"/>
      <w:divBdr>
        <w:top w:val="none" w:sz="0" w:space="0" w:color="auto"/>
        <w:left w:val="none" w:sz="0" w:space="0" w:color="auto"/>
        <w:bottom w:val="none" w:sz="0" w:space="0" w:color="auto"/>
        <w:right w:val="none" w:sz="0" w:space="0" w:color="auto"/>
      </w:divBdr>
      <w:divsChild>
        <w:div w:id="635180973">
          <w:marLeft w:val="0"/>
          <w:marRight w:val="0"/>
          <w:marTop w:val="0"/>
          <w:marBottom w:val="0"/>
          <w:divBdr>
            <w:top w:val="none" w:sz="0" w:space="0" w:color="auto"/>
            <w:left w:val="none" w:sz="0" w:space="0" w:color="auto"/>
            <w:bottom w:val="none" w:sz="0" w:space="0" w:color="auto"/>
            <w:right w:val="none" w:sz="0" w:space="0" w:color="auto"/>
          </w:divBdr>
          <w:divsChild>
            <w:div w:id="1455908615">
              <w:marLeft w:val="0"/>
              <w:marRight w:val="0"/>
              <w:marTop w:val="525"/>
              <w:marBottom w:val="0"/>
              <w:divBdr>
                <w:top w:val="none" w:sz="0" w:space="0" w:color="auto"/>
                <w:left w:val="none" w:sz="0" w:space="0" w:color="auto"/>
                <w:bottom w:val="none" w:sz="0" w:space="0" w:color="auto"/>
                <w:right w:val="none" w:sz="0" w:space="0" w:color="auto"/>
              </w:divBdr>
              <w:divsChild>
                <w:div w:id="1674071274">
                  <w:marLeft w:val="0"/>
                  <w:marRight w:val="0"/>
                  <w:marTop w:val="0"/>
                  <w:marBottom w:val="0"/>
                  <w:divBdr>
                    <w:top w:val="none" w:sz="0" w:space="0" w:color="auto"/>
                    <w:left w:val="none" w:sz="0" w:space="0" w:color="auto"/>
                    <w:bottom w:val="none" w:sz="0" w:space="0" w:color="auto"/>
                    <w:right w:val="none" w:sz="0" w:space="0" w:color="auto"/>
                  </w:divBdr>
                  <w:divsChild>
                    <w:div w:id="8361930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4458">
      <w:bodyDiv w:val="1"/>
      <w:marLeft w:val="0"/>
      <w:marRight w:val="0"/>
      <w:marTop w:val="0"/>
      <w:marBottom w:val="0"/>
      <w:divBdr>
        <w:top w:val="none" w:sz="0" w:space="0" w:color="auto"/>
        <w:left w:val="none" w:sz="0" w:space="0" w:color="auto"/>
        <w:bottom w:val="none" w:sz="0" w:space="0" w:color="auto"/>
        <w:right w:val="none" w:sz="0" w:space="0" w:color="auto"/>
      </w:divBdr>
    </w:div>
    <w:div w:id="1733574873">
      <w:bodyDiv w:val="1"/>
      <w:marLeft w:val="0"/>
      <w:marRight w:val="0"/>
      <w:marTop w:val="0"/>
      <w:marBottom w:val="0"/>
      <w:divBdr>
        <w:top w:val="none" w:sz="0" w:space="0" w:color="auto"/>
        <w:left w:val="none" w:sz="0" w:space="0" w:color="auto"/>
        <w:bottom w:val="none" w:sz="0" w:space="0" w:color="auto"/>
        <w:right w:val="none" w:sz="0" w:space="0" w:color="auto"/>
      </w:divBdr>
    </w:div>
    <w:div w:id="1750034146">
      <w:bodyDiv w:val="1"/>
      <w:marLeft w:val="0"/>
      <w:marRight w:val="0"/>
      <w:marTop w:val="0"/>
      <w:marBottom w:val="0"/>
      <w:divBdr>
        <w:top w:val="none" w:sz="0" w:space="0" w:color="auto"/>
        <w:left w:val="none" w:sz="0" w:space="0" w:color="auto"/>
        <w:bottom w:val="none" w:sz="0" w:space="0" w:color="auto"/>
        <w:right w:val="none" w:sz="0" w:space="0" w:color="auto"/>
      </w:divBdr>
      <w:divsChild>
        <w:div w:id="1111894892">
          <w:marLeft w:val="0"/>
          <w:marRight w:val="0"/>
          <w:marTop w:val="0"/>
          <w:marBottom w:val="0"/>
          <w:divBdr>
            <w:top w:val="none" w:sz="0" w:space="0" w:color="auto"/>
            <w:left w:val="none" w:sz="0" w:space="0" w:color="auto"/>
            <w:bottom w:val="none" w:sz="0" w:space="0" w:color="auto"/>
            <w:right w:val="none" w:sz="0" w:space="0" w:color="auto"/>
          </w:divBdr>
          <w:divsChild>
            <w:div w:id="755978734">
              <w:marLeft w:val="0"/>
              <w:marRight w:val="0"/>
              <w:marTop w:val="525"/>
              <w:marBottom w:val="0"/>
              <w:divBdr>
                <w:top w:val="none" w:sz="0" w:space="0" w:color="auto"/>
                <w:left w:val="none" w:sz="0" w:space="0" w:color="auto"/>
                <w:bottom w:val="none" w:sz="0" w:space="0" w:color="auto"/>
                <w:right w:val="none" w:sz="0" w:space="0" w:color="auto"/>
              </w:divBdr>
              <w:divsChild>
                <w:div w:id="504589778">
                  <w:marLeft w:val="0"/>
                  <w:marRight w:val="0"/>
                  <w:marTop w:val="0"/>
                  <w:marBottom w:val="0"/>
                  <w:divBdr>
                    <w:top w:val="none" w:sz="0" w:space="0" w:color="auto"/>
                    <w:left w:val="none" w:sz="0" w:space="0" w:color="auto"/>
                    <w:bottom w:val="none" w:sz="0" w:space="0" w:color="auto"/>
                    <w:right w:val="none" w:sz="0" w:space="0" w:color="auto"/>
                  </w:divBdr>
                  <w:divsChild>
                    <w:div w:id="11157083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8465">
      <w:bodyDiv w:val="1"/>
      <w:marLeft w:val="0"/>
      <w:marRight w:val="0"/>
      <w:marTop w:val="0"/>
      <w:marBottom w:val="0"/>
      <w:divBdr>
        <w:top w:val="none" w:sz="0" w:space="0" w:color="auto"/>
        <w:left w:val="none" w:sz="0" w:space="0" w:color="auto"/>
        <w:bottom w:val="none" w:sz="0" w:space="0" w:color="auto"/>
        <w:right w:val="none" w:sz="0" w:space="0" w:color="auto"/>
      </w:divBdr>
    </w:div>
    <w:div w:id="1908764853">
      <w:bodyDiv w:val="1"/>
      <w:marLeft w:val="0"/>
      <w:marRight w:val="0"/>
      <w:marTop w:val="0"/>
      <w:marBottom w:val="0"/>
      <w:divBdr>
        <w:top w:val="none" w:sz="0" w:space="0" w:color="auto"/>
        <w:left w:val="none" w:sz="0" w:space="0" w:color="auto"/>
        <w:bottom w:val="none" w:sz="0" w:space="0" w:color="auto"/>
        <w:right w:val="none" w:sz="0" w:space="0" w:color="auto"/>
      </w:divBdr>
      <w:divsChild>
        <w:div w:id="1955668197">
          <w:marLeft w:val="0"/>
          <w:marRight w:val="0"/>
          <w:marTop w:val="0"/>
          <w:marBottom w:val="0"/>
          <w:divBdr>
            <w:top w:val="none" w:sz="0" w:space="0" w:color="auto"/>
            <w:left w:val="none" w:sz="0" w:space="0" w:color="auto"/>
            <w:bottom w:val="none" w:sz="0" w:space="0" w:color="auto"/>
            <w:right w:val="none" w:sz="0" w:space="0" w:color="auto"/>
          </w:divBdr>
          <w:divsChild>
            <w:div w:id="942302762">
              <w:marLeft w:val="0"/>
              <w:marRight w:val="0"/>
              <w:marTop w:val="525"/>
              <w:marBottom w:val="0"/>
              <w:divBdr>
                <w:top w:val="none" w:sz="0" w:space="0" w:color="auto"/>
                <w:left w:val="none" w:sz="0" w:space="0" w:color="auto"/>
                <w:bottom w:val="none" w:sz="0" w:space="0" w:color="auto"/>
                <w:right w:val="none" w:sz="0" w:space="0" w:color="auto"/>
              </w:divBdr>
              <w:divsChild>
                <w:div w:id="1434085545">
                  <w:marLeft w:val="0"/>
                  <w:marRight w:val="0"/>
                  <w:marTop w:val="0"/>
                  <w:marBottom w:val="0"/>
                  <w:divBdr>
                    <w:top w:val="none" w:sz="0" w:space="0" w:color="auto"/>
                    <w:left w:val="none" w:sz="0" w:space="0" w:color="auto"/>
                    <w:bottom w:val="none" w:sz="0" w:space="0" w:color="auto"/>
                    <w:right w:val="none" w:sz="0" w:space="0" w:color="auto"/>
                  </w:divBdr>
                  <w:divsChild>
                    <w:div w:id="10090663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21313">
      <w:bodyDiv w:val="1"/>
      <w:marLeft w:val="0"/>
      <w:marRight w:val="0"/>
      <w:marTop w:val="0"/>
      <w:marBottom w:val="0"/>
      <w:divBdr>
        <w:top w:val="none" w:sz="0" w:space="0" w:color="auto"/>
        <w:left w:val="none" w:sz="0" w:space="0" w:color="auto"/>
        <w:bottom w:val="none" w:sz="0" w:space="0" w:color="auto"/>
        <w:right w:val="none" w:sz="0" w:space="0" w:color="auto"/>
      </w:divBdr>
    </w:div>
    <w:div w:id="2037467438">
      <w:bodyDiv w:val="1"/>
      <w:marLeft w:val="0"/>
      <w:marRight w:val="0"/>
      <w:marTop w:val="0"/>
      <w:marBottom w:val="0"/>
      <w:divBdr>
        <w:top w:val="none" w:sz="0" w:space="0" w:color="auto"/>
        <w:left w:val="none" w:sz="0" w:space="0" w:color="auto"/>
        <w:bottom w:val="none" w:sz="0" w:space="0" w:color="auto"/>
        <w:right w:val="none" w:sz="0" w:space="0" w:color="auto"/>
      </w:divBdr>
      <w:divsChild>
        <w:div w:id="1928079366">
          <w:marLeft w:val="0"/>
          <w:marRight w:val="0"/>
          <w:marTop w:val="0"/>
          <w:marBottom w:val="0"/>
          <w:divBdr>
            <w:top w:val="none" w:sz="0" w:space="0" w:color="auto"/>
            <w:left w:val="none" w:sz="0" w:space="0" w:color="auto"/>
            <w:bottom w:val="none" w:sz="0" w:space="0" w:color="auto"/>
            <w:right w:val="none" w:sz="0" w:space="0" w:color="auto"/>
          </w:divBdr>
          <w:divsChild>
            <w:div w:id="1352686778">
              <w:marLeft w:val="0"/>
              <w:marRight w:val="0"/>
              <w:marTop w:val="525"/>
              <w:marBottom w:val="0"/>
              <w:divBdr>
                <w:top w:val="none" w:sz="0" w:space="0" w:color="auto"/>
                <w:left w:val="none" w:sz="0" w:space="0" w:color="auto"/>
                <w:bottom w:val="none" w:sz="0" w:space="0" w:color="auto"/>
                <w:right w:val="none" w:sz="0" w:space="0" w:color="auto"/>
              </w:divBdr>
              <w:divsChild>
                <w:div w:id="1795513339">
                  <w:marLeft w:val="0"/>
                  <w:marRight w:val="0"/>
                  <w:marTop w:val="0"/>
                  <w:marBottom w:val="0"/>
                  <w:divBdr>
                    <w:top w:val="none" w:sz="0" w:space="0" w:color="auto"/>
                    <w:left w:val="none" w:sz="0" w:space="0" w:color="auto"/>
                    <w:bottom w:val="none" w:sz="0" w:space="0" w:color="auto"/>
                    <w:right w:val="none" w:sz="0" w:space="0" w:color="auto"/>
                  </w:divBdr>
                  <w:divsChild>
                    <w:div w:id="10247926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dkn.org/project/mobilising-investment-for-ndc-implementation/?loclang=en_gb" TargetMode="External"/><Relationship Id="rId2" Type="http://schemas.openxmlformats.org/officeDocument/2006/relationships/hyperlink" Target="https://www4.unfccc.int/sites/ndcstaging/PublishedDocuments/Saint%20Vincent%20and%20Grenadines%20First/Saint%20Vincent%20and%20the%20Grenadines_NDC.pdf" TargetMode="External"/><Relationship Id="rId1" Type="http://schemas.openxmlformats.org/officeDocument/2006/relationships/hyperlink" Target="https://www4.unfccc.int/sites/ndcstaging/PublishedDocuments/Saint%20Vincent%20and%20Grenadines%20First/Saint%20Vincent%20and%20the%20Grenadines_NDC.pdf" TargetMode="External"/><Relationship Id="rId5" Type="http://schemas.openxmlformats.org/officeDocument/2006/relationships/hyperlink" Target="https://cdkn.org/project/mobilising-investment-for-ndc-implementation/?loclang=en_gb" TargetMode="External"/><Relationship Id="rId4" Type="http://schemas.openxmlformats.org/officeDocument/2006/relationships/hyperlink" Target="https://cfc-swc.gc.ca/gba-acs/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0000123340</CaseID>
    <Document_x0020_Stage xmlns="d8391f44-f0a5-48b4-bf46-3755fe99f790">1</Document_x0020_Stage>
    <RestorePermissions xmlns="d8391f44-f0a5-48b4-bf46-3755fe99f790">false</RestorePermissions>
    <Document_x0020_Type xmlns="d8391f44-f0a5-48b4-bf46-3755fe99f790">9</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3C0D1-54B1-4091-8533-75773C447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85A6B-FBB7-4B79-AA4D-D7B3990DF556}">
  <ds:schemaRefs>
    <ds:schemaRef ds:uri="http://schemas.microsoft.com/office/2006/metadata/properties"/>
    <ds:schemaRef ds:uri="http://schemas.microsoft.com/office/infopath/2007/PartnerControls"/>
    <ds:schemaRef ds:uri="d8391f44-f0a5-48b4-bf46-3755fe99f790"/>
  </ds:schemaRefs>
</ds:datastoreItem>
</file>

<file path=customXml/itemProps3.xml><?xml version="1.0" encoding="utf-8"?>
<ds:datastoreItem xmlns:ds="http://schemas.openxmlformats.org/officeDocument/2006/customXml" ds:itemID="{DDF12DE1-0333-4F88-A175-B1B587285A78}">
  <ds:schemaRefs>
    <ds:schemaRef ds:uri="http://schemas.microsoft.com/sharepoint/v3/contenttype/forms"/>
  </ds:schemaRefs>
</ds:datastoreItem>
</file>

<file path=customXml/itemProps4.xml><?xml version="1.0" encoding="utf-8"?>
<ds:datastoreItem xmlns:ds="http://schemas.openxmlformats.org/officeDocument/2006/customXml" ds:itemID="{ABB09823-D908-49AF-BAFB-15080F32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8039</Words>
  <Characters>45824</Characters>
  <Application>Microsoft Office Word</Application>
  <DocSecurity>0</DocSecurity>
  <Lines>381</Lines>
  <Paragraphs>107</Paragraphs>
  <ScaleCrop>false</ScaleCrop>
  <Company>Microsoft</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Conduct of a Gender responsive Private Sector Scoping to enhance NDC implementation in Saint Vincent and the Grenadines</dc:title>
  <dc:creator>Margarita Bernardo</dc:creator>
  <cp:lastModifiedBy>Greta Puckerin</cp:lastModifiedBy>
  <cp:revision>2</cp:revision>
  <cp:lastPrinted>2016-08-25T18:28:00Z</cp:lastPrinted>
  <dcterms:created xsi:type="dcterms:W3CDTF">2021-01-05T15:19:00Z</dcterms:created>
  <dcterms:modified xsi:type="dcterms:W3CDTF">2021-01-05T15:19:00Z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ies>
</file>