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9E0A1" w14:textId="77777777" w:rsidR="00767B52" w:rsidRPr="00205D2E" w:rsidRDefault="00767B52" w:rsidP="0088263E">
      <w:pPr>
        <w:tabs>
          <w:tab w:val="left" w:pos="1410"/>
        </w:tabs>
        <w:spacing w:after="60"/>
        <w:jc w:val="center"/>
        <w:rPr>
          <w:b/>
          <w:lang w:val="mn-MN"/>
        </w:rPr>
      </w:pPr>
    </w:p>
    <w:p w14:paraId="71D46E0B" w14:textId="50E60CFB" w:rsidR="00767B52" w:rsidRDefault="00600581" w:rsidP="0011673A">
      <w:pPr>
        <w:tabs>
          <w:tab w:val="left" w:pos="1410"/>
        </w:tabs>
        <w:spacing w:after="60"/>
        <w:jc w:val="right"/>
        <w:rPr>
          <w:b/>
        </w:rPr>
      </w:pPr>
      <w:r w:rsidRPr="00600581">
        <w:rPr>
          <w:rFonts w:ascii="Arial" w:eastAsia="Times New Roman" w:hAnsi="Arial" w:cs="Times New Roman"/>
          <w:sz w:val="20"/>
          <w:szCs w:val="24"/>
        </w:rPr>
        <w:t xml:space="preserve">                                       </w:t>
      </w:r>
      <w:r>
        <w:rPr>
          <w:rFonts w:ascii="Arial" w:eastAsia="Times New Roman" w:hAnsi="Arial" w:cs="Times New Roman"/>
          <w:sz w:val="20"/>
          <w:szCs w:val="24"/>
        </w:rPr>
        <w:t xml:space="preserve">               </w:t>
      </w:r>
      <w:r w:rsidRPr="00600581">
        <w:rPr>
          <w:rFonts w:ascii="Arial" w:eastAsia="Times New Roman" w:hAnsi="Arial" w:cs="Times New Roman"/>
          <w:sz w:val="20"/>
          <w:szCs w:val="24"/>
        </w:rPr>
        <w:t xml:space="preserve">                                                              </w:t>
      </w:r>
      <w:r w:rsidRPr="00600581">
        <w:rPr>
          <w:rFonts w:ascii="Arial" w:eastAsia="Times New Roman" w:hAnsi="Arial" w:cs="Times New Roman"/>
          <w:noProof/>
          <w:sz w:val="20"/>
          <w:szCs w:val="24"/>
        </w:rPr>
        <w:drawing>
          <wp:inline distT="0" distB="0" distL="0" distR="0" wp14:anchorId="1BD85C03" wp14:editId="1BF753D3">
            <wp:extent cx="596265" cy="972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5" t="12921" r="15254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53" cy="97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581">
        <w:rPr>
          <w:rFonts w:ascii="Arial" w:eastAsia="Times New Roman" w:hAnsi="Arial" w:cs="Times New Roman"/>
          <w:sz w:val="20"/>
          <w:szCs w:val="24"/>
        </w:rPr>
        <w:t xml:space="preserve">       </w:t>
      </w:r>
    </w:p>
    <w:p w14:paraId="3A8094C3" w14:textId="77777777" w:rsidR="00600581" w:rsidRDefault="00600581" w:rsidP="0088263E">
      <w:pPr>
        <w:tabs>
          <w:tab w:val="left" w:pos="1410"/>
        </w:tabs>
        <w:jc w:val="center"/>
        <w:rPr>
          <w:b/>
        </w:rPr>
      </w:pPr>
    </w:p>
    <w:p w14:paraId="654CDD64" w14:textId="34E118C9" w:rsidR="0088263E" w:rsidRPr="0088263E" w:rsidRDefault="0088263E" w:rsidP="0088263E">
      <w:pPr>
        <w:tabs>
          <w:tab w:val="left" w:pos="1410"/>
        </w:tabs>
        <w:jc w:val="center"/>
        <w:rPr>
          <w:color w:val="FF0000"/>
        </w:rPr>
      </w:pPr>
      <w:r w:rsidRPr="0088263E">
        <w:rPr>
          <w:b/>
        </w:rPr>
        <w:t>TERMS OF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202"/>
      </w:tblGrid>
      <w:tr w:rsidR="001F3721" w14:paraId="5AB5ADA7" w14:textId="77777777" w:rsidTr="001F3721">
        <w:trPr>
          <w:trHeight w:val="260"/>
        </w:trPr>
        <w:tc>
          <w:tcPr>
            <w:tcW w:w="2148" w:type="dxa"/>
            <w:shd w:val="clear" w:color="auto" w:fill="D9D9D9" w:themeFill="background1" w:themeFillShade="D9"/>
            <w:vAlign w:val="center"/>
          </w:tcPr>
          <w:p w14:paraId="02D5C901" w14:textId="0AE8A31F" w:rsidR="001F3721" w:rsidRDefault="001F3721" w:rsidP="009E7344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7202" w:type="dxa"/>
            <w:vAlign w:val="center"/>
          </w:tcPr>
          <w:p w14:paraId="5E8CCD87" w14:textId="27467D67" w:rsidR="001F3721" w:rsidRPr="007A4C5F" w:rsidRDefault="00056D1B" w:rsidP="009E7344">
            <w:pPr>
              <w:tabs>
                <w:tab w:val="left" w:pos="1410"/>
              </w:tabs>
            </w:pPr>
            <w:r w:rsidRPr="00056D1B">
              <w:t xml:space="preserve">“SDG-Aligned Budgeting to Transform Employment in Mongolia” </w:t>
            </w:r>
          </w:p>
        </w:tc>
      </w:tr>
      <w:tr w:rsidR="0088263E" w14:paraId="31A1F69A" w14:textId="77777777" w:rsidTr="001F3721">
        <w:trPr>
          <w:trHeight w:val="260"/>
        </w:trPr>
        <w:tc>
          <w:tcPr>
            <w:tcW w:w="2148" w:type="dxa"/>
            <w:shd w:val="clear" w:color="auto" w:fill="D9D9D9" w:themeFill="background1" w:themeFillShade="D9"/>
            <w:vAlign w:val="center"/>
          </w:tcPr>
          <w:p w14:paraId="50D6351F" w14:textId="77777777" w:rsidR="0088263E" w:rsidRDefault="0088263E" w:rsidP="009E7344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7202" w:type="dxa"/>
            <w:vAlign w:val="center"/>
          </w:tcPr>
          <w:p w14:paraId="44C0C067" w14:textId="4B42BEC4" w:rsidR="0088263E" w:rsidRPr="00993991" w:rsidRDefault="007A4C5F" w:rsidP="009E7344">
            <w:pPr>
              <w:tabs>
                <w:tab w:val="left" w:pos="1410"/>
              </w:tabs>
              <w:rPr>
                <w:color w:val="FF0000"/>
              </w:rPr>
            </w:pPr>
            <w:r w:rsidRPr="007A4C5F">
              <w:t>Ulaanbaatar, Mongolia</w:t>
            </w:r>
          </w:p>
        </w:tc>
      </w:tr>
      <w:tr w:rsidR="0088263E" w14:paraId="69BEF766" w14:textId="77777777" w:rsidTr="001F3721">
        <w:trPr>
          <w:trHeight w:val="251"/>
        </w:trPr>
        <w:tc>
          <w:tcPr>
            <w:tcW w:w="2148" w:type="dxa"/>
            <w:shd w:val="clear" w:color="auto" w:fill="D9D9D9" w:themeFill="background1" w:themeFillShade="D9"/>
            <w:vAlign w:val="center"/>
          </w:tcPr>
          <w:p w14:paraId="2D7E3ADA" w14:textId="33234BD1" w:rsidR="0088263E" w:rsidRDefault="00176AA3" w:rsidP="009E7344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>Title of the assignment</w:t>
            </w:r>
          </w:p>
        </w:tc>
        <w:tc>
          <w:tcPr>
            <w:tcW w:w="7202" w:type="dxa"/>
            <w:vAlign w:val="center"/>
          </w:tcPr>
          <w:p w14:paraId="5EA48CEB" w14:textId="2FADDE71" w:rsidR="0088263E" w:rsidRPr="0024723E" w:rsidRDefault="008F31E2" w:rsidP="009E7344">
            <w:pPr>
              <w:tabs>
                <w:tab w:val="left" w:pos="1410"/>
              </w:tabs>
              <w:rPr>
                <w:highlight w:val="yellow"/>
              </w:rPr>
            </w:pPr>
            <w:r w:rsidRPr="008F31E2">
              <w:t xml:space="preserve">Support to </w:t>
            </w:r>
            <w:r w:rsidR="0011673A" w:rsidRPr="008F31E2">
              <w:t xml:space="preserve">Public Finance </w:t>
            </w:r>
            <w:r w:rsidR="00AB6AFA" w:rsidRPr="008F31E2">
              <w:t>Management</w:t>
            </w:r>
            <w:r w:rsidRPr="008F31E2">
              <w:t xml:space="preserve"> reform and SDG-aligned budgeting</w:t>
            </w:r>
            <w:r w:rsidR="00AB6AFA" w:rsidRPr="0024723E">
              <w:rPr>
                <w:highlight w:val="yellow"/>
              </w:rPr>
              <w:t xml:space="preserve"> </w:t>
            </w:r>
          </w:p>
        </w:tc>
      </w:tr>
      <w:tr w:rsidR="00C41E7B" w14:paraId="14F5A477" w14:textId="77777777" w:rsidTr="001F3721">
        <w:trPr>
          <w:trHeight w:val="332"/>
        </w:trPr>
        <w:tc>
          <w:tcPr>
            <w:tcW w:w="2148" w:type="dxa"/>
            <w:shd w:val="clear" w:color="auto" w:fill="D9D9D9" w:themeFill="background1" w:themeFillShade="D9"/>
            <w:vAlign w:val="center"/>
          </w:tcPr>
          <w:p w14:paraId="6C1EDA12" w14:textId="782E535F" w:rsidR="00C41E7B" w:rsidRDefault="00921233" w:rsidP="009E7344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 xml:space="preserve">Post </w:t>
            </w:r>
            <w:r w:rsidR="00607713">
              <w:rPr>
                <w:b/>
              </w:rPr>
              <w:t>title</w:t>
            </w:r>
          </w:p>
        </w:tc>
        <w:tc>
          <w:tcPr>
            <w:tcW w:w="7202" w:type="dxa"/>
            <w:vAlign w:val="center"/>
          </w:tcPr>
          <w:p w14:paraId="76A0E171" w14:textId="01BA9E6E" w:rsidR="00C41E7B" w:rsidRPr="008F31E2" w:rsidRDefault="00176AA3" w:rsidP="009E7344">
            <w:pPr>
              <w:tabs>
                <w:tab w:val="left" w:pos="1410"/>
              </w:tabs>
            </w:pPr>
            <w:r w:rsidRPr="008F31E2">
              <w:t xml:space="preserve">Public </w:t>
            </w:r>
            <w:proofErr w:type="gramStart"/>
            <w:r w:rsidRPr="008F31E2">
              <w:t xml:space="preserve">Finance </w:t>
            </w:r>
            <w:r w:rsidR="00DC35F4" w:rsidRPr="008F31E2">
              <w:t xml:space="preserve"> </w:t>
            </w:r>
            <w:r w:rsidRPr="008F31E2">
              <w:t>Expert</w:t>
            </w:r>
            <w:proofErr w:type="gramEnd"/>
            <w:r w:rsidRPr="008F31E2">
              <w:t xml:space="preserve"> </w:t>
            </w:r>
            <w:r w:rsidR="001D16DC" w:rsidRPr="008F31E2">
              <w:t>(</w:t>
            </w:r>
            <w:r w:rsidR="00950480" w:rsidRPr="008F31E2">
              <w:t>Ministry of Finance</w:t>
            </w:r>
            <w:r w:rsidR="001D16DC" w:rsidRPr="008F31E2">
              <w:t>)</w:t>
            </w:r>
            <w:r w:rsidR="00607713" w:rsidRPr="008F31E2">
              <w:t xml:space="preserve"> </w:t>
            </w:r>
          </w:p>
        </w:tc>
      </w:tr>
      <w:tr w:rsidR="0088263E" w14:paraId="5C46A93B" w14:textId="77777777" w:rsidTr="001F3721">
        <w:trPr>
          <w:trHeight w:val="332"/>
        </w:trPr>
        <w:tc>
          <w:tcPr>
            <w:tcW w:w="2148" w:type="dxa"/>
            <w:shd w:val="clear" w:color="auto" w:fill="D9D9D9" w:themeFill="background1" w:themeFillShade="D9"/>
            <w:vAlign w:val="center"/>
          </w:tcPr>
          <w:p w14:paraId="5E25F0B3" w14:textId="713A5AB1" w:rsidR="0088263E" w:rsidRDefault="0088263E" w:rsidP="009E7344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 xml:space="preserve">Type of </w:t>
            </w:r>
            <w:r w:rsidR="001F3721">
              <w:rPr>
                <w:b/>
              </w:rPr>
              <w:t>c</w:t>
            </w:r>
            <w:r>
              <w:rPr>
                <w:b/>
              </w:rPr>
              <w:t>ontract</w:t>
            </w:r>
          </w:p>
        </w:tc>
        <w:tc>
          <w:tcPr>
            <w:tcW w:w="7202" w:type="dxa"/>
            <w:vAlign w:val="center"/>
          </w:tcPr>
          <w:p w14:paraId="708FEB66" w14:textId="3E60B3DF" w:rsidR="0088263E" w:rsidRPr="0088263E" w:rsidRDefault="0088263E" w:rsidP="009E7344">
            <w:pPr>
              <w:tabs>
                <w:tab w:val="left" w:pos="1410"/>
              </w:tabs>
            </w:pPr>
            <w:r w:rsidRPr="0088263E">
              <w:t xml:space="preserve">Individual </w:t>
            </w:r>
            <w:r w:rsidR="00993991">
              <w:t>Contractor</w:t>
            </w:r>
            <w:r w:rsidR="001F3721">
              <w:t xml:space="preserve"> (IC)</w:t>
            </w:r>
          </w:p>
        </w:tc>
      </w:tr>
      <w:tr w:rsidR="0088263E" w14:paraId="59C6D8B3" w14:textId="77777777" w:rsidTr="001F3721">
        <w:trPr>
          <w:trHeight w:val="260"/>
        </w:trPr>
        <w:tc>
          <w:tcPr>
            <w:tcW w:w="2148" w:type="dxa"/>
            <w:shd w:val="clear" w:color="auto" w:fill="D9D9D9" w:themeFill="background1" w:themeFillShade="D9"/>
            <w:vAlign w:val="center"/>
          </w:tcPr>
          <w:p w14:paraId="13212A61" w14:textId="77777777" w:rsidR="0088263E" w:rsidRDefault="0088263E" w:rsidP="009E7344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>Languages required:</w:t>
            </w:r>
          </w:p>
        </w:tc>
        <w:tc>
          <w:tcPr>
            <w:tcW w:w="7202" w:type="dxa"/>
            <w:vAlign w:val="center"/>
          </w:tcPr>
          <w:p w14:paraId="7A6397E3" w14:textId="36625AF0" w:rsidR="0088263E" w:rsidRPr="00505747" w:rsidRDefault="00EB2BF8" w:rsidP="009E7344">
            <w:pPr>
              <w:tabs>
                <w:tab w:val="left" w:pos="1410"/>
              </w:tabs>
              <w:rPr>
                <w:color w:val="FF0000"/>
              </w:rPr>
            </w:pPr>
            <w:r w:rsidRPr="00EB2BF8">
              <w:t>English and Mongolian</w:t>
            </w:r>
          </w:p>
        </w:tc>
      </w:tr>
      <w:tr w:rsidR="0088263E" w14:paraId="7D91E2DC" w14:textId="77777777" w:rsidTr="001F3721">
        <w:trPr>
          <w:trHeight w:val="260"/>
        </w:trPr>
        <w:tc>
          <w:tcPr>
            <w:tcW w:w="2148" w:type="dxa"/>
            <w:shd w:val="clear" w:color="auto" w:fill="D9D9D9" w:themeFill="background1" w:themeFillShade="D9"/>
            <w:vAlign w:val="center"/>
          </w:tcPr>
          <w:p w14:paraId="3C7420F8" w14:textId="37C1F581" w:rsidR="0088263E" w:rsidRDefault="0088263E" w:rsidP="009E7344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>Duration of Initial Contract</w:t>
            </w:r>
          </w:p>
        </w:tc>
        <w:tc>
          <w:tcPr>
            <w:tcW w:w="7202" w:type="dxa"/>
            <w:vAlign w:val="center"/>
          </w:tcPr>
          <w:p w14:paraId="4E21B10B" w14:textId="4B039C36" w:rsidR="0088263E" w:rsidRPr="0088263E" w:rsidRDefault="007639BC" w:rsidP="004B0311">
            <w:r w:rsidRPr="008F31E2">
              <w:t>1</w:t>
            </w:r>
            <w:r w:rsidR="00DE1D38" w:rsidRPr="008F31E2">
              <w:t>6</w:t>
            </w:r>
            <w:r w:rsidR="00FF0CC4" w:rsidRPr="008F31E2">
              <w:t>0 days over 10</w:t>
            </w:r>
            <w:r w:rsidRPr="008F31E2">
              <w:t xml:space="preserve"> months</w:t>
            </w:r>
          </w:p>
        </w:tc>
      </w:tr>
    </w:tbl>
    <w:p w14:paraId="60B91964" w14:textId="77777777" w:rsidR="0088263E" w:rsidRPr="00E2763D" w:rsidRDefault="0088263E" w:rsidP="009E2B22">
      <w:pPr>
        <w:tabs>
          <w:tab w:val="left" w:pos="1410"/>
        </w:tabs>
        <w:rPr>
          <w:b/>
          <w:color w:val="0070C0"/>
          <w:sz w:val="16"/>
          <w:szCs w:val="16"/>
        </w:rPr>
      </w:pPr>
    </w:p>
    <w:p w14:paraId="380FFAC1" w14:textId="77777777" w:rsidR="009E2B22" w:rsidRPr="0088263E" w:rsidRDefault="009E2B22" w:rsidP="00E2763D">
      <w:pPr>
        <w:tabs>
          <w:tab w:val="left" w:pos="1410"/>
        </w:tabs>
        <w:spacing w:after="60"/>
        <w:rPr>
          <w:b/>
          <w:color w:val="0070C0"/>
        </w:rPr>
      </w:pPr>
      <w:r w:rsidRPr="0088263E">
        <w:rPr>
          <w:b/>
          <w:color w:val="0070C0"/>
        </w:rPr>
        <w:t>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710B" w14:paraId="08CEF6BF" w14:textId="77777777" w:rsidTr="0065710B">
        <w:tc>
          <w:tcPr>
            <w:tcW w:w="9576" w:type="dxa"/>
          </w:tcPr>
          <w:p w14:paraId="5C5671E8" w14:textId="77777777" w:rsidR="00CD3528" w:rsidRPr="00114913" w:rsidRDefault="00CD3528" w:rsidP="00114913">
            <w:pPr>
              <w:jc w:val="both"/>
              <w:rPr>
                <w:rFonts w:cs="Arial"/>
              </w:rPr>
            </w:pPr>
            <w:r w:rsidRPr="00114913">
              <w:rPr>
                <w:rFonts w:cs="Arial"/>
                <w:bCs/>
              </w:rPr>
              <w:t xml:space="preserve">The project “SDG-Aligned Budgeting to Transform Employment in Mongolia” aims to support </w:t>
            </w:r>
            <w:r w:rsidRPr="00114913">
              <w:rPr>
                <w:rFonts w:cs="Arial"/>
              </w:rPr>
              <w:t xml:space="preserve">increased employment and promotion of decent work in Mongolia. The Project plans to achieve its goal by conjoining two main streams of activities: </w:t>
            </w:r>
            <w:proofErr w:type="spellStart"/>
            <w:r w:rsidRPr="00114913">
              <w:rPr>
                <w:rFonts w:cs="Arial"/>
              </w:rPr>
              <w:t>i</w:t>
            </w:r>
            <w:proofErr w:type="spellEnd"/>
            <w:r w:rsidRPr="00114913">
              <w:rPr>
                <w:rFonts w:cs="Arial"/>
              </w:rPr>
              <w:t xml:space="preserve">) enabling and promoting employability in Mongolia via direct interventions and policy improvements, and ii) improving the public finance management systems to absorb results-oriented, </w:t>
            </w:r>
            <w:proofErr w:type="gramStart"/>
            <w:r w:rsidRPr="00114913">
              <w:rPr>
                <w:rFonts w:cs="Arial"/>
              </w:rPr>
              <w:t>effective</w:t>
            </w:r>
            <w:proofErr w:type="gramEnd"/>
            <w:r w:rsidRPr="00114913">
              <w:rPr>
                <w:rFonts w:cs="Arial"/>
              </w:rPr>
              <w:t xml:space="preserve"> and evidence-based policies and budget initiatives in employment and </w:t>
            </w:r>
            <w:proofErr w:type="spellStart"/>
            <w:r w:rsidRPr="00114913">
              <w:rPr>
                <w:rFonts w:cs="Arial"/>
              </w:rPr>
              <w:t>labour</w:t>
            </w:r>
            <w:proofErr w:type="spellEnd"/>
            <w:r w:rsidRPr="00114913">
              <w:rPr>
                <w:rFonts w:cs="Arial"/>
              </w:rPr>
              <w:t xml:space="preserve"> sectors.</w:t>
            </w:r>
          </w:p>
          <w:p w14:paraId="7B5CAC2A" w14:textId="77777777" w:rsidR="00CD3528" w:rsidRPr="00114913" w:rsidRDefault="00CD3528" w:rsidP="00114913">
            <w:pPr>
              <w:jc w:val="both"/>
              <w:rPr>
                <w:rFonts w:cs="Arial"/>
              </w:rPr>
            </w:pPr>
          </w:p>
          <w:p w14:paraId="52CA6438" w14:textId="1D39714D" w:rsidR="007F4960" w:rsidRPr="00114913" w:rsidRDefault="00CD3528" w:rsidP="00114913">
            <w:pPr>
              <w:jc w:val="both"/>
              <w:rPr>
                <w:rFonts w:cs="Arial"/>
              </w:rPr>
            </w:pPr>
            <w:r w:rsidRPr="00114913">
              <w:rPr>
                <w:rFonts w:cs="Arial"/>
              </w:rPr>
              <w:t xml:space="preserve">The project </w:t>
            </w:r>
            <w:r w:rsidR="005903DB" w:rsidRPr="00114913">
              <w:rPr>
                <w:rFonts w:cs="Arial"/>
              </w:rPr>
              <w:t>duration is 42 months</w:t>
            </w:r>
            <w:r w:rsidRPr="00114913">
              <w:rPr>
                <w:rFonts w:cs="Arial"/>
              </w:rPr>
              <w:t>. Th</w:t>
            </w:r>
            <w:r w:rsidR="007D4B04" w:rsidRPr="00114913">
              <w:rPr>
                <w:rFonts w:cs="Arial"/>
              </w:rPr>
              <w:t>is technical assistance</w:t>
            </w:r>
            <w:r w:rsidRPr="00114913">
              <w:rPr>
                <w:rFonts w:cs="Arial"/>
              </w:rPr>
              <w:t xml:space="preserve"> project is funded by the European Union (EU), and </w:t>
            </w:r>
            <w:r w:rsidR="00C83EF3" w:rsidRPr="00114913">
              <w:rPr>
                <w:rFonts w:cs="Arial"/>
              </w:rPr>
              <w:t xml:space="preserve">complements the </w:t>
            </w:r>
            <w:r w:rsidR="007D4B04" w:rsidRPr="00114913">
              <w:rPr>
                <w:rFonts w:cs="Arial"/>
              </w:rPr>
              <w:t xml:space="preserve">EU </w:t>
            </w:r>
            <w:r w:rsidR="00C83EF3" w:rsidRPr="00114913">
              <w:rPr>
                <w:rFonts w:cs="Arial"/>
              </w:rPr>
              <w:t xml:space="preserve">Direct Budget Support </w:t>
            </w:r>
            <w:r w:rsidR="00DE5AF9" w:rsidRPr="00114913">
              <w:rPr>
                <w:rFonts w:cs="Arial"/>
              </w:rPr>
              <w:t xml:space="preserve">to </w:t>
            </w:r>
            <w:r w:rsidR="008F5A46" w:rsidRPr="00114913">
              <w:rPr>
                <w:rFonts w:cs="Arial"/>
              </w:rPr>
              <w:t xml:space="preserve">Mongolia. </w:t>
            </w:r>
          </w:p>
          <w:p w14:paraId="64EAC949" w14:textId="77777777" w:rsidR="00114913" w:rsidRPr="00114913" w:rsidRDefault="00114913" w:rsidP="00114913">
            <w:pPr>
              <w:jc w:val="both"/>
              <w:rPr>
                <w:rFonts w:cs="Arial"/>
              </w:rPr>
            </w:pPr>
          </w:p>
          <w:p w14:paraId="51662E0B" w14:textId="456752B7" w:rsidR="00CD3528" w:rsidRPr="00114913" w:rsidRDefault="007F4960" w:rsidP="00114913">
            <w:pPr>
              <w:jc w:val="both"/>
              <w:rPr>
                <w:rFonts w:cstheme="minorHAnsi"/>
              </w:rPr>
            </w:pPr>
            <w:r w:rsidRPr="00114913">
              <w:rPr>
                <w:rFonts w:cs="Arial"/>
              </w:rPr>
              <w:t xml:space="preserve">The Project is managed by </w:t>
            </w:r>
            <w:r w:rsidR="00CD3528" w:rsidRPr="00114913">
              <w:rPr>
                <w:rFonts w:cs="Arial"/>
              </w:rPr>
              <w:t>UNDP</w:t>
            </w:r>
            <w:r w:rsidRPr="00114913">
              <w:rPr>
                <w:rFonts w:cs="Arial"/>
              </w:rPr>
              <w:t xml:space="preserve"> in partnership with</w:t>
            </w:r>
            <w:r w:rsidR="00CD3528" w:rsidRPr="00114913">
              <w:rPr>
                <w:rFonts w:cs="Arial"/>
              </w:rPr>
              <w:t xml:space="preserve"> FAO and ILO</w:t>
            </w:r>
            <w:r w:rsidR="00114913">
              <w:rPr>
                <w:rFonts w:cs="Arial"/>
              </w:rPr>
              <w:t xml:space="preserve"> and had </w:t>
            </w:r>
            <w:r w:rsidR="00CD3528" w:rsidRPr="00114913">
              <w:rPr>
                <w:rFonts w:cs="Arial"/>
              </w:rPr>
              <w:t>the following four components:</w:t>
            </w:r>
          </w:p>
          <w:p w14:paraId="58014352" w14:textId="2AF992C9" w:rsidR="00CD3528" w:rsidRPr="00114913" w:rsidRDefault="00CD3528" w:rsidP="00114913">
            <w:pPr>
              <w:pStyle w:val="ListParagraph"/>
              <w:ind w:left="0"/>
              <w:contextualSpacing w:val="0"/>
              <w:jc w:val="both"/>
              <w:rPr>
                <w:rFonts w:cstheme="minorHAnsi"/>
                <w:iCs/>
              </w:rPr>
            </w:pPr>
            <w:r w:rsidRPr="00114913">
              <w:rPr>
                <w:rFonts w:cstheme="minorHAnsi"/>
                <w:iCs/>
              </w:rPr>
              <w:t>Component A</w:t>
            </w:r>
            <w:r w:rsidR="0009743D">
              <w:rPr>
                <w:rFonts w:cstheme="minorHAnsi"/>
                <w:iCs/>
              </w:rPr>
              <w:t xml:space="preserve">. </w:t>
            </w:r>
            <w:r w:rsidRPr="00114913">
              <w:rPr>
                <w:rFonts w:cstheme="minorHAnsi"/>
                <w:iCs/>
              </w:rPr>
              <w:t>Bridging Policies with Budgets</w:t>
            </w:r>
          </w:p>
          <w:p w14:paraId="43808D23" w14:textId="3B1C3463" w:rsidR="00CD3528" w:rsidRPr="00114913" w:rsidRDefault="00CD3528" w:rsidP="00114913">
            <w:pPr>
              <w:pStyle w:val="ListParagraph"/>
              <w:ind w:left="0"/>
              <w:contextualSpacing w:val="0"/>
              <w:jc w:val="both"/>
              <w:rPr>
                <w:rFonts w:cstheme="minorHAnsi"/>
                <w:iCs/>
              </w:rPr>
            </w:pPr>
            <w:r w:rsidRPr="00114913">
              <w:rPr>
                <w:rFonts w:cstheme="minorHAnsi"/>
                <w:iCs/>
              </w:rPr>
              <w:t>Component B</w:t>
            </w:r>
            <w:r w:rsidR="0009743D">
              <w:rPr>
                <w:rFonts w:cstheme="minorHAnsi"/>
                <w:iCs/>
              </w:rPr>
              <w:t xml:space="preserve">. </w:t>
            </w:r>
            <w:r w:rsidRPr="00114913">
              <w:rPr>
                <w:rFonts w:cstheme="minorHAnsi"/>
                <w:iCs/>
              </w:rPr>
              <w:t xml:space="preserve">Budget Oversight and Transparency </w:t>
            </w:r>
          </w:p>
          <w:p w14:paraId="35B34438" w14:textId="1F1356AE" w:rsidR="00CD3528" w:rsidRPr="00114913" w:rsidRDefault="00CD3528" w:rsidP="00114913">
            <w:pPr>
              <w:pStyle w:val="ListParagraph"/>
              <w:ind w:left="0"/>
              <w:contextualSpacing w:val="0"/>
              <w:jc w:val="both"/>
              <w:rPr>
                <w:rFonts w:cstheme="minorHAnsi"/>
                <w:iCs/>
              </w:rPr>
            </w:pPr>
            <w:r w:rsidRPr="00114913">
              <w:rPr>
                <w:rFonts w:cstheme="minorHAnsi"/>
                <w:iCs/>
              </w:rPr>
              <w:t>Component C</w:t>
            </w:r>
            <w:r w:rsidR="0009743D">
              <w:rPr>
                <w:rFonts w:cstheme="minorHAnsi"/>
                <w:iCs/>
              </w:rPr>
              <w:t xml:space="preserve">. </w:t>
            </w:r>
            <w:r w:rsidRPr="00114913">
              <w:rPr>
                <w:rFonts w:cstheme="minorHAnsi"/>
                <w:iCs/>
              </w:rPr>
              <w:t xml:space="preserve">Employment Promotion: Boosting Employability </w:t>
            </w:r>
          </w:p>
          <w:p w14:paraId="394CDD47" w14:textId="504F1DA8" w:rsidR="00CD3528" w:rsidRPr="00114913" w:rsidRDefault="00CD3528" w:rsidP="00114913">
            <w:pPr>
              <w:pStyle w:val="ListParagraph"/>
              <w:spacing w:after="60"/>
              <w:ind w:left="0"/>
              <w:contextualSpacing w:val="0"/>
              <w:jc w:val="both"/>
              <w:rPr>
                <w:rFonts w:cstheme="minorHAnsi"/>
                <w:i/>
              </w:rPr>
            </w:pPr>
            <w:r w:rsidRPr="00114913">
              <w:rPr>
                <w:rFonts w:cstheme="minorHAnsi"/>
                <w:iCs/>
              </w:rPr>
              <w:t>Component D</w:t>
            </w:r>
            <w:r w:rsidR="0009743D">
              <w:rPr>
                <w:rFonts w:cstheme="minorHAnsi"/>
                <w:iCs/>
              </w:rPr>
              <w:t xml:space="preserve">. </w:t>
            </w:r>
            <w:r w:rsidRPr="00114913">
              <w:rPr>
                <w:rFonts w:cstheme="minorHAnsi"/>
                <w:iCs/>
              </w:rPr>
              <w:t xml:space="preserve">Effective Application of International </w:t>
            </w:r>
            <w:proofErr w:type="spellStart"/>
            <w:r w:rsidRPr="00114913">
              <w:rPr>
                <w:rFonts w:cstheme="minorHAnsi"/>
                <w:iCs/>
              </w:rPr>
              <w:t>Labour</w:t>
            </w:r>
            <w:proofErr w:type="spellEnd"/>
            <w:r w:rsidRPr="00114913">
              <w:rPr>
                <w:rFonts w:cstheme="minorHAnsi"/>
                <w:iCs/>
              </w:rPr>
              <w:t xml:space="preserve"> Standards by Strengthening Institutions of Work </w:t>
            </w:r>
          </w:p>
          <w:p w14:paraId="54D1CAD4" w14:textId="32EBB98A" w:rsidR="00CD3528" w:rsidRDefault="00CD3528" w:rsidP="00114913">
            <w:pPr>
              <w:jc w:val="both"/>
              <w:rPr>
                <w:rFonts w:cstheme="minorHAnsi"/>
              </w:rPr>
            </w:pPr>
          </w:p>
          <w:p w14:paraId="2C37AE18" w14:textId="6F0D0945" w:rsidR="00C4778F" w:rsidRDefault="00C4778F" w:rsidP="00C4778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MOF with UNDP support introduced SDG-aligned budgeting in 2018 and has piloted the approach at the Ministries of Health, Environment and Tourism</w:t>
            </w:r>
            <w:r w:rsidR="00D072A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and Education and Science for bridging policies and performance indicators with budgets and contribute to results-based or program-based budgeting in Mongolia. </w:t>
            </w:r>
          </w:p>
          <w:p w14:paraId="6F1EA6D5" w14:textId="77777777" w:rsidR="00C4778F" w:rsidRPr="00114913" w:rsidRDefault="00C4778F" w:rsidP="00C4778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 methodology pack (Paper A, B, and C) has been developed to assist in building a common understanding and facilitate discussions on actions needed for bridging policies with budgeting and financing, and for reflecting SDGs targets.  </w:t>
            </w:r>
          </w:p>
          <w:p w14:paraId="1839B170" w14:textId="22300CE7" w:rsidR="0003091A" w:rsidRDefault="00D130E1" w:rsidP="00114913">
            <w:pPr>
              <w:jc w:val="both"/>
              <w:rPr>
                <w:rFonts w:cstheme="minorHAnsi"/>
              </w:rPr>
            </w:pPr>
            <w:r w:rsidRPr="00273EAF">
              <w:rPr>
                <w:rFonts w:cstheme="minorHAnsi"/>
              </w:rPr>
              <w:t>The SDG-ali</w:t>
            </w:r>
            <w:r w:rsidR="00D97A9D">
              <w:rPr>
                <w:rFonts w:cstheme="minorHAnsi"/>
              </w:rPr>
              <w:t>g</w:t>
            </w:r>
            <w:r w:rsidRPr="00273EAF">
              <w:rPr>
                <w:rFonts w:cstheme="minorHAnsi"/>
              </w:rPr>
              <w:t xml:space="preserve">ned budgeting will </w:t>
            </w:r>
            <w:r w:rsidR="006E4649" w:rsidRPr="00273EAF">
              <w:rPr>
                <w:rFonts w:cstheme="minorHAnsi"/>
              </w:rPr>
              <w:t xml:space="preserve">be </w:t>
            </w:r>
            <w:r w:rsidR="00C367D2" w:rsidRPr="00273EAF">
              <w:rPr>
                <w:rFonts w:cstheme="minorHAnsi"/>
              </w:rPr>
              <w:t>further roll</w:t>
            </w:r>
            <w:r w:rsidR="006E4649" w:rsidRPr="00273EAF">
              <w:rPr>
                <w:rFonts w:cstheme="minorHAnsi"/>
              </w:rPr>
              <w:t xml:space="preserve">ed </w:t>
            </w:r>
            <w:r w:rsidR="00C367D2" w:rsidRPr="00273EAF">
              <w:rPr>
                <w:rFonts w:cstheme="minorHAnsi"/>
              </w:rPr>
              <w:t xml:space="preserve">out </w:t>
            </w:r>
            <w:r w:rsidR="006A7F3C" w:rsidRPr="00273EAF">
              <w:rPr>
                <w:rFonts w:cstheme="minorHAnsi"/>
              </w:rPr>
              <w:t xml:space="preserve">into employment </w:t>
            </w:r>
            <w:r w:rsidR="008A3A46" w:rsidRPr="00273EAF">
              <w:rPr>
                <w:rFonts w:cstheme="minorHAnsi"/>
              </w:rPr>
              <w:t xml:space="preserve">related sectors, namely, </w:t>
            </w:r>
            <w:proofErr w:type="spellStart"/>
            <w:r w:rsidR="008A3A46" w:rsidRPr="00273EAF">
              <w:rPr>
                <w:rFonts w:cstheme="minorHAnsi"/>
              </w:rPr>
              <w:t>labour</w:t>
            </w:r>
            <w:proofErr w:type="spellEnd"/>
            <w:r w:rsidR="008A3A46" w:rsidRPr="00273EAF">
              <w:rPr>
                <w:rFonts w:cstheme="minorHAnsi"/>
              </w:rPr>
              <w:t xml:space="preserve"> and food, agriculture, and light industry</w:t>
            </w:r>
            <w:r w:rsidR="0003091A" w:rsidRPr="00273EAF">
              <w:rPr>
                <w:rFonts w:cstheme="minorHAnsi"/>
              </w:rPr>
              <w:t xml:space="preserve">, compliment with bottom up approach to link </w:t>
            </w:r>
            <w:r w:rsidR="008042F4" w:rsidRPr="00273EAF">
              <w:rPr>
                <w:rFonts w:cstheme="minorHAnsi"/>
              </w:rPr>
              <w:t xml:space="preserve">expenditures and </w:t>
            </w:r>
            <w:r w:rsidR="0003091A" w:rsidRPr="00273EAF">
              <w:rPr>
                <w:rFonts w:cstheme="minorHAnsi"/>
              </w:rPr>
              <w:t xml:space="preserve">revenues generated at the sub-national level (where applicable) with budgetary appropriations, </w:t>
            </w:r>
            <w:r w:rsidR="00985067" w:rsidRPr="00273EAF">
              <w:rPr>
                <w:rFonts w:cstheme="minorHAnsi"/>
              </w:rPr>
              <w:t>develop</w:t>
            </w:r>
            <w:r w:rsidR="00704288">
              <w:rPr>
                <w:rFonts w:cstheme="minorHAnsi"/>
              </w:rPr>
              <w:t>/ refine</w:t>
            </w:r>
            <w:r w:rsidR="00BA7AC0">
              <w:rPr>
                <w:rFonts w:cstheme="minorHAnsi"/>
              </w:rPr>
              <w:t xml:space="preserve"> </w:t>
            </w:r>
            <w:r w:rsidR="0003091A" w:rsidRPr="00273EAF">
              <w:rPr>
                <w:rFonts w:cstheme="minorHAnsi"/>
              </w:rPr>
              <w:t xml:space="preserve">Medium term </w:t>
            </w:r>
            <w:r w:rsidR="00CF48CE" w:rsidRPr="00273EAF">
              <w:rPr>
                <w:rFonts w:cstheme="minorHAnsi"/>
              </w:rPr>
              <w:t xml:space="preserve">expenditure </w:t>
            </w:r>
            <w:r w:rsidR="0003091A" w:rsidRPr="00273EAF">
              <w:rPr>
                <w:rFonts w:cstheme="minorHAnsi"/>
              </w:rPr>
              <w:t xml:space="preserve"> framework</w:t>
            </w:r>
            <w:r w:rsidR="00CF48CE" w:rsidRPr="00273EAF">
              <w:rPr>
                <w:rFonts w:cstheme="minorHAnsi"/>
              </w:rPr>
              <w:t xml:space="preserve"> </w:t>
            </w:r>
            <w:r w:rsidR="0003091A" w:rsidRPr="00273EAF">
              <w:rPr>
                <w:rFonts w:cstheme="minorHAnsi"/>
              </w:rPr>
              <w:t xml:space="preserve"> </w:t>
            </w:r>
            <w:r w:rsidR="00704288">
              <w:rPr>
                <w:rFonts w:cstheme="minorHAnsi"/>
              </w:rPr>
              <w:t xml:space="preserve">and </w:t>
            </w:r>
            <w:r w:rsidR="00704288" w:rsidRPr="00DF40E4">
              <w:rPr>
                <w:rFonts w:cstheme="minorHAnsi"/>
              </w:rPr>
              <w:t xml:space="preserve">the annual budget </w:t>
            </w:r>
            <w:r w:rsidR="0003091A" w:rsidRPr="00273EAF">
              <w:rPr>
                <w:rFonts w:cstheme="minorHAnsi"/>
              </w:rPr>
              <w:t xml:space="preserve">processes, </w:t>
            </w:r>
            <w:r w:rsidR="00726301" w:rsidRPr="00273EAF">
              <w:rPr>
                <w:rFonts w:cstheme="minorHAnsi"/>
              </w:rPr>
              <w:t xml:space="preserve">to </w:t>
            </w:r>
            <w:r w:rsidR="0003091A" w:rsidRPr="00273EAF">
              <w:rPr>
                <w:rFonts w:cstheme="minorHAnsi"/>
              </w:rPr>
              <w:t xml:space="preserve">enhance </w:t>
            </w:r>
            <w:r w:rsidR="0003091A" w:rsidRPr="00273EAF">
              <w:rPr>
                <w:rFonts w:eastAsia="Calibri Light" w:cstheme="minorHAnsi"/>
              </w:rPr>
              <w:t>Citizen’s budget information for engagement of non-executive partners (civil service organizations, think-tanks, research</w:t>
            </w:r>
            <w:r w:rsidR="007E2BC0" w:rsidRPr="00273EAF">
              <w:rPr>
                <w:rFonts w:eastAsia="Calibri Light" w:cstheme="minorHAnsi"/>
              </w:rPr>
              <w:t xml:space="preserve">, </w:t>
            </w:r>
            <w:r w:rsidR="0003091A" w:rsidRPr="00273EAF">
              <w:rPr>
                <w:rFonts w:eastAsia="Calibri Light" w:cstheme="minorHAnsi"/>
              </w:rPr>
              <w:t>academic institutions</w:t>
            </w:r>
            <w:r w:rsidR="007E2BC0" w:rsidRPr="00273EAF">
              <w:rPr>
                <w:rFonts w:eastAsia="Calibri Light" w:cstheme="minorHAnsi"/>
              </w:rPr>
              <w:t xml:space="preserve"> and public at large</w:t>
            </w:r>
            <w:r w:rsidR="0003091A" w:rsidRPr="00273EAF">
              <w:rPr>
                <w:rFonts w:eastAsia="Calibri Light" w:cstheme="minorHAnsi"/>
              </w:rPr>
              <w:t>) in budget formulation and monitoring using SDGs</w:t>
            </w:r>
            <w:r w:rsidR="007E2BC0" w:rsidRPr="00273EAF">
              <w:rPr>
                <w:rFonts w:eastAsia="Calibri Light" w:cstheme="minorHAnsi"/>
              </w:rPr>
              <w:t xml:space="preserve"> and Vision 2050</w:t>
            </w:r>
            <w:r w:rsidR="0003091A" w:rsidRPr="00273EAF">
              <w:rPr>
                <w:rFonts w:eastAsia="Calibri Light" w:cstheme="minorHAnsi"/>
              </w:rPr>
              <w:t xml:space="preserve"> as a platform, </w:t>
            </w:r>
            <w:r w:rsidR="0003091A" w:rsidRPr="00273EAF">
              <w:rPr>
                <w:rFonts w:cstheme="minorHAnsi"/>
              </w:rPr>
              <w:t xml:space="preserve">and </w:t>
            </w:r>
            <w:r w:rsidR="005374BC" w:rsidRPr="00273EAF">
              <w:rPr>
                <w:rFonts w:cstheme="minorHAnsi"/>
              </w:rPr>
              <w:t xml:space="preserve">improve </w:t>
            </w:r>
            <w:r w:rsidR="0003091A" w:rsidRPr="00273EAF">
              <w:rPr>
                <w:rFonts w:cstheme="minorHAnsi"/>
              </w:rPr>
              <w:t xml:space="preserve">monitoring and evaluation </w:t>
            </w:r>
            <w:r w:rsidR="005374BC" w:rsidRPr="00273EAF">
              <w:rPr>
                <w:rFonts w:cstheme="minorHAnsi"/>
              </w:rPr>
              <w:t xml:space="preserve">and reporting </w:t>
            </w:r>
            <w:r w:rsidR="0003091A" w:rsidRPr="00273EAF">
              <w:rPr>
                <w:rFonts w:cstheme="minorHAnsi"/>
              </w:rPr>
              <w:t>systems to assess and report on execution of the annual budgets aligned with SDGs</w:t>
            </w:r>
            <w:r w:rsidR="00F76FE2" w:rsidRPr="00273EAF">
              <w:rPr>
                <w:rFonts w:cstheme="minorHAnsi"/>
              </w:rPr>
              <w:t xml:space="preserve"> and Vision 2050</w:t>
            </w:r>
            <w:r w:rsidR="0003091A" w:rsidRPr="00273EAF">
              <w:rPr>
                <w:rFonts w:cstheme="minorHAnsi"/>
              </w:rPr>
              <w:t xml:space="preserve"> for the pilot line ministries</w:t>
            </w:r>
            <w:r w:rsidR="00CF48CE" w:rsidRPr="00273EAF">
              <w:rPr>
                <w:rFonts w:cstheme="minorHAnsi"/>
              </w:rPr>
              <w:t xml:space="preserve"> and local governments</w:t>
            </w:r>
            <w:r w:rsidR="0003091A" w:rsidRPr="00273EAF">
              <w:rPr>
                <w:rFonts w:cstheme="minorHAnsi"/>
              </w:rPr>
              <w:t>.</w:t>
            </w:r>
          </w:p>
          <w:p w14:paraId="59308188" w14:textId="53E63673" w:rsidR="00E85473" w:rsidRDefault="00E85473" w:rsidP="00CD3528">
            <w:pPr>
              <w:widowControl w:val="0"/>
              <w:overflowPunct w:val="0"/>
              <w:adjustRightInd w:val="0"/>
              <w:rPr>
                <w:rFonts w:cstheme="minorHAnsi"/>
              </w:rPr>
            </w:pPr>
          </w:p>
          <w:p w14:paraId="4F0E266C" w14:textId="31FF8C06" w:rsidR="00176AA3" w:rsidRDefault="00B24358" w:rsidP="00B243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176AA3">
              <w:rPr>
                <w:rFonts w:cstheme="minorHAnsi"/>
              </w:rPr>
              <w:t xml:space="preserve">objective of this assignment is to </w:t>
            </w:r>
            <w:r w:rsidR="00BA785C">
              <w:rPr>
                <w:rFonts w:cstheme="minorHAnsi"/>
              </w:rPr>
              <w:t xml:space="preserve">support the </w:t>
            </w:r>
            <w:r w:rsidR="00B70E93">
              <w:rPr>
                <w:rFonts w:cstheme="minorHAnsi"/>
              </w:rPr>
              <w:t xml:space="preserve">Ministry of Finance in implementation of the overall public finance </w:t>
            </w:r>
            <w:r w:rsidR="008F31E2">
              <w:rPr>
                <w:rFonts w:cstheme="minorHAnsi"/>
              </w:rPr>
              <w:t xml:space="preserve">management </w:t>
            </w:r>
            <w:r w:rsidR="00B70E93">
              <w:rPr>
                <w:rFonts w:cstheme="minorHAnsi"/>
              </w:rPr>
              <w:t xml:space="preserve">reform </w:t>
            </w:r>
            <w:r w:rsidR="001D6F68">
              <w:rPr>
                <w:rFonts w:cstheme="minorHAnsi"/>
              </w:rPr>
              <w:t xml:space="preserve">by focusing on preparation of </w:t>
            </w:r>
            <w:r w:rsidR="006745BE">
              <w:rPr>
                <w:rFonts w:cstheme="minorHAnsi"/>
              </w:rPr>
              <w:t xml:space="preserve">a </w:t>
            </w:r>
            <w:r w:rsidR="00D114FE">
              <w:rPr>
                <w:rFonts w:cstheme="minorHAnsi"/>
              </w:rPr>
              <w:t>medium-term expenditure framework</w:t>
            </w:r>
            <w:r w:rsidR="004A6E82">
              <w:rPr>
                <w:rFonts w:cstheme="minorHAnsi"/>
              </w:rPr>
              <w:t>,</w:t>
            </w:r>
            <w:r w:rsidR="00B70E93">
              <w:rPr>
                <w:rFonts w:cstheme="minorHAnsi"/>
              </w:rPr>
              <w:t xml:space="preserve"> </w:t>
            </w:r>
            <w:r w:rsidR="001D6F68">
              <w:rPr>
                <w:rFonts w:cstheme="minorHAnsi"/>
              </w:rPr>
              <w:t xml:space="preserve">results-based </w:t>
            </w:r>
            <w:r w:rsidR="004A6E82">
              <w:rPr>
                <w:rFonts w:cstheme="minorHAnsi"/>
              </w:rPr>
              <w:t xml:space="preserve">annual </w:t>
            </w:r>
            <w:r w:rsidR="001D6F68">
              <w:rPr>
                <w:rFonts w:cstheme="minorHAnsi"/>
              </w:rPr>
              <w:t>budgeting</w:t>
            </w:r>
            <w:r w:rsidR="004A6E82">
              <w:rPr>
                <w:rFonts w:cstheme="minorHAnsi"/>
              </w:rPr>
              <w:t xml:space="preserve">, and </w:t>
            </w:r>
            <w:r w:rsidR="008F31E2">
              <w:rPr>
                <w:rFonts w:cstheme="minorHAnsi"/>
              </w:rPr>
              <w:t xml:space="preserve">monitoring and </w:t>
            </w:r>
            <w:r w:rsidR="009E7344">
              <w:rPr>
                <w:rFonts w:cstheme="minorHAnsi"/>
              </w:rPr>
              <w:t>evaluation</w:t>
            </w:r>
            <w:r w:rsidR="004A6E82">
              <w:rPr>
                <w:rFonts w:cstheme="minorHAnsi"/>
              </w:rPr>
              <w:t xml:space="preserve">.  </w:t>
            </w:r>
            <w:r w:rsidR="004E6557">
              <w:rPr>
                <w:rFonts w:cstheme="minorHAnsi"/>
              </w:rPr>
              <w:t xml:space="preserve"> </w:t>
            </w:r>
          </w:p>
          <w:p w14:paraId="0A1CAABE" w14:textId="57B9AAB3" w:rsidR="0065710B" w:rsidRPr="00E2763D" w:rsidRDefault="0065710B" w:rsidP="009E7344">
            <w:pPr>
              <w:jc w:val="both"/>
            </w:pPr>
          </w:p>
        </w:tc>
      </w:tr>
    </w:tbl>
    <w:p w14:paraId="66E57B01" w14:textId="499F452C" w:rsidR="006B161F" w:rsidRDefault="006B161F" w:rsidP="0088263E">
      <w:pPr>
        <w:tabs>
          <w:tab w:val="left" w:pos="1410"/>
        </w:tabs>
        <w:rPr>
          <w:b/>
          <w:color w:val="0070C0"/>
        </w:rPr>
      </w:pPr>
    </w:p>
    <w:p w14:paraId="06DCA7F3" w14:textId="0FCDD809" w:rsidR="00944F40" w:rsidRPr="0088263E" w:rsidRDefault="0088263E" w:rsidP="0088263E">
      <w:pPr>
        <w:tabs>
          <w:tab w:val="left" w:pos="1410"/>
        </w:tabs>
        <w:rPr>
          <w:b/>
          <w:color w:val="0070C0"/>
        </w:rPr>
      </w:pPr>
      <w:r w:rsidRPr="0088263E">
        <w:rPr>
          <w:b/>
          <w:color w:val="0070C0"/>
        </w:rPr>
        <w:t>DUTIES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710B" w14:paraId="398288A9" w14:textId="77777777" w:rsidTr="00741AAC">
        <w:tc>
          <w:tcPr>
            <w:tcW w:w="9350" w:type="dxa"/>
          </w:tcPr>
          <w:p w14:paraId="5A23CF58" w14:textId="3A46A19D" w:rsidR="0065710B" w:rsidRPr="00EC631B" w:rsidRDefault="00EC70F7" w:rsidP="00273EAF">
            <w:pPr>
              <w:jc w:val="both"/>
              <w:rPr>
                <w:b/>
                <w:sz w:val="20"/>
                <w:szCs w:val="20"/>
              </w:rPr>
            </w:pPr>
            <w:r w:rsidRPr="00EC631B">
              <w:rPr>
                <w:b/>
                <w:sz w:val="20"/>
                <w:szCs w:val="20"/>
              </w:rPr>
              <w:t>Scope of Work</w:t>
            </w:r>
          </w:p>
          <w:p w14:paraId="42B2C406" w14:textId="77777777" w:rsidR="001E4D99" w:rsidRPr="00EC631B" w:rsidRDefault="001E4D99" w:rsidP="00273EAF">
            <w:pPr>
              <w:jc w:val="both"/>
              <w:rPr>
                <w:b/>
                <w:sz w:val="20"/>
                <w:szCs w:val="20"/>
              </w:rPr>
            </w:pPr>
          </w:p>
          <w:p w14:paraId="5BF7CC9A" w14:textId="02C4D765" w:rsidR="00510AA0" w:rsidRPr="00EC631B" w:rsidRDefault="004A6E82" w:rsidP="009130F1">
            <w:pPr>
              <w:spacing w:line="293" w:lineRule="atLeast"/>
              <w:jc w:val="both"/>
              <w:textAlignment w:val="baseline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</w:rPr>
              <w:t xml:space="preserve">Support to </w:t>
            </w:r>
            <w:r w:rsidR="007C039C" w:rsidRPr="00EC631B">
              <w:rPr>
                <w:rFonts w:eastAsia="Times New Roman" w:cstheme="minorHAnsi"/>
                <w:i/>
                <w:iCs/>
              </w:rPr>
              <w:t xml:space="preserve">Public Finance Management reform </w:t>
            </w:r>
            <w:r>
              <w:rPr>
                <w:rFonts w:eastAsia="Times New Roman" w:cstheme="minorHAnsi"/>
                <w:i/>
                <w:iCs/>
              </w:rPr>
              <w:t xml:space="preserve">implementation </w:t>
            </w:r>
            <w:r w:rsidR="003403FE" w:rsidRPr="00EC631B">
              <w:rPr>
                <w:rFonts w:eastAsia="Times New Roman" w:cstheme="minorHAnsi"/>
                <w:i/>
                <w:iCs/>
              </w:rPr>
              <w:t xml:space="preserve">and </w:t>
            </w:r>
            <w:r w:rsidR="00510AA0" w:rsidRPr="00EC631B">
              <w:rPr>
                <w:rFonts w:eastAsia="Times New Roman" w:cstheme="minorHAnsi"/>
                <w:i/>
                <w:iCs/>
              </w:rPr>
              <w:t>coordinatio</w:t>
            </w:r>
            <w:r w:rsidR="007C039C" w:rsidRPr="00EC631B">
              <w:rPr>
                <w:rFonts w:eastAsia="Times New Roman" w:cstheme="minorHAnsi"/>
                <w:i/>
                <w:iCs/>
              </w:rPr>
              <w:t>n</w:t>
            </w:r>
            <w:r w:rsidR="00510AA0" w:rsidRPr="00EC631B">
              <w:rPr>
                <w:rFonts w:eastAsia="Times New Roman" w:cstheme="minorHAnsi"/>
                <w:i/>
                <w:iCs/>
              </w:rPr>
              <w:t xml:space="preserve">  </w:t>
            </w:r>
            <w:r w:rsidR="00B103A1" w:rsidRPr="00EC631B">
              <w:rPr>
                <w:rFonts w:eastAsia="Times New Roman" w:cstheme="minorHAnsi"/>
                <w:i/>
                <w:iCs/>
              </w:rPr>
              <w:t> </w:t>
            </w:r>
          </w:p>
          <w:p w14:paraId="7A5B2EC4" w14:textId="5487FD4E" w:rsidR="00CC41CE" w:rsidRPr="00EC631B" w:rsidRDefault="00CF1E91" w:rsidP="00B92B53">
            <w:pPr>
              <w:pStyle w:val="ListParagraph"/>
              <w:numPr>
                <w:ilvl w:val="0"/>
                <w:numId w:val="57"/>
              </w:numPr>
              <w:spacing w:line="293" w:lineRule="atLeast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Assist in d</w:t>
            </w:r>
            <w:r w:rsidR="001C56A4" w:rsidRPr="00EC631B">
              <w:rPr>
                <w:rFonts w:eastAsia="Times New Roman" w:cstheme="minorHAnsi"/>
              </w:rPr>
              <w:t>evelop</w:t>
            </w:r>
            <w:r>
              <w:rPr>
                <w:rFonts w:eastAsia="Times New Roman" w:cstheme="minorHAnsi"/>
              </w:rPr>
              <w:t>ment</w:t>
            </w:r>
            <w:r w:rsidR="001C56A4" w:rsidRPr="00EC631B">
              <w:rPr>
                <w:rFonts w:eastAsia="Times New Roman" w:cstheme="minorHAnsi"/>
              </w:rPr>
              <w:t xml:space="preserve">/update Public Finance Management </w:t>
            </w:r>
            <w:r w:rsidR="00046CD8" w:rsidRPr="00EC631B">
              <w:rPr>
                <w:rFonts w:eastAsia="Times New Roman" w:cstheme="minorHAnsi"/>
              </w:rPr>
              <w:t xml:space="preserve">Reforms </w:t>
            </w:r>
            <w:r w:rsidR="004E4ADC">
              <w:rPr>
                <w:rFonts w:eastAsia="Times New Roman" w:cstheme="minorHAnsi"/>
              </w:rPr>
              <w:t xml:space="preserve">strategy and </w:t>
            </w:r>
            <w:r w:rsidR="004A6E82">
              <w:rPr>
                <w:rFonts w:eastAsia="Times New Roman" w:cstheme="minorHAnsi"/>
              </w:rPr>
              <w:t xml:space="preserve">the </w:t>
            </w:r>
            <w:r w:rsidR="004E4ADC">
              <w:rPr>
                <w:rFonts w:eastAsia="Times New Roman" w:cstheme="minorHAnsi"/>
              </w:rPr>
              <w:t xml:space="preserve">implementation </w:t>
            </w:r>
            <w:r w:rsidR="00046CD8" w:rsidRPr="00EC631B">
              <w:rPr>
                <w:rFonts w:eastAsia="Times New Roman" w:cstheme="minorHAnsi"/>
              </w:rPr>
              <w:t>plan</w:t>
            </w:r>
            <w:r w:rsidR="001C56A4" w:rsidRPr="00EC631B">
              <w:rPr>
                <w:rFonts w:eastAsia="Times New Roman" w:cstheme="minorHAnsi"/>
              </w:rPr>
              <w:t xml:space="preserve"> </w:t>
            </w:r>
            <w:r w:rsidR="00046CD8" w:rsidRPr="00EC631B">
              <w:rPr>
                <w:rFonts w:eastAsia="Times New Roman" w:cstheme="minorHAnsi"/>
              </w:rPr>
              <w:t xml:space="preserve">in close consultation </w:t>
            </w:r>
            <w:r w:rsidR="0083718E" w:rsidRPr="00EC631B">
              <w:rPr>
                <w:rFonts w:eastAsia="Times New Roman" w:cstheme="minorHAnsi"/>
              </w:rPr>
              <w:t>with ke</w:t>
            </w:r>
            <w:r w:rsidR="00926119" w:rsidRPr="00EC631B">
              <w:rPr>
                <w:rFonts w:eastAsia="Times New Roman" w:cstheme="minorHAnsi"/>
              </w:rPr>
              <w:t xml:space="preserve">y </w:t>
            </w:r>
            <w:r w:rsidR="0083718E" w:rsidRPr="00EC631B">
              <w:rPr>
                <w:rFonts w:eastAsia="Times New Roman" w:cstheme="minorHAnsi"/>
              </w:rPr>
              <w:t>stakeholders, development partners</w:t>
            </w:r>
            <w:r w:rsidR="00926119" w:rsidRPr="00EC631B">
              <w:rPr>
                <w:rFonts w:eastAsia="Times New Roman" w:cstheme="minorHAnsi"/>
              </w:rPr>
              <w:t>,</w:t>
            </w:r>
            <w:r w:rsidR="0083718E" w:rsidRPr="00EC631B">
              <w:rPr>
                <w:rFonts w:eastAsia="Times New Roman" w:cstheme="minorHAnsi"/>
              </w:rPr>
              <w:t xml:space="preserve"> and IFIs working in the field of public finance management</w:t>
            </w:r>
            <w:r w:rsidR="004E4ADC">
              <w:rPr>
                <w:rFonts w:eastAsia="Times New Roman" w:cstheme="minorHAnsi"/>
              </w:rPr>
              <w:t xml:space="preserve"> </w:t>
            </w:r>
            <w:proofErr w:type="gramStart"/>
            <w:r w:rsidR="004E4ADC">
              <w:rPr>
                <w:rFonts w:eastAsia="Times New Roman" w:cstheme="minorHAnsi"/>
              </w:rPr>
              <w:t>reforms</w:t>
            </w:r>
            <w:proofErr w:type="gramEnd"/>
          </w:p>
          <w:p w14:paraId="6ABC4556" w14:textId="314D379C" w:rsidR="00B103A1" w:rsidRPr="00EC631B" w:rsidRDefault="00B103A1" w:rsidP="00B92B53">
            <w:pPr>
              <w:pStyle w:val="ListParagraph"/>
              <w:numPr>
                <w:ilvl w:val="0"/>
                <w:numId w:val="57"/>
              </w:numPr>
              <w:spacing w:line="293" w:lineRule="atLeast"/>
              <w:jc w:val="both"/>
              <w:textAlignment w:val="baseline"/>
              <w:rPr>
                <w:rFonts w:eastAsia="Times New Roman" w:cstheme="minorHAnsi"/>
              </w:rPr>
            </w:pPr>
            <w:r w:rsidRPr="00EC631B">
              <w:rPr>
                <w:rFonts w:eastAsia="Times New Roman" w:cstheme="minorHAnsi"/>
              </w:rPr>
              <w:t xml:space="preserve">Work closely </w:t>
            </w:r>
            <w:r w:rsidR="007C039C" w:rsidRPr="00EC631B">
              <w:rPr>
                <w:rFonts w:eastAsia="Times New Roman" w:cstheme="minorHAnsi"/>
              </w:rPr>
              <w:t xml:space="preserve">with </w:t>
            </w:r>
            <w:r w:rsidR="00E40196" w:rsidRPr="00EC631B">
              <w:rPr>
                <w:rFonts w:eastAsia="Times New Roman" w:cstheme="minorHAnsi"/>
              </w:rPr>
              <w:t xml:space="preserve">all other teams and experts </w:t>
            </w:r>
            <w:r w:rsidRPr="00EC631B">
              <w:rPr>
                <w:rFonts w:eastAsia="Times New Roman" w:cstheme="minorHAnsi"/>
              </w:rPr>
              <w:t xml:space="preserve">to link planning outcomes with budgeting </w:t>
            </w:r>
            <w:proofErr w:type="gramStart"/>
            <w:r w:rsidRPr="00EC631B">
              <w:rPr>
                <w:rFonts w:eastAsia="Times New Roman" w:cstheme="minorHAnsi"/>
              </w:rPr>
              <w:t>processes</w:t>
            </w:r>
            <w:proofErr w:type="gramEnd"/>
          </w:p>
          <w:p w14:paraId="0E65BFDB" w14:textId="3D49D9E2" w:rsidR="00B103A1" w:rsidRPr="009C6CE5" w:rsidRDefault="00B103A1" w:rsidP="00B92B53">
            <w:pPr>
              <w:pStyle w:val="ListParagraph"/>
              <w:numPr>
                <w:ilvl w:val="0"/>
                <w:numId w:val="57"/>
              </w:numPr>
              <w:spacing w:line="293" w:lineRule="atLeast"/>
              <w:jc w:val="both"/>
              <w:textAlignment w:val="baseline"/>
              <w:rPr>
                <w:rFonts w:eastAsia="Times New Roman" w:cstheme="minorHAnsi"/>
              </w:rPr>
            </w:pPr>
            <w:r w:rsidRPr="009C6CE5">
              <w:rPr>
                <w:rFonts w:eastAsia="Times New Roman" w:cstheme="minorHAnsi"/>
              </w:rPr>
              <w:t xml:space="preserve">Serve as project focal point for the Ministry of Finance in relation to </w:t>
            </w:r>
            <w:r w:rsidR="00BA35FF" w:rsidRPr="009C6CE5">
              <w:rPr>
                <w:rFonts w:eastAsia="Times New Roman" w:cstheme="minorHAnsi"/>
              </w:rPr>
              <w:t>overall Public finance management reform</w:t>
            </w:r>
            <w:r w:rsidR="009F36C9" w:rsidRPr="009C6CE5">
              <w:rPr>
                <w:rFonts w:eastAsia="Times New Roman" w:cstheme="minorHAnsi"/>
              </w:rPr>
              <w:t xml:space="preserve"> implementation</w:t>
            </w:r>
            <w:r w:rsidR="00BA35FF" w:rsidRPr="009C6CE5">
              <w:rPr>
                <w:rFonts w:eastAsia="Times New Roman" w:cstheme="minorHAnsi"/>
              </w:rPr>
              <w:t xml:space="preserve">, </w:t>
            </w:r>
            <w:r w:rsidR="004269AE" w:rsidRPr="009C6CE5">
              <w:rPr>
                <w:rFonts w:eastAsia="Times New Roman" w:cstheme="minorHAnsi"/>
              </w:rPr>
              <w:t xml:space="preserve">SDG-aligned </w:t>
            </w:r>
            <w:r w:rsidRPr="009C6CE5">
              <w:rPr>
                <w:rFonts w:eastAsia="Times New Roman" w:cstheme="minorHAnsi"/>
              </w:rPr>
              <w:t xml:space="preserve">budgeting, </w:t>
            </w:r>
            <w:r w:rsidR="000F3CC5" w:rsidRPr="009C6CE5">
              <w:rPr>
                <w:rFonts w:eastAsia="Times New Roman" w:cstheme="minorHAnsi"/>
              </w:rPr>
              <w:t xml:space="preserve">sector strategy costing processes, </w:t>
            </w:r>
            <w:r w:rsidRPr="009C6CE5">
              <w:rPr>
                <w:rFonts w:eastAsia="Times New Roman" w:cstheme="minorHAnsi"/>
              </w:rPr>
              <w:t>INFF roadmap development, etc.</w:t>
            </w:r>
          </w:p>
          <w:p w14:paraId="6F5A51BD" w14:textId="77777777" w:rsidR="00531F75" w:rsidRPr="009C6CE5" w:rsidRDefault="00531F75" w:rsidP="00B92B53">
            <w:pPr>
              <w:spacing w:line="293" w:lineRule="atLeast"/>
              <w:jc w:val="both"/>
              <w:textAlignment w:val="baseline"/>
              <w:rPr>
                <w:rFonts w:eastAsia="Times New Roman" w:cstheme="minorHAnsi"/>
                <w:i/>
                <w:iCs/>
                <w:bdr w:val="none" w:sz="0" w:space="0" w:color="auto" w:frame="1"/>
              </w:rPr>
            </w:pPr>
          </w:p>
          <w:p w14:paraId="276D6602" w14:textId="08C10144" w:rsidR="00916ED0" w:rsidRPr="009C6CE5" w:rsidRDefault="007B31CE" w:rsidP="00B92B53">
            <w:pPr>
              <w:spacing w:line="293" w:lineRule="atLeast"/>
              <w:jc w:val="both"/>
              <w:textAlignment w:val="baseline"/>
              <w:rPr>
                <w:rFonts w:eastAsia="Times New Roman" w:cstheme="minorHAnsi"/>
              </w:rPr>
            </w:pPr>
            <w:r w:rsidRPr="009C6CE5">
              <w:rPr>
                <w:rFonts w:eastAsia="Times New Roman" w:cstheme="minorHAnsi"/>
                <w:i/>
                <w:iCs/>
                <w:bdr w:val="none" w:sz="0" w:space="0" w:color="auto" w:frame="1"/>
              </w:rPr>
              <w:t>Integrating SDGs/Vision 2050 into medium term and annual budget policies</w:t>
            </w:r>
          </w:p>
          <w:p w14:paraId="0D8F6A77" w14:textId="6B308CD1" w:rsidR="00A26571" w:rsidRPr="00621AFB" w:rsidRDefault="006B7DE6" w:rsidP="00B86CA9">
            <w:pPr>
              <w:numPr>
                <w:ilvl w:val="0"/>
                <w:numId w:val="57"/>
              </w:numPr>
              <w:spacing w:line="293" w:lineRule="atLeast"/>
              <w:jc w:val="both"/>
              <w:textAlignment w:val="baseline"/>
              <w:rPr>
                <w:rFonts w:eastAsia="Times New Roman" w:cstheme="minorHAnsi"/>
              </w:rPr>
            </w:pPr>
            <w:r w:rsidRPr="009C6CE5">
              <w:rPr>
                <w:rFonts w:cstheme="minorHAnsi"/>
              </w:rPr>
              <w:t>Support the formulation and adoption of a medium-term expenditure framework, and linkage with corporate and sector planning processes.</w:t>
            </w:r>
            <w:r w:rsidR="00116CD8" w:rsidRPr="009C6CE5">
              <w:rPr>
                <w:rFonts w:cstheme="minorHAnsi"/>
              </w:rPr>
              <w:t xml:space="preserve"> Review existing operational budgetary processes, identify process gaps, </w:t>
            </w:r>
            <w:proofErr w:type="gramStart"/>
            <w:r w:rsidR="00116CD8" w:rsidRPr="009C6CE5">
              <w:rPr>
                <w:rFonts w:cstheme="minorHAnsi"/>
              </w:rPr>
              <w:t>recommend</w:t>
            </w:r>
            <w:proofErr w:type="gramEnd"/>
            <w:r w:rsidR="00116CD8" w:rsidRPr="009C6CE5">
              <w:rPr>
                <w:rFonts w:cstheme="minorHAnsi"/>
              </w:rPr>
              <w:t xml:space="preserve"> and implement process improvements</w:t>
            </w:r>
            <w:r w:rsidR="00C060C4" w:rsidRPr="009C6CE5">
              <w:rPr>
                <w:rFonts w:cstheme="minorHAnsi"/>
              </w:rPr>
              <w:t xml:space="preserve">. Guide better budget documentation, including through inclusion of forward year estimates, macroeconomic outlook, macro-fiscal targets and strategy, </w:t>
            </w:r>
            <w:proofErr w:type="gramStart"/>
            <w:r w:rsidR="00C060C4" w:rsidRPr="009C6CE5">
              <w:rPr>
                <w:rFonts w:cstheme="minorHAnsi"/>
              </w:rPr>
              <w:t>sector</w:t>
            </w:r>
            <w:proofErr w:type="gramEnd"/>
            <w:r w:rsidR="00621AFB">
              <w:rPr>
                <w:rFonts w:cstheme="minorHAnsi"/>
              </w:rPr>
              <w:t xml:space="preserve"> and local development</w:t>
            </w:r>
            <w:r w:rsidR="00C060C4" w:rsidRPr="009C6CE5">
              <w:rPr>
                <w:rFonts w:cstheme="minorHAnsi"/>
              </w:rPr>
              <w:t xml:space="preserve"> strategies, </w:t>
            </w:r>
            <w:r w:rsidR="009C6CE5" w:rsidRPr="009C6CE5">
              <w:rPr>
                <w:rFonts w:cstheme="minorHAnsi"/>
              </w:rPr>
              <w:t xml:space="preserve">monitoring indicators and targets, </w:t>
            </w:r>
            <w:r w:rsidR="00C060C4" w:rsidRPr="009C6CE5">
              <w:rPr>
                <w:rFonts w:cstheme="minorHAnsi"/>
              </w:rPr>
              <w:t>new policy initiatives, savings measures, fiscal risks, commitments, guarantees and other contingent liabilities</w:t>
            </w:r>
            <w:r w:rsidR="00621AFB">
              <w:rPr>
                <w:rFonts w:cstheme="minorHAnsi"/>
              </w:rPr>
              <w:t>.</w:t>
            </w:r>
          </w:p>
          <w:p w14:paraId="13082BB2" w14:textId="46CCC933" w:rsidR="00BB79D3" w:rsidRPr="00EC631B" w:rsidRDefault="00BB79D3" w:rsidP="00B86CA9">
            <w:pPr>
              <w:numPr>
                <w:ilvl w:val="0"/>
                <w:numId w:val="57"/>
              </w:numPr>
              <w:spacing w:line="293" w:lineRule="atLeast"/>
              <w:jc w:val="both"/>
              <w:textAlignment w:val="baseline"/>
              <w:rPr>
                <w:rFonts w:eastAsia="Times New Roman" w:cstheme="minorHAnsi"/>
              </w:rPr>
            </w:pPr>
            <w:r w:rsidRPr="009C6CE5">
              <w:rPr>
                <w:rFonts w:eastAsia="Times New Roman" w:cstheme="minorHAnsi"/>
              </w:rPr>
              <w:t xml:space="preserve">Assist in reflecting SDG/Vision 2050 targets and indicators into the MTEF and annual budgeting processes and documents in a systemic way, including specific support in relation to integrating SDGs into 2022-2024 MTEF </w:t>
            </w:r>
            <w:r w:rsidR="003F0C9F" w:rsidRPr="00621AFB">
              <w:rPr>
                <w:rFonts w:eastAsia="Times New Roman" w:cstheme="minorHAnsi"/>
              </w:rPr>
              <w:t xml:space="preserve">and annual budgets </w:t>
            </w:r>
            <w:r w:rsidRPr="00621AFB">
              <w:rPr>
                <w:rFonts w:eastAsia="Times New Roman" w:cstheme="minorHAnsi"/>
              </w:rPr>
              <w:t>for health, environment</w:t>
            </w:r>
            <w:r w:rsidR="002E10F0" w:rsidRPr="00621AFB">
              <w:rPr>
                <w:rFonts w:eastAsia="Times New Roman" w:cstheme="minorHAnsi"/>
              </w:rPr>
              <w:t xml:space="preserve"> and tourism</w:t>
            </w:r>
            <w:r w:rsidRPr="00621AFB">
              <w:rPr>
                <w:rFonts w:eastAsia="Times New Roman" w:cstheme="minorHAnsi"/>
              </w:rPr>
              <w:t>, education</w:t>
            </w:r>
            <w:r w:rsidR="002E10F0" w:rsidRPr="00621AFB">
              <w:rPr>
                <w:rFonts w:eastAsia="Times New Roman" w:cstheme="minorHAnsi"/>
              </w:rPr>
              <w:t xml:space="preserve"> and science</w:t>
            </w:r>
            <w:r w:rsidRPr="00621AFB">
              <w:rPr>
                <w:rFonts w:eastAsia="Times New Roman" w:cstheme="minorHAnsi"/>
              </w:rPr>
              <w:t>, employment, food, agriculture and light industry sectors</w:t>
            </w:r>
            <w:r w:rsidR="00D30C34" w:rsidRPr="00621AFB">
              <w:rPr>
                <w:rFonts w:eastAsia="Times New Roman" w:cstheme="minorHAnsi"/>
              </w:rPr>
              <w:t xml:space="preserve"> and </w:t>
            </w:r>
            <w:r w:rsidR="005C7672" w:rsidRPr="00621AFB">
              <w:rPr>
                <w:rFonts w:eastAsia="Times New Roman" w:cstheme="minorHAnsi"/>
              </w:rPr>
              <w:t>pilot</w:t>
            </w:r>
            <w:r w:rsidR="005C7672" w:rsidRPr="009C6CE5">
              <w:rPr>
                <w:rFonts w:eastAsia="Times New Roman" w:cstheme="minorHAnsi"/>
              </w:rPr>
              <w:t xml:space="preserve"> local governments</w:t>
            </w:r>
            <w:r w:rsidRPr="00EC631B">
              <w:rPr>
                <w:rFonts w:eastAsia="Times New Roman" w:cstheme="minorHAnsi"/>
              </w:rPr>
              <w:t>.</w:t>
            </w:r>
          </w:p>
          <w:p w14:paraId="627704AF" w14:textId="1DD4DB2A" w:rsidR="007B31CE" w:rsidRPr="00EC631B" w:rsidRDefault="007B31CE" w:rsidP="00D02CED">
            <w:pPr>
              <w:numPr>
                <w:ilvl w:val="0"/>
                <w:numId w:val="57"/>
              </w:numPr>
              <w:spacing w:line="293" w:lineRule="atLeast"/>
              <w:jc w:val="both"/>
              <w:textAlignment w:val="baseline"/>
              <w:rPr>
                <w:rFonts w:eastAsia="Times New Roman" w:cstheme="minorHAnsi"/>
              </w:rPr>
            </w:pPr>
            <w:r w:rsidRPr="00EC631B">
              <w:rPr>
                <w:rFonts w:eastAsia="Times New Roman" w:cstheme="minorHAnsi"/>
              </w:rPr>
              <w:t xml:space="preserve">Support the Ministry of Finance </w:t>
            </w:r>
            <w:r w:rsidR="007832B8" w:rsidRPr="00EC631B">
              <w:rPr>
                <w:rFonts w:eastAsia="Times New Roman" w:cstheme="minorHAnsi"/>
              </w:rPr>
              <w:t>(</w:t>
            </w:r>
            <w:proofErr w:type="gramStart"/>
            <w:r w:rsidRPr="00EC631B">
              <w:rPr>
                <w:rFonts w:eastAsia="Times New Roman" w:cstheme="minorHAnsi"/>
              </w:rPr>
              <w:t>M</w:t>
            </w:r>
            <w:r w:rsidR="007832B8" w:rsidRPr="00EC631B">
              <w:rPr>
                <w:rFonts w:eastAsia="Times New Roman" w:cstheme="minorHAnsi"/>
              </w:rPr>
              <w:t>O</w:t>
            </w:r>
            <w:r w:rsidRPr="00EC631B">
              <w:rPr>
                <w:rFonts w:eastAsia="Times New Roman" w:cstheme="minorHAnsi"/>
              </w:rPr>
              <w:t>F</w:t>
            </w:r>
            <w:r w:rsidR="007832B8" w:rsidRPr="00EC631B">
              <w:rPr>
                <w:rFonts w:eastAsia="Times New Roman" w:cstheme="minorHAnsi"/>
              </w:rPr>
              <w:t xml:space="preserve">) </w:t>
            </w:r>
            <w:r w:rsidRPr="00EC631B">
              <w:rPr>
                <w:rFonts w:eastAsia="Times New Roman" w:cstheme="minorHAnsi"/>
              </w:rPr>
              <w:t xml:space="preserve"> in</w:t>
            </w:r>
            <w:proofErr w:type="gramEnd"/>
            <w:r w:rsidRPr="00EC631B">
              <w:rPr>
                <w:rFonts w:eastAsia="Times New Roman" w:cstheme="minorHAnsi"/>
              </w:rPr>
              <w:t xml:space="preserve"> adjusting and adopting the MTEF and </w:t>
            </w:r>
            <w:r w:rsidR="00D57900">
              <w:rPr>
                <w:rFonts w:eastAsia="Times New Roman" w:cstheme="minorHAnsi"/>
              </w:rPr>
              <w:t xml:space="preserve">annual </w:t>
            </w:r>
            <w:r w:rsidRPr="00EC631B">
              <w:rPr>
                <w:rFonts w:eastAsia="Times New Roman" w:cstheme="minorHAnsi"/>
              </w:rPr>
              <w:t>budget methodological instructions </w:t>
            </w:r>
            <w:r w:rsidR="00FC735B" w:rsidRPr="00EC631B">
              <w:rPr>
                <w:rFonts w:eastAsia="Times New Roman" w:cstheme="minorHAnsi"/>
              </w:rPr>
              <w:t xml:space="preserve">and circulars </w:t>
            </w:r>
            <w:r w:rsidRPr="00EC631B">
              <w:rPr>
                <w:rFonts w:eastAsia="Times New Roman" w:cstheme="minorHAnsi"/>
              </w:rPr>
              <w:t xml:space="preserve">for SDG </w:t>
            </w:r>
            <w:r w:rsidR="00053B08" w:rsidRPr="00EC631B">
              <w:rPr>
                <w:rFonts w:eastAsia="Times New Roman" w:cstheme="minorHAnsi"/>
              </w:rPr>
              <w:t xml:space="preserve">and national development </w:t>
            </w:r>
            <w:r w:rsidR="00EF48CC">
              <w:rPr>
                <w:rFonts w:eastAsia="Times New Roman" w:cstheme="minorHAnsi"/>
              </w:rPr>
              <w:t>policy</w:t>
            </w:r>
            <w:r w:rsidR="00053B08" w:rsidRPr="00EC631B">
              <w:rPr>
                <w:rFonts w:eastAsia="Times New Roman" w:cstheme="minorHAnsi"/>
              </w:rPr>
              <w:t xml:space="preserve"> </w:t>
            </w:r>
            <w:r w:rsidRPr="00EC631B">
              <w:rPr>
                <w:rFonts w:eastAsia="Times New Roman" w:cstheme="minorHAnsi"/>
              </w:rPr>
              <w:t>alignmen</w:t>
            </w:r>
            <w:r w:rsidR="00207CB2" w:rsidRPr="00EC631B">
              <w:rPr>
                <w:rFonts w:eastAsia="Times New Roman" w:cstheme="minorHAnsi"/>
              </w:rPr>
              <w:t>t</w:t>
            </w:r>
          </w:p>
          <w:p w14:paraId="0AFB85EB" w14:textId="5C0E44B2" w:rsidR="007B31CE" w:rsidRPr="00EC631B" w:rsidRDefault="007B31CE" w:rsidP="00B86CA9">
            <w:pPr>
              <w:numPr>
                <w:ilvl w:val="0"/>
                <w:numId w:val="57"/>
              </w:numPr>
              <w:spacing w:line="293" w:lineRule="atLeast"/>
              <w:jc w:val="both"/>
              <w:textAlignment w:val="baseline"/>
              <w:rPr>
                <w:rFonts w:eastAsia="Times New Roman" w:cstheme="minorHAnsi"/>
              </w:rPr>
            </w:pPr>
            <w:r w:rsidRPr="00EC631B">
              <w:rPr>
                <w:rFonts w:eastAsia="Times New Roman" w:cstheme="minorHAnsi"/>
              </w:rPr>
              <w:lastRenderedPageBreak/>
              <w:t>Provide capacity development and support to the M</w:t>
            </w:r>
            <w:r w:rsidR="007832B8" w:rsidRPr="00EC631B">
              <w:rPr>
                <w:rFonts w:eastAsia="Times New Roman" w:cstheme="minorHAnsi"/>
              </w:rPr>
              <w:t>O</w:t>
            </w:r>
            <w:r w:rsidRPr="00EC631B">
              <w:rPr>
                <w:rFonts w:eastAsia="Times New Roman" w:cstheme="minorHAnsi"/>
              </w:rPr>
              <w:t>F, line Ministries</w:t>
            </w:r>
            <w:r w:rsidR="00D56B6C" w:rsidRPr="00EC631B">
              <w:rPr>
                <w:rFonts w:eastAsia="Times New Roman" w:cstheme="minorHAnsi"/>
              </w:rPr>
              <w:t xml:space="preserve">, local </w:t>
            </w:r>
            <w:proofErr w:type="gramStart"/>
            <w:r w:rsidR="00D56B6C" w:rsidRPr="00EC631B">
              <w:rPr>
                <w:rFonts w:eastAsia="Times New Roman" w:cstheme="minorHAnsi"/>
              </w:rPr>
              <w:t xml:space="preserve">governments, </w:t>
            </w:r>
            <w:r w:rsidRPr="00EC631B">
              <w:rPr>
                <w:rFonts w:eastAsia="Times New Roman" w:cstheme="minorHAnsi"/>
              </w:rPr>
              <w:t xml:space="preserve"> and</w:t>
            </w:r>
            <w:proofErr w:type="gramEnd"/>
            <w:r w:rsidRPr="00EC631B">
              <w:rPr>
                <w:rFonts w:eastAsia="Times New Roman" w:cstheme="minorHAnsi"/>
              </w:rPr>
              <w:t xml:space="preserve"> relevant committees of the</w:t>
            </w:r>
            <w:r w:rsidR="00207CB2" w:rsidRPr="00EC631B">
              <w:rPr>
                <w:rFonts w:eastAsia="Times New Roman" w:cstheme="minorHAnsi"/>
              </w:rPr>
              <w:t xml:space="preserve"> </w:t>
            </w:r>
            <w:r w:rsidR="00463FA8" w:rsidRPr="00EC631B">
              <w:rPr>
                <w:rFonts w:eastAsia="Times New Roman" w:cstheme="minorHAnsi"/>
              </w:rPr>
              <w:t xml:space="preserve">State Great </w:t>
            </w:r>
            <w:proofErr w:type="spellStart"/>
            <w:r w:rsidR="00463FA8" w:rsidRPr="00EC631B">
              <w:rPr>
                <w:rFonts w:eastAsia="Times New Roman" w:cstheme="minorHAnsi"/>
              </w:rPr>
              <w:t>Khural</w:t>
            </w:r>
            <w:proofErr w:type="spellEnd"/>
            <w:r w:rsidRPr="00EC631B">
              <w:rPr>
                <w:rFonts w:eastAsia="Times New Roman" w:cstheme="minorHAnsi"/>
              </w:rPr>
              <w:t xml:space="preserve"> with more effective and SDG-informed budget negotiations.</w:t>
            </w:r>
          </w:p>
          <w:p w14:paraId="6E4D41C3" w14:textId="518DC699" w:rsidR="007B31CE" w:rsidRPr="00EC631B" w:rsidRDefault="007B31CE" w:rsidP="00B86CA9">
            <w:pPr>
              <w:numPr>
                <w:ilvl w:val="0"/>
                <w:numId w:val="57"/>
              </w:numPr>
              <w:spacing w:line="293" w:lineRule="atLeast"/>
              <w:jc w:val="both"/>
              <w:textAlignment w:val="baseline"/>
              <w:rPr>
                <w:rFonts w:eastAsia="Times New Roman" w:cstheme="minorHAnsi"/>
              </w:rPr>
            </w:pPr>
            <w:r w:rsidRPr="00EC631B">
              <w:rPr>
                <w:rFonts w:eastAsia="Times New Roman" w:cstheme="minorHAnsi"/>
              </w:rPr>
              <w:t>Provide overall methodology support to the</w:t>
            </w:r>
            <w:r w:rsidR="0038057F" w:rsidRPr="00EC631B">
              <w:rPr>
                <w:rFonts w:eastAsia="Times New Roman" w:cstheme="minorHAnsi"/>
              </w:rPr>
              <w:t xml:space="preserve"> MOF</w:t>
            </w:r>
            <w:r w:rsidR="005541C5" w:rsidRPr="00EC631B">
              <w:rPr>
                <w:rFonts w:eastAsia="Times New Roman" w:cstheme="minorHAnsi"/>
              </w:rPr>
              <w:t>,</w:t>
            </w:r>
            <w:r w:rsidRPr="00EC631B">
              <w:rPr>
                <w:rFonts w:eastAsia="Times New Roman" w:cstheme="minorHAnsi"/>
              </w:rPr>
              <w:t xml:space="preserve"> </w:t>
            </w:r>
            <w:r w:rsidR="005541C5" w:rsidRPr="00EC631B">
              <w:rPr>
                <w:rFonts w:eastAsia="Times New Roman" w:cstheme="minorHAnsi"/>
              </w:rPr>
              <w:t>l</w:t>
            </w:r>
            <w:r w:rsidRPr="00EC631B">
              <w:rPr>
                <w:rFonts w:eastAsia="Times New Roman" w:cstheme="minorHAnsi"/>
              </w:rPr>
              <w:t>ine ministries</w:t>
            </w:r>
            <w:r w:rsidR="005541C5" w:rsidRPr="00EC631B">
              <w:rPr>
                <w:rFonts w:eastAsia="Times New Roman" w:cstheme="minorHAnsi"/>
              </w:rPr>
              <w:t>, and local governments</w:t>
            </w:r>
            <w:r w:rsidRPr="00EC631B">
              <w:rPr>
                <w:rFonts w:eastAsia="Times New Roman" w:cstheme="minorHAnsi"/>
              </w:rPr>
              <w:t xml:space="preserve"> in effective integration of SDG targets and indicators in KPI framework during the pre-budget negotiations.</w:t>
            </w:r>
          </w:p>
          <w:p w14:paraId="24E0DB4A" w14:textId="4B44EE02" w:rsidR="007B31CE" w:rsidRPr="004A6E82" w:rsidRDefault="007B31CE" w:rsidP="00B86CA9">
            <w:pPr>
              <w:numPr>
                <w:ilvl w:val="0"/>
                <w:numId w:val="57"/>
              </w:numPr>
              <w:spacing w:line="293" w:lineRule="atLeast"/>
              <w:jc w:val="both"/>
              <w:textAlignment w:val="baseline"/>
              <w:rPr>
                <w:rFonts w:eastAsia="Times New Roman" w:cstheme="minorHAnsi"/>
              </w:rPr>
            </w:pPr>
            <w:r w:rsidRPr="004A6E82">
              <w:rPr>
                <w:rFonts w:eastAsia="Times New Roman" w:cstheme="minorHAnsi"/>
              </w:rPr>
              <w:t xml:space="preserve">Develop coding/tagging principles and provide recommendations on a coding model suitable for </w:t>
            </w:r>
            <w:r w:rsidR="00DB634D" w:rsidRPr="004A6E82">
              <w:rPr>
                <w:rFonts w:eastAsia="Times New Roman" w:cstheme="minorHAnsi"/>
              </w:rPr>
              <w:t>Mongolia</w:t>
            </w:r>
            <w:r w:rsidRPr="004A6E82">
              <w:rPr>
                <w:rFonts w:eastAsia="Times New Roman" w:cstheme="minorHAnsi"/>
              </w:rPr>
              <w:t xml:space="preserve"> for SDG</w:t>
            </w:r>
            <w:r w:rsidR="00DB634D" w:rsidRPr="004A6E82">
              <w:rPr>
                <w:rFonts w:eastAsia="Times New Roman" w:cstheme="minorHAnsi"/>
              </w:rPr>
              <w:t>-</w:t>
            </w:r>
            <w:r w:rsidRPr="004A6E82">
              <w:rPr>
                <w:rFonts w:eastAsia="Times New Roman" w:cstheme="minorHAnsi"/>
              </w:rPr>
              <w:t xml:space="preserve">aligned programmes and projects within the MTEF and budget </w:t>
            </w:r>
            <w:proofErr w:type="spellStart"/>
            <w:r w:rsidRPr="004A6E82">
              <w:rPr>
                <w:rFonts w:eastAsia="Times New Roman" w:cstheme="minorHAnsi"/>
              </w:rPr>
              <w:t>programme</w:t>
            </w:r>
            <w:proofErr w:type="spellEnd"/>
            <w:r w:rsidRPr="004A6E82">
              <w:rPr>
                <w:rFonts w:eastAsia="Times New Roman" w:cstheme="minorHAnsi"/>
              </w:rPr>
              <w:t xml:space="preserve"> classification structure for better tracking of budgets in line with th</w:t>
            </w:r>
            <w:r w:rsidR="00E70E91" w:rsidRPr="004A6E82">
              <w:rPr>
                <w:rFonts w:eastAsia="Times New Roman" w:cstheme="minorHAnsi"/>
              </w:rPr>
              <w:t xml:space="preserve">e national and </w:t>
            </w:r>
            <w:r w:rsidRPr="004A6E82">
              <w:rPr>
                <w:rFonts w:eastAsia="Times New Roman" w:cstheme="minorHAnsi"/>
              </w:rPr>
              <w:t xml:space="preserve">sectoral </w:t>
            </w:r>
            <w:proofErr w:type="gramStart"/>
            <w:r w:rsidRPr="004A6E82">
              <w:rPr>
                <w:rFonts w:eastAsia="Times New Roman" w:cstheme="minorHAnsi"/>
              </w:rPr>
              <w:t>strategies</w:t>
            </w:r>
            <w:proofErr w:type="gramEnd"/>
          </w:p>
          <w:p w14:paraId="00BD3AE3" w14:textId="286BBCAE" w:rsidR="00116CD8" w:rsidRPr="00EC631B" w:rsidRDefault="00547775" w:rsidP="00B86CA9">
            <w:pPr>
              <w:numPr>
                <w:ilvl w:val="0"/>
                <w:numId w:val="57"/>
              </w:numPr>
              <w:spacing w:line="293" w:lineRule="atLeast"/>
              <w:jc w:val="both"/>
              <w:textAlignment w:val="baseline"/>
              <w:rPr>
                <w:rFonts w:eastAsia="Times New Roman" w:cstheme="minorHAnsi"/>
              </w:rPr>
            </w:pPr>
            <w:r w:rsidRPr="00EC631B">
              <w:rPr>
                <w:rFonts w:eastAsia="Times New Roman" w:cstheme="minorHAnsi"/>
              </w:rPr>
              <w:t>Develop</w:t>
            </w:r>
            <w:r w:rsidR="005F41C9">
              <w:rPr>
                <w:rFonts w:eastAsia="Times New Roman" w:cstheme="minorHAnsi"/>
              </w:rPr>
              <w:t>/</w:t>
            </w:r>
            <w:proofErr w:type="gramStart"/>
            <w:r w:rsidR="005F41C9">
              <w:rPr>
                <w:rFonts w:eastAsia="Times New Roman" w:cstheme="minorHAnsi"/>
              </w:rPr>
              <w:t xml:space="preserve">refine </w:t>
            </w:r>
            <w:r w:rsidRPr="00EC631B">
              <w:rPr>
                <w:rFonts w:eastAsia="Times New Roman" w:cstheme="minorHAnsi"/>
              </w:rPr>
              <w:t xml:space="preserve"> </w:t>
            </w:r>
            <w:r w:rsidR="00E83D07" w:rsidRPr="00EC631B">
              <w:rPr>
                <w:rFonts w:eastAsia="Times New Roman" w:cstheme="minorHAnsi"/>
              </w:rPr>
              <w:t>a</w:t>
            </w:r>
            <w:proofErr w:type="gramEnd"/>
            <w:r w:rsidR="00E83D07" w:rsidRPr="00EC631B">
              <w:rPr>
                <w:rFonts w:eastAsia="Times New Roman" w:cstheme="minorHAnsi"/>
              </w:rPr>
              <w:t xml:space="preserve"> manual </w:t>
            </w:r>
            <w:r w:rsidR="001743C2" w:rsidRPr="00EC631B">
              <w:rPr>
                <w:rFonts w:eastAsia="Times New Roman" w:cstheme="minorHAnsi"/>
              </w:rPr>
              <w:t xml:space="preserve">for </w:t>
            </w:r>
            <w:r w:rsidR="00E83D07" w:rsidRPr="00EC631B">
              <w:rPr>
                <w:rFonts w:eastAsia="Times New Roman" w:cstheme="minorHAnsi"/>
              </w:rPr>
              <w:t xml:space="preserve">conducting </w:t>
            </w:r>
            <w:r w:rsidR="00A03A44">
              <w:rPr>
                <w:rFonts w:eastAsia="Times New Roman" w:cstheme="minorHAnsi"/>
              </w:rPr>
              <w:t xml:space="preserve">review of </w:t>
            </w:r>
            <w:r w:rsidR="005F41C9">
              <w:rPr>
                <w:rFonts w:eastAsia="Times New Roman" w:cstheme="minorHAnsi"/>
              </w:rPr>
              <w:t xml:space="preserve">sector </w:t>
            </w:r>
            <w:r w:rsidR="00340C9A">
              <w:rPr>
                <w:rFonts w:eastAsia="Times New Roman" w:cstheme="minorHAnsi"/>
              </w:rPr>
              <w:t xml:space="preserve">MTEF and annual </w:t>
            </w:r>
            <w:r w:rsidR="00F02BBF">
              <w:rPr>
                <w:rFonts w:eastAsia="Times New Roman" w:cstheme="minorHAnsi"/>
              </w:rPr>
              <w:t xml:space="preserve">budget </w:t>
            </w:r>
            <w:proofErr w:type="spellStart"/>
            <w:r w:rsidR="00A03A44">
              <w:rPr>
                <w:rFonts w:eastAsia="Times New Roman" w:cstheme="minorHAnsi"/>
              </w:rPr>
              <w:t>requests</w:t>
            </w:r>
            <w:r w:rsidR="00697F38">
              <w:rPr>
                <w:rFonts w:eastAsia="Times New Roman" w:cstheme="minorHAnsi"/>
              </w:rPr>
              <w:t>by</w:t>
            </w:r>
            <w:proofErr w:type="spellEnd"/>
            <w:r w:rsidR="00697F38">
              <w:rPr>
                <w:rFonts w:eastAsia="Times New Roman" w:cstheme="minorHAnsi"/>
              </w:rPr>
              <w:t xml:space="preserve"> </w:t>
            </w:r>
            <w:r w:rsidR="00DC2771">
              <w:rPr>
                <w:rFonts w:eastAsia="Times New Roman" w:cstheme="minorHAnsi"/>
              </w:rPr>
              <w:t xml:space="preserve">MOF </w:t>
            </w:r>
          </w:p>
          <w:p w14:paraId="08E09F1B" w14:textId="1A99B60D" w:rsidR="00753EAC" w:rsidRPr="00EC631B" w:rsidRDefault="00753EAC" w:rsidP="00B86CA9">
            <w:pPr>
              <w:numPr>
                <w:ilvl w:val="0"/>
                <w:numId w:val="57"/>
              </w:numPr>
              <w:spacing w:line="293" w:lineRule="atLeast"/>
              <w:jc w:val="both"/>
              <w:textAlignment w:val="baseline"/>
              <w:rPr>
                <w:rFonts w:eastAsia="Times New Roman" w:cstheme="minorHAnsi"/>
              </w:rPr>
            </w:pPr>
            <w:r w:rsidRPr="00EC631B">
              <w:rPr>
                <w:rFonts w:cstheme="minorHAnsi"/>
              </w:rPr>
              <w:t xml:space="preserve">Provide hands-on functional training in preparing </w:t>
            </w:r>
            <w:r w:rsidR="00427F45" w:rsidRPr="00EC631B">
              <w:rPr>
                <w:rFonts w:cstheme="minorHAnsi"/>
              </w:rPr>
              <w:t xml:space="preserve">MTEF and annual </w:t>
            </w:r>
            <w:r w:rsidRPr="00EC631B">
              <w:rPr>
                <w:rFonts w:cstheme="minorHAnsi"/>
              </w:rPr>
              <w:t xml:space="preserve">budget documentation and </w:t>
            </w:r>
            <w:proofErr w:type="gramStart"/>
            <w:r w:rsidRPr="00EC631B">
              <w:rPr>
                <w:rFonts w:cstheme="minorHAnsi"/>
              </w:rPr>
              <w:t>reports</w:t>
            </w:r>
            <w:proofErr w:type="gramEnd"/>
          </w:p>
          <w:p w14:paraId="132ED2C9" w14:textId="77777777" w:rsidR="00DB634D" w:rsidRPr="00EC631B" w:rsidRDefault="00DB634D" w:rsidP="00B86CA9">
            <w:pPr>
              <w:spacing w:line="293" w:lineRule="atLeast"/>
              <w:jc w:val="both"/>
              <w:textAlignment w:val="baseline"/>
              <w:rPr>
                <w:rFonts w:eastAsia="Times New Roman" w:cstheme="minorHAnsi"/>
                <w:i/>
                <w:iCs/>
                <w:bdr w:val="none" w:sz="0" w:space="0" w:color="auto" w:frame="1"/>
              </w:rPr>
            </w:pPr>
          </w:p>
          <w:p w14:paraId="3BAE4D0C" w14:textId="055B1B31" w:rsidR="00C53F9D" w:rsidRPr="00EC631B" w:rsidRDefault="00C53F9D" w:rsidP="00B86CA9">
            <w:pPr>
              <w:jc w:val="both"/>
              <w:textAlignment w:val="baseline"/>
              <w:rPr>
                <w:rFonts w:eastAsia="Times New Roman" w:cstheme="minorHAnsi"/>
              </w:rPr>
            </w:pPr>
            <w:r w:rsidRPr="00EC631B">
              <w:rPr>
                <w:rFonts w:eastAsia="Times New Roman" w:cstheme="minorHAnsi"/>
                <w:i/>
                <w:iCs/>
                <w:bdr w:val="none" w:sz="0" w:space="0" w:color="auto" w:frame="1"/>
              </w:rPr>
              <w:t>Strengthening SDG budget monitoring and reporting systems</w:t>
            </w:r>
          </w:p>
          <w:p w14:paraId="28CE953C" w14:textId="2768B9D5" w:rsidR="00C53F9D" w:rsidRPr="00EC631B" w:rsidRDefault="00C53F9D" w:rsidP="00B86CA9">
            <w:pPr>
              <w:numPr>
                <w:ilvl w:val="0"/>
                <w:numId w:val="57"/>
              </w:numPr>
              <w:jc w:val="both"/>
              <w:textAlignment w:val="baseline"/>
              <w:rPr>
                <w:rFonts w:eastAsia="Times New Roman" w:cstheme="minorHAnsi"/>
              </w:rPr>
            </w:pPr>
            <w:r w:rsidRPr="00EC631B">
              <w:rPr>
                <w:rFonts w:eastAsia="Times New Roman" w:cstheme="minorHAnsi"/>
              </w:rPr>
              <w:t>Assist in developing monitoring and expenditure effectiveness analyses</w:t>
            </w:r>
            <w:r w:rsidR="000D5F3E" w:rsidRPr="00EC631B">
              <w:rPr>
                <w:rFonts w:eastAsia="Times New Roman" w:cstheme="minorHAnsi"/>
              </w:rPr>
              <w:t xml:space="preserve"> (program </w:t>
            </w:r>
            <w:r w:rsidR="007F1151" w:rsidRPr="00EC631B">
              <w:rPr>
                <w:rFonts w:eastAsia="Times New Roman" w:cstheme="minorHAnsi"/>
              </w:rPr>
              <w:t>evaluation</w:t>
            </w:r>
            <w:r w:rsidR="000D5F3E" w:rsidRPr="00EC631B">
              <w:rPr>
                <w:rFonts w:eastAsia="Times New Roman" w:cstheme="minorHAnsi"/>
              </w:rPr>
              <w:t>)</w:t>
            </w:r>
            <w:r w:rsidRPr="00EC631B">
              <w:rPr>
                <w:rFonts w:eastAsia="Times New Roman" w:cstheme="minorHAnsi"/>
              </w:rPr>
              <w:t xml:space="preserve"> on priority SDG targets/indicators</w:t>
            </w:r>
            <w:r w:rsidR="00801A11" w:rsidRPr="00EC631B">
              <w:rPr>
                <w:rFonts w:eastAsia="Times New Roman" w:cstheme="minorHAnsi"/>
              </w:rPr>
              <w:t>/programs</w:t>
            </w:r>
            <w:r w:rsidRPr="00EC631B">
              <w:rPr>
                <w:rFonts w:eastAsia="Times New Roman" w:cstheme="minorHAnsi"/>
              </w:rPr>
              <w:t xml:space="preserve"> to showcase the usefulness of such feedback mechanisms for both improved budget accountability, transparency</w:t>
            </w:r>
            <w:r w:rsidR="00145DE3">
              <w:rPr>
                <w:rFonts w:eastAsia="Times New Roman" w:cstheme="minorHAnsi"/>
              </w:rPr>
              <w:t>,</w:t>
            </w:r>
            <w:r w:rsidRPr="00EC631B">
              <w:rPr>
                <w:rFonts w:eastAsia="Times New Roman" w:cstheme="minorHAnsi"/>
              </w:rPr>
              <w:t xml:space="preserve"> and budget decision-making </w:t>
            </w:r>
            <w:proofErr w:type="gramStart"/>
            <w:r w:rsidRPr="00EC631B">
              <w:rPr>
                <w:rFonts w:eastAsia="Times New Roman" w:cstheme="minorHAnsi"/>
              </w:rPr>
              <w:t>processes</w:t>
            </w:r>
            <w:proofErr w:type="gramEnd"/>
          </w:p>
          <w:p w14:paraId="183FEA67" w14:textId="19DB8696" w:rsidR="00C53F9D" w:rsidRDefault="00C53F9D" w:rsidP="00B86CA9">
            <w:pPr>
              <w:numPr>
                <w:ilvl w:val="0"/>
                <w:numId w:val="57"/>
              </w:numPr>
              <w:jc w:val="both"/>
              <w:textAlignment w:val="baseline"/>
              <w:rPr>
                <w:rFonts w:eastAsia="Times New Roman" w:cstheme="minorHAnsi"/>
              </w:rPr>
            </w:pPr>
            <w:r w:rsidRPr="00EC631B">
              <w:rPr>
                <w:rFonts w:eastAsia="Times New Roman" w:cstheme="minorHAnsi"/>
              </w:rPr>
              <w:t xml:space="preserve">Support in bridging the budget expenditure performance reporting framework with government’s SDG reporting framework (incl. SDG statistics system of the National Statistics </w:t>
            </w:r>
            <w:r w:rsidR="008E6D5C" w:rsidRPr="00EC631B">
              <w:rPr>
                <w:rFonts w:eastAsia="Times New Roman" w:cstheme="minorHAnsi"/>
              </w:rPr>
              <w:t>Office</w:t>
            </w:r>
            <w:r w:rsidRPr="00EC631B">
              <w:rPr>
                <w:rFonts w:eastAsia="Times New Roman" w:cstheme="minorHAnsi"/>
              </w:rPr>
              <w:t xml:space="preserve">), including in specific processes such as </w:t>
            </w:r>
            <w:r w:rsidR="0012109F" w:rsidRPr="00EC631B">
              <w:rPr>
                <w:rFonts w:eastAsia="Times New Roman" w:cstheme="minorHAnsi"/>
              </w:rPr>
              <w:t>spending reviews</w:t>
            </w:r>
            <w:r w:rsidRPr="00EC631B">
              <w:rPr>
                <w:rFonts w:eastAsia="Times New Roman" w:cstheme="minorHAnsi"/>
              </w:rPr>
              <w:t>, etc.</w:t>
            </w:r>
          </w:p>
          <w:p w14:paraId="45BF3730" w14:textId="203E02AE" w:rsidR="002B6B0D" w:rsidRPr="00EC631B" w:rsidRDefault="00801A11" w:rsidP="00B86CA9">
            <w:pPr>
              <w:numPr>
                <w:ilvl w:val="0"/>
                <w:numId w:val="57"/>
              </w:numPr>
              <w:jc w:val="both"/>
              <w:textAlignment w:val="baseline"/>
              <w:rPr>
                <w:rFonts w:eastAsia="Times New Roman" w:cstheme="minorHAnsi"/>
              </w:rPr>
            </w:pPr>
            <w:proofErr w:type="gramStart"/>
            <w:r w:rsidRPr="00EC631B">
              <w:rPr>
                <w:rFonts w:eastAsia="Times New Roman" w:cstheme="minorHAnsi"/>
              </w:rPr>
              <w:t>D</w:t>
            </w:r>
            <w:r w:rsidR="00187FD1" w:rsidRPr="00EC631B">
              <w:rPr>
                <w:rFonts w:eastAsia="Times New Roman" w:cstheme="minorHAnsi"/>
              </w:rPr>
              <w:t>e</w:t>
            </w:r>
            <w:r w:rsidRPr="00EC631B">
              <w:rPr>
                <w:rFonts w:eastAsia="Times New Roman" w:cstheme="minorHAnsi"/>
              </w:rPr>
              <w:t>velop  manual</w:t>
            </w:r>
            <w:r w:rsidR="00155C62">
              <w:rPr>
                <w:rFonts w:eastAsia="Times New Roman" w:cstheme="minorHAnsi"/>
              </w:rPr>
              <w:t>s</w:t>
            </w:r>
            <w:proofErr w:type="gramEnd"/>
            <w:r w:rsidRPr="00EC631B">
              <w:rPr>
                <w:rFonts w:eastAsia="Times New Roman" w:cstheme="minorHAnsi"/>
              </w:rPr>
              <w:t xml:space="preserve"> for conducting </w:t>
            </w:r>
            <w:r w:rsidR="006E47A2">
              <w:rPr>
                <w:rFonts w:eastAsia="Times New Roman" w:cstheme="minorHAnsi"/>
              </w:rPr>
              <w:t>expenditure effectiveness analys</w:t>
            </w:r>
            <w:r w:rsidR="00EA0257">
              <w:rPr>
                <w:rFonts w:eastAsia="Times New Roman" w:cstheme="minorHAnsi"/>
              </w:rPr>
              <w:t xml:space="preserve">is </w:t>
            </w:r>
            <w:r w:rsidR="00304165">
              <w:rPr>
                <w:rFonts w:eastAsia="Times New Roman" w:cstheme="minorHAnsi"/>
              </w:rPr>
              <w:t>(spending reviews</w:t>
            </w:r>
            <w:r w:rsidR="007B54C2">
              <w:rPr>
                <w:rFonts w:eastAsia="Times New Roman" w:cstheme="minorHAnsi"/>
              </w:rPr>
              <w:t xml:space="preserve">, </w:t>
            </w:r>
            <w:r w:rsidR="00155C62">
              <w:rPr>
                <w:rFonts w:eastAsia="Times New Roman" w:cstheme="minorHAnsi"/>
              </w:rPr>
              <w:t xml:space="preserve">expenditure analysis </w:t>
            </w:r>
            <w:r w:rsidR="00304165">
              <w:rPr>
                <w:rFonts w:eastAsia="Times New Roman" w:cstheme="minorHAnsi"/>
              </w:rPr>
              <w:t xml:space="preserve"> and</w:t>
            </w:r>
            <w:r w:rsidR="006F5D8F">
              <w:rPr>
                <w:rFonts w:eastAsia="Times New Roman" w:cstheme="minorHAnsi"/>
                <w:lang w:val="mn-MN"/>
              </w:rPr>
              <w:t xml:space="preserve"> </w:t>
            </w:r>
            <w:r w:rsidRPr="00EC631B">
              <w:rPr>
                <w:rFonts w:eastAsia="Times New Roman" w:cstheme="minorHAnsi"/>
              </w:rPr>
              <w:t>program evaluation</w:t>
            </w:r>
            <w:r w:rsidR="00135EE5">
              <w:rPr>
                <w:rFonts w:eastAsia="Times New Roman" w:cstheme="minorHAnsi"/>
              </w:rPr>
              <w:t>)</w:t>
            </w:r>
            <w:r w:rsidRPr="00EC631B">
              <w:rPr>
                <w:rFonts w:eastAsia="Times New Roman" w:cstheme="minorHAnsi"/>
              </w:rPr>
              <w:t xml:space="preserve"> </w:t>
            </w:r>
            <w:r w:rsidR="00FD34EC">
              <w:rPr>
                <w:rFonts w:eastAsia="Times New Roman" w:cstheme="minorHAnsi"/>
              </w:rPr>
              <w:t xml:space="preserve">and support the project team, line ministries, and local governments </w:t>
            </w:r>
            <w:r w:rsidR="00045FD6">
              <w:rPr>
                <w:rFonts w:eastAsia="Times New Roman" w:cstheme="minorHAnsi"/>
              </w:rPr>
              <w:t xml:space="preserve">in conducting </w:t>
            </w:r>
            <w:r w:rsidR="00135EE5">
              <w:rPr>
                <w:rFonts w:eastAsia="Times New Roman" w:cstheme="minorHAnsi"/>
              </w:rPr>
              <w:t>expenditure effectiveness anal</w:t>
            </w:r>
            <w:r w:rsidR="00506309">
              <w:rPr>
                <w:rFonts w:eastAsia="Times New Roman" w:cstheme="minorHAnsi"/>
              </w:rPr>
              <w:t xml:space="preserve">ysis. </w:t>
            </w:r>
          </w:p>
          <w:p w14:paraId="0DDD4951" w14:textId="276E0147" w:rsidR="00506309" w:rsidRPr="00EC631B" w:rsidRDefault="00506309" w:rsidP="00B86CA9">
            <w:pPr>
              <w:numPr>
                <w:ilvl w:val="0"/>
                <w:numId w:val="57"/>
              </w:numPr>
              <w:jc w:val="both"/>
              <w:textAlignment w:val="baseline"/>
              <w:rPr>
                <w:rFonts w:eastAsia="Times New Roman" w:cstheme="minorHAnsi"/>
              </w:rPr>
            </w:pPr>
            <w:r w:rsidRPr="00EC631B">
              <w:rPr>
                <w:rFonts w:eastAsia="Times New Roman" w:cstheme="minorHAnsi"/>
              </w:rPr>
              <w:t xml:space="preserve">Support the </w:t>
            </w:r>
            <w:proofErr w:type="gramStart"/>
            <w:r w:rsidRPr="00EC631B">
              <w:rPr>
                <w:rFonts w:eastAsia="Times New Roman" w:cstheme="minorHAnsi"/>
              </w:rPr>
              <w:t>MOF  in</w:t>
            </w:r>
            <w:proofErr w:type="gramEnd"/>
            <w:r w:rsidRPr="00EC631B">
              <w:rPr>
                <w:rFonts w:eastAsia="Times New Roman" w:cstheme="minorHAnsi"/>
              </w:rPr>
              <w:t xml:space="preserve"> adjusting and adopting budget</w:t>
            </w:r>
            <w:r w:rsidR="006318F3">
              <w:rPr>
                <w:rFonts w:eastAsia="Times New Roman" w:cstheme="minorHAnsi"/>
              </w:rPr>
              <w:t xml:space="preserve"> </w:t>
            </w:r>
            <w:r w:rsidR="003A5AB4">
              <w:rPr>
                <w:rFonts w:eastAsia="Times New Roman" w:cstheme="minorHAnsi"/>
              </w:rPr>
              <w:t xml:space="preserve">execution and performance </w:t>
            </w:r>
            <w:r w:rsidR="00554854">
              <w:rPr>
                <w:rFonts w:eastAsia="Times New Roman" w:cstheme="minorHAnsi"/>
              </w:rPr>
              <w:t>reporting</w:t>
            </w:r>
            <w:r w:rsidRPr="00EC631B">
              <w:rPr>
                <w:rFonts w:eastAsia="Times New Roman" w:cstheme="minorHAnsi"/>
              </w:rPr>
              <w:t xml:space="preserve"> instructions for SDG and national </w:t>
            </w:r>
            <w:r w:rsidR="0066393A">
              <w:rPr>
                <w:rFonts w:eastAsia="Times New Roman" w:cstheme="minorHAnsi"/>
              </w:rPr>
              <w:t xml:space="preserve">and local </w:t>
            </w:r>
            <w:r w:rsidRPr="00EC631B">
              <w:rPr>
                <w:rFonts w:eastAsia="Times New Roman" w:cstheme="minorHAnsi"/>
              </w:rPr>
              <w:t xml:space="preserve">development </w:t>
            </w:r>
            <w:r>
              <w:rPr>
                <w:rFonts w:eastAsia="Times New Roman" w:cstheme="minorHAnsi"/>
              </w:rPr>
              <w:t>policy</w:t>
            </w:r>
            <w:r w:rsidRPr="00EC631B">
              <w:rPr>
                <w:rFonts w:eastAsia="Times New Roman" w:cstheme="minorHAnsi"/>
              </w:rPr>
              <w:t xml:space="preserve"> </w:t>
            </w:r>
            <w:r w:rsidR="00EA5B18">
              <w:rPr>
                <w:rFonts w:eastAsia="Times New Roman" w:cstheme="minorHAnsi"/>
              </w:rPr>
              <w:t xml:space="preserve">implementation   </w:t>
            </w:r>
          </w:p>
          <w:p w14:paraId="4DF24F66" w14:textId="2828D975" w:rsidR="00427F45" w:rsidRPr="00EC631B" w:rsidRDefault="00427F45" w:rsidP="00B86CA9">
            <w:pPr>
              <w:numPr>
                <w:ilvl w:val="0"/>
                <w:numId w:val="57"/>
              </w:numPr>
              <w:jc w:val="both"/>
              <w:textAlignment w:val="baseline"/>
              <w:rPr>
                <w:rFonts w:eastAsia="Times New Roman" w:cstheme="minorHAnsi"/>
              </w:rPr>
            </w:pPr>
            <w:r w:rsidRPr="00EC631B">
              <w:rPr>
                <w:rFonts w:cstheme="minorHAnsi"/>
              </w:rPr>
              <w:t xml:space="preserve">Provide hands-on functional training to staff in preparing </w:t>
            </w:r>
            <w:r w:rsidR="00FA4EAC" w:rsidRPr="00EC631B">
              <w:rPr>
                <w:rFonts w:cstheme="minorHAnsi"/>
              </w:rPr>
              <w:t xml:space="preserve">annual budget execution and performance </w:t>
            </w:r>
            <w:r w:rsidR="00B77C0E" w:rsidRPr="00EC631B">
              <w:rPr>
                <w:rFonts w:cstheme="minorHAnsi"/>
              </w:rPr>
              <w:t xml:space="preserve">reports and </w:t>
            </w:r>
            <w:proofErr w:type="gramStart"/>
            <w:r w:rsidRPr="00EC631B">
              <w:rPr>
                <w:rFonts w:cstheme="minorHAnsi"/>
              </w:rPr>
              <w:t>documentation</w:t>
            </w:r>
            <w:proofErr w:type="gramEnd"/>
            <w:r w:rsidRPr="00EC631B">
              <w:rPr>
                <w:rFonts w:cstheme="minorHAnsi"/>
              </w:rPr>
              <w:t xml:space="preserve"> </w:t>
            </w:r>
          </w:p>
          <w:p w14:paraId="158677AE" w14:textId="77777777" w:rsidR="00C31AA4" w:rsidRPr="00EC631B" w:rsidRDefault="00C31AA4" w:rsidP="00273EAF">
            <w:pPr>
              <w:spacing w:line="293" w:lineRule="atLeast"/>
              <w:ind w:left="360"/>
              <w:jc w:val="both"/>
              <w:textAlignment w:val="baseline"/>
              <w:rPr>
                <w:rFonts w:eastAsia="Times New Roman" w:cstheme="minorHAnsi"/>
              </w:rPr>
            </w:pPr>
          </w:p>
          <w:p w14:paraId="5A008B90" w14:textId="77777777" w:rsidR="009B7397" w:rsidRPr="00EC631B" w:rsidRDefault="009B7397" w:rsidP="00273EAF">
            <w:pPr>
              <w:spacing w:line="293" w:lineRule="atLeast"/>
              <w:jc w:val="both"/>
              <w:textAlignment w:val="baseline"/>
              <w:rPr>
                <w:rFonts w:eastAsia="Times New Roman" w:cstheme="minorHAnsi"/>
              </w:rPr>
            </w:pPr>
            <w:r w:rsidRPr="00EC631B">
              <w:rPr>
                <w:rFonts w:eastAsia="Times New Roman" w:cstheme="minorHAnsi"/>
                <w:i/>
                <w:iCs/>
                <w:bdr w:val="none" w:sz="0" w:space="0" w:color="auto" w:frame="1"/>
              </w:rPr>
              <w:t>Strengthening accountability for SDG-aligned budgets</w:t>
            </w:r>
          </w:p>
          <w:p w14:paraId="61F6F132" w14:textId="59B4540D" w:rsidR="009B7397" w:rsidRPr="004A6E82" w:rsidRDefault="009B7397" w:rsidP="00273EAF">
            <w:pPr>
              <w:numPr>
                <w:ilvl w:val="0"/>
                <w:numId w:val="57"/>
              </w:numPr>
              <w:spacing w:line="293" w:lineRule="atLeast"/>
              <w:jc w:val="both"/>
              <w:textAlignment w:val="baseline"/>
              <w:rPr>
                <w:rFonts w:eastAsia="Times New Roman" w:cstheme="minorHAnsi"/>
              </w:rPr>
            </w:pPr>
            <w:r w:rsidRPr="00EC631B">
              <w:rPr>
                <w:rFonts w:eastAsia="Times New Roman" w:cstheme="minorHAnsi"/>
              </w:rPr>
              <w:t>Assist in capacity development of Government, the Parliament and CSOs in understanding SDG-</w:t>
            </w:r>
            <w:r w:rsidRPr="004A6E82">
              <w:rPr>
                <w:rFonts w:eastAsia="Times New Roman" w:cstheme="minorHAnsi"/>
              </w:rPr>
              <w:t xml:space="preserve">aligned budgeting and </w:t>
            </w:r>
            <w:proofErr w:type="gramStart"/>
            <w:r w:rsidRPr="004A6E82">
              <w:rPr>
                <w:rFonts w:eastAsia="Times New Roman" w:cstheme="minorHAnsi"/>
              </w:rPr>
              <w:t>programming</w:t>
            </w:r>
            <w:proofErr w:type="gramEnd"/>
          </w:p>
          <w:p w14:paraId="03BDE198" w14:textId="1AF82F94" w:rsidR="009B7397" w:rsidRPr="004A6E82" w:rsidRDefault="009B7397" w:rsidP="00273EAF">
            <w:pPr>
              <w:numPr>
                <w:ilvl w:val="0"/>
                <w:numId w:val="57"/>
              </w:numPr>
              <w:spacing w:line="293" w:lineRule="atLeast"/>
              <w:jc w:val="both"/>
              <w:textAlignment w:val="baseline"/>
              <w:rPr>
                <w:rFonts w:eastAsia="Times New Roman" w:cstheme="minorHAnsi"/>
              </w:rPr>
            </w:pPr>
            <w:r w:rsidRPr="004A6E82">
              <w:rPr>
                <w:rFonts w:eastAsia="Times New Roman" w:cstheme="minorHAnsi"/>
                <w:i/>
                <w:iCs/>
                <w:bdr w:val="none" w:sz="0" w:space="0" w:color="auto" w:frame="1"/>
              </w:rPr>
              <w:t>Supporting the design and implementation of INFF</w:t>
            </w:r>
            <w:r w:rsidR="00F82DBF" w:rsidRPr="004A6E82">
              <w:rPr>
                <w:rFonts w:eastAsia="Times New Roman" w:cstheme="minorHAnsi"/>
                <w:i/>
                <w:iCs/>
                <w:bdr w:val="none" w:sz="0" w:space="0" w:color="auto" w:frame="1"/>
              </w:rPr>
              <w:t xml:space="preserve"> </w:t>
            </w:r>
            <w:r w:rsidRPr="004A6E82">
              <w:rPr>
                <w:rFonts w:eastAsia="Times New Roman" w:cstheme="minorHAnsi"/>
              </w:rPr>
              <w:t>to increase the understanding of the country’s current financial landscape, needs and opportunities.</w:t>
            </w:r>
          </w:p>
          <w:p w14:paraId="26844050" w14:textId="0406BAAB" w:rsidR="009B7397" w:rsidRPr="004A6E82" w:rsidRDefault="009B7397" w:rsidP="00273EAF">
            <w:pPr>
              <w:numPr>
                <w:ilvl w:val="0"/>
                <w:numId w:val="57"/>
              </w:numPr>
              <w:spacing w:line="293" w:lineRule="atLeast"/>
              <w:jc w:val="both"/>
              <w:textAlignment w:val="baseline"/>
              <w:rPr>
                <w:rFonts w:eastAsia="Times New Roman" w:cstheme="minorHAnsi"/>
              </w:rPr>
            </w:pPr>
            <w:r w:rsidRPr="004A6E82">
              <w:rPr>
                <w:rFonts w:eastAsia="Times New Roman" w:cstheme="minorHAnsi"/>
              </w:rPr>
              <w:t>Support the development of the design of an INFF roadmap for</w:t>
            </w:r>
            <w:r w:rsidR="00E57B2F" w:rsidRPr="004A6E82">
              <w:rPr>
                <w:rFonts w:eastAsia="Times New Roman" w:cstheme="minorHAnsi"/>
              </w:rPr>
              <w:t xml:space="preserve"> </w:t>
            </w:r>
            <w:proofErr w:type="gramStart"/>
            <w:r w:rsidR="00E57B2F" w:rsidRPr="004A6E82">
              <w:rPr>
                <w:rFonts w:eastAsia="Times New Roman" w:cstheme="minorHAnsi"/>
              </w:rPr>
              <w:t>Mongolia</w:t>
            </w:r>
            <w:proofErr w:type="gramEnd"/>
          </w:p>
          <w:p w14:paraId="5683184A" w14:textId="77777777" w:rsidR="00C53F9D" w:rsidRPr="004A6E82" w:rsidRDefault="00C53F9D" w:rsidP="00273EAF">
            <w:pPr>
              <w:pStyle w:val="ListParagraph"/>
              <w:ind w:left="360"/>
              <w:jc w:val="both"/>
              <w:rPr>
                <w:rFonts w:cs="Arial"/>
                <w:lang w:val="mn-MN"/>
              </w:rPr>
            </w:pPr>
          </w:p>
          <w:p w14:paraId="7F6CC3E3" w14:textId="77777777" w:rsidR="00544141" w:rsidRPr="004A6E82" w:rsidRDefault="00544141" w:rsidP="009130F1">
            <w:pPr>
              <w:pStyle w:val="ListParagraph"/>
              <w:ind w:left="360"/>
              <w:jc w:val="both"/>
              <w:rPr>
                <w:rFonts w:cs="Arial"/>
              </w:rPr>
            </w:pPr>
          </w:p>
          <w:p w14:paraId="5850B2AF" w14:textId="77777777" w:rsidR="00176AA3" w:rsidRPr="00EC631B" w:rsidRDefault="00176AA3" w:rsidP="00273EAF">
            <w:pPr>
              <w:jc w:val="both"/>
              <w:rPr>
                <w:rFonts w:cstheme="minorHAnsi"/>
                <w:b/>
                <w:lang w:val="mn-MN"/>
              </w:rPr>
            </w:pPr>
            <w:r w:rsidRPr="004A6E82">
              <w:rPr>
                <w:rFonts w:cstheme="minorHAnsi"/>
                <w:b/>
                <w:lang w:val="mn-MN"/>
              </w:rPr>
              <w:t>Deliverables:</w:t>
            </w:r>
          </w:p>
          <w:p w14:paraId="782A5774" w14:textId="77777777" w:rsidR="00ED5DD7" w:rsidRPr="00EC631B" w:rsidRDefault="00DD659C" w:rsidP="007D49DE">
            <w:pPr>
              <w:numPr>
                <w:ilvl w:val="0"/>
                <w:numId w:val="58"/>
              </w:numPr>
              <w:jc w:val="both"/>
              <w:textAlignment w:val="baseline"/>
              <w:rPr>
                <w:rFonts w:eastAsia="Times New Roman" w:cstheme="minorHAnsi"/>
              </w:rPr>
            </w:pPr>
            <w:r w:rsidRPr="00EC631B">
              <w:rPr>
                <w:rFonts w:cstheme="minorHAnsi"/>
              </w:rPr>
              <w:t>D</w:t>
            </w:r>
            <w:r w:rsidRPr="00EC631B">
              <w:rPr>
                <w:rFonts w:cstheme="minorHAnsi"/>
                <w:lang w:val="mn-MN"/>
              </w:rPr>
              <w:t>etailed work plan a</w:t>
            </w:r>
            <w:r w:rsidRPr="00EC631B">
              <w:rPr>
                <w:rFonts w:cstheme="minorHAnsi"/>
              </w:rPr>
              <w:t xml:space="preserve">greed by </w:t>
            </w:r>
            <w:r w:rsidRPr="00EC631B">
              <w:rPr>
                <w:rFonts w:cstheme="minorHAnsi"/>
                <w:lang w:val="mn-MN"/>
              </w:rPr>
              <w:t>MOF;</w:t>
            </w:r>
          </w:p>
          <w:p w14:paraId="312445BB" w14:textId="5DEC2417" w:rsidR="005C416E" w:rsidRPr="004A6E82" w:rsidRDefault="005C416E" w:rsidP="007D49DE">
            <w:pPr>
              <w:numPr>
                <w:ilvl w:val="0"/>
                <w:numId w:val="58"/>
              </w:numPr>
              <w:jc w:val="both"/>
              <w:textAlignment w:val="baseline"/>
              <w:rPr>
                <w:rFonts w:eastAsia="Times New Roman" w:cstheme="minorHAnsi"/>
              </w:rPr>
            </w:pPr>
            <w:r w:rsidRPr="00EC631B">
              <w:rPr>
                <w:rFonts w:eastAsia="Times New Roman" w:cstheme="minorHAnsi"/>
              </w:rPr>
              <w:t xml:space="preserve">Adaptation of </w:t>
            </w:r>
            <w:r w:rsidR="00F76AC4">
              <w:rPr>
                <w:rFonts w:eastAsia="Times New Roman" w:cstheme="minorHAnsi"/>
              </w:rPr>
              <w:t xml:space="preserve">MTEF, </w:t>
            </w:r>
            <w:r w:rsidRPr="00EC631B">
              <w:rPr>
                <w:rFonts w:eastAsia="Times New Roman" w:cstheme="minorHAnsi"/>
              </w:rPr>
              <w:t xml:space="preserve">budget circulars and proposal templates with requirements on SDG relevance, </w:t>
            </w:r>
            <w:r w:rsidRPr="004A6E82">
              <w:rPr>
                <w:rFonts w:eastAsia="Times New Roman" w:cstheme="minorHAnsi"/>
              </w:rPr>
              <w:t>priority level, bridging SDG targets/indicators with budget outcome frameworks, etc.</w:t>
            </w:r>
          </w:p>
          <w:p w14:paraId="5793E130" w14:textId="1BACC3CF" w:rsidR="005C416E" w:rsidRPr="004A6E82" w:rsidRDefault="005C416E" w:rsidP="007D49DE">
            <w:pPr>
              <w:numPr>
                <w:ilvl w:val="0"/>
                <w:numId w:val="58"/>
              </w:numPr>
              <w:jc w:val="both"/>
              <w:textAlignment w:val="baseline"/>
              <w:rPr>
                <w:rFonts w:eastAsia="Times New Roman" w:cstheme="minorHAnsi"/>
              </w:rPr>
            </w:pPr>
            <w:r w:rsidRPr="004A6E82">
              <w:rPr>
                <w:rFonts w:eastAsia="Times New Roman" w:cstheme="minorHAnsi"/>
              </w:rPr>
              <w:t xml:space="preserve">Supported reflection of SDG targets and indicators in the MTEF and </w:t>
            </w:r>
            <w:r w:rsidR="00A07043" w:rsidRPr="004A6E82">
              <w:rPr>
                <w:rFonts w:eastAsia="Times New Roman" w:cstheme="minorHAnsi"/>
              </w:rPr>
              <w:t xml:space="preserve">annual </w:t>
            </w:r>
            <w:proofErr w:type="gramStart"/>
            <w:r w:rsidRPr="004A6E82">
              <w:rPr>
                <w:rFonts w:eastAsia="Times New Roman" w:cstheme="minorHAnsi"/>
              </w:rPr>
              <w:t>budget</w:t>
            </w:r>
            <w:proofErr w:type="gramEnd"/>
          </w:p>
          <w:p w14:paraId="6BCD71B9" w14:textId="4DBB327C" w:rsidR="005C416E" w:rsidRPr="004A6E82" w:rsidRDefault="005C416E" w:rsidP="007D49DE">
            <w:pPr>
              <w:numPr>
                <w:ilvl w:val="0"/>
                <w:numId w:val="58"/>
              </w:numPr>
              <w:jc w:val="both"/>
              <w:textAlignment w:val="baseline"/>
              <w:rPr>
                <w:rFonts w:eastAsia="Times New Roman" w:cstheme="minorHAnsi"/>
              </w:rPr>
            </w:pPr>
            <w:r w:rsidRPr="004A6E82">
              <w:rPr>
                <w:rFonts w:eastAsia="Times New Roman" w:cstheme="minorHAnsi"/>
              </w:rPr>
              <w:t xml:space="preserve">Draft SDG budget coding model suitable for </w:t>
            </w:r>
            <w:r w:rsidR="009924D2" w:rsidRPr="004A6E82">
              <w:rPr>
                <w:rFonts w:eastAsia="Times New Roman" w:cstheme="minorHAnsi"/>
              </w:rPr>
              <w:t>Mongolia</w:t>
            </w:r>
            <w:r w:rsidRPr="004A6E82">
              <w:rPr>
                <w:rFonts w:eastAsia="Times New Roman" w:cstheme="minorHAnsi"/>
              </w:rPr>
              <w:t xml:space="preserve"> (including options for manual/ automated processes, with/ without changes in the chart of accounts, short- and long-term solutions, etc.)</w:t>
            </w:r>
          </w:p>
          <w:p w14:paraId="4390BBD8" w14:textId="731A0B70" w:rsidR="005C416E" w:rsidRPr="00EC631B" w:rsidRDefault="005C416E" w:rsidP="007D49DE">
            <w:pPr>
              <w:numPr>
                <w:ilvl w:val="0"/>
                <w:numId w:val="58"/>
              </w:numPr>
              <w:jc w:val="both"/>
              <w:textAlignment w:val="baseline"/>
              <w:rPr>
                <w:rFonts w:eastAsia="Times New Roman" w:cstheme="minorHAnsi"/>
              </w:rPr>
            </w:pPr>
            <w:r w:rsidRPr="00EC631B">
              <w:rPr>
                <w:rFonts w:eastAsia="Times New Roman" w:cstheme="minorHAnsi"/>
              </w:rPr>
              <w:t>Support to development of monitoring and expenditure effectiveness analyses on priority SDG targets/indicators</w:t>
            </w:r>
            <w:r w:rsidR="008F448E" w:rsidRPr="00EC631B">
              <w:rPr>
                <w:rFonts w:eastAsia="Times New Roman" w:cstheme="minorHAnsi"/>
              </w:rPr>
              <w:t>/programs</w:t>
            </w:r>
          </w:p>
          <w:p w14:paraId="22832E34" w14:textId="77777777" w:rsidR="005C416E" w:rsidRPr="00EC631B" w:rsidRDefault="005C416E" w:rsidP="007D49DE">
            <w:pPr>
              <w:numPr>
                <w:ilvl w:val="0"/>
                <w:numId w:val="58"/>
              </w:numPr>
              <w:jc w:val="both"/>
              <w:textAlignment w:val="baseline"/>
              <w:rPr>
                <w:rFonts w:eastAsia="Times New Roman" w:cstheme="minorHAnsi"/>
              </w:rPr>
            </w:pPr>
            <w:r w:rsidRPr="00EC631B">
              <w:rPr>
                <w:rFonts w:eastAsia="Times New Roman" w:cstheme="minorHAnsi"/>
              </w:rPr>
              <w:lastRenderedPageBreak/>
              <w:t xml:space="preserve">Budget </w:t>
            </w:r>
            <w:proofErr w:type="spellStart"/>
            <w:r w:rsidRPr="00EC631B">
              <w:rPr>
                <w:rFonts w:eastAsia="Times New Roman" w:cstheme="minorHAnsi"/>
              </w:rPr>
              <w:t>programmes’</w:t>
            </w:r>
            <w:proofErr w:type="spellEnd"/>
            <w:r w:rsidRPr="00EC631B">
              <w:rPr>
                <w:rFonts w:eastAsia="Times New Roman" w:cstheme="minorHAnsi"/>
              </w:rPr>
              <w:t xml:space="preserve"> alignment with SDG policies and results</w:t>
            </w:r>
          </w:p>
          <w:p w14:paraId="42FC8ACC" w14:textId="5008ACBA" w:rsidR="005C416E" w:rsidRDefault="005C416E" w:rsidP="007D49DE">
            <w:pPr>
              <w:numPr>
                <w:ilvl w:val="0"/>
                <w:numId w:val="58"/>
              </w:numPr>
              <w:jc w:val="both"/>
              <w:textAlignment w:val="baseline"/>
              <w:rPr>
                <w:rFonts w:eastAsia="Times New Roman" w:cstheme="minorHAnsi"/>
              </w:rPr>
            </w:pPr>
            <w:r w:rsidRPr="00EC631B">
              <w:rPr>
                <w:rFonts w:eastAsia="Times New Roman" w:cstheme="minorHAnsi"/>
              </w:rPr>
              <w:t xml:space="preserve">Capacity building and assistance with </w:t>
            </w:r>
            <w:r w:rsidR="00E46E2E">
              <w:rPr>
                <w:rFonts w:eastAsia="Times New Roman" w:cstheme="minorHAnsi"/>
              </w:rPr>
              <w:t xml:space="preserve">SDG-aligned budgeting </w:t>
            </w:r>
            <w:r w:rsidR="006E47A2">
              <w:rPr>
                <w:rFonts w:eastAsia="Times New Roman" w:cstheme="minorHAnsi"/>
              </w:rPr>
              <w:t xml:space="preserve">and </w:t>
            </w:r>
            <w:proofErr w:type="gramStart"/>
            <w:r w:rsidR="00E46E2E">
              <w:rPr>
                <w:rFonts w:eastAsia="Times New Roman" w:cstheme="minorHAnsi"/>
              </w:rPr>
              <w:t xml:space="preserve">MTEF, </w:t>
            </w:r>
            <w:r w:rsidRPr="00EC631B">
              <w:rPr>
                <w:rFonts w:eastAsia="Times New Roman" w:cstheme="minorHAnsi"/>
              </w:rPr>
              <w:t xml:space="preserve"> including</w:t>
            </w:r>
            <w:proofErr w:type="gramEnd"/>
            <w:r w:rsidRPr="00EC631B">
              <w:rPr>
                <w:rFonts w:eastAsia="Times New Roman" w:cstheme="minorHAnsi"/>
              </w:rPr>
              <w:t xml:space="preserve"> development of training modules and/or delivery of on-the-job capacity building on SDG </w:t>
            </w:r>
            <w:r w:rsidR="00515CCD">
              <w:rPr>
                <w:rFonts w:eastAsia="Times New Roman" w:cstheme="minorHAnsi"/>
              </w:rPr>
              <w:t>budgeting and MTEF</w:t>
            </w:r>
          </w:p>
          <w:p w14:paraId="3FB65E0C" w14:textId="1EF1162F" w:rsidR="00EC631B" w:rsidRPr="00EC631B" w:rsidRDefault="00EC631B" w:rsidP="007D49DE">
            <w:pPr>
              <w:numPr>
                <w:ilvl w:val="0"/>
                <w:numId w:val="58"/>
              </w:numPr>
              <w:jc w:val="both"/>
              <w:textAlignment w:val="baseline"/>
              <w:rPr>
                <w:rFonts w:eastAsia="Times New Roman" w:cstheme="minorHAnsi"/>
              </w:rPr>
            </w:pPr>
            <w:r w:rsidRPr="00EC631B">
              <w:rPr>
                <w:rFonts w:cstheme="minorHAnsi"/>
                <w:lang w:val="mn-MN"/>
              </w:rPr>
              <w:t xml:space="preserve">Manuals and guidance </w:t>
            </w:r>
            <w:r w:rsidRPr="00EC631B">
              <w:rPr>
                <w:rFonts w:cstheme="minorHAnsi"/>
              </w:rPr>
              <w:t xml:space="preserve">notes </w:t>
            </w:r>
            <w:r w:rsidRPr="00EC631B">
              <w:rPr>
                <w:rFonts w:cstheme="minorHAnsi"/>
                <w:lang w:val="mn-MN"/>
              </w:rPr>
              <w:t xml:space="preserve">on preparations for </w:t>
            </w:r>
            <w:r w:rsidRPr="00EC631B">
              <w:rPr>
                <w:rFonts w:cstheme="minorHAnsi"/>
              </w:rPr>
              <w:t xml:space="preserve">MTEF and </w:t>
            </w:r>
            <w:r w:rsidRPr="00EC631B">
              <w:rPr>
                <w:rFonts w:cstheme="minorHAnsi"/>
                <w:lang w:val="mn-MN"/>
              </w:rPr>
              <w:t xml:space="preserve">annual budget proposal and annual budget execution and progress reports </w:t>
            </w:r>
            <w:r w:rsidRPr="00EC631B">
              <w:rPr>
                <w:rFonts w:cstheme="minorHAnsi"/>
              </w:rPr>
              <w:t xml:space="preserve">and </w:t>
            </w:r>
            <w:r w:rsidR="001E12F7">
              <w:rPr>
                <w:rFonts w:cstheme="minorHAnsi"/>
              </w:rPr>
              <w:t xml:space="preserve">on conducting </w:t>
            </w:r>
            <w:r w:rsidRPr="00EC631B">
              <w:rPr>
                <w:rFonts w:cstheme="minorHAnsi"/>
              </w:rPr>
              <w:t xml:space="preserve">expenditure analysis/reviews and program evaluation </w:t>
            </w:r>
            <w:r w:rsidRPr="00EC631B">
              <w:rPr>
                <w:rFonts w:cstheme="minorHAnsi"/>
                <w:lang w:val="mn-MN"/>
              </w:rPr>
              <w:t xml:space="preserve">at national and </w:t>
            </w:r>
            <w:r w:rsidRPr="00EC631B">
              <w:rPr>
                <w:rFonts w:cstheme="minorHAnsi"/>
              </w:rPr>
              <w:t xml:space="preserve">local government </w:t>
            </w:r>
            <w:r w:rsidRPr="00EC631B">
              <w:rPr>
                <w:rFonts w:cstheme="minorHAnsi"/>
                <w:lang w:val="mn-MN"/>
              </w:rPr>
              <w:t>levels</w:t>
            </w:r>
            <w:r>
              <w:rPr>
                <w:rFonts w:cstheme="minorHAnsi"/>
              </w:rPr>
              <w:t xml:space="preserve"> and </w:t>
            </w:r>
          </w:p>
          <w:p w14:paraId="11ABA7BD" w14:textId="77777777" w:rsidR="00EC631B" w:rsidRPr="00F835BF" w:rsidRDefault="005C416E" w:rsidP="007D49DE">
            <w:pPr>
              <w:numPr>
                <w:ilvl w:val="0"/>
                <w:numId w:val="58"/>
              </w:numPr>
              <w:jc w:val="both"/>
              <w:textAlignment w:val="baseline"/>
              <w:rPr>
                <w:rFonts w:cstheme="minorHAnsi"/>
                <w:lang w:val="mn-MN"/>
              </w:rPr>
            </w:pPr>
            <w:r w:rsidRPr="00EC631B">
              <w:rPr>
                <w:rFonts w:eastAsia="Times New Roman" w:cstheme="minorHAnsi"/>
              </w:rPr>
              <w:t>Other deliverables, in line with the task and objectives above.</w:t>
            </w:r>
          </w:p>
          <w:p w14:paraId="2F405D65" w14:textId="46000FCB" w:rsidR="00176AA3" w:rsidRPr="00EC631B" w:rsidRDefault="00176AA3" w:rsidP="00273EAF">
            <w:pPr>
              <w:spacing w:line="293" w:lineRule="atLeast"/>
              <w:ind w:left="360"/>
              <w:jc w:val="both"/>
              <w:textAlignment w:val="baseline"/>
              <w:rPr>
                <w:rFonts w:cstheme="minorHAnsi"/>
                <w:lang w:val="mn-MN"/>
              </w:rPr>
            </w:pPr>
          </w:p>
          <w:p w14:paraId="329BB840" w14:textId="4EC6C849" w:rsidR="004C2766" w:rsidRPr="00EC631B" w:rsidRDefault="004C2766" w:rsidP="004C2766">
            <w:pPr>
              <w:widowControl w:val="0"/>
              <w:overflowPunct w:val="0"/>
              <w:adjustRightInd w:val="0"/>
              <w:rPr>
                <w:rFonts w:cstheme="minorHAnsi"/>
              </w:rPr>
            </w:pPr>
          </w:p>
          <w:p w14:paraId="3AFE8A7C" w14:textId="33008B07" w:rsidR="003B2B1E" w:rsidRPr="00581143" w:rsidRDefault="003B2B1E" w:rsidP="00213178">
            <w:pPr>
              <w:widowControl w:val="0"/>
              <w:overflowPunct w:val="0"/>
              <w:adjustRightInd w:val="0"/>
              <w:jc w:val="both"/>
              <w:rPr>
                <w:rFonts w:cstheme="minorHAnsi"/>
              </w:rPr>
            </w:pPr>
            <w:r w:rsidRPr="00581143">
              <w:rPr>
                <w:rFonts w:cstheme="minorHAnsi"/>
              </w:rPr>
              <w:t>All deliverables shall be submitted in Mongolian</w:t>
            </w:r>
            <w:r w:rsidR="00544141" w:rsidRPr="00581143">
              <w:rPr>
                <w:rFonts w:cstheme="minorHAnsi"/>
              </w:rPr>
              <w:t xml:space="preserve">. Working drafts of </w:t>
            </w:r>
            <w:r w:rsidR="007D49DE">
              <w:rPr>
                <w:rFonts w:cstheme="minorHAnsi"/>
              </w:rPr>
              <w:t xml:space="preserve">some </w:t>
            </w:r>
            <w:proofErr w:type="spellStart"/>
            <w:proofErr w:type="gramStart"/>
            <w:r w:rsidR="00544141" w:rsidRPr="00581143">
              <w:rPr>
                <w:rFonts w:cstheme="minorHAnsi"/>
              </w:rPr>
              <w:t>d</w:t>
            </w:r>
            <w:r w:rsidRPr="00581143">
              <w:rPr>
                <w:rFonts w:cstheme="minorHAnsi"/>
              </w:rPr>
              <w:t>eliberable</w:t>
            </w:r>
            <w:r w:rsidR="00544141" w:rsidRPr="00581143">
              <w:rPr>
                <w:rFonts w:cstheme="minorHAnsi"/>
              </w:rPr>
              <w:t>s</w:t>
            </w:r>
            <w:proofErr w:type="spellEnd"/>
            <w:r w:rsidRPr="00581143">
              <w:rPr>
                <w:rFonts w:cstheme="minorHAnsi"/>
              </w:rPr>
              <w:t xml:space="preserve">  </w:t>
            </w:r>
            <w:r w:rsidR="00544141" w:rsidRPr="00581143">
              <w:rPr>
                <w:rFonts w:cstheme="minorHAnsi"/>
              </w:rPr>
              <w:t>will</w:t>
            </w:r>
            <w:proofErr w:type="gramEnd"/>
            <w:r w:rsidR="00544141" w:rsidRPr="00581143">
              <w:rPr>
                <w:rFonts w:cstheme="minorHAnsi"/>
              </w:rPr>
              <w:t xml:space="preserve"> need </w:t>
            </w:r>
            <w:r w:rsidRPr="00581143">
              <w:rPr>
                <w:rFonts w:cstheme="minorHAnsi"/>
              </w:rPr>
              <w:t>to be translated into English for the purpose of obtaining inputs from the international consultant</w:t>
            </w:r>
            <w:r w:rsidR="00000709">
              <w:rPr>
                <w:rFonts w:cstheme="minorHAnsi"/>
              </w:rPr>
              <w:t xml:space="preserve"> and their </w:t>
            </w:r>
            <w:r w:rsidR="00DC35F4">
              <w:rPr>
                <w:rFonts w:cstheme="minorHAnsi"/>
              </w:rPr>
              <w:t xml:space="preserve">final </w:t>
            </w:r>
            <w:r w:rsidR="00544141" w:rsidRPr="00581143">
              <w:rPr>
                <w:rFonts w:cstheme="minorHAnsi"/>
              </w:rPr>
              <w:t xml:space="preserve">documents shall also be submitted in English. </w:t>
            </w:r>
            <w:r w:rsidRPr="00581143">
              <w:rPr>
                <w:rFonts w:cstheme="minorHAnsi"/>
              </w:rPr>
              <w:t xml:space="preserve"> </w:t>
            </w:r>
          </w:p>
          <w:p w14:paraId="7B986E5A" w14:textId="77777777" w:rsidR="003B2B1E" w:rsidRDefault="003B2B1E" w:rsidP="004C2766">
            <w:pPr>
              <w:widowControl w:val="0"/>
              <w:overflowPunct w:val="0"/>
              <w:adjustRightInd w:val="0"/>
              <w:rPr>
                <w:rFonts w:cstheme="minorHAnsi"/>
              </w:rPr>
            </w:pPr>
          </w:p>
          <w:p w14:paraId="2988C341" w14:textId="08196763" w:rsidR="00BD72EE" w:rsidRDefault="00BD72EE" w:rsidP="004C2766">
            <w:pPr>
              <w:widowControl w:val="0"/>
              <w:overflowPunct w:val="0"/>
              <w:adjustRightInd w:val="0"/>
              <w:rPr>
                <w:rFonts w:cstheme="minorHAnsi"/>
              </w:rPr>
            </w:pPr>
            <w:r w:rsidRPr="00BD72EE">
              <w:rPr>
                <w:rFonts w:cstheme="minorHAnsi"/>
                <w:b/>
                <w:bCs/>
              </w:rPr>
              <w:t>Payment schedule</w:t>
            </w:r>
          </w:p>
          <w:p w14:paraId="73D580D5" w14:textId="72660B11" w:rsidR="002F5805" w:rsidRPr="004C2766" w:rsidRDefault="00BD72EE" w:rsidP="004C2766">
            <w:pPr>
              <w:widowControl w:val="0"/>
              <w:overflowPunct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Payments shall be made monthly, based on the m</w:t>
            </w:r>
            <w:r w:rsidR="00D24AA2" w:rsidRPr="004C2766">
              <w:rPr>
                <w:rFonts w:cstheme="minorHAnsi"/>
              </w:rPr>
              <w:t xml:space="preserve">onthly progress reports </w:t>
            </w:r>
            <w:r w:rsidR="002F5805" w:rsidRPr="004C2766">
              <w:rPr>
                <w:rFonts w:cstheme="minorHAnsi"/>
              </w:rPr>
              <w:t xml:space="preserve">linked to the project annual workplan timelines and </w:t>
            </w:r>
            <w:r>
              <w:rPr>
                <w:rFonts w:cstheme="minorHAnsi"/>
              </w:rPr>
              <w:t xml:space="preserve">the list of </w:t>
            </w:r>
            <w:r w:rsidR="002F5805" w:rsidRPr="004C2766">
              <w:rPr>
                <w:rFonts w:cstheme="minorHAnsi"/>
              </w:rPr>
              <w:t xml:space="preserve">deliverables; </w:t>
            </w:r>
          </w:p>
          <w:p w14:paraId="634526EA" w14:textId="77777777" w:rsidR="00B8792F" w:rsidRDefault="00B8792F" w:rsidP="00B8792F">
            <w:pPr>
              <w:widowControl w:val="0"/>
              <w:overflowPunct w:val="0"/>
              <w:adjustRightInd w:val="0"/>
              <w:jc w:val="both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6EF2D65E" w14:textId="5E6902B3" w:rsidR="00E2763D" w:rsidRDefault="00E2763D" w:rsidP="00E2763D">
            <w:pPr>
              <w:rPr>
                <w:rFonts w:cstheme="minorHAnsi"/>
                <w:b/>
                <w:szCs w:val="20"/>
              </w:rPr>
            </w:pPr>
            <w:r w:rsidRPr="00E2763D">
              <w:rPr>
                <w:rFonts w:cstheme="minorHAnsi"/>
                <w:b/>
                <w:szCs w:val="20"/>
              </w:rPr>
              <w:t>Institutional Arrangement</w:t>
            </w:r>
          </w:p>
          <w:p w14:paraId="7D996357" w14:textId="77777777" w:rsidR="003747FC" w:rsidRPr="00E2763D" w:rsidRDefault="003747FC" w:rsidP="00E2763D">
            <w:pPr>
              <w:rPr>
                <w:rFonts w:cstheme="minorHAnsi"/>
                <w:b/>
                <w:szCs w:val="20"/>
              </w:rPr>
            </w:pPr>
          </w:p>
          <w:p w14:paraId="7516BB8C" w14:textId="2FC87908" w:rsidR="00E2763D" w:rsidRDefault="002F5805" w:rsidP="005C6866">
            <w:pPr>
              <w:widowControl w:val="0"/>
              <w:overflowPunct w:val="0"/>
              <w:adjustRightInd w:val="0"/>
              <w:rPr>
                <w:rFonts w:cstheme="minorHAnsi"/>
              </w:rPr>
            </w:pPr>
            <w:r w:rsidRPr="005C6866">
              <w:rPr>
                <w:rFonts w:cstheme="minorHAnsi"/>
              </w:rPr>
              <w:t xml:space="preserve">The </w:t>
            </w:r>
            <w:r w:rsidR="005E0D10">
              <w:rPr>
                <w:rFonts w:cstheme="minorHAnsi"/>
              </w:rPr>
              <w:t>Publi</w:t>
            </w:r>
            <w:r w:rsidR="00DC35F4">
              <w:rPr>
                <w:rFonts w:cstheme="minorHAnsi"/>
              </w:rPr>
              <w:t>c</w:t>
            </w:r>
            <w:r w:rsidR="005E0D10">
              <w:rPr>
                <w:rFonts w:cstheme="minorHAnsi"/>
              </w:rPr>
              <w:t xml:space="preserve"> finance management expert </w:t>
            </w:r>
            <w:r w:rsidRPr="005C6866">
              <w:rPr>
                <w:rFonts w:cstheme="minorHAnsi"/>
              </w:rPr>
              <w:t xml:space="preserve">shall report to the </w:t>
            </w:r>
            <w:r w:rsidR="005C6866" w:rsidRPr="005C6866">
              <w:rPr>
                <w:rFonts w:cstheme="minorHAnsi"/>
              </w:rPr>
              <w:t xml:space="preserve">Project Coordinator and </w:t>
            </w:r>
            <w:r w:rsidR="007F584A">
              <w:rPr>
                <w:rFonts w:cstheme="minorHAnsi"/>
              </w:rPr>
              <w:t xml:space="preserve">work closely with the </w:t>
            </w:r>
            <w:r w:rsidR="005E2F64">
              <w:rPr>
                <w:rFonts w:cstheme="minorHAnsi"/>
              </w:rPr>
              <w:t xml:space="preserve">finance and policy </w:t>
            </w:r>
            <w:r w:rsidR="007F584A">
              <w:rPr>
                <w:rFonts w:cstheme="minorHAnsi"/>
              </w:rPr>
              <w:t xml:space="preserve">focal points of </w:t>
            </w:r>
            <w:r w:rsidR="00166B23">
              <w:rPr>
                <w:rFonts w:cstheme="minorHAnsi"/>
              </w:rPr>
              <w:t>government Ministries</w:t>
            </w:r>
            <w:r w:rsidR="005F272B">
              <w:rPr>
                <w:rFonts w:cstheme="minorHAnsi"/>
              </w:rPr>
              <w:t xml:space="preserve">, </w:t>
            </w:r>
            <w:r w:rsidR="00166B23">
              <w:rPr>
                <w:rFonts w:cstheme="minorHAnsi"/>
              </w:rPr>
              <w:t>other stakeholders</w:t>
            </w:r>
            <w:r w:rsidR="005F272B">
              <w:rPr>
                <w:rFonts w:cstheme="minorHAnsi"/>
              </w:rPr>
              <w:t>, and consultants working on similar thematic assignments</w:t>
            </w:r>
            <w:r w:rsidR="00166B23">
              <w:rPr>
                <w:rFonts w:cstheme="minorHAnsi"/>
              </w:rPr>
              <w:t xml:space="preserve">. </w:t>
            </w:r>
          </w:p>
          <w:p w14:paraId="487C18BB" w14:textId="5BCD9752" w:rsidR="00166B23" w:rsidRDefault="00166B23" w:rsidP="005C6866">
            <w:pPr>
              <w:widowControl w:val="0"/>
              <w:overflowPunct w:val="0"/>
              <w:adjustRightInd w:val="0"/>
              <w:rPr>
                <w:rFonts w:cstheme="minorHAnsi"/>
              </w:rPr>
            </w:pPr>
          </w:p>
          <w:p w14:paraId="6BF7D4ED" w14:textId="46AA1D58" w:rsidR="00E2763D" w:rsidRPr="00E2763D" w:rsidRDefault="00166B23" w:rsidP="00D1313E">
            <w:pPr>
              <w:widowControl w:val="0"/>
              <w:overflowPunct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272BFD">
              <w:rPr>
                <w:rFonts w:cstheme="minorHAnsi"/>
              </w:rPr>
              <w:t xml:space="preserve">Public Finance management expert </w:t>
            </w:r>
            <w:r w:rsidR="00301827">
              <w:rPr>
                <w:rFonts w:cstheme="minorHAnsi"/>
              </w:rPr>
              <w:t xml:space="preserve">shall work in the </w:t>
            </w:r>
            <w:r w:rsidR="002217AC">
              <w:rPr>
                <w:rFonts w:cstheme="minorHAnsi"/>
              </w:rPr>
              <w:t>P</w:t>
            </w:r>
            <w:r w:rsidR="00301827">
              <w:rPr>
                <w:rFonts w:cstheme="minorHAnsi"/>
              </w:rPr>
              <w:t>roject office</w:t>
            </w:r>
            <w:r w:rsidR="002217AC">
              <w:rPr>
                <w:rFonts w:cstheme="minorHAnsi"/>
              </w:rPr>
              <w:t xml:space="preserve">. The assignment involves occasional field trips to </w:t>
            </w:r>
            <w:proofErr w:type="spellStart"/>
            <w:r w:rsidR="00D1313E">
              <w:rPr>
                <w:rFonts w:cstheme="minorHAnsi"/>
              </w:rPr>
              <w:t>aimags</w:t>
            </w:r>
            <w:proofErr w:type="spellEnd"/>
            <w:r w:rsidR="00D1313E">
              <w:rPr>
                <w:rFonts w:cstheme="minorHAnsi"/>
              </w:rPr>
              <w:t xml:space="preserve"> and </w:t>
            </w:r>
            <w:proofErr w:type="spellStart"/>
            <w:r w:rsidR="00D1313E">
              <w:rPr>
                <w:rFonts w:cstheme="minorHAnsi"/>
              </w:rPr>
              <w:t>soums</w:t>
            </w:r>
            <w:proofErr w:type="spellEnd"/>
            <w:r w:rsidR="00D1313E">
              <w:rPr>
                <w:rFonts w:cstheme="minorHAnsi"/>
              </w:rPr>
              <w:t xml:space="preserve">. </w:t>
            </w:r>
          </w:p>
          <w:p w14:paraId="1DB07293" w14:textId="77777777" w:rsidR="00E2763D" w:rsidRDefault="00E2763D" w:rsidP="00E2763D">
            <w:pPr>
              <w:tabs>
                <w:tab w:val="left" w:pos="1410"/>
              </w:tabs>
            </w:pPr>
          </w:p>
          <w:p w14:paraId="1528293A" w14:textId="77777777" w:rsidR="00E2763D" w:rsidRDefault="00E2763D" w:rsidP="00E2763D">
            <w:pPr>
              <w:rPr>
                <w:rFonts w:cstheme="minorHAnsi"/>
                <w:b/>
                <w:szCs w:val="20"/>
              </w:rPr>
            </w:pPr>
            <w:r w:rsidRPr="00EC70F7">
              <w:rPr>
                <w:rFonts w:cstheme="minorHAnsi"/>
                <w:b/>
                <w:szCs w:val="20"/>
              </w:rPr>
              <w:t>Duration of the Work</w:t>
            </w:r>
          </w:p>
          <w:p w14:paraId="60A1C800" w14:textId="0AF3B529" w:rsidR="002165F8" w:rsidRPr="00741AAC" w:rsidRDefault="00D1313E" w:rsidP="004E25BF">
            <w:pPr>
              <w:widowControl w:val="0"/>
              <w:overflowPunct w:val="0"/>
              <w:adjustRightInd w:val="0"/>
              <w:rPr>
                <w:rFonts w:cstheme="minorHAnsi"/>
                <w:b/>
                <w:szCs w:val="20"/>
              </w:rPr>
            </w:pPr>
            <w:r w:rsidRPr="004A6E82">
              <w:rPr>
                <w:rFonts w:cstheme="minorHAnsi"/>
              </w:rPr>
              <w:t>1</w:t>
            </w:r>
            <w:r w:rsidR="004A6E82">
              <w:rPr>
                <w:rFonts w:cstheme="minorHAnsi"/>
              </w:rPr>
              <w:t>6</w:t>
            </w:r>
            <w:r w:rsidR="004A6E82" w:rsidRPr="004A6E82">
              <w:rPr>
                <w:rFonts w:cstheme="minorHAnsi"/>
              </w:rPr>
              <w:t>0 working days</w:t>
            </w:r>
            <w:r w:rsidRPr="00D1313E">
              <w:rPr>
                <w:rFonts w:cstheme="minorHAnsi"/>
              </w:rPr>
              <w:t xml:space="preserve"> </w:t>
            </w:r>
            <w:r w:rsidR="00741AAC">
              <w:rPr>
                <w:rFonts w:cstheme="minorHAnsi"/>
              </w:rPr>
              <w:t>over 10 months</w:t>
            </w:r>
          </w:p>
        </w:tc>
      </w:tr>
    </w:tbl>
    <w:p w14:paraId="5FC17B02" w14:textId="77777777" w:rsidR="00DA646F" w:rsidRPr="009C5FF1" w:rsidRDefault="00DA646F" w:rsidP="00A24134">
      <w:pPr>
        <w:rPr>
          <w:b/>
          <w:sz w:val="10"/>
          <w:szCs w:val="10"/>
        </w:rPr>
      </w:pPr>
    </w:p>
    <w:p w14:paraId="4D4FF9BB" w14:textId="77777777" w:rsidR="0088263E" w:rsidRPr="0088263E" w:rsidRDefault="0088263E" w:rsidP="009C5FF1">
      <w:pPr>
        <w:tabs>
          <w:tab w:val="left" w:pos="1410"/>
          <w:tab w:val="left" w:pos="3632"/>
        </w:tabs>
        <w:spacing w:after="120"/>
        <w:rPr>
          <w:b/>
          <w:color w:val="0070C0"/>
        </w:rPr>
      </w:pPr>
      <w:r>
        <w:rPr>
          <w:b/>
          <w:color w:val="0070C0"/>
        </w:rPr>
        <w:t>REQUIRED SKILLS AND EXPERIENCE</w:t>
      </w:r>
      <w:r w:rsidR="002165F8">
        <w:rPr>
          <w:b/>
          <w:color w:val="0070C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3E94" w14:paraId="02BA00EB" w14:textId="77777777" w:rsidTr="00443E94">
        <w:tc>
          <w:tcPr>
            <w:tcW w:w="9576" w:type="dxa"/>
          </w:tcPr>
          <w:p w14:paraId="102C55C0" w14:textId="77777777" w:rsidR="0065710B" w:rsidRPr="0039261A" w:rsidRDefault="0039261A" w:rsidP="009F4ED3">
            <w:pPr>
              <w:spacing w:before="80" w:after="60" w:line="288" w:lineRule="auto"/>
              <w:jc w:val="both"/>
              <w:rPr>
                <w:rFonts w:ascii="Calibri" w:hAnsi="Calibri" w:cs="Arial"/>
                <w:b/>
              </w:rPr>
            </w:pPr>
            <w:r w:rsidRPr="0039261A">
              <w:rPr>
                <w:rFonts w:ascii="Calibri" w:hAnsi="Calibri" w:cs="Arial"/>
                <w:b/>
              </w:rPr>
              <w:t>Educational</w:t>
            </w:r>
            <w:r w:rsidR="0065710B" w:rsidRPr="0039261A">
              <w:rPr>
                <w:rFonts w:ascii="Calibri" w:hAnsi="Calibri" w:cs="Arial"/>
                <w:b/>
              </w:rPr>
              <w:t xml:space="preserve"> Qualifications:</w:t>
            </w:r>
          </w:p>
          <w:p w14:paraId="0FE25FEC" w14:textId="5434DD74" w:rsidR="00205862" w:rsidRPr="0039261A" w:rsidRDefault="0060128D" w:rsidP="009F4ED3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djustRightInd w:val="0"/>
              <w:ind w:left="360" w:hanging="270"/>
              <w:jc w:val="both"/>
              <w:rPr>
                <w:rFonts w:cstheme="minorHAnsi"/>
              </w:rPr>
            </w:pPr>
            <w:r w:rsidRPr="0060128D">
              <w:rPr>
                <w:rFonts w:cstheme="minorHAnsi"/>
              </w:rPr>
              <w:t xml:space="preserve">Advanced university degree (Master's degree or </w:t>
            </w:r>
            <w:r w:rsidR="00CC679A">
              <w:rPr>
                <w:rFonts w:cstheme="minorHAnsi"/>
              </w:rPr>
              <w:t>higher</w:t>
            </w:r>
            <w:r w:rsidRPr="0060128D">
              <w:rPr>
                <w:rFonts w:cstheme="minorHAnsi"/>
              </w:rPr>
              <w:t xml:space="preserve">) in </w:t>
            </w:r>
            <w:r>
              <w:rPr>
                <w:rFonts w:cstheme="minorHAnsi"/>
              </w:rPr>
              <w:t xml:space="preserve">Economics, Finance, </w:t>
            </w:r>
            <w:r w:rsidR="00BF6FD5">
              <w:rPr>
                <w:rFonts w:cstheme="minorHAnsi"/>
              </w:rPr>
              <w:t xml:space="preserve">Public </w:t>
            </w:r>
            <w:r w:rsidR="00E8094C">
              <w:rPr>
                <w:rFonts w:cstheme="minorHAnsi"/>
              </w:rPr>
              <w:t xml:space="preserve">Finance </w:t>
            </w:r>
            <w:proofErr w:type="gramStart"/>
            <w:r w:rsidR="00E8094C">
              <w:rPr>
                <w:rFonts w:cstheme="minorHAnsi"/>
              </w:rPr>
              <w:t>Management</w:t>
            </w:r>
            <w:proofErr w:type="gramEnd"/>
            <w:r w:rsidR="00E8094C">
              <w:rPr>
                <w:rFonts w:cstheme="minorHAnsi"/>
              </w:rPr>
              <w:t xml:space="preserve"> </w:t>
            </w:r>
            <w:r w:rsidR="00CC679A">
              <w:rPr>
                <w:rFonts w:cstheme="minorHAnsi"/>
              </w:rPr>
              <w:t xml:space="preserve">and other closely related </w:t>
            </w:r>
            <w:r w:rsidR="00205862" w:rsidRPr="0039261A">
              <w:rPr>
                <w:rFonts w:cstheme="minorHAnsi"/>
              </w:rPr>
              <w:t>fields</w:t>
            </w:r>
            <w:r w:rsidR="00CC679A">
              <w:rPr>
                <w:rFonts w:cstheme="minorHAnsi"/>
              </w:rPr>
              <w:t>;</w:t>
            </w:r>
          </w:p>
          <w:p w14:paraId="7A86AAE9" w14:textId="77777777" w:rsidR="0065710B" w:rsidRPr="0039261A" w:rsidRDefault="0039261A" w:rsidP="009F4ED3">
            <w:pPr>
              <w:spacing w:before="80" w:after="60" w:line="288" w:lineRule="auto"/>
              <w:jc w:val="both"/>
              <w:rPr>
                <w:rFonts w:ascii="Calibri" w:hAnsi="Calibri" w:cs="Arial"/>
                <w:b/>
              </w:rPr>
            </w:pPr>
            <w:r w:rsidRPr="0039261A">
              <w:rPr>
                <w:rFonts w:ascii="Calibri" w:hAnsi="Calibri" w:cs="Arial"/>
                <w:b/>
              </w:rPr>
              <w:t>Experience</w:t>
            </w:r>
          </w:p>
          <w:p w14:paraId="50EF5928" w14:textId="032FFCF0" w:rsidR="00BF0804" w:rsidRDefault="0039261A" w:rsidP="009F4ED3">
            <w:pPr>
              <w:pStyle w:val="ListParagraph"/>
              <w:widowControl w:val="0"/>
              <w:numPr>
                <w:ilvl w:val="0"/>
                <w:numId w:val="39"/>
              </w:numPr>
              <w:overflowPunct w:val="0"/>
              <w:adjustRightInd w:val="0"/>
              <w:jc w:val="both"/>
              <w:rPr>
                <w:rFonts w:cstheme="minorHAnsi"/>
              </w:rPr>
            </w:pPr>
            <w:r w:rsidRPr="00CF7392">
              <w:rPr>
                <w:rFonts w:cstheme="minorHAnsi"/>
              </w:rPr>
              <w:t>M</w:t>
            </w:r>
            <w:r w:rsidR="00205862" w:rsidRPr="00CF7392">
              <w:rPr>
                <w:rFonts w:cstheme="minorHAnsi"/>
              </w:rPr>
              <w:t xml:space="preserve">inimum </w:t>
            </w:r>
            <w:r w:rsidR="004A6E82">
              <w:rPr>
                <w:rFonts w:cstheme="minorHAnsi"/>
              </w:rPr>
              <w:t>8</w:t>
            </w:r>
            <w:r w:rsidR="00B15614" w:rsidRPr="00CF7392">
              <w:rPr>
                <w:rFonts w:cstheme="minorHAnsi"/>
              </w:rPr>
              <w:t xml:space="preserve"> years of </w:t>
            </w:r>
            <w:r w:rsidR="00205862" w:rsidRPr="00CF7392">
              <w:rPr>
                <w:rFonts w:cstheme="minorHAnsi"/>
              </w:rPr>
              <w:t xml:space="preserve">work experience </w:t>
            </w:r>
            <w:r w:rsidR="00776594">
              <w:rPr>
                <w:rFonts w:cstheme="minorHAnsi"/>
              </w:rPr>
              <w:t xml:space="preserve">in the areas of public financial management reform, fiscal policy analysis, </w:t>
            </w:r>
            <w:r w:rsidR="005A22F9">
              <w:rPr>
                <w:rFonts w:cstheme="minorHAnsi"/>
              </w:rPr>
              <w:t xml:space="preserve">development and </w:t>
            </w:r>
            <w:r w:rsidR="006103E0">
              <w:rPr>
                <w:rFonts w:cstheme="minorHAnsi"/>
              </w:rPr>
              <w:t xml:space="preserve">economic </w:t>
            </w:r>
            <w:r w:rsidR="001B6653">
              <w:rPr>
                <w:rFonts w:cstheme="minorHAnsi"/>
              </w:rPr>
              <w:t>policy</w:t>
            </w:r>
            <w:r w:rsidR="000B6F11">
              <w:rPr>
                <w:rFonts w:cstheme="minorHAnsi"/>
              </w:rPr>
              <w:t>,</w:t>
            </w:r>
            <w:r w:rsidR="006103E0">
              <w:rPr>
                <w:rFonts w:cstheme="minorHAnsi"/>
              </w:rPr>
              <w:t xml:space="preserve"> </w:t>
            </w:r>
            <w:r w:rsidR="00BF0804">
              <w:rPr>
                <w:rFonts w:cstheme="minorHAnsi"/>
              </w:rPr>
              <w:t>budget systems</w:t>
            </w:r>
            <w:r w:rsidR="000B6F11">
              <w:rPr>
                <w:rFonts w:cstheme="minorHAnsi"/>
              </w:rPr>
              <w:t xml:space="preserve">, revenue and expenditure </w:t>
            </w:r>
            <w:r w:rsidR="005A22F9">
              <w:rPr>
                <w:rFonts w:cstheme="minorHAnsi"/>
              </w:rPr>
              <w:t xml:space="preserve">reviews, </w:t>
            </w:r>
            <w:r w:rsidR="003906ED">
              <w:rPr>
                <w:rFonts w:cstheme="minorHAnsi"/>
              </w:rPr>
              <w:t xml:space="preserve">program evaluation, </w:t>
            </w:r>
            <w:r w:rsidR="00696A03">
              <w:rPr>
                <w:rFonts w:cstheme="minorHAnsi"/>
              </w:rPr>
              <w:t xml:space="preserve">data analysis and </w:t>
            </w:r>
            <w:r w:rsidR="000B6F11">
              <w:rPr>
                <w:rFonts w:cstheme="minorHAnsi"/>
              </w:rPr>
              <w:t>management</w:t>
            </w:r>
            <w:r w:rsidR="00BF0804">
              <w:rPr>
                <w:rFonts w:cstheme="minorHAnsi"/>
              </w:rPr>
              <w:t xml:space="preserve">; </w:t>
            </w:r>
          </w:p>
          <w:p w14:paraId="4BB7E11E" w14:textId="3623FFAA" w:rsidR="00F12835" w:rsidRDefault="00F12835" w:rsidP="009F4ED3">
            <w:pPr>
              <w:pStyle w:val="ListParagraph"/>
              <w:widowControl w:val="0"/>
              <w:numPr>
                <w:ilvl w:val="0"/>
                <w:numId w:val="39"/>
              </w:numPr>
              <w:overflowPunct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Prior e</w:t>
            </w:r>
            <w:r w:rsidR="00BF0804">
              <w:rPr>
                <w:rFonts w:cstheme="minorHAnsi"/>
              </w:rPr>
              <w:t xml:space="preserve">xperience </w:t>
            </w:r>
            <w:r w:rsidR="00591606">
              <w:rPr>
                <w:rFonts w:cstheme="minorHAnsi"/>
              </w:rPr>
              <w:t xml:space="preserve">of work </w:t>
            </w:r>
            <w:r>
              <w:rPr>
                <w:rFonts w:cstheme="minorHAnsi"/>
              </w:rPr>
              <w:t xml:space="preserve">with </w:t>
            </w:r>
            <w:r w:rsidR="003D4083">
              <w:rPr>
                <w:rFonts w:cstheme="minorHAnsi"/>
              </w:rPr>
              <w:t>central</w:t>
            </w:r>
            <w:r w:rsidR="00EA7623">
              <w:rPr>
                <w:rFonts w:cstheme="minorHAnsi"/>
              </w:rPr>
              <w:t xml:space="preserve">, </w:t>
            </w:r>
            <w:r w:rsidR="00BC5AD8">
              <w:rPr>
                <w:rFonts w:cstheme="minorHAnsi"/>
              </w:rPr>
              <w:t>sectoral ministry</w:t>
            </w:r>
            <w:r w:rsidR="003D4083">
              <w:rPr>
                <w:rFonts w:cstheme="minorHAnsi"/>
              </w:rPr>
              <w:t xml:space="preserve"> or sub-national </w:t>
            </w:r>
            <w:r w:rsidR="00591606">
              <w:rPr>
                <w:rFonts w:cstheme="minorHAnsi"/>
              </w:rPr>
              <w:t xml:space="preserve">government </w:t>
            </w:r>
            <w:r w:rsidR="003D4083">
              <w:rPr>
                <w:rFonts w:cstheme="minorHAnsi"/>
              </w:rPr>
              <w:t>finance departments would be an asset;</w:t>
            </w:r>
          </w:p>
          <w:p w14:paraId="6189311C" w14:textId="77777777" w:rsidR="005775CA" w:rsidRDefault="00726EC7" w:rsidP="009F4ED3">
            <w:pPr>
              <w:pStyle w:val="ListParagraph"/>
              <w:widowControl w:val="0"/>
              <w:numPr>
                <w:ilvl w:val="0"/>
                <w:numId w:val="39"/>
              </w:numPr>
              <w:overflowPunct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At least 3 assignments </w:t>
            </w:r>
            <w:r w:rsidR="00BF1D0F">
              <w:rPr>
                <w:rFonts w:cstheme="minorHAnsi"/>
              </w:rPr>
              <w:t xml:space="preserve">demonstrating analytic and report writing </w:t>
            </w:r>
            <w:r w:rsidR="00FC4E66">
              <w:rPr>
                <w:rFonts w:cstheme="minorHAnsi"/>
              </w:rPr>
              <w:t xml:space="preserve">skills </w:t>
            </w:r>
            <w:r w:rsidR="00BF1D0F">
              <w:rPr>
                <w:rFonts w:cstheme="minorHAnsi"/>
              </w:rPr>
              <w:t>(reference</w:t>
            </w:r>
            <w:r w:rsidR="005775CA">
              <w:rPr>
                <w:rFonts w:cstheme="minorHAnsi"/>
              </w:rPr>
              <w:t>s</w:t>
            </w:r>
            <w:r w:rsidR="00BF1D0F">
              <w:rPr>
                <w:rFonts w:cstheme="minorHAnsi"/>
              </w:rPr>
              <w:t xml:space="preserve"> or samples to be submitted </w:t>
            </w:r>
            <w:r w:rsidR="005775CA">
              <w:rPr>
                <w:rFonts w:cstheme="minorHAnsi"/>
              </w:rPr>
              <w:t>with the application</w:t>
            </w:r>
            <w:r w:rsidR="00BF1D0F">
              <w:rPr>
                <w:rFonts w:cstheme="minorHAnsi"/>
              </w:rPr>
              <w:t>)</w:t>
            </w:r>
            <w:r w:rsidR="005775CA">
              <w:rPr>
                <w:rFonts w:cstheme="minorHAnsi"/>
              </w:rPr>
              <w:t>;</w:t>
            </w:r>
          </w:p>
          <w:p w14:paraId="20A13633" w14:textId="01C9E3D6" w:rsidR="00CF7392" w:rsidRPr="00F12835" w:rsidRDefault="005775CA" w:rsidP="009F4ED3">
            <w:pPr>
              <w:pStyle w:val="ListParagraph"/>
              <w:widowControl w:val="0"/>
              <w:numPr>
                <w:ilvl w:val="0"/>
                <w:numId w:val="39"/>
              </w:numPr>
              <w:overflowPunct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Good understanding of </w:t>
            </w:r>
            <w:r w:rsidR="00447019">
              <w:rPr>
                <w:rFonts w:cstheme="minorHAnsi"/>
              </w:rPr>
              <w:t xml:space="preserve">results-based management and </w:t>
            </w:r>
            <w:r w:rsidR="00703B74">
              <w:rPr>
                <w:rFonts w:cstheme="minorHAnsi"/>
              </w:rPr>
              <w:t xml:space="preserve">related </w:t>
            </w:r>
            <w:r w:rsidR="00447019">
              <w:rPr>
                <w:rFonts w:cstheme="minorHAnsi"/>
              </w:rPr>
              <w:t xml:space="preserve">prior work experience </w:t>
            </w:r>
            <w:r w:rsidR="00703B74">
              <w:rPr>
                <w:rFonts w:cstheme="minorHAnsi"/>
              </w:rPr>
              <w:t>would be an asset</w:t>
            </w:r>
            <w:r w:rsidR="00447019">
              <w:rPr>
                <w:rFonts w:cstheme="minorHAnsi"/>
              </w:rPr>
              <w:t xml:space="preserve">; </w:t>
            </w:r>
          </w:p>
          <w:p w14:paraId="1B57A61B" w14:textId="63A8F7A6" w:rsidR="0065710B" w:rsidRPr="0039261A" w:rsidRDefault="0065710B" w:rsidP="00703B74">
            <w:pPr>
              <w:pStyle w:val="ListParagraph"/>
              <w:widowControl w:val="0"/>
              <w:overflowPunct w:val="0"/>
              <w:adjustRightInd w:val="0"/>
              <w:ind w:left="360"/>
              <w:jc w:val="both"/>
              <w:rPr>
                <w:rFonts w:cstheme="minorHAnsi"/>
              </w:rPr>
            </w:pPr>
          </w:p>
          <w:p w14:paraId="0C8C1E39" w14:textId="77777777" w:rsidR="00627610" w:rsidRDefault="0039261A" w:rsidP="009F4ED3">
            <w:pPr>
              <w:spacing w:before="80" w:after="60" w:line="288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Language </w:t>
            </w:r>
            <w:r w:rsidR="00627610" w:rsidRPr="0039261A">
              <w:rPr>
                <w:rFonts w:ascii="Calibri" w:hAnsi="Calibri" w:cs="Arial"/>
                <w:b/>
              </w:rPr>
              <w:t>requirements</w:t>
            </w:r>
          </w:p>
          <w:p w14:paraId="76701DF6" w14:textId="47C2784C" w:rsidR="0039261A" w:rsidRPr="0039261A" w:rsidRDefault="0039261A" w:rsidP="009F4ED3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djustRightInd w:val="0"/>
              <w:ind w:left="360" w:hanging="2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Fluency of </w:t>
            </w:r>
            <w:r w:rsidRPr="0039261A">
              <w:rPr>
                <w:rFonts w:cstheme="minorHAnsi"/>
              </w:rPr>
              <w:t xml:space="preserve">English </w:t>
            </w:r>
            <w:r w:rsidR="00F50A00">
              <w:rPr>
                <w:rFonts w:cstheme="minorHAnsi"/>
              </w:rPr>
              <w:t xml:space="preserve">and Mongolian </w:t>
            </w:r>
            <w:r w:rsidRPr="0039261A">
              <w:rPr>
                <w:rFonts w:cstheme="minorHAnsi"/>
              </w:rPr>
              <w:t>language</w:t>
            </w:r>
            <w:r w:rsidR="00F50A00">
              <w:rPr>
                <w:rFonts w:cstheme="minorHAnsi"/>
              </w:rPr>
              <w:t>s</w:t>
            </w:r>
            <w:r w:rsidRPr="0039261A">
              <w:rPr>
                <w:rFonts w:cstheme="minorHAnsi"/>
              </w:rPr>
              <w:t xml:space="preserve"> is required;</w:t>
            </w:r>
          </w:p>
          <w:p w14:paraId="47D453ED" w14:textId="77777777" w:rsidR="002165F8" w:rsidRPr="00993991" w:rsidRDefault="002165F8" w:rsidP="002165F8">
            <w:pPr>
              <w:spacing w:line="288" w:lineRule="auto"/>
              <w:jc w:val="both"/>
              <w:rPr>
                <w:rFonts w:ascii="Calibri" w:hAnsi="Calibri" w:cs="Arial"/>
                <w:i/>
                <w:color w:val="FF0000"/>
                <w:sz w:val="10"/>
                <w:szCs w:val="10"/>
              </w:rPr>
            </w:pPr>
          </w:p>
          <w:p w14:paraId="3DF15855" w14:textId="37E76252" w:rsidR="002165F8" w:rsidRDefault="002165F8" w:rsidP="00C30AC0">
            <w:pPr>
              <w:spacing w:line="288" w:lineRule="auto"/>
              <w:jc w:val="both"/>
              <w:rPr>
                <w:color w:val="FF0000"/>
              </w:rPr>
            </w:pPr>
            <w:r>
              <w:rPr>
                <w:rFonts w:ascii="Calibri" w:hAnsi="Calibri" w:cs="Calibri"/>
                <w:b/>
              </w:rPr>
              <w:t>Price Proposal and Schedule of Payments</w:t>
            </w:r>
          </w:p>
          <w:p w14:paraId="6ED6977B" w14:textId="77777777" w:rsidR="0039261A" w:rsidRPr="00993991" w:rsidRDefault="0039261A" w:rsidP="002165F8">
            <w:pPr>
              <w:autoSpaceDE w:val="0"/>
              <w:autoSpaceDN w:val="0"/>
              <w:adjustRightInd w:val="0"/>
              <w:rPr>
                <w:color w:val="FF0000"/>
                <w:sz w:val="10"/>
                <w:szCs w:val="10"/>
              </w:rPr>
            </w:pPr>
          </w:p>
          <w:p w14:paraId="397E4B63" w14:textId="1CBC930D" w:rsidR="0039261A" w:rsidRPr="0039261A" w:rsidRDefault="0039261A" w:rsidP="0039261A">
            <w:pPr>
              <w:widowControl w:val="0"/>
              <w:overflowPunct w:val="0"/>
              <w:adjustRightInd w:val="0"/>
              <w:jc w:val="both"/>
              <w:rPr>
                <w:rFonts w:cstheme="minorHAnsi"/>
              </w:rPr>
            </w:pPr>
            <w:r w:rsidRPr="0039261A">
              <w:rPr>
                <w:rFonts w:cstheme="minorHAnsi"/>
              </w:rPr>
              <w:t>Consultant must send a financial proposal based o</w:t>
            </w:r>
            <w:r w:rsidR="00C30AC0">
              <w:rPr>
                <w:rFonts w:cstheme="minorHAnsi"/>
              </w:rPr>
              <w:t>n lump sum amount.</w:t>
            </w:r>
          </w:p>
          <w:p w14:paraId="3D1ED8A0" w14:textId="77777777" w:rsidR="0039261A" w:rsidRPr="00993991" w:rsidRDefault="0039261A" w:rsidP="0039261A">
            <w:pPr>
              <w:widowControl w:val="0"/>
              <w:overflowPunct w:val="0"/>
              <w:adjustRightInd w:val="0"/>
              <w:jc w:val="both"/>
              <w:rPr>
                <w:rFonts w:cstheme="minorHAnsi"/>
                <w:b/>
                <w:sz w:val="10"/>
                <w:szCs w:val="10"/>
              </w:rPr>
            </w:pPr>
          </w:p>
          <w:p w14:paraId="5C8FBEFD" w14:textId="77777777" w:rsidR="00101C1E" w:rsidRDefault="0039261A" w:rsidP="0039261A">
            <w:pPr>
              <w:widowControl w:val="0"/>
              <w:overflowPunct w:val="0"/>
              <w:adjustRightInd w:val="0"/>
              <w:jc w:val="both"/>
              <w:rPr>
                <w:rFonts w:cstheme="minorHAnsi"/>
              </w:rPr>
            </w:pPr>
            <w:r w:rsidRPr="009D0092">
              <w:rPr>
                <w:rFonts w:cstheme="minorHAnsi"/>
              </w:rPr>
              <w:t>The total amount quoted shall be all-inclusive</w:t>
            </w:r>
            <w:r w:rsidR="00F53128" w:rsidRPr="009D0092">
              <w:rPr>
                <w:rFonts w:cstheme="minorHAnsi"/>
              </w:rPr>
              <w:t xml:space="preserve"> and include all costs components required to perform the deliverables identified in the TOR, including</w:t>
            </w:r>
            <w:r w:rsidR="009D0092">
              <w:rPr>
                <w:rFonts w:cstheme="minorHAnsi"/>
              </w:rPr>
              <w:t xml:space="preserve"> professional fee, travel costs</w:t>
            </w:r>
            <w:r w:rsidR="0034457D">
              <w:rPr>
                <w:rFonts w:cstheme="minorHAnsi"/>
              </w:rPr>
              <w:t>,</w:t>
            </w:r>
            <w:r w:rsidR="009D0092">
              <w:rPr>
                <w:rFonts w:cstheme="minorHAnsi"/>
              </w:rPr>
              <w:t xml:space="preserve"> and any other applicable cost to be incurred by the IC</w:t>
            </w:r>
            <w:r w:rsidR="009D0092" w:rsidRPr="009D0092">
              <w:rPr>
                <w:rFonts w:cstheme="minorHAnsi"/>
              </w:rPr>
              <w:t xml:space="preserve"> </w:t>
            </w:r>
            <w:r w:rsidR="009D0092">
              <w:rPr>
                <w:rFonts w:cstheme="minorHAnsi"/>
              </w:rPr>
              <w:t>in completing the assignment</w:t>
            </w:r>
            <w:r w:rsidRPr="009D0092">
              <w:rPr>
                <w:rFonts w:cstheme="minorHAnsi"/>
              </w:rPr>
              <w:t>. The</w:t>
            </w:r>
            <w:r w:rsidR="00D076A2" w:rsidRPr="00D076A2">
              <w:rPr>
                <w:rFonts w:cstheme="minorHAnsi"/>
              </w:rPr>
              <w:t xml:space="preserve"> contract price </w:t>
            </w:r>
            <w:r w:rsidR="00D076A2">
              <w:rPr>
                <w:rFonts w:cstheme="minorHAnsi"/>
              </w:rPr>
              <w:t>will</w:t>
            </w:r>
            <w:r w:rsidR="00D076A2" w:rsidRPr="00D076A2">
              <w:rPr>
                <w:rFonts w:cstheme="minorHAnsi"/>
              </w:rPr>
              <w:t xml:space="preserve"> fixed output-based price regardless of extension </w:t>
            </w:r>
            <w:r w:rsidR="00F23553">
              <w:rPr>
                <w:rFonts w:cstheme="minorHAnsi"/>
              </w:rPr>
              <w:t>of the herein specified</w:t>
            </w:r>
            <w:r w:rsidR="00D076A2">
              <w:rPr>
                <w:rFonts w:cstheme="minorHAnsi"/>
              </w:rPr>
              <w:t xml:space="preserve"> duration</w:t>
            </w:r>
            <w:r w:rsidR="00F53128" w:rsidRPr="009D0092">
              <w:rPr>
                <w:rFonts w:cstheme="minorHAnsi"/>
              </w:rPr>
              <w:t xml:space="preserve">. </w:t>
            </w:r>
          </w:p>
          <w:p w14:paraId="70CBBB36" w14:textId="77777777" w:rsidR="00D076A2" w:rsidRPr="003C023C" w:rsidRDefault="00D076A2" w:rsidP="009F4488">
            <w:pPr>
              <w:jc w:val="both"/>
              <w:rPr>
                <w:rFonts w:cstheme="minorHAnsi"/>
                <w:sz w:val="10"/>
                <w:szCs w:val="10"/>
                <w:lang w:val="mn-MN"/>
              </w:rPr>
            </w:pPr>
          </w:p>
          <w:p w14:paraId="52D9F18A" w14:textId="77777777" w:rsidR="00D076A2" w:rsidRPr="00B63865" w:rsidRDefault="00D076A2" w:rsidP="009F4488">
            <w:pPr>
              <w:jc w:val="both"/>
              <w:rPr>
                <w:rFonts w:cstheme="minorHAnsi"/>
              </w:rPr>
            </w:pPr>
            <w:r w:rsidRPr="00D076A2">
              <w:rPr>
                <w:rFonts w:cstheme="minorHAnsi"/>
              </w:rPr>
              <w:t>In the event of unforeseeable travel</w:t>
            </w:r>
            <w:r>
              <w:rPr>
                <w:rFonts w:cstheme="minorHAnsi"/>
              </w:rPr>
              <w:t xml:space="preserve"> not anticipated in this TOR</w:t>
            </w:r>
            <w:r w:rsidRPr="00D076A2">
              <w:rPr>
                <w:rFonts w:cstheme="minorHAnsi"/>
              </w:rPr>
              <w:t>, payment of travel costs including tickets, lodging and terminal expenses should be agreed upon, between the respective business unit and</w:t>
            </w:r>
            <w:r w:rsidR="00993991">
              <w:rPr>
                <w:rFonts w:cstheme="minorHAnsi"/>
              </w:rPr>
              <w:t xml:space="preserve"> the</w:t>
            </w:r>
            <w:r w:rsidRPr="00D076A2">
              <w:rPr>
                <w:rFonts w:cstheme="minorHAnsi"/>
              </w:rPr>
              <w:t xml:space="preserve"> Individual Consultant, prior to travel and will be reimbursed.</w:t>
            </w:r>
          </w:p>
          <w:p w14:paraId="0E141CC5" w14:textId="77777777" w:rsidR="002165F8" w:rsidRDefault="002165F8" w:rsidP="002165F8">
            <w:pPr>
              <w:spacing w:line="288" w:lineRule="auto"/>
              <w:jc w:val="both"/>
              <w:rPr>
                <w:i/>
                <w:color w:val="FF0000"/>
                <w:lang w:val="en-PH"/>
              </w:rPr>
            </w:pPr>
          </w:p>
          <w:p w14:paraId="34A058AE" w14:textId="77777777" w:rsidR="002165F8" w:rsidRDefault="002165F8" w:rsidP="002165F8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Evaluation Method and Criteria</w:t>
            </w:r>
          </w:p>
          <w:p w14:paraId="2E9E74A0" w14:textId="30342AC1" w:rsidR="002165F8" w:rsidRPr="009F4488" w:rsidRDefault="002165F8" w:rsidP="002165F8">
            <w:pPr>
              <w:rPr>
                <w:rFonts w:cstheme="minorHAnsi"/>
                <w:b/>
              </w:rPr>
            </w:pPr>
            <w:r w:rsidRPr="00816B78">
              <w:t>In</w:t>
            </w:r>
            <w:r>
              <w:t>dividual consultants will be evaluated based on the following methodology</w:t>
            </w:r>
            <w:r w:rsidR="00C858E8">
              <w:t xml:space="preserve"> of </w:t>
            </w:r>
            <w:r w:rsidR="00E05A57">
              <w:rPr>
                <w:rFonts w:cstheme="minorHAnsi"/>
                <w:b/>
              </w:rPr>
              <w:t>Cumulative analysis</w:t>
            </w:r>
            <w:r w:rsidR="00C858E8">
              <w:rPr>
                <w:rFonts w:cstheme="minorHAnsi"/>
                <w:b/>
              </w:rPr>
              <w:t>.</w:t>
            </w:r>
            <w:r w:rsidR="00E05A57">
              <w:rPr>
                <w:rFonts w:cstheme="minorHAnsi"/>
                <w:b/>
              </w:rPr>
              <w:t xml:space="preserve"> </w:t>
            </w:r>
          </w:p>
          <w:p w14:paraId="0FECFCD6" w14:textId="7838335B" w:rsidR="002165F8" w:rsidRPr="006D1D68" w:rsidRDefault="002165F8" w:rsidP="002165F8">
            <w:pPr>
              <w:rPr>
                <w:i/>
              </w:rPr>
            </w:pPr>
            <w:r w:rsidRPr="009F4488">
              <w:t>The award of the contract shall be made to the individual consultant whose offer has bee</w:t>
            </w:r>
            <w:r w:rsidR="009F4488">
              <w:t xml:space="preserve">n evaluated and determined as </w:t>
            </w:r>
            <w:r w:rsidR="006C41C9">
              <w:t xml:space="preserve">a) </w:t>
            </w:r>
            <w:r w:rsidR="009F4488">
              <w:t>responsive/</w:t>
            </w:r>
            <w:r w:rsidR="009F4488" w:rsidRPr="006D1D68">
              <w:t>compliant/acceptable;</w:t>
            </w:r>
            <w:r w:rsidRPr="006D1D68">
              <w:t xml:space="preserve"> and</w:t>
            </w:r>
            <w:r w:rsidR="009F4488" w:rsidRPr="006D1D68">
              <w:t xml:space="preserve"> </w:t>
            </w:r>
            <w:r w:rsidR="006C41C9" w:rsidRPr="006D1D68">
              <w:t xml:space="preserve">b) </w:t>
            </w:r>
            <w:r w:rsidR="009F4488" w:rsidRPr="006D1D68">
              <w:t>h</w:t>
            </w:r>
            <w:r w:rsidRPr="006D1D68">
              <w:t>aving received the highest score out of set of weighted technical</w:t>
            </w:r>
            <w:r w:rsidR="009F4488" w:rsidRPr="006D1D68">
              <w:t xml:space="preserve"> criteria (70%).</w:t>
            </w:r>
            <w:r w:rsidRPr="006D1D68">
              <w:t xml:space="preserve"> and financial criteria </w:t>
            </w:r>
            <w:r w:rsidR="009F4488" w:rsidRPr="006D1D68">
              <w:t>(</w:t>
            </w:r>
            <w:r w:rsidRPr="006D1D68">
              <w:t>30%</w:t>
            </w:r>
            <w:r w:rsidR="009F4488" w:rsidRPr="006D1D68">
              <w:t>)</w:t>
            </w:r>
            <w:r w:rsidRPr="006D1D68">
              <w:t>.</w:t>
            </w:r>
            <w:r w:rsidR="00E05A57" w:rsidRPr="006D1D68">
              <w:t xml:space="preserve"> Financial score shall be computed as a ratio of the proposal being evaluated and the lowest priced proposal received by UNDP for the assignment.</w:t>
            </w:r>
            <w:r w:rsidR="009C5FF1" w:rsidRPr="006D1D68">
              <w:t xml:space="preserve"> </w:t>
            </w:r>
          </w:p>
          <w:p w14:paraId="49C5CF56" w14:textId="0B138345" w:rsidR="002165F8" w:rsidRPr="006D1D68" w:rsidRDefault="002165F8" w:rsidP="008223D5">
            <w:pPr>
              <w:rPr>
                <w:b/>
                <w:i/>
              </w:rPr>
            </w:pPr>
          </w:p>
          <w:p w14:paraId="44AFE597" w14:textId="09D3DCD2" w:rsidR="00D236E3" w:rsidRPr="006D1D68" w:rsidRDefault="002165F8" w:rsidP="00D236E3">
            <w:pPr>
              <w:rPr>
                <w:b/>
              </w:rPr>
            </w:pPr>
            <w:r w:rsidRPr="006D1D68">
              <w:rPr>
                <w:b/>
              </w:rPr>
              <w:t>Technical Criteria</w:t>
            </w:r>
            <w:r w:rsidR="006C41C9" w:rsidRPr="006D1D68">
              <w:rPr>
                <w:b/>
              </w:rPr>
              <w:t xml:space="preserve"> for Evaluation (</w:t>
            </w:r>
            <w:r w:rsidRPr="006D1D68">
              <w:rPr>
                <w:b/>
              </w:rPr>
              <w:t>Maximum 70 points</w:t>
            </w:r>
            <w:r w:rsidR="006C41C9" w:rsidRPr="006D1D68">
              <w:rPr>
                <w:b/>
              </w:rPr>
              <w:t>)</w:t>
            </w:r>
            <w:r w:rsidR="00D236E3" w:rsidRPr="006D1D68">
              <w:rPr>
                <w:b/>
              </w:rPr>
              <w:t xml:space="preserve"> </w:t>
            </w:r>
          </w:p>
          <w:p w14:paraId="7BA274AB" w14:textId="632CA371" w:rsidR="006C41C9" w:rsidRPr="00D01117" w:rsidRDefault="00D01117" w:rsidP="006C41C9">
            <w:pPr>
              <w:rPr>
                <w:bCs/>
              </w:rPr>
            </w:pPr>
            <w:r w:rsidRPr="00D01117">
              <w:rPr>
                <w:bCs/>
              </w:rPr>
              <w:t>See attached table</w:t>
            </w:r>
            <w:r w:rsidR="00213178">
              <w:rPr>
                <w:bCs/>
              </w:rPr>
              <w:t xml:space="preserve"> – Technical evaluation scoring guide.</w:t>
            </w:r>
          </w:p>
          <w:p w14:paraId="2262C8E5" w14:textId="7F791FC4" w:rsidR="005356DC" w:rsidRDefault="006C41C9" w:rsidP="005356DC">
            <w:r w:rsidRPr="009F4488">
              <w:t>Only candidates obtaining a minimum of 70% of the total technical point</w:t>
            </w:r>
            <w:r w:rsidR="00EE71CF">
              <w:t>s</w:t>
            </w:r>
            <w:r w:rsidRPr="009F4488">
              <w:t xml:space="preserve"> would be considered for the Financial Evaluation</w:t>
            </w:r>
            <w:r>
              <w:t>.</w:t>
            </w:r>
          </w:p>
          <w:p w14:paraId="64C4AE2B" w14:textId="77777777" w:rsidR="005356DC" w:rsidRPr="009D0092" w:rsidRDefault="005356DC" w:rsidP="005356DC"/>
          <w:p w14:paraId="20063460" w14:textId="685A8D26" w:rsidR="009D0092" w:rsidRPr="009D0092" w:rsidRDefault="009D0092" w:rsidP="006C41C9">
            <w:r>
              <w:t>Shortlisted candidates shall be called for an interview which will be used to confirm and/or adjust the technical scores awarded based on documentation submitted.</w:t>
            </w:r>
          </w:p>
          <w:p w14:paraId="29140597" w14:textId="77777777" w:rsidR="002165F8" w:rsidRPr="008E6897" w:rsidRDefault="002165F8" w:rsidP="002165F8">
            <w:pPr>
              <w:rPr>
                <w:b/>
                <w:sz w:val="10"/>
                <w:szCs w:val="10"/>
                <w:highlight w:val="yellow"/>
              </w:rPr>
            </w:pPr>
          </w:p>
          <w:p w14:paraId="00274CF9" w14:textId="77777777" w:rsidR="002165F8" w:rsidRDefault="006C41C9" w:rsidP="002165F8">
            <w:pPr>
              <w:rPr>
                <w:i/>
              </w:rPr>
            </w:pPr>
            <w:r>
              <w:rPr>
                <w:b/>
              </w:rPr>
              <w:t xml:space="preserve">Documentation </w:t>
            </w:r>
            <w:proofErr w:type="gramStart"/>
            <w:r>
              <w:rPr>
                <w:b/>
              </w:rPr>
              <w:t>required</w:t>
            </w:r>
            <w:proofErr w:type="gramEnd"/>
          </w:p>
          <w:p w14:paraId="7EC09B22" w14:textId="0C8706E7" w:rsidR="002165F8" w:rsidRDefault="002165F8" w:rsidP="002165F8">
            <w:pPr>
              <w:rPr>
                <w:b/>
              </w:rPr>
            </w:pPr>
            <w:r>
              <w:t>Interested individual consultants must submit the following documents/information to demonstrate their qualifications</w:t>
            </w:r>
            <w:r w:rsidR="006C41C9" w:rsidRPr="006C41C9">
              <w:t>:</w:t>
            </w:r>
          </w:p>
          <w:p w14:paraId="3E0C6DC6" w14:textId="77777777" w:rsidR="002165F8" w:rsidRDefault="002165F8" w:rsidP="009C5FF1">
            <w:pPr>
              <w:pStyle w:val="ListParagraph"/>
              <w:numPr>
                <w:ilvl w:val="0"/>
                <w:numId w:val="34"/>
              </w:numPr>
              <w:ind w:left="540"/>
            </w:pPr>
            <w:r w:rsidRPr="00EA2915">
              <w:rPr>
                <w:b/>
              </w:rPr>
              <w:t>Letter of Confirmation of Interest and Availability</w:t>
            </w:r>
            <w:r>
              <w:rPr>
                <w:b/>
              </w:rPr>
              <w:t xml:space="preserve"> </w:t>
            </w:r>
            <w:r w:rsidR="009C5FF1">
              <w:t xml:space="preserve">using the template provided in </w:t>
            </w:r>
            <w:r w:rsidR="006C41C9">
              <w:t>Annex II.</w:t>
            </w:r>
          </w:p>
          <w:p w14:paraId="7DDC27E8" w14:textId="6556C57D" w:rsidR="002165F8" w:rsidRDefault="002165F8" w:rsidP="009C5FF1">
            <w:pPr>
              <w:pStyle w:val="ListParagraph"/>
              <w:numPr>
                <w:ilvl w:val="0"/>
                <w:numId w:val="34"/>
              </w:numPr>
              <w:ind w:left="540"/>
            </w:pPr>
            <w:r w:rsidRPr="00EA2915">
              <w:rPr>
                <w:b/>
              </w:rPr>
              <w:t xml:space="preserve">Personal CV or </w:t>
            </w:r>
            <w:hyperlink r:id="rId12" w:history="1">
              <w:r w:rsidRPr="00F3274E">
                <w:rPr>
                  <w:rStyle w:val="Hyperlink"/>
                  <w:b/>
                </w:rPr>
                <w:t>P11</w:t>
              </w:r>
            </w:hyperlink>
            <w:r w:rsidRPr="00EA2915">
              <w:t>, indicating all past experience from similar projects, as well as the contact details (email and telephone number) of the Candidate and</w:t>
            </w:r>
            <w:r>
              <w:t xml:space="preserve"> </w:t>
            </w:r>
            <w:r w:rsidRPr="00EA2915">
              <w:t xml:space="preserve">at least </w:t>
            </w:r>
            <w:r w:rsidR="00976501">
              <w:t xml:space="preserve">two </w:t>
            </w:r>
            <w:r w:rsidRPr="00EA2915">
              <w:t>(</w:t>
            </w:r>
            <w:r w:rsidR="00976501">
              <w:t>2</w:t>
            </w:r>
            <w:r w:rsidRPr="00EA2915">
              <w:t>) professional references</w:t>
            </w:r>
            <w:r>
              <w:t>.</w:t>
            </w:r>
          </w:p>
          <w:p w14:paraId="01F3ED77" w14:textId="4D304C68" w:rsidR="002165F8" w:rsidRPr="009C5FF1" w:rsidRDefault="009C5FF1" w:rsidP="009C5FF1">
            <w:pPr>
              <w:pStyle w:val="ListParagraph"/>
              <w:numPr>
                <w:ilvl w:val="0"/>
                <w:numId w:val="34"/>
              </w:numPr>
              <w:ind w:left="540"/>
              <w:rPr>
                <w:b/>
              </w:rPr>
            </w:pPr>
            <w:r w:rsidRPr="009C5FF1">
              <w:rPr>
                <w:b/>
              </w:rPr>
              <w:t>Technical proposal</w:t>
            </w:r>
            <w:r w:rsidRPr="009C5FF1">
              <w:t>, including a) a b</w:t>
            </w:r>
            <w:r w:rsidR="002165F8" w:rsidRPr="009C5FF1">
              <w:t>rief description of why the individual considers him/herself as the most suitable for the assignment</w:t>
            </w:r>
            <w:r w:rsidRPr="009C5FF1">
              <w:t>; and b) a</w:t>
            </w:r>
            <w:r w:rsidR="002165F8" w:rsidRPr="009C5FF1">
              <w:t xml:space="preserve"> methodology, on how they will approach and complete the assignment. </w:t>
            </w:r>
          </w:p>
          <w:p w14:paraId="05E99D37" w14:textId="0E2DE78D" w:rsidR="002165F8" w:rsidRPr="009D0092" w:rsidRDefault="002165F8" w:rsidP="009C5FF1">
            <w:pPr>
              <w:pStyle w:val="ListParagraph"/>
              <w:numPr>
                <w:ilvl w:val="0"/>
                <w:numId w:val="34"/>
              </w:numPr>
              <w:ind w:left="540"/>
            </w:pPr>
            <w:r w:rsidRPr="009D0092">
              <w:rPr>
                <w:b/>
              </w:rPr>
              <w:t>Financial proposal</w:t>
            </w:r>
            <w:r w:rsidR="009D0092" w:rsidRPr="009D0092">
              <w:t>, as per template provided in Annex II</w:t>
            </w:r>
            <w:r w:rsidR="00537834">
              <w:t>I</w:t>
            </w:r>
            <w:r w:rsidR="009C5FF1">
              <w:t xml:space="preserve">. </w:t>
            </w:r>
          </w:p>
          <w:p w14:paraId="6E40F62F" w14:textId="77777777" w:rsidR="004D6E73" w:rsidRPr="00E05A57" w:rsidRDefault="004D6E73" w:rsidP="002165F8">
            <w:pPr>
              <w:spacing w:line="288" w:lineRule="auto"/>
              <w:jc w:val="both"/>
              <w:rPr>
                <w:sz w:val="10"/>
                <w:szCs w:val="10"/>
              </w:rPr>
            </w:pPr>
          </w:p>
          <w:p w14:paraId="4D316A8A" w14:textId="21725F80" w:rsidR="002165F8" w:rsidRDefault="004D6E73" w:rsidP="002165F8">
            <w:pPr>
              <w:spacing w:line="288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D6E73">
              <w:t>Incomplete proposals may not be considered.</w:t>
            </w:r>
            <w:r w:rsidR="00B02ED1">
              <w:t xml:space="preserve"> Only the successful candidate will be notified of contract award.</w:t>
            </w:r>
          </w:p>
          <w:p w14:paraId="7BD11C67" w14:textId="77777777" w:rsidR="004D6E73" w:rsidRPr="00E05A57" w:rsidRDefault="004D6E73" w:rsidP="002165F8">
            <w:pPr>
              <w:spacing w:line="288" w:lineRule="auto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14:paraId="203B8751" w14:textId="77777777" w:rsidR="002165F8" w:rsidRPr="00EA2915" w:rsidRDefault="006C41C9" w:rsidP="002165F8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b/>
              </w:rPr>
              <w:t>Annexes</w:t>
            </w:r>
          </w:p>
          <w:p w14:paraId="66DD4A37" w14:textId="77777777" w:rsidR="00443E94" w:rsidRDefault="006C41C9" w:rsidP="00B547C2">
            <w:pPr>
              <w:pStyle w:val="ListParagraph"/>
              <w:numPr>
                <w:ilvl w:val="0"/>
                <w:numId w:val="18"/>
              </w:numPr>
            </w:pPr>
            <w:r w:rsidRPr="00A71CCD">
              <w:t>Annex</w:t>
            </w:r>
            <w:r w:rsidR="002165F8" w:rsidRPr="00A71CCD">
              <w:t xml:space="preserve"> I </w:t>
            </w:r>
            <w:r w:rsidR="00B547C2">
              <w:t xml:space="preserve">– </w:t>
            </w:r>
            <w:r w:rsidR="00B547C2" w:rsidRPr="0066748C">
              <w:rPr>
                <w:u w:val="single"/>
              </w:rPr>
              <w:t>Technical evaluation scoring guide</w:t>
            </w:r>
          </w:p>
          <w:p w14:paraId="1935E1CC" w14:textId="700BAB65" w:rsidR="003E53FF" w:rsidRPr="00A71CCD" w:rsidRDefault="003E53FF" w:rsidP="003E53FF">
            <w:pPr>
              <w:pStyle w:val="ListParagraph"/>
              <w:numPr>
                <w:ilvl w:val="0"/>
                <w:numId w:val="18"/>
              </w:numPr>
            </w:pPr>
            <w:r w:rsidRPr="00A71CCD">
              <w:t>Annex I</w:t>
            </w:r>
            <w:r>
              <w:t>I</w:t>
            </w:r>
            <w:r w:rsidRPr="00A71CCD">
              <w:t xml:space="preserve"> - </w:t>
            </w:r>
            <w:hyperlink r:id="rId13" w:history="1">
              <w:r w:rsidRPr="00F3274E">
                <w:rPr>
                  <w:rStyle w:val="Hyperlink"/>
                </w:rPr>
                <w:t>Individual IC General Terms and Conditions</w:t>
              </w:r>
            </w:hyperlink>
          </w:p>
          <w:p w14:paraId="7BA4F78E" w14:textId="3CAECAF4" w:rsidR="00C6393A" w:rsidRPr="00B547C2" w:rsidRDefault="003E53FF" w:rsidP="003E53FF">
            <w:pPr>
              <w:pStyle w:val="ListParagraph"/>
              <w:numPr>
                <w:ilvl w:val="0"/>
                <w:numId w:val="18"/>
              </w:numPr>
            </w:pPr>
            <w:r w:rsidRPr="00A71CCD">
              <w:t>Annex II</w:t>
            </w:r>
            <w:r>
              <w:t>I</w:t>
            </w:r>
            <w:r w:rsidRPr="00A71CCD">
              <w:t xml:space="preserve"> – </w:t>
            </w:r>
            <w:hyperlink r:id="rId14" w:history="1">
              <w:r w:rsidRPr="00A51602">
                <w:rPr>
                  <w:rStyle w:val="Hyperlink"/>
                </w:rPr>
                <w:t>Offeror’s Letter to UNDP Confirming Interest and Availability for the Individual IC, including Financial Proposal Template</w:t>
              </w:r>
            </w:hyperlink>
            <w:r w:rsidRPr="00A71CCD">
              <w:t xml:space="preserve"> </w:t>
            </w:r>
          </w:p>
        </w:tc>
      </w:tr>
    </w:tbl>
    <w:p w14:paraId="770B3893" w14:textId="625C0FCB" w:rsidR="00B547C2" w:rsidRDefault="00B547C2" w:rsidP="00BB3D37">
      <w:pPr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489"/>
        <w:tblW w:w="916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28"/>
        <w:gridCol w:w="990"/>
        <w:gridCol w:w="1350"/>
      </w:tblGrid>
      <w:tr w:rsidR="00B547C2" w:rsidRPr="00A20907" w14:paraId="3D36C880" w14:textId="77777777" w:rsidTr="00A20907">
        <w:trPr>
          <w:trHeight w:val="445"/>
        </w:trPr>
        <w:tc>
          <w:tcPr>
            <w:tcW w:w="6828" w:type="dxa"/>
            <w:vMerge w:val="restart"/>
            <w:shd w:val="clear" w:color="auto" w:fill="B8CCE4" w:themeFill="accent1" w:themeFillTint="66"/>
            <w:vAlign w:val="center"/>
          </w:tcPr>
          <w:p w14:paraId="5338BB0D" w14:textId="77777777" w:rsidR="00B547C2" w:rsidRPr="00A20907" w:rsidRDefault="00B547C2" w:rsidP="00A20907">
            <w:pPr>
              <w:jc w:val="center"/>
              <w:rPr>
                <w:rFonts w:cstheme="minorHAnsi"/>
                <w:b/>
                <w:bCs/>
                <w:lang w:val="mn-MN"/>
              </w:rPr>
            </w:pPr>
            <w:r w:rsidRPr="00A20907">
              <w:rPr>
                <w:rFonts w:cstheme="minorHAnsi"/>
                <w:b/>
                <w:bCs/>
                <w:lang w:val="mn-MN"/>
              </w:rPr>
              <w:t>Criteria</w:t>
            </w:r>
          </w:p>
        </w:tc>
        <w:tc>
          <w:tcPr>
            <w:tcW w:w="990" w:type="dxa"/>
            <w:vMerge w:val="restart"/>
            <w:shd w:val="clear" w:color="auto" w:fill="B8CCE4" w:themeFill="accent1" w:themeFillTint="66"/>
            <w:vAlign w:val="center"/>
          </w:tcPr>
          <w:p w14:paraId="426CBBDD" w14:textId="77777777" w:rsidR="00B547C2" w:rsidRPr="00A20907" w:rsidRDefault="00B547C2" w:rsidP="009E7344">
            <w:pPr>
              <w:rPr>
                <w:rFonts w:cstheme="minorHAnsi"/>
                <w:b/>
                <w:bCs/>
                <w:lang w:val="mn-MN"/>
              </w:rPr>
            </w:pPr>
            <w:r w:rsidRPr="00A20907">
              <w:rPr>
                <w:rFonts w:cstheme="minorHAnsi"/>
                <w:b/>
                <w:bCs/>
                <w:lang w:val="mn-MN"/>
              </w:rPr>
              <w:t>Weight</w:t>
            </w:r>
          </w:p>
        </w:tc>
        <w:tc>
          <w:tcPr>
            <w:tcW w:w="1350" w:type="dxa"/>
            <w:vMerge w:val="restart"/>
            <w:shd w:val="clear" w:color="auto" w:fill="B8CCE4" w:themeFill="accent1" w:themeFillTint="66"/>
            <w:vAlign w:val="center"/>
          </w:tcPr>
          <w:p w14:paraId="606FD477" w14:textId="77777777" w:rsidR="00B547C2" w:rsidRPr="00A20907" w:rsidRDefault="00B547C2" w:rsidP="009E7344">
            <w:pPr>
              <w:rPr>
                <w:rFonts w:cstheme="minorHAnsi"/>
                <w:b/>
                <w:bCs/>
                <w:lang w:val="mn-MN"/>
              </w:rPr>
            </w:pPr>
            <w:r w:rsidRPr="00A20907">
              <w:rPr>
                <w:rFonts w:cstheme="minorHAnsi"/>
                <w:b/>
                <w:bCs/>
                <w:lang w:val="mn-MN"/>
              </w:rPr>
              <w:t>Max. point</w:t>
            </w:r>
          </w:p>
        </w:tc>
      </w:tr>
      <w:tr w:rsidR="00B547C2" w:rsidRPr="00A20907" w14:paraId="1EFC39E0" w14:textId="77777777" w:rsidTr="00A20907">
        <w:trPr>
          <w:trHeight w:val="445"/>
        </w:trPr>
        <w:tc>
          <w:tcPr>
            <w:tcW w:w="6828" w:type="dxa"/>
            <w:vMerge/>
            <w:shd w:val="clear" w:color="auto" w:fill="B8CCE4" w:themeFill="accent1" w:themeFillTint="66"/>
          </w:tcPr>
          <w:p w14:paraId="79B6A638" w14:textId="77777777" w:rsidR="00B547C2" w:rsidRPr="00A20907" w:rsidRDefault="00B547C2" w:rsidP="009E7344">
            <w:pPr>
              <w:rPr>
                <w:rFonts w:cstheme="minorHAnsi"/>
                <w:lang w:val="mn-MN"/>
              </w:rPr>
            </w:pPr>
          </w:p>
        </w:tc>
        <w:tc>
          <w:tcPr>
            <w:tcW w:w="990" w:type="dxa"/>
            <w:vMerge/>
            <w:shd w:val="clear" w:color="auto" w:fill="B8CCE4" w:themeFill="accent1" w:themeFillTint="66"/>
          </w:tcPr>
          <w:p w14:paraId="6F13BCBC" w14:textId="77777777" w:rsidR="00B547C2" w:rsidRPr="00A20907" w:rsidRDefault="00B547C2" w:rsidP="009E7344">
            <w:pPr>
              <w:rPr>
                <w:rFonts w:cstheme="minorHAnsi"/>
                <w:lang w:val="mn-MN"/>
              </w:rPr>
            </w:pPr>
          </w:p>
        </w:tc>
        <w:tc>
          <w:tcPr>
            <w:tcW w:w="1350" w:type="dxa"/>
            <w:vMerge/>
            <w:shd w:val="clear" w:color="auto" w:fill="B8CCE4" w:themeFill="accent1" w:themeFillTint="66"/>
          </w:tcPr>
          <w:p w14:paraId="633C6504" w14:textId="77777777" w:rsidR="00B547C2" w:rsidRPr="00A20907" w:rsidRDefault="00B547C2" w:rsidP="009E7344">
            <w:pPr>
              <w:rPr>
                <w:rFonts w:cstheme="minorHAnsi"/>
                <w:lang w:val="mn-MN"/>
              </w:rPr>
            </w:pPr>
          </w:p>
        </w:tc>
      </w:tr>
      <w:tr w:rsidR="00B547C2" w:rsidRPr="00A20907" w14:paraId="0A9A6734" w14:textId="77777777" w:rsidTr="00A20907">
        <w:trPr>
          <w:trHeight w:val="467"/>
        </w:trPr>
        <w:tc>
          <w:tcPr>
            <w:tcW w:w="6828" w:type="dxa"/>
            <w:shd w:val="clear" w:color="auto" w:fill="FFFFFF" w:themeFill="background1"/>
            <w:vAlign w:val="center"/>
          </w:tcPr>
          <w:p w14:paraId="4D44FDAC" w14:textId="77777777" w:rsidR="00B547C2" w:rsidRPr="00A20907" w:rsidRDefault="00B547C2" w:rsidP="009E7344">
            <w:pPr>
              <w:rPr>
                <w:rFonts w:cstheme="minorHAnsi"/>
                <w:b/>
                <w:bCs/>
                <w:lang w:val="mn-MN"/>
              </w:rPr>
            </w:pPr>
            <w:r w:rsidRPr="00A20907">
              <w:rPr>
                <w:rFonts w:cstheme="minorHAnsi"/>
                <w:b/>
                <w:bCs/>
                <w:lang w:val="mn-MN"/>
              </w:rPr>
              <w:t>Technical criteria 1: Education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AC48B45" w14:textId="77777777" w:rsidR="00B547C2" w:rsidRPr="00A20907" w:rsidRDefault="00B547C2" w:rsidP="009E7344">
            <w:pPr>
              <w:rPr>
                <w:rFonts w:cstheme="minorHAnsi"/>
                <w:lang w:val="mn-MN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11FC377" w14:textId="77777777" w:rsidR="00B547C2" w:rsidRPr="007A22F4" w:rsidRDefault="00B547C2" w:rsidP="009E7344">
            <w:pPr>
              <w:rPr>
                <w:rFonts w:cstheme="minorHAnsi"/>
                <w:b/>
                <w:bCs/>
                <w:color w:val="FF0000"/>
                <w:lang w:val="mn-MN"/>
              </w:rPr>
            </w:pPr>
            <w:r w:rsidRPr="007A22F4">
              <w:rPr>
                <w:rFonts w:cstheme="minorHAnsi"/>
                <w:b/>
                <w:bCs/>
                <w:color w:val="FF0000"/>
                <w:lang w:val="mn-MN"/>
              </w:rPr>
              <w:t>20</w:t>
            </w:r>
          </w:p>
        </w:tc>
      </w:tr>
      <w:tr w:rsidR="00B547C2" w:rsidRPr="00A20907" w14:paraId="44D2655E" w14:textId="77777777" w:rsidTr="00432560">
        <w:trPr>
          <w:trHeight w:val="308"/>
        </w:trPr>
        <w:tc>
          <w:tcPr>
            <w:tcW w:w="6828" w:type="dxa"/>
            <w:shd w:val="clear" w:color="auto" w:fill="FFFFFF" w:themeFill="background1"/>
          </w:tcPr>
          <w:p w14:paraId="6075E77E" w14:textId="44F93305" w:rsidR="00432560" w:rsidRPr="00574BDB" w:rsidRDefault="00574BDB" w:rsidP="00574BDB">
            <w:pPr>
              <w:widowControl w:val="0"/>
              <w:overflowPunct w:val="0"/>
              <w:adjustRightInd w:val="0"/>
              <w:jc w:val="both"/>
              <w:rPr>
                <w:rFonts w:cstheme="minorHAnsi"/>
              </w:rPr>
            </w:pPr>
            <w:r w:rsidRPr="00574BDB">
              <w:rPr>
                <w:rFonts w:cstheme="minorHAnsi"/>
              </w:rPr>
              <w:t xml:space="preserve">Advanced university degree (Master's degree or higher) in Economics, Finance, Public Finance </w:t>
            </w:r>
            <w:proofErr w:type="gramStart"/>
            <w:r w:rsidRPr="00574BDB">
              <w:rPr>
                <w:rFonts w:cstheme="minorHAnsi"/>
              </w:rPr>
              <w:t>Management</w:t>
            </w:r>
            <w:proofErr w:type="gramEnd"/>
            <w:r w:rsidRPr="00574BDB">
              <w:rPr>
                <w:rFonts w:cstheme="minorHAnsi"/>
              </w:rPr>
              <w:t xml:space="preserve"> and other closely related fields;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63EB00E" w14:textId="77777777" w:rsidR="00B547C2" w:rsidRPr="00A20907" w:rsidRDefault="00B547C2" w:rsidP="009E7344">
            <w:pPr>
              <w:rPr>
                <w:rFonts w:cstheme="minorHAnsi"/>
                <w:lang w:val="mn-MN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DF4D669" w14:textId="77777777" w:rsidR="00B547C2" w:rsidRPr="007A22F4" w:rsidRDefault="00B547C2" w:rsidP="009E7344">
            <w:pPr>
              <w:rPr>
                <w:rFonts w:cstheme="minorHAnsi"/>
                <w:i/>
                <w:color w:val="FF0000"/>
                <w:lang w:val="mn-MN"/>
              </w:rPr>
            </w:pPr>
            <w:r w:rsidRPr="007A22F4">
              <w:rPr>
                <w:rFonts w:cstheme="minorHAnsi"/>
                <w:i/>
                <w:color w:val="FF0000"/>
                <w:lang w:val="mn-MN"/>
              </w:rPr>
              <w:t>[20]</w:t>
            </w:r>
          </w:p>
        </w:tc>
      </w:tr>
      <w:tr w:rsidR="00B547C2" w:rsidRPr="00A20907" w14:paraId="0F18710B" w14:textId="77777777" w:rsidTr="00A20907">
        <w:trPr>
          <w:trHeight w:val="485"/>
        </w:trPr>
        <w:tc>
          <w:tcPr>
            <w:tcW w:w="6828" w:type="dxa"/>
            <w:shd w:val="clear" w:color="auto" w:fill="FFFFFF" w:themeFill="background1"/>
            <w:vAlign w:val="center"/>
          </w:tcPr>
          <w:p w14:paraId="56879E37" w14:textId="77777777" w:rsidR="00B547C2" w:rsidRPr="00A20907" w:rsidRDefault="00B547C2" w:rsidP="009E7344">
            <w:pPr>
              <w:rPr>
                <w:rFonts w:cstheme="minorHAnsi"/>
                <w:b/>
                <w:bCs/>
                <w:lang w:val="mn-MN"/>
              </w:rPr>
            </w:pPr>
            <w:r w:rsidRPr="00A20907">
              <w:rPr>
                <w:rFonts w:cstheme="minorHAnsi"/>
                <w:b/>
                <w:bCs/>
                <w:lang w:val="mn-MN"/>
              </w:rPr>
              <w:t>Technical criteria 2: Professional experience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BCD805E" w14:textId="77777777" w:rsidR="00B547C2" w:rsidRPr="00A20907" w:rsidRDefault="00B547C2" w:rsidP="009E7344">
            <w:pPr>
              <w:rPr>
                <w:rFonts w:cstheme="minorHAnsi"/>
                <w:lang w:val="mn-MN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5C26E91" w14:textId="6FF816F7" w:rsidR="00B547C2" w:rsidRPr="007A22F4" w:rsidRDefault="0061217C" w:rsidP="009E7344">
            <w:pPr>
              <w:rPr>
                <w:rFonts w:cstheme="minorHAnsi"/>
                <w:b/>
                <w:bCs/>
                <w:color w:val="FF0000"/>
                <w:lang w:val="mn-MN"/>
              </w:rPr>
            </w:pPr>
            <w:r>
              <w:rPr>
                <w:rFonts w:cstheme="minorHAnsi"/>
                <w:b/>
                <w:bCs/>
                <w:color w:val="FF0000"/>
              </w:rPr>
              <w:t>6</w:t>
            </w:r>
            <w:r w:rsidR="00B547C2" w:rsidRPr="007A22F4">
              <w:rPr>
                <w:rFonts w:cstheme="minorHAnsi"/>
                <w:b/>
                <w:bCs/>
                <w:color w:val="FF0000"/>
                <w:lang w:val="mn-MN"/>
              </w:rPr>
              <w:t>0</w:t>
            </w:r>
          </w:p>
        </w:tc>
      </w:tr>
      <w:tr w:rsidR="00B547C2" w:rsidRPr="00A20907" w14:paraId="77FA7700" w14:textId="77777777" w:rsidTr="00432560">
        <w:trPr>
          <w:trHeight w:val="353"/>
        </w:trPr>
        <w:tc>
          <w:tcPr>
            <w:tcW w:w="6828" w:type="dxa"/>
            <w:shd w:val="clear" w:color="auto" w:fill="FFFFFF" w:themeFill="background1"/>
          </w:tcPr>
          <w:p w14:paraId="37B56799" w14:textId="7494C71F" w:rsidR="00B547C2" w:rsidRPr="00014514" w:rsidRDefault="00014514" w:rsidP="00014514">
            <w:pPr>
              <w:widowControl w:val="0"/>
              <w:overflowPunct w:val="0"/>
              <w:adjustRightInd w:val="0"/>
              <w:jc w:val="both"/>
              <w:rPr>
                <w:rFonts w:cstheme="minorHAnsi"/>
              </w:rPr>
            </w:pPr>
            <w:r w:rsidRPr="00014514">
              <w:rPr>
                <w:rFonts w:cstheme="minorHAnsi"/>
              </w:rPr>
              <w:t xml:space="preserve">Minimum 10 years of work experience in the areas of public financial management reform, fiscal policy analysis, development and economic </w:t>
            </w:r>
            <w:proofErr w:type="spellStart"/>
            <w:r w:rsidRPr="00014514">
              <w:rPr>
                <w:rFonts w:cstheme="minorHAnsi"/>
              </w:rPr>
              <w:t>policybudget</w:t>
            </w:r>
            <w:proofErr w:type="spellEnd"/>
            <w:r w:rsidRPr="00014514">
              <w:rPr>
                <w:rFonts w:cstheme="minorHAnsi"/>
              </w:rPr>
              <w:t xml:space="preserve"> systems, revenue and expenditure reviews, </w:t>
            </w:r>
            <w:r w:rsidR="00D12C22">
              <w:rPr>
                <w:rFonts w:cstheme="minorHAnsi"/>
              </w:rPr>
              <w:t xml:space="preserve">program evaluation, </w:t>
            </w:r>
            <w:r w:rsidRPr="00014514">
              <w:rPr>
                <w:rFonts w:cstheme="minorHAnsi"/>
              </w:rPr>
              <w:t xml:space="preserve">data analysis and management;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5541FB0" w14:textId="77777777" w:rsidR="00B547C2" w:rsidRPr="00A20907" w:rsidRDefault="00B547C2" w:rsidP="009E7344">
            <w:pPr>
              <w:rPr>
                <w:rFonts w:cstheme="minorHAnsi"/>
                <w:lang w:val="mn-MN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7508B3D" w14:textId="36D4AC38" w:rsidR="00B547C2" w:rsidRPr="007A22F4" w:rsidRDefault="00B547C2" w:rsidP="009E7344">
            <w:pPr>
              <w:rPr>
                <w:rFonts w:cstheme="minorHAnsi"/>
                <w:i/>
                <w:color w:val="FF0000"/>
                <w:lang w:val="mn-MN"/>
              </w:rPr>
            </w:pPr>
            <w:r w:rsidRPr="007A22F4">
              <w:rPr>
                <w:rFonts w:cstheme="minorHAnsi"/>
                <w:i/>
                <w:color w:val="FF0000"/>
                <w:lang w:val="mn-MN"/>
              </w:rPr>
              <w:t>[</w:t>
            </w:r>
            <w:r w:rsidR="00431D90">
              <w:rPr>
                <w:rFonts w:cstheme="minorHAnsi"/>
                <w:i/>
                <w:color w:val="FF0000"/>
              </w:rPr>
              <w:t>3</w:t>
            </w:r>
            <w:r w:rsidRPr="007A22F4">
              <w:rPr>
                <w:rFonts w:cstheme="minorHAnsi"/>
                <w:i/>
                <w:color w:val="FF0000"/>
                <w:lang w:val="mn-MN"/>
              </w:rPr>
              <w:t>0]</w:t>
            </w:r>
          </w:p>
        </w:tc>
      </w:tr>
      <w:tr w:rsidR="00B547C2" w:rsidRPr="00A20907" w14:paraId="4668E1F6" w14:textId="77777777" w:rsidTr="00A20907">
        <w:trPr>
          <w:trHeight w:val="354"/>
        </w:trPr>
        <w:tc>
          <w:tcPr>
            <w:tcW w:w="68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EB44504" w14:textId="304E5DDA" w:rsidR="00B547C2" w:rsidRPr="00533CE0" w:rsidRDefault="00014514" w:rsidP="00DE0996">
            <w:pPr>
              <w:widowControl w:val="0"/>
              <w:overflowPunct w:val="0"/>
              <w:adjustRightInd w:val="0"/>
              <w:jc w:val="both"/>
              <w:rPr>
                <w:rFonts w:cstheme="minorHAnsi"/>
              </w:rPr>
            </w:pPr>
            <w:r w:rsidRPr="00014514">
              <w:rPr>
                <w:rFonts w:cstheme="minorHAnsi"/>
              </w:rPr>
              <w:t>Prior experience of work with central, sectoral ministry or sub-national government finance departments would be an asset;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4C89AC5" w14:textId="77777777" w:rsidR="00B547C2" w:rsidRPr="00A20907" w:rsidRDefault="00B547C2" w:rsidP="009E7344">
            <w:pPr>
              <w:rPr>
                <w:rFonts w:cstheme="minorHAnsi"/>
                <w:lang w:val="mn-MN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EE65C1E" w14:textId="5DC40944" w:rsidR="00B547C2" w:rsidRPr="007A22F4" w:rsidRDefault="00B547C2" w:rsidP="009E7344">
            <w:pPr>
              <w:rPr>
                <w:rFonts w:cstheme="minorHAnsi"/>
                <w:i/>
                <w:color w:val="FF0000"/>
                <w:lang w:val="mn-MN"/>
              </w:rPr>
            </w:pPr>
            <w:r w:rsidRPr="007A22F4">
              <w:rPr>
                <w:rFonts w:cstheme="minorHAnsi"/>
                <w:i/>
                <w:color w:val="FF0000"/>
                <w:lang w:val="mn-MN"/>
              </w:rPr>
              <w:t>[</w:t>
            </w:r>
            <w:r w:rsidR="008C655B">
              <w:rPr>
                <w:rFonts w:cstheme="minorHAnsi"/>
                <w:i/>
                <w:color w:val="FF0000"/>
              </w:rPr>
              <w:t>1</w:t>
            </w:r>
            <w:r w:rsidR="0061217C">
              <w:rPr>
                <w:rFonts w:cstheme="minorHAnsi"/>
                <w:i/>
                <w:color w:val="FF0000"/>
              </w:rPr>
              <w:t>0</w:t>
            </w:r>
            <w:r w:rsidRPr="007A22F4">
              <w:rPr>
                <w:rFonts w:cstheme="minorHAnsi"/>
                <w:i/>
                <w:color w:val="FF0000"/>
                <w:lang w:val="mn-MN"/>
              </w:rPr>
              <w:t>]</w:t>
            </w:r>
          </w:p>
        </w:tc>
      </w:tr>
      <w:tr w:rsidR="00431D90" w:rsidRPr="00A20907" w14:paraId="5AF1B888" w14:textId="77777777" w:rsidTr="00A20907">
        <w:trPr>
          <w:trHeight w:val="354"/>
        </w:trPr>
        <w:tc>
          <w:tcPr>
            <w:tcW w:w="68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9604493" w14:textId="0D8E5B65" w:rsidR="00431D90" w:rsidRPr="00014514" w:rsidRDefault="00431D90" w:rsidP="00014514">
            <w:pPr>
              <w:widowControl w:val="0"/>
              <w:overflowPunct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At least 3 assignments demonstrating analytic and report writing skills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D336EE1" w14:textId="77777777" w:rsidR="00431D90" w:rsidRPr="00A20907" w:rsidRDefault="00431D90" w:rsidP="009E7344">
            <w:pPr>
              <w:rPr>
                <w:rFonts w:cstheme="minorHAnsi"/>
                <w:lang w:val="mn-MN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9317F69" w14:textId="71ED923D" w:rsidR="00431D90" w:rsidRPr="001C6F8C" w:rsidRDefault="001C6F8C" w:rsidP="009E7344">
            <w:pPr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[1</w:t>
            </w:r>
            <w:r w:rsidR="0061217C">
              <w:rPr>
                <w:rFonts w:cstheme="minorHAnsi"/>
                <w:i/>
                <w:color w:val="FF0000"/>
              </w:rPr>
              <w:t>5</w:t>
            </w:r>
            <w:r>
              <w:rPr>
                <w:rFonts w:cstheme="minorHAnsi"/>
                <w:i/>
                <w:color w:val="FF0000"/>
              </w:rPr>
              <w:t>]</w:t>
            </w:r>
          </w:p>
        </w:tc>
      </w:tr>
      <w:tr w:rsidR="00DE0996" w:rsidRPr="00A20907" w14:paraId="0C01D488" w14:textId="77777777" w:rsidTr="00A20907">
        <w:trPr>
          <w:trHeight w:val="354"/>
        </w:trPr>
        <w:tc>
          <w:tcPr>
            <w:tcW w:w="68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5099C5B" w14:textId="761095E9" w:rsidR="00DE0996" w:rsidRDefault="00DE0996" w:rsidP="00014514">
            <w:pPr>
              <w:widowControl w:val="0"/>
              <w:overflowPunct w:val="0"/>
              <w:adjustRightInd w:val="0"/>
              <w:jc w:val="both"/>
              <w:rPr>
                <w:rFonts w:cstheme="minorHAnsi"/>
              </w:rPr>
            </w:pPr>
            <w:r w:rsidRPr="00DE0996">
              <w:rPr>
                <w:rFonts w:cstheme="minorHAnsi"/>
              </w:rPr>
              <w:t xml:space="preserve">Good understanding of results-based management and related prior work experience would be an asset;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CC03064" w14:textId="77777777" w:rsidR="00DE0996" w:rsidRPr="00A20907" w:rsidRDefault="00DE0996" w:rsidP="009E7344">
            <w:pPr>
              <w:rPr>
                <w:rFonts w:cstheme="minorHAnsi"/>
                <w:lang w:val="mn-MN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40D444C" w14:textId="5913BCD2" w:rsidR="00DE0996" w:rsidRDefault="0061217C" w:rsidP="009E7344">
            <w:pPr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[5]</w:t>
            </w:r>
          </w:p>
        </w:tc>
      </w:tr>
      <w:tr w:rsidR="00B547C2" w:rsidRPr="00A20907" w14:paraId="7AE20E12" w14:textId="77777777" w:rsidTr="00A20907">
        <w:trPr>
          <w:trHeight w:val="596"/>
        </w:trPr>
        <w:tc>
          <w:tcPr>
            <w:tcW w:w="6828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425EB9" w14:textId="77777777" w:rsidR="00B547C2" w:rsidRPr="00432560" w:rsidRDefault="00B547C2" w:rsidP="009E7344">
            <w:pPr>
              <w:rPr>
                <w:rFonts w:cstheme="minorHAnsi"/>
                <w:b/>
                <w:bCs/>
                <w:lang w:val="mn-MN"/>
              </w:rPr>
            </w:pPr>
            <w:r w:rsidRPr="00432560">
              <w:rPr>
                <w:rFonts w:cstheme="minorHAnsi"/>
                <w:b/>
                <w:bCs/>
                <w:lang w:val="mn-MN"/>
              </w:rPr>
              <w:t>Technical criteria 3 - Proposed methodology and approach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938B466" w14:textId="77777777" w:rsidR="00B547C2" w:rsidRPr="00A20907" w:rsidRDefault="00B547C2" w:rsidP="009E7344">
            <w:pPr>
              <w:rPr>
                <w:rFonts w:cstheme="minorHAnsi"/>
                <w:lang w:val="mn-MN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F6D9B0D" w14:textId="0C44D652" w:rsidR="00B547C2" w:rsidRPr="008C655B" w:rsidRDefault="008C655B" w:rsidP="009E7344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</w:t>
            </w:r>
            <w:r w:rsidR="00DC35F9">
              <w:rPr>
                <w:rFonts w:cstheme="minorHAnsi"/>
                <w:b/>
                <w:bCs/>
                <w:color w:val="FF0000"/>
              </w:rPr>
              <w:t>0</w:t>
            </w:r>
          </w:p>
        </w:tc>
      </w:tr>
      <w:tr w:rsidR="00B547C2" w:rsidRPr="00A20907" w14:paraId="5979249F" w14:textId="77777777" w:rsidTr="00432560">
        <w:trPr>
          <w:trHeight w:val="281"/>
        </w:trPr>
        <w:tc>
          <w:tcPr>
            <w:tcW w:w="6828" w:type="dxa"/>
            <w:shd w:val="clear" w:color="auto" w:fill="FFFFFF" w:themeFill="background1"/>
          </w:tcPr>
          <w:p w14:paraId="4D42CC43" w14:textId="793BD20A" w:rsidR="00B547C2" w:rsidRPr="00533CE0" w:rsidRDefault="00B547C2" w:rsidP="009E7344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6A30CC5" w14:textId="77777777" w:rsidR="00B547C2" w:rsidRPr="00A20907" w:rsidRDefault="00B547C2" w:rsidP="009E7344">
            <w:pPr>
              <w:rPr>
                <w:rFonts w:cstheme="minorHAnsi"/>
                <w:lang w:val="mn-MN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82DA0A9" w14:textId="45198484" w:rsidR="00B547C2" w:rsidRPr="007A22F4" w:rsidRDefault="00B547C2" w:rsidP="009E7344">
            <w:pPr>
              <w:rPr>
                <w:rFonts w:cstheme="minorHAnsi"/>
                <w:i/>
                <w:color w:val="FF0000"/>
                <w:lang w:val="mn-MN"/>
              </w:rPr>
            </w:pPr>
            <w:r w:rsidRPr="007A22F4">
              <w:rPr>
                <w:rFonts w:cstheme="minorHAnsi"/>
                <w:i/>
                <w:color w:val="FF0000"/>
                <w:lang w:val="mn-MN"/>
              </w:rPr>
              <w:t>[1</w:t>
            </w:r>
            <w:r w:rsidR="00DC35F9">
              <w:rPr>
                <w:rFonts w:cstheme="minorHAnsi"/>
                <w:i/>
                <w:color w:val="FF0000"/>
              </w:rPr>
              <w:t>0</w:t>
            </w:r>
            <w:r w:rsidRPr="007A22F4">
              <w:rPr>
                <w:rFonts w:cstheme="minorHAnsi"/>
                <w:i/>
                <w:color w:val="FF0000"/>
                <w:lang w:val="mn-MN"/>
              </w:rPr>
              <w:t>]</w:t>
            </w:r>
          </w:p>
        </w:tc>
      </w:tr>
      <w:tr w:rsidR="00865EC9" w:rsidRPr="00A20907" w14:paraId="3140E93C" w14:textId="77777777" w:rsidTr="00432560">
        <w:trPr>
          <w:trHeight w:val="263"/>
        </w:trPr>
        <w:tc>
          <w:tcPr>
            <w:tcW w:w="6828" w:type="dxa"/>
            <w:shd w:val="clear" w:color="auto" w:fill="FFFFFF" w:themeFill="background1"/>
          </w:tcPr>
          <w:p w14:paraId="3181F172" w14:textId="17675AA2" w:rsidR="00865EC9" w:rsidRPr="00865EC9" w:rsidRDefault="00865EC9" w:rsidP="009E7344">
            <w:pPr>
              <w:rPr>
                <w:rFonts w:cstheme="minorHAnsi"/>
                <w:b/>
                <w:bCs/>
              </w:rPr>
            </w:pPr>
            <w:r w:rsidRPr="00865EC9">
              <w:rPr>
                <w:rFonts w:cstheme="minorHAnsi"/>
                <w:b/>
                <w:bCs/>
              </w:rPr>
              <w:t>Technical criteria 4 – Language skills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1187270" w14:textId="77777777" w:rsidR="00865EC9" w:rsidRPr="00A20907" w:rsidRDefault="00865EC9" w:rsidP="009E7344">
            <w:pPr>
              <w:rPr>
                <w:rFonts w:cstheme="minorHAnsi"/>
                <w:lang w:val="mn-MN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1EB0C3B" w14:textId="292E94CE" w:rsidR="00865EC9" w:rsidRPr="008C655B" w:rsidRDefault="008C655B" w:rsidP="009E7344">
            <w:pPr>
              <w:rPr>
                <w:rFonts w:cstheme="minorHAnsi"/>
                <w:b/>
                <w:bCs/>
                <w:iCs/>
                <w:color w:val="FF0000"/>
              </w:rPr>
            </w:pPr>
            <w:r w:rsidRPr="008C655B">
              <w:rPr>
                <w:rFonts w:cstheme="minorHAnsi"/>
                <w:b/>
                <w:bCs/>
                <w:iCs/>
                <w:color w:val="FF0000"/>
              </w:rPr>
              <w:t>1</w:t>
            </w:r>
            <w:r w:rsidR="00DC35F9">
              <w:rPr>
                <w:rFonts w:cstheme="minorHAnsi"/>
                <w:b/>
                <w:bCs/>
                <w:iCs/>
                <w:color w:val="FF0000"/>
              </w:rPr>
              <w:t>0</w:t>
            </w:r>
          </w:p>
        </w:tc>
      </w:tr>
      <w:tr w:rsidR="00B547C2" w:rsidRPr="00A20907" w14:paraId="576786D6" w14:textId="77777777" w:rsidTr="00432560">
        <w:trPr>
          <w:trHeight w:val="263"/>
        </w:trPr>
        <w:tc>
          <w:tcPr>
            <w:tcW w:w="6828" w:type="dxa"/>
            <w:shd w:val="clear" w:color="auto" w:fill="FFFFFF" w:themeFill="background1"/>
          </w:tcPr>
          <w:p w14:paraId="177ECE91" w14:textId="7090CD03" w:rsidR="00432560" w:rsidRPr="003747FC" w:rsidRDefault="00432560" w:rsidP="009E7344">
            <w:pPr>
              <w:rPr>
                <w:rFonts w:cstheme="minorHAnsi"/>
                <w:lang w:val="mn-MN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6C74C3E" w14:textId="77777777" w:rsidR="00B547C2" w:rsidRPr="00A20907" w:rsidRDefault="00B547C2" w:rsidP="009E7344">
            <w:pPr>
              <w:rPr>
                <w:rFonts w:cstheme="minorHAnsi"/>
                <w:lang w:val="mn-MN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6C4CFDF" w14:textId="60C1A5EB" w:rsidR="00B547C2" w:rsidRPr="007A22F4" w:rsidRDefault="00B547C2" w:rsidP="009E7344">
            <w:pPr>
              <w:rPr>
                <w:rFonts w:cstheme="minorHAnsi"/>
                <w:i/>
                <w:color w:val="FF0000"/>
                <w:lang w:val="mn-MN"/>
              </w:rPr>
            </w:pPr>
            <w:r w:rsidRPr="007A22F4">
              <w:rPr>
                <w:rFonts w:cstheme="minorHAnsi"/>
                <w:i/>
                <w:color w:val="FF0000"/>
                <w:lang w:val="mn-MN"/>
              </w:rPr>
              <w:t>[1</w:t>
            </w:r>
            <w:r w:rsidR="00DC35F9">
              <w:rPr>
                <w:rFonts w:cstheme="minorHAnsi"/>
                <w:i/>
                <w:color w:val="FF0000"/>
              </w:rPr>
              <w:t>0</w:t>
            </w:r>
            <w:r w:rsidRPr="007A22F4">
              <w:rPr>
                <w:rFonts w:cstheme="minorHAnsi"/>
                <w:i/>
                <w:color w:val="FF0000"/>
                <w:lang w:val="mn-MN"/>
              </w:rPr>
              <w:t>]</w:t>
            </w:r>
          </w:p>
        </w:tc>
      </w:tr>
      <w:tr w:rsidR="00B547C2" w:rsidRPr="00A20907" w14:paraId="22EE1F7A" w14:textId="77777777" w:rsidTr="00A20907">
        <w:trPr>
          <w:trHeight w:val="454"/>
        </w:trPr>
        <w:tc>
          <w:tcPr>
            <w:tcW w:w="6828" w:type="dxa"/>
            <w:shd w:val="clear" w:color="auto" w:fill="FFFFFF" w:themeFill="background1"/>
            <w:vAlign w:val="center"/>
          </w:tcPr>
          <w:p w14:paraId="39AC9E01" w14:textId="77777777" w:rsidR="00B547C2" w:rsidRPr="00432560" w:rsidRDefault="00B547C2" w:rsidP="009E7344">
            <w:pPr>
              <w:rPr>
                <w:rFonts w:cstheme="minorHAnsi"/>
                <w:b/>
                <w:bCs/>
                <w:lang w:val="mn-MN"/>
              </w:rPr>
            </w:pPr>
            <w:r w:rsidRPr="00432560">
              <w:rPr>
                <w:rFonts w:cstheme="minorHAnsi"/>
                <w:b/>
                <w:bCs/>
                <w:lang w:val="mn-MN"/>
              </w:rPr>
              <w:t>Technical Score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E36532C" w14:textId="33207E6C" w:rsidR="00B547C2" w:rsidRPr="00ED49A1" w:rsidRDefault="00B547C2" w:rsidP="009E7344">
            <w:pPr>
              <w:rPr>
                <w:rFonts w:cstheme="minorHAnsi"/>
                <w:b/>
                <w:bCs/>
              </w:rPr>
            </w:pPr>
            <w:r w:rsidRPr="00432560">
              <w:rPr>
                <w:rFonts w:cstheme="minorHAnsi"/>
                <w:b/>
                <w:bCs/>
                <w:lang w:val="mn-MN"/>
              </w:rPr>
              <w:t>70</w:t>
            </w:r>
            <w:r w:rsidR="00ED49A1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5218B69" w14:textId="77777777" w:rsidR="00B547C2" w:rsidRPr="007A22F4" w:rsidRDefault="00B547C2" w:rsidP="009E7344">
            <w:pPr>
              <w:rPr>
                <w:rFonts w:cstheme="minorHAnsi"/>
                <w:b/>
                <w:bCs/>
                <w:color w:val="FF0000"/>
                <w:lang w:val="mn-MN"/>
              </w:rPr>
            </w:pPr>
            <w:r w:rsidRPr="007A22F4">
              <w:rPr>
                <w:rFonts w:cstheme="minorHAnsi"/>
                <w:b/>
                <w:bCs/>
                <w:color w:val="FF0000"/>
                <w:lang w:val="mn-MN"/>
              </w:rPr>
              <w:t>100</w:t>
            </w:r>
          </w:p>
        </w:tc>
      </w:tr>
    </w:tbl>
    <w:p w14:paraId="78398F3B" w14:textId="564FC290" w:rsidR="00B547C2" w:rsidRPr="00980BD8" w:rsidRDefault="00980BD8" w:rsidP="00B547C2">
      <w:pPr>
        <w:spacing w:after="60"/>
        <w:rPr>
          <w:b/>
          <w:color w:val="0070C0"/>
        </w:rPr>
      </w:pPr>
      <w:r w:rsidRPr="00980BD8">
        <w:rPr>
          <w:b/>
          <w:color w:val="0070C0"/>
        </w:rPr>
        <w:t>Annex 1. Technical evaluation scoring guide</w:t>
      </w:r>
    </w:p>
    <w:sectPr w:rsidR="00B547C2" w:rsidRPr="00980BD8" w:rsidSect="00443E94">
      <w:footerReference w:type="default" r:id="rId15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CDCEE" w14:textId="77777777" w:rsidR="00B778D7" w:rsidRDefault="00B778D7" w:rsidP="00A24134">
      <w:pPr>
        <w:spacing w:after="0" w:line="240" w:lineRule="auto"/>
      </w:pPr>
      <w:r>
        <w:separator/>
      </w:r>
    </w:p>
  </w:endnote>
  <w:endnote w:type="continuationSeparator" w:id="0">
    <w:p w14:paraId="447A65B6" w14:textId="77777777" w:rsidR="00B778D7" w:rsidRDefault="00B778D7" w:rsidP="00A24134">
      <w:pPr>
        <w:spacing w:after="0" w:line="240" w:lineRule="auto"/>
      </w:pPr>
      <w:r>
        <w:continuationSeparator/>
      </w:r>
    </w:p>
  </w:endnote>
  <w:endnote w:type="continuationNotice" w:id="1">
    <w:p w14:paraId="6A50C9EE" w14:textId="77777777" w:rsidR="00B778D7" w:rsidRDefault="00B778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ow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2750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474E2" w14:textId="77777777" w:rsidR="009E7344" w:rsidRDefault="009E73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04ADA2" w14:textId="77777777" w:rsidR="009E7344" w:rsidRDefault="009E7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75E0C" w14:textId="77777777" w:rsidR="00B778D7" w:rsidRDefault="00B778D7" w:rsidP="00A24134">
      <w:pPr>
        <w:spacing w:after="0" w:line="240" w:lineRule="auto"/>
      </w:pPr>
      <w:r>
        <w:separator/>
      </w:r>
    </w:p>
  </w:footnote>
  <w:footnote w:type="continuationSeparator" w:id="0">
    <w:p w14:paraId="0BC10D8C" w14:textId="77777777" w:rsidR="00B778D7" w:rsidRDefault="00B778D7" w:rsidP="00A24134">
      <w:pPr>
        <w:spacing w:after="0" w:line="240" w:lineRule="auto"/>
      </w:pPr>
      <w:r>
        <w:continuationSeparator/>
      </w:r>
    </w:p>
  </w:footnote>
  <w:footnote w:type="continuationNotice" w:id="1">
    <w:p w14:paraId="6B0857E5" w14:textId="77777777" w:rsidR="00B778D7" w:rsidRDefault="00B778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style="width:3in;height:3in" o:bullet="t"/>
    </w:pict>
  </w:numPicBullet>
  <w:numPicBullet w:numPicBulletId="1">
    <w:pict>
      <v:shape id="_x0000_i1199" type="#_x0000_t75" style="width:3in;height:3in" o:bullet="t"/>
    </w:pict>
  </w:numPicBullet>
  <w:numPicBullet w:numPicBulletId="2">
    <w:pict>
      <v:shape id="_x0000_i1200" type="#_x0000_t75" style="width:4.55pt;height:4.55pt" o:bullet="t">
        <v:imagedata r:id="rId1" o:title="bullet"/>
      </v:shape>
    </w:pict>
  </w:numPicBullet>
  <w:abstractNum w:abstractNumId="0" w15:restartNumberingAfterBreak="0">
    <w:nsid w:val="0087789D"/>
    <w:multiLevelType w:val="hybridMultilevel"/>
    <w:tmpl w:val="47060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47BF6"/>
    <w:multiLevelType w:val="hybridMultilevel"/>
    <w:tmpl w:val="64B8627A"/>
    <w:lvl w:ilvl="0" w:tplc="E934259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501BD"/>
    <w:multiLevelType w:val="hybridMultilevel"/>
    <w:tmpl w:val="DFBA7558"/>
    <w:lvl w:ilvl="0" w:tplc="3B26AA90">
      <w:start w:val="1"/>
      <w:numFmt w:val="lowerRoman"/>
      <w:lvlText w:val="%1)"/>
      <w:lvlJc w:val="left"/>
      <w:pPr>
        <w:ind w:left="198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700" w:hanging="360"/>
      </w:pPr>
    </w:lvl>
    <w:lvl w:ilvl="2" w:tplc="3409001B" w:tentative="1">
      <w:start w:val="1"/>
      <w:numFmt w:val="lowerRoman"/>
      <w:lvlText w:val="%3."/>
      <w:lvlJc w:val="right"/>
      <w:pPr>
        <w:ind w:left="3420" w:hanging="180"/>
      </w:pPr>
    </w:lvl>
    <w:lvl w:ilvl="3" w:tplc="3409000F" w:tentative="1">
      <w:start w:val="1"/>
      <w:numFmt w:val="decimal"/>
      <w:lvlText w:val="%4."/>
      <w:lvlJc w:val="left"/>
      <w:pPr>
        <w:ind w:left="4140" w:hanging="360"/>
      </w:pPr>
    </w:lvl>
    <w:lvl w:ilvl="4" w:tplc="34090019" w:tentative="1">
      <w:start w:val="1"/>
      <w:numFmt w:val="lowerLetter"/>
      <w:lvlText w:val="%5."/>
      <w:lvlJc w:val="left"/>
      <w:pPr>
        <w:ind w:left="4860" w:hanging="360"/>
      </w:pPr>
    </w:lvl>
    <w:lvl w:ilvl="5" w:tplc="3409001B" w:tentative="1">
      <w:start w:val="1"/>
      <w:numFmt w:val="lowerRoman"/>
      <w:lvlText w:val="%6."/>
      <w:lvlJc w:val="right"/>
      <w:pPr>
        <w:ind w:left="5580" w:hanging="180"/>
      </w:pPr>
    </w:lvl>
    <w:lvl w:ilvl="6" w:tplc="3409000F" w:tentative="1">
      <w:start w:val="1"/>
      <w:numFmt w:val="decimal"/>
      <w:lvlText w:val="%7."/>
      <w:lvlJc w:val="left"/>
      <w:pPr>
        <w:ind w:left="6300" w:hanging="360"/>
      </w:pPr>
    </w:lvl>
    <w:lvl w:ilvl="7" w:tplc="34090019" w:tentative="1">
      <w:start w:val="1"/>
      <w:numFmt w:val="lowerLetter"/>
      <w:lvlText w:val="%8."/>
      <w:lvlJc w:val="left"/>
      <w:pPr>
        <w:ind w:left="7020" w:hanging="360"/>
      </w:pPr>
    </w:lvl>
    <w:lvl w:ilvl="8" w:tplc="3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05D55CB6"/>
    <w:multiLevelType w:val="hybridMultilevel"/>
    <w:tmpl w:val="15827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C61DD"/>
    <w:multiLevelType w:val="hybridMultilevel"/>
    <w:tmpl w:val="36B89A3E"/>
    <w:lvl w:ilvl="0" w:tplc="8764A1C0">
      <w:start w:val="1"/>
      <w:numFmt w:val="lowerLetter"/>
      <w:lvlText w:val="%1)"/>
      <w:lvlJc w:val="left"/>
      <w:pPr>
        <w:ind w:left="117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28C292F"/>
    <w:multiLevelType w:val="hybridMultilevel"/>
    <w:tmpl w:val="47DC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73D80"/>
    <w:multiLevelType w:val="hybridMultilevel"/>
    <w:tmpl w:val="0D2A63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1D59"/>
    <w:multiLevelType w:val="hybridMultilevel"/>
    <w:tmpl w:val="040458B2"/>
    <w:lvl w:ilvl="0" w:tplc="137489F4">
      <w:start w:val="6"/>
      <w:numFmt w:val="upperLetter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40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AB8484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C1428412">
      <w:start w:val="23"/>
      <w:numFmt w:val="decimal"/>
      <w:lvlText w:val="%4"/>
      <w:lvlJc w:val="left"/>
      <w:pPr>
        <w:ind w:left="3288" w:hanging="420"/>
      </w:pPr>
      <w:rPr>
        <w:rFonts w:hint="default"/>
      </w:rPr>
    </w:lvl>
    <w:lvl w:ilvl="4" w:tplc="83722E28">
      <w:start w:val="23"/>
      <w:numFmt w:val="decimal"/>
      <w:lvlText w:val="%5."/>
      <w:lvlJc w:val="left"/>
      <w:pPr>
        <w:ind w:left="4068" w:hanging="480"/>
      </w:pPr>
      <w:rPr>
        <w:rFonts w:hint="default"/>
      </w:rPr>
    </w:lvl>
    <w:lvl w:ilvl="5" w:tplc="8DAA43B2">
      <w:start w:val="25"/>
      <w:numFmt w:val="decimal"/>
      <w:lvlText w:val="%6"/>
      <w:lvlJc w:val="left"/>
      <w:pPr>
        <w:ind w:left="4908" w:hanging="420"/>
      </w:pPr>
      <w:rPr>
        <w:rFonts w:hint="default"/>
      </w:rPr>
    </w:lvl>
    <w:lvl w:ilvl="6" w:tplc="FC32AEEC">
      <w:start w:val="25"/>
      <w:numFmt w:val="decimal"/>
      <w:lvlText w:val="%7"/>
      <w:lvlJc w:val="left"/>
      <w:pPr>
        <w:ind w:left="5448" w:hanging="4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3CA61D7"/>
    <w:multiLevelType w:val="multilevel"/>
    <w:tmpl w:val="07603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373F0B"/>
    <w:multiLevelType w:val="hybridMultilevel"/>
    <w:tmpl w:val="0D12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65BE"/>
    <w:multiLevelType w:val="hybridMultilevel"/>
    <w:tmpl w:val="F56CC886"/>
    <w:lvl w:ilvl="0" w:tplc="3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1E334996"/>
    <w:multiLevelType w:val="multilevel"/>
    <w:tmpl w:val="81D4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916346"/>
    <w:multiLevelType w:val="hybridMultilevel"/>
    <w:tmpl w:val="7AFA4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A86B04"/>
    <w:multiLevelType w:val="multilevel"/>
    <w:tmpl w:val="602A9900"/>
    <w:lvl w:ilvl="0">
      <w:start w:val="1"/>
      <w:numFmt w:val="decimal"/>
      <w:lvlText w:val="%1."/>
      <w:lvlJc w:val="left"/>
      <w:pPr>
        <w:ind w:left="555" w:hanging="555"/>
      </w:pPr>
      <w:rPr>
        <w:rFonts w:asciiTheme="minorHAnsi" w:eastAsiaTheme="minorHAnsi" w:hAnsiTheme="minorHAnsi" w:cs="Arial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4A306E"/>
    <w:multiLevelType w:val="hybridMultilevel"/>
    <w:tmpl w:val="62DE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C5209"/>
    <w:multiLevelType w:val="hybridMultilevel"/>
    <w:tmpl w:val="C832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D7B78"/>
    <w:multiLevelType w:val="hybridMultilevel"/>
    <w:tmpl w:val="01209EF6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6712A4"/>
    <w:multiLevelType w:val="multilevel"/>
    <w:tmpl w:val="48C41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4A2F88"/>
    <w:multiLevelType w:val="multilevel"/>
    <w:tmpl w:val="6124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401769"/>
    <w:multiLevelType w:val="hybridMultilevel"/>
    <w:tmpl w:val="4BD0D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CE44B58C">
      <w:start w:val="1"/>
      <w:numFmt w:val="decimal"/>
      <w:suff w:val="nothing"/>
      <w:lvlText w:val="%7."/>
      <w:lvlJc w:val="left"/>
      <w:pPr>
        <w:ind w:left="72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CE5990"/>
    <w:multiLevelType w:val="multilevel"/>
    <w:tmpl w:val="AFBE9A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1B4FB4"/>
    <w:multiLevelType w:val="hybridMultilevel"/>
    <w:tmpl w:val="FC76FF00"/>
    <w:lvl w:ilvl="0" w:tplc="4E0A3316">
      <w:start w:val="1"/>
      <w:numFmt w:val="lowerRoman"/>
      <w:lvlText w:val="%1)"/>
      <w:lvlJc w:val="left"/>
      <w:pPr>
        <w:ind w:left="1620" w:hanging="360"/>
      </w:pPr>
      <w:rPr>
        <w:rFonts w:hint="default"/>
        <w:color w:val="FF0000"/>
      </w:rPr>
    </w:lvl>
    <w:lvl w:ilvl="1" w:tplc="34090019" w:tentative="1">
      <w:start w:val="1"/>
      <w:numFmt w:val="lowerLetter"/>
      <w:lvlText w:val="%2."/>
      <w:lvlJc w:val="left"/>
      <w:pPr>
        <w:ind w:left="2340" w:hanging="360"/>
      </w:pPr>
    </w:lvl>
    <w:lvl w:ilvl="2" w:tplc="3409001B" w:tentative="1">
      <w:start w:val="1"/>
      <w:numFmt w:val="lowerRoman"/>
      <w:lvlText w:val="%3."/>
      <w:lvlJc w:val="right"/>
      <w:pPr>
        <w:ind w:left="3060" w:hanging="180"/>
      </w:pPr>
    </w:lvl>
    <w:lvl w:ilvl="3" w:tplc="3409000F" w:tentative="1">
      <w:start w:val="1"/>
      <w:numFmt w:val="decimal"/>
      <w:lvlText w:val="%4."/>
      <w:lvlJc w:val="left"/>
      <w:pPr>
        <w:ind w:left="3780" w:hanging="360"/>
      </w:pPr>
    </w:lvl>
    <w:lvl w:ilvl="4" w:tplc="34090019" w:tentative="1">
      <w:start w:val="1"/>
      <w:numFmt w:val="lowerLetter"/>
      <w:lvlText w:val="%5."/>
      <w:lvlJc w:val="left"/>
      <w:pPr>
        <w:ind w:left="4500" w:hanging="360"/>
      </w:pPr>
    </w:lvl>
    <w:lvl w:ilvl="5" w:tplc="3409001B" w:tentative="1">
      <w:start w:val="1"/>
      <w:numFmt w:val="lowerRoman"/>
      <w:lvlText w:val="%6."/>
      <w:lvlJc w:val="right"/>
      <w:pPr>
        <w:ind w:left="5220" w:hanging="180"/>
      </w:pPr>
    </w:lvl>
    <w:lvl w:ilvl="6" w:tplc="3409000F" w:tentative="1">
      <w:start w:val="1"/>
      <w:numFmt w:val="decimal"/>
      <w:lvlText w:val="%7."/>
      <w:lvlJc w:val="left"/>
      <w:pPr>
        <w:ind w:left="5940" w:hanging="360"/>
      </w:pPr>
    </w:lvl>
    <w:lvl w:ilvl="7" w:tplc="34090019" w:tentative="1">
      <w:start w:val="1"/>
      <w:numFmt w:val="lowerLetter"/>
      <w:lvlText w:val="%8."/>
      <w:lvlJc w:val="left"/>
      <w:pPr>
        <w:ind w:left="6660" w:hanging="360"/>
      </w:pPr>
    </w:lvl>
    <w:lvl w:ilvl="8" w:tplc="3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3AB323F1"/>
    <w:multiLevelType w:val="hybridMultilevel"/>
    <w:tmpl w:val="B900D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6E061D"/>
    <w:multiLevelType w:val="multilevel"/>
    <w:tmpl w:val="48C41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CBD5498"/>
    <w:multiLevelType w:val="multilevel"/>
    <w:tmpl w:val="418A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605767"/>
    <w:multiLevelType w:val="multilevel"/>
    <w:tmpl w:val="AFBE9A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11C0270"/>
    <w:multiLevelType w:val="multilevel"/>
    <w:tmpl w:val="3F3A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20F002F"/>
    <w:multiLevelType w:val="hybridMultilevel"/>
    <w:tmpl w:val="F56CC886"/>
    <w:lvl w:ilvl="0" w:tplc="34090017">
      <w:start w:val="1"/>
      <w:numFmt w:val="lowerLetter"/>
      <w:lvlText w:val="%1)"/>
      <w:lvlJc w:val="left"/>
      <w:pPr>
        <w:ind w:left="-1565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-8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-1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9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</w:abstractNum>
  <w:abstractNum w:abstractNumId="28" w15:restartNumberingAfterBreak="0">
    <w:nsid w:val="4419333C"/>
    <w:multiLevelType w:val="hybridMultilevel"/>
    <w:tmpl w:val="99CC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A14DC"/>
    <w:multiLevelType w:val="hybridMultilevel"/>
    <w:tmpl w:val="C8B428EE"/>
    <w:lvl w:ilvl="0" w:tplc="3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4650E"/>
    <w:multiLevelType w:val="multilevel"/>
    <w:tmpl w:val="17C6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21540ED"/>
    <w:multiLevelType w:val="hybridMultilevel"/>
    <w:tmpl w:val="172C3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F120DD"/>
    <w:multiLevelType w:val="hybridMultilevel"/>
    <w:tmpl w:val="CF5C7A00"/>
    <w:lvl w:ilvl="0" w:tplc="3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323AD6"/>
    <w:multiLevelType w:val="hybridMultilevel"/>
    <w:tmpl w:val="CD141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E2BAC"/>
    <w:multiLevelType w:val="hybridMultilevel"/>
    <w:tmpl w:val="B3A8A9EE"/>
    <w:lvl w:ilvl="0" w:tplc="3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EAE664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024D7C"/>
    <w:multiLevelType w:val="hybridMultilevel"/>
    <w:tmpl w:val="9A089E78"/>
    <w:lvl w:ilvl="0" w:tplc="04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6" w15:restartNumberingAfterBreak="0">
    <w:nsid w:val="56E66B84"/>
    <w:multiLevelType w:val="hybridMultilevel"/>
    <w:tmpl w:val="575CD3D2"/>
    <w:lvl w:ilvl="0" w:tplc="E5A699D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BD66C5"/>
    <w:multiLevelType w:val="multilevel"/>
    <w:tmpl w:val="B170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AE13987"/>
    <w:multiLevelType w:val="multilevel"/>
    <w:tmpl w:val="EC46C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C3056C9"/>
    <w:multiLevelType w:val="hybridMultilevel"/>
    <w:tmpl w:val="26ECB96C"/>
    <w:lvl w:ilvl="0" w:tplc="F03828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CC0C7E"/>
    <w:multiLevelType w:val="hybridMultilevel"/>
    <w:tmpl w:val="F56CC886"/>
    <w:lvl w:ilvl="0" w:tplc="34090017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1" w15:restartNumberingAfterBreak="0">
    <w:nsid w:val="61DC0E4E"/>
    <w:multiLevelType w:val="hybridMultilevel"/>
    <w:tmpl w:val="CF5C7A00"/>
    <w:lvl w:ilvl="0" w:tplc="3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1EA0D23"/>
    <w:multiLevelType w:val="hybridMultilevel"/>
    <w:tmpl w:val="0DC6D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31E4B6D"/>
    <w:multiLevelType w:val="hybridMultilevel"/>
    <w:tmpl w:val="D852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8B116B"/>
    <w:multiLevelType w:val="hybridMultilevel"/>
    <w:tmpl w:val="736C9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E6E19"/>
    <w:multiLevelType w:val="multilevel"/>
    <w:tmpl w:val="22FC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551B1C"/>
    <w:multiLevelType w:val="hybridMultilevel"/>
    <w:tmpl w:val="546A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4D417F"/>
    <w:multiLevelType w:val="multilevel"/>
    <w:tmpl w:val="44FCD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A531BD0"/>
    <w:multiLevelType w:val="hybridMultilevel"/>
    <w:tmpl w:val="CDDAA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ADD4BFD"/>
    <w:multiLevelType w:val="multilevel"/>
    <w:tmpl w:val="48C41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BC5104B"/>
    <w:multiLevelType w:val="hybridMultilevel"/>
    <w:tmpl w:val="9C5A96C6"/>
    <w:lvl w:ilvl="0" w:tplc="340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7C866480"/>
    <w:multiLevelType w:val="hybridMultilevel"/>
    <w:tmpl w:val="68421776"/>
    <w:lvl w:ilvl="0" w:tplc="746E3614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2" w15:restartNumberingAfterBreak="0">
    <w:nsid w:val="7CFD4528"/>
    <w:multiLevelType w:val="hybridMultilevel"/>
    <w:tmpl w:val="F56CC886"/>
    <w:lvl w:ilvl="0" w:tplc="34090017">
      <w:start w:val="1"/>
      <w:numFmt w:val="lowerLetter"/>
      <w:lvlText w:val="%1)"/>
      <w:lvlJc w:val="left"/>
      <w:pPr>
        <w:ind w:left="-1565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-8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-1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9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</w:abstractNum>
  <w:abstractNum w:abstractNumId="53" w15:restartNumberingAfterBreak="0">
    <w:nsid w:val="7D532A78"/>
    <w:multiLevelType w:val="hybridMultilevel"/>
    <w:tmpl w:val="D676F93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4" w15:restartNumberingAfterBreak="0">
    <w:nsid w:val="7F3B5417"/>
    <w:multiLevelType w:val="hybridMultilevel"/>
    <w:tmpl w:val="908230C8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7FFC438A"/>
    <w:multiLevelType w:val="hybridMultilevel"/>
    <w:tmpl w:val="762612C0"/>
    <w:lvl w:ilvl="0" w:tplc="8764A1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4"/>
  </w:num>
  <w:num w:numId="4">
    <w:abstractNumId w:val="1"/>
  </w:num>
  <w:num w:numId="5">
    <w:abstractNumId w:val="36"/>
  </w:num>
  <w:num w:numId="6">
    <w:abstractNumId w:val="39"/>
  </w:num>
  <w:num w:numId="7">
    <w:abstractNumId w:val="45"/>
  </w:num>
  <w:num w:numId="8">
    <w:abstractNumId w:val="18"/>
  </w:num>
  <w:num w:numId="9">
    <w:abstractNumId w:val="32"/>
  </w:num>
  <w:num w:numId="10">
    <w:abstractNumId w:val="29"/>
  </w:num>
  <w:num w:numId="11">
    <w:abstractNumId w:val="41"/>
  </w:num>
  <w:num w:numId="12">
    <w:abstractNumId w:val="40"/>
  </w:num>
  <w:num w:numId="13">
    <w:abstractNumId w:val="50"/>
  </w:num>
  <w:num w:numId="14">
    <w:abstractNumId w:val="54"/>
  </w:num>
  <w:num w:numId="15">
    <w:abstractNumId w:val="10"/>
  </w:num>
  <w:num w:numId="16">
    <w:abstractNumId w:val="27"/>
  </w:num>
  <w:num w:numId="17">
    <w:abstractNumId w:val="7"/>
  </w:num>
  <w:num w:numId="18">
    <w:abstractNumId w:val="31"/>
  </w:num>
  <w:num w:numId="19">
    <w:abstractNumId w:val="34"/>
  </w:num>
  <w:num w:numId="20">
    <w:abstractNumId w:val="6"/>
  </w:num>
  <w:num w:numId="21">
    <w:abstractNumId w:val="55"/>
  </w:num>
  <w:num w:numId="22">
    <w:abstractNumId w:val="4"/>
  </w:num>
  <w:num w:numId="23">
    <w:abstractNumId w:val="2"/>
  </w:num>
  <w:num w:numId="24">
    <w:abstractNumId w:val="21"/>
  </w:num>
  <w:num w:numId="25">
    <w:abstractNumId w:val="12"/>
  </w:num>
  <w:num w:numId="26">
    <w:abstractNumId w:val="16"/>
  </w:num>
  <w:num w:numId="27">
    <w:abstractNumId w:val="5"/>
  </w:num>
  <w:num w:numId="28">
    <w:abstractNumId w:val="3"/>
  </w:num>
  <w:num w:numId="29">
    <w:abstractNumId w:val="52"/>
  </w:num>
  <w:num w:numId="30">
    <w:abstractNumId w:val="35"/>
  </w:num>
  <w:num w:numId="31">
    <w:abstractNumId w:val="51"/>
  </w:num>
  <w:num w:numId="32">
    <w:abstractNumId w:val="43"/>
  </w:num>
  <w:num w:numId="33">
    <w:abstractNumId w:val="15"/>
  </w:num>
  <w:num w:numId="34">
    <w:abstractNumId w:val="28"/>
  </w:num>
  <w:num w:numId="35">
    <w:abstractNumId w:val="46"/>
  </w:num>
  <w:num w:numId="36">
    <w:abstractNumId w:val="33"/>
  </w:num>
  <w:num w:numId="37">
    <w:abstractNumId w:val="42"/>
  </w:num>
  <w:num w:numId="38">
    <w:abstractNumId w:val="14"/>
  </w:num>
  <w:num w:numId="39">
    <w:abstractNumId w:val="53"/>
  </w:num>
  <w:num w:numId="40">
    <w:abstractNumId w:val="13"/>
  </w:num>
  <w:num w:numId="41">
    <w:abstractNumId w:val="23"/>
  </w:num>
  <w:num w:numId="42">
    <w:abstractNumId w:val="19"/>
  </w:num>
  <w:num w:numId="43">
    <w:abstractNumId w:val="17"/>
  </w:num>
  <w:num w:numId="44">
    <w:abstractNumId w:val="13"/>
    <w:lvlOverride w:ilvl="0">
      <w:lvl w:ilvl="0">
        <w:start w:val="1"/>
        <w:numFmt w:val="decimal"/>
        <w:lvlText w:val="%1."/>
        <w:lvlJc w:val="left"/>
        <w:pPr>
          <w:ind w:left="555" w:hanging="555"/>
        </w:pPr>
        <w:rPr>
          <w:rFonts w:asciiTheme="minorHAnsi" w:eastAsiaTheme="minorHAnsi" w:hAnsiTheme="minorHAnsi" w:cs="Arial" w:hint="default"/>
          <w:i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45">
    <w:abstractNumId w:val="47"/>
  </w:num>
  <w:num w:numId="46">
    <w:abstractNumId w:val="13"/>
    <w:lvlOverride w:ilvl="0">
      <w:lvl w:ilvl="0">
        <w:start w:val="1"/>
        <w:numFmt w:val="decimal"/>
        <w:lvlText w:val="%1."/>
        <w:lvlJc w:val="left"/>
        <w:pPr>
          <w:ind w:left="555" w:hanging="555"/>
        </w:pPr>
        <w:rPr>
          <w:rFonts w:asciiTheme="minorHAnsi" w:eastAsiaTheme="minorHAnsi" w:hAnsiTheme="minorHAnsi" w:cs="Arial" w:hint="default"/>
          <w:i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47">
    <w:abstractNumId w:val="49"/>
  </w:num>
  <w:num w:numId="48">
    <w:abstractNumId w:val="25"/>
  </w:num>
  <w:num w:numId="49">
    <w:abstractNumId w:val="20"/>
  </w:num>
  <w:num w:numId="50">
    <w:abstractNumId w:val="37"/>
  </w:num>
  <w:num w:numId="51">
    <w:abstractNumId w:val="22"/>
  </w:num>
  <w:num w:numId="52">
    <w:abstractNumId w:val="11"/>
  </w:num>
  <w:num w:numId="53">
    <w:abstractNumId w:val="48"/>
  </w:num>
  <w:num w:numId="54">
    <w:abstractNumId w:val="26"/>
  </w:num>
  <w:num w:numId="55">
    <w:abstractNumId w:val="30"/>
  </w:num>
  <w:num w:numId="56">
    <w:abstractNumId w:val="24"/>
  </w:num>
  <w:num w:numId="57">
    <w:abstractNumId w:val="8"/>
  </w:num>
  <w:num w:numId="58">
    <w:abstractNumId w:val="3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22"/>
    <w:rsid w:val="00000709"/>
    <w:rsid w:val="0001012F"/>
    <w:rsid w:val="00010B7B"/>
    <w:rsid w:val="00010FA4"/>
    <w:rsid w:val="00012CF8"/>
    <w:rsid w:val="00014514"/>
    <w:rsid w:val="0003091A"/>
    <w:rsid w:val="00030B85"/>
    <w:rsid w:val="00045FD6"/>
    <w:rsid w:val="00046CD8"/>
    <w:rsid w:val="00053B08"/>
    <w:rsid w:val="00054F2B"/>
    <w:rsid w:val="00056D1B"/>
    <w:rsid w:val="00057DA8"/>
    <w:rsid w:val="00071E12"/>
    <w:rsid w:val="00076DE3"/>
    <w:rsid w:val="00082463"/>
    <w:rsid w:val="00086485"/>
    <w:rsid w:val="0009549E"/>
    <w:rsid w:val="000964DE"/>
    <w:rsid w:val="0009743D"/>
    <w:rsid w:val="000A36AD"/>
    <w:rsid w:val="000B546C"/>
    <w:rsid w:val="000B69CA"/>
    <w:rsid w:val="000B6F11"/>
    <w:rsid w:val="000C4EAA"/>
    <w:rsid w:val="000D4285"/>
    <w:rsid w:val="000D5F3E"/>
    <w:rsid w:val="000E2C6B"/>
    <w:rsid w:val="000E45E5"/>
    <w:rsid w:val="000F13D6"/>
    <w:rsid w:val="000F3CC5"/>
    <w:rsid w:val="00101C1E"/>
    <w:rsid w:val="00103276"/>
    <w:rsid w:val="00110E35"/>
    <w:rsid w:val="001136E9"/>
    <w:rsid w:val="00114913"/>
    <w:rsid w:val="0011673A"/>
    <w:rsid w:val="00116CD8"/>
    <w:rsid w:val="0012109F"/>
    <w:rsid w:val="001225D3"/>
    <w:rsid w:val="00132C3E"/>
    <w:rsid w:val="00134A66"/>
    <w:rsid w:val="00135EE5"/>
    <w:rsid w:val="00141402"/>
    <w:rsid w:val="00145DE3"/>
    <w:rsid w:val="001473B3"/>
    <w:rsid w:val="00155C62"/>
    <w:rsid w:val="00160B1C"/>
    <w:rsid w:val="00166B23"/>
    <w:rsid w:val="001731F7"/>
    <w:rsid w:val="001743C2"/>
    <w:rsid w:val="00176528"/>
    <w:rsid w:val="00176AA3"/>
    <w:rsid w:val="001805C5"/>
    <w:rsid w:val="00180DF8"/>
    <w:rsid w:val="00187FD1"/>
    <w:rsid w:val="001A0DCE"/>
    <w:rsid w:val="001A7DD4"/>
    <w:rsid w:val="001B0D28"/>
    <w:rsid w:val="001B6653"/>
    <w:rsid w:val="001B6EFA"/>
    <w:rsid w:val="001C0A15"/>
    <w:rsid w:val="001C56A4"/>
    <w:rsid w:val="001C6F8C"/>
    <w:rsid w:val="001C7F34"/>
    <w:rsid w:val="001D16DC"/>
    <w:rsid w:val="001D5750"/>
    <w:rsid w:val="001D6F68"/>
    <w:rsid w:val="001D755F"/>
    <w:rsid w:val="001D7DBE"/>
    <w:rsid w:val="001E12C7"/>
    <w:rsid w:val="001E12F7"/>
    <w:rsid w:val="001E2F0F"/>
    <w:rsid w:val="001E30BA"/>
    <w:rsid w:val="001E4D99"/>
    <w:rsid w:val="001F1157"/>
    <w:rsid w:val="001F3721"/>
    <w:rsid w:val="00205862"/>
    <w:rsid w:val="00205D2E"/>
    <w:rsid w:val="00207054"/>
    <w:rsid w:val="0020763A"/>
    <w:rsid w:val="00207CB2"/>
    <w:rsid w:val="00212ADE"/>
    <w:rsid w:val="00213178"/>
    <w:rsid w:val="00215866"/>
    <w:rsid w:val="002165F8"/>
    <w:rsid w:val="002177AF"/>
    <w:rsid w:val="002217AC"/>
    <w:rsid w:val="002223E0"/>
    <w:rsid w:val="00230FE4"/>
    <w:rsid w:val="00235D72"/>
    <w:rsid w:val="00243D11"/>
    <w:rsid w:val="00244E18"/>
    <w:rsid w:val="0024723E"/>
    <w:rsid w:val="0024724A"/>
    <w:rsid w:val="00255611"/>
    <w:rsid w:val="0025701A"/>
    <w:rsid w:val="00262B62"/>
    <w:rsid w:val="0026794F"/>
    <w:rsid w:val="00272BFD"/>
    <w:rsid w:val="00273EAF"/>
    <w:rsid w:val="00282CDF"/>
    <w:rsid w:val="002A1486"/>
    <w:rsid w:val="002A5FB9"/>
    <w:rsid w:val="002B197A"/>
    <w:rsid w:val="002B6B0D"/>
    <w:rsid w:val="002C0729"/>
    <w:rsid w:val="002C6C49"/>
    <w:rsid w:val="002D401D"/>
    <w:rsid w:val="002D5B2F"/>
    <w:rsid w:val="002E10F0"/>
    <w:rsid w:val="002E2E69"/>
    <w:rsid w:val="002E51A5"/>
    <w:rsid w:val="002E6721"/>
    <w:rsid w:val="002F5805"/>
    <w:rsid w:val="002F77AB"/>
    <w:rsid w:val="002F799A"/>
    <w:rsid w:val="00301827"/>
    <w:rsid w:val="00304165"/>
    <w:rsid w:val="00313905"/>
    <w:rsid w:val="00320721"/>
    <w:rsid w:val="00326216"/>
    <w:rsid w:val="0033411B"/>
    <w:rsid w:val="003403FE"/>
    <w:rsid w:val="00340C9A"/>
    <w:rsid w:val="0034457D"/>
    <w:rsid w:val="00344746"/>
    <w:rsid w:val="00344C8E"/>
    <w:rsid w:val="00352A9E"/>
    <w:rsid w:val="00355544"/>
    <w:rsid w:val="00362FA1"/>
    <w:rsid w:val="003656F4"/>
    <w:rsid w:val="003741BB"/>
    <w:rsid w:val="003747FC"/>
    <w:rsid w:val="003752AA"/>
    <w:rsid w:val="003754C3"/>
    <w:rsid w:val="0038057F"/>
    <w:rsid w:val="003812A9"/>
    <w:rsid w:val="003836C0"/>
    <w:rsid w:val="003870B3"/>
    <w:rsid w:val="003906ED"/>
    <w:rsid w:val="0039261A"/>
    <w:rsid w:val="003A22D4"/>
    <w:rsid w:val="003A3867"/>
    <w:rsid w:val="003A5AB4"/>
    <w:rsid w:val="003B0C3C"/>
    <w:rsid w:val="003B2B1E"/>
    <w:rsid w:val="003B7E06"/>
    <w:rsid w:val="003C023C"/>
    <w:rsid w:val="003C1C6F"/>
    <w:rsid w:val="003D2342"/>
    <w:rsid w:val="003D4083"/>
    <w:rsid w:val="003E46DE"/>
    <w:rsid w:val="003E53FF"/>
    <w:rsid w:val="003F0258"/>
    <w:rsid w:val="003F0C9F"/>
    <w:rsid w:val="003F134E"/>
    <w:rsid w:val="003F7B61"/>
    <w:rsid w:val="00413B42"/>
    <w:rsid w:val="00423636"/>
    <w:rsid w:val="004269AE"/>
    <w:rsid w:val="004269EA"/>
    <w:rsid w:val="00427F45"/>
    <w:rsid w:val="004314DE"/>
    <w:rsid w:val="00431D90"/>
    <w:rsid w:val="00432027"/>
    <w:rsid w:val="00432560"/>
    <w:rsid w:val="00433523"/>
    <w:rsid w:val="004344D3"/>
    <w:rsid w:val="00435EE4"/>
    <w:rsid w:val="00440ECE"/>
    <w:rsid w:val="00443E94"/>
    <w:rsid w:val="00444CD5"/>
    <w:rsid w:val="00447019"/>
    <w:rsid w:val="00463FA8"/>
    <w:rsid w:val="004739E1"/>
    <w:rsid w:val="0047535E"/>
    <w:rsid w:val="004758AA"/>
    <w:rsid w:val="00482037"/>
    <w:rsid w:val="004820E2"/>
    <w:rsid w:val="00486408"/>
    <w:rsid w:val="0049103F"/>
    <w:rsid w:val="004A2B79"/>
    <w:rsid w:val="004A44B1"/>
    <w:rsid w:val="004A6E82"/>
    <w:rsid w:val="004B0311"/>
    <w:rsid w:val="004B7833"/>
    <w:rsid w:val="004C1B28"/>
    <w:rsid w:val="004C2766"/>
    <w:rsid w:val="004C60A6"/>
    <w:rsid w:val="004D1F4A"/>
    <w:rsid w:val="004D3F24"/>
    <w:rsid w:val="004D67B7"/>
    <w:rsid w:val="004D6E73"/>
    <w:rsid w:val="004E25BF"/>
    <w:rsid w:val="004E4539"/>
    <w:rsid w:val="004E4ADC"/>
    <w:rsid w:val="004E6557"/>
    <w:rsid w:val="004F16ED"/>
    <w:rsid w:val="004F74DD"/>
    <w:rsid w:val="0050135D"/>
    <w:rsid w:val="00505747"/>
    <w:rsid w:val="00506309"/>
    <w:rsid w:val="00510AA0"/>
    <w:rsid w:val="0051371A"/>
    <w:rsid w:val="00513B2C"/>
    <w:rsid w:val="00515605"/>
    <w:rsid w:val="00515CCD"/>
    <w:rsid w:val="00531A7B"/>
    <w:rsid w:val="00531F75"/>
    <w:rsid w:val="00533CE0"/>
    <w:rsid w:val="00535368"/>
    <w:rsid w:val="005356DC"/>
    <w:rsid w:val="005374BC"/>
    <w:rsid w:val="00537834"/>
    <w:rsid w:val="00541A0E"/>
    <w:rsid w:val="00544141"/>
    <w:rsid w:val="005461CE"/>
    <w:rsid w:val="00547775"/>
    <w:rsid w:val="00547ED8"/>
    <w:rsid w:val="00551AE8"/>
    <w:rsid w:val="00553D88"/>
    <w:rsid w:val="005541C5"/>
    <w:rsid w:val="00554854"/>
    <w:rsid w:val="00566896"/>
    <w:rsid w:val="00567B61"/>
    <w:rsid w:val="00573303"/>
    <w:rsid w:val="00574BDB"/>
    <w:rsid w:val="005775CA"/>
    <w:rsid w:val="00580E7D"/>
    <w:rsid w:val="00581143"/>
    <w:rsid w:val="00581D9B"/>
    <w:rsid w:val="00582576"/>
    <w:rsid w:val="005844A9"/>
    <w:rsid w:val="005849A9"/>
    <w:rsid w:val="00586205"/>
    <w:rsid w:val="00586B0C"/>
    <w:rsid w:val="005903DB"/>
    <w:rsid w:val="00591606"/>
    <w:rsid w:val="00597A5D"/>
    <w:rsid w:val="005A22F9"/>
    <w:rsid w:val="005A38DF"/>
    <w:rsid w:val="005A6F3E"/>
    <w:rsid w:val="005B038A"/>
    <w:rsid w:val="005B0855"/>
    <w:rsid w:val="005B4AE4"/>
    <w:rsid w:val="005B4CC4"/>
    <w:rsid w:val="005B52D3"/>
    <w:rsid w:val="005C1020"/>
    <w:rsid w:val="005C3A12"/>
    <w:rsid w:val="005C416E"/>
    <w:rsid w:val="005C5D51"/>
    <w:rsid w:val="005C6866"/>
    <w:rsid w:val="005C7672"/>
    <w:rsid w:val="005E0D10"/>
    <w:rsid w:val="005E2F64"/>
    <w:rsid w:val="005E3E41"/>
    <w:rsid w:val="005F0041"/>
    <w:rsid w:val="005F1B65"/>
    <w:rsid w:val="005F272B"/>
    <w:rsid w:val="005F41C9"/>
    <w:rsid w:val="005F55CF"/>
    <w:rsid w:val="005F68A7"/>
    <w:rsid w:val="005F733D"/>
    <w:rsid w:val="00600581"/>
    <w:rsid w:val="00600E4C"/>
    <w:rsid w:val="0060128D"/>
    <w:rsid w:val="00602280"/>
    <w:rsid w:val="00604E4E"/>
    <w:rsid w:val="00607713"/>
    <w:rsid w:val="006103E0"/>
    <w:rsid w:val="0061217C"/>
    <w:rsid w:val="006158BE"/>
    <w:rsid w:val="0062183B"/>
    <w:rsid w:val="00621AFB"/>
    <w:rsid w:val="006256A4"/>
    <w:rsid w:val="00627610"/>
    <w:rsid w:val="00627F62"/>
    <w:rsid w:val="006318F3"/>
    <w:rsid w:val="0063524A"/>
    <w:rsid w:val="00635665"/>
    <w:rsid w:val="00635B97"/>
    <w:rsid w:val="00636615"/>
    <w:rsid w:val="0064790D"/>
    <w:rsid w:val="0065150F"/>
    <w:rsid w:val="006563E7"/>
    <w:rsid w:val="00656966"/>
    <w:rsid w:val="0065710B"/>
    <w:rsid w:val="0066393A"/>
    <w:rsid w:val="00663FE0"/>
    <w:rsid w:val="0066748C"/>
    <w:rsid w:val="00667E89"/>
    <w:rsid w:val="00670899"/>
    <w:rsid w:val="0067351A"/>
    <w:rsid w:val="00673F74"/>
    <w:rsid w:val="006745BE"/>
    <w:rsid w:val="00676AD5"/>
    <w:rsid w:val="00681F14"/>
    <w:rsid w:val="00696A03"/>
    <w:rsid w:val="00697F38"/>
    <w:rsid w:val="006A10F1"/>
    <w:rsid w:val="006A7F3C"/>
    <w:rsid w:val="006B161F"/>
    <w:rsid w:val="006B7DE6"/>
    <w:rsid w:val="006C36BF"/>
    <w:rsid w:val="006C41C9"/>
    <w:rsid w:val="006C491D"/>
    <w:rsid w:val="006C5110"/>
    <w:rsid w:val="006C560E"/>
    <w:rsid w:val="006D1B87"/>
    <w:rsid w:val="006D1D68"/>
    <w:rsid w:val="006D31D7"/>
    <w:rsid w:val="006E1090"/>
    <w:rsid w:val="006E2A88"/>
    <w:rsid w:val="006E4649"/>
    <w:rsid w:val="006E47A2"/>
    <w:rsid w:val="006E5A27"/>
    <w:rsid w:val="006E7F10"/>
    <w:rsid w:val="006F293E"/>
    <w:rsid w:val="006F5D8F"/>
    <w:rsid w:val="006F71B7"/>
    <w:rsid w:val="006F7DFB"/>
    <w:rsid w:val="00703B74"/>
    <w:rsid w:val="007041A3"/>
    <w:rsid w:val="00704288"/>
    <w:rsid w:val="00707600"/>
    <w:rsid w:val="00707E3C"/>
    <w:rsid w:val="007101BF"/>
    <w:rsid w:val="0071544A"/>
    <w:rsid w:val="00722F8B"/>
    <w:rsid w:val="00723A0B"/>
    <w:rsid w:val="00726301"/>
    <w:rsid w:val="00726EC7"/>
    <w:rsid w:val="00730C37"/>
    <w:rsid w:val="007354EA"/>
    <w:rsid w:val="00736AF2"/>
    <w:rsid w:val="00741AAC"/>
    <w:rsid w:val="00741DE3"/>
    <w:rsid w:val="00744E7A"/>
    <w:rsid w:val="00753EAC"/>
    <w:rsid w:val="007639BC"/>
    <w:rsid w:val="007650C2"/>
    <w:rsid w:val="00767B52"/>
    <w:rsid w:val="007703AA"/>
    <w:rsid w:val="00776594"/>
    <w:rsid w:val="00782A23"/>
    <w:rsid w:val="007832B8"/>
    <w:rsid w:val="00795508"/>
    <w:rsid w:val="0079690F"/>
    <w:rsid w:val="007A22F4"/>
    <w:rsid w:val="007A2ED9"/>
    <w:rsid w:val="007A3B44"/>
    <w:rsid w:val="007A4C5F"/>
    <w:rsid w:val="007B12F7"/>
    <w:rsid w:val="007B2E05"/>
    <w:rsid w:val="007B31CE"/>
    <w:rsid w:val="007B54C2"/>
    <w:rsid w:val="007C039C"/>
    <w:rsid w:val="007C17BF"/>
    <w:rsid w:val="007C4235"/>
    <w:rsid w:val="007C5D61"/>
    <w:rsid w:val="007D105C"/>
    <w:rsid w:val="007D382E"/>
    <w:rsid w:val="007D49DE"/>
    <w:rsid w:val="007D4B04"/>
    <w:rsid w:val="007E2BC0"/>
    <w:rsid w:val="007E4F76"/>
    <w:rsid w:val="007F0993"/>
    <w:rsid w:val="007F1151"/>
    <w:rsid w:val="007F133D"/>
    <w:rsid w:val="007F4960"/>
    <w:rsid w:val="007F580A"/>
    <w:rsid w:val="007F584A"/>
    <w:rsid w:val="00801A11"/>
    <w:rsid w:val="00802B5C"/>
    <w:rsid w:val="008042F4"/>
    <w:rsid w:val="00804E6C"/>
    <w:rsid w:val="008053E7"/>
    <w:rsid w:val="00810FC3"/>
    <w:rsid w:val="00816B78"/>
    <w:rsid w:val="0082042F"/>
    <w:rsid w:val="00821D0E"/>
    <w:rsid w:val="008223D5"/>
    <w:rsid w:val="00826B00"/>
    <w:rsid w:val="00834D1A"/>
    <w:rsid w:val="0083711D"/>
    <w:rsid w:val="0083718E"/>
    <w:rsid w:val="00837F09"/>
    <w:rsid w:val="008423D2"/>
    <w:rsid w:val="00842F18"/>
    <w:rsid w:val="0084439E"/>
    <w:rsid w:val="00845D55"/>
    <w:rsid w:val="008505C2"/>
    <w:rsid w:val="00865EC9"/>
    <w:rsid w:val="00872452"/>
    <w:rsid w:val="00881DBE"/>
    <w:rsid w:val="0088263E"/>
    <w:rsid w:val="00882780"/>
    <w:rsid w:val="00884603"/>
    <w:rsid w:val="008A0260"/>
    <w:rsid w:val="008A3A46"/>
    <w:rsid w:val="008A4E69"/>
    <w:rsid w:val="008A6F73"/>
    <w:rsid w:val="008A7256"/>
    <w:rsid w:val="008B33D2"/>
    <w:rsid w:val="008B3956"/>
    <w:rsid w:val="008C2A6B"/>
    <w:rsid w:val="008C5A62"/>
    <w:rsid w:val="008C655B"/>
    <w:rsid w:val="008C6B00"/>
    <w:rsid w:val="008D2F37"/>
    <w:rsid w:val="008E21EC"/>
    <w:rsid w:val="008E6897"/>
    <w:rsid w:val="008E6D5C"/>
    <w:rsid w:val="008F31E2"/>
    <w:rsid w:val="008F448E"/>
    <w:rsid w:val="008F5A46"/>
    <w:rsid w:val="008F69D3"/>
    <w:rsid w:val="008F6C7F"/>
    <w:rsid w:val="009124C0"/>
    <w:rsid w:val="00912CD6"/>
    <w:rsid w:val="009130F1"/>
    <w:rsid w:val="00916ED0"/>
    <w:rsid w:val="00920683"/>
    <w:rsid w:val="00921233"/>
    <w:rsid w:val="009219ED"/>
    <w:rsid w:val="009220A0"/>
    <w:rsid w:val="009249BC"/>
    <w:rsid w:val="00926119"/>
    <w:rsid w:val="0093171F"/>
    <w:rsid w:val="00937F55"/>
    <w:rsid w:val="009407CF"/>
    <w:rsid w:val="009430D8"/>
    <w:rsid w:val="00944F40"/>
    <w:rsid w:val="00945249"/>
    <w:rsid w:val="0094779C"/>
    <w:rsid w:val="0094787F"/>
    <w:rsid w:val="00950480"/>
    <w:rsid w:val="00954C2F"/>
    <w:rsid w:val="00957315"/>
    <w:rsid w:val="00971E31"/>
    <w:rsid w:val="009723CE"/>
    <w:rsid w:val="00975404"/>
    <w:rsid w:val="00976501"/>
    <w:rsid w:val="00980BD8"/>
    <w:rsid w:val="00985067"/>
    <w:rsid w:val="009912B9"/>
    <w:rsid w:val="009915AB"/>
    <w:rsid w:val="009924D2"/>
    <w:rsid w:val="00993991"/>
    <w:rsid w:val="00993E07"/>
    <w:rsid w:val="009A11EC"/>
    <w:rsid w:val="009A25DC"/>
    <w:rsid w:val="009B076C"/>
    <w:rsid w:val="009B2AD4"/>
    <w:rsid w:val="009B6C0F"/>
    <w:rsid w:val="009B7397"/>
    <w:rsid w:val="009C0FB8"/>
    <w:rsid w:val="009C55A6"/>
    <w:rsid w:val="009C5FF1"/>
    <w:rsid w:val="009C6CE5"/>
    <w:rsid w:val="009D0092"/>
    <w:rsid w:val="009E0A8B"/>
    <w:rsid w:val="009E2B22"/>
    <w:rsid w:val="009E7344"/>
    <w:rsid w:val="009F36C9"/>
    <w:rsid w:val="009F4488"/>
    <w:rsid w:val="009F4ED3"/>
    <w:rsid w:val="00A030A0"/>
    <w:rsid w:val="00A03729"/>
    <w:rsid w:val="00A03A44"/>
    <w:rsid w:val="00A03BCD"/>
    <w:rsid w:val="00A07043"/>
    <w:rsid w:val="00A20907"/>
    <w:rsid w:val="00A24134"/>
    <w:rsid w:val="00A244A7"/>
    <w:rsid w:val="00A26571"/>
    <w:rsid w:val="00A34DEC"/>
    <w:rsid w:val="00A359AD"/>
    <w:rsid w:val="00A42BBC"/>
    <w:rsid w:val="00A51602"/>
    <w:rsid w:val="00A63E0F"/>
    <w:rsid w:val="00A6756E"/>
    <w:rsid w:val="00A71CCD"/>
    <w:rsid w:val="00A71D5D"/>
    <w:rsid w:val="00A77BEB"/>
    <w:rsid w:val="00A83454"/>
    <w:rsid w:val="00A8490B"/>
    <w:rsid w:val="00A84AEE"/>
    <w:rsid w:val="00A92DF1"/>
    <w:rsid w:val="00A96D2E"/>
    <w:rsid w:val="00AA4872"/>
    <w:rsid w:val="00AA76B6"/>
    <w:rsid w:val="00AB1117"/>
    <w:rsid w:val="00AB58D9"/>
    <w:rsid w:val="00AB6AFA"/>
    <w:rsid w:val="00AC29B2"/>
    <w:rsid w:val="00AC6F4C"/>
    <w:rsid w:val="00AC7A69"/>
    <w:rsid w:val="00AD3F9E"/>
    <w:rsid w:val="00AD582B"/>
    <w:rsid w:val="00AD59BB"/>
    <w:rsid w:val="00AD678B"/>
    <w:rsid w:val="00AE4587"/>
    <w:rsid w:val="00AE474F"/>
    <w:rsid w:val="00AE57C9"/>
    <w:rsid w:val="00AE745A"/>
    <w:rsid w:val="00AF208D"/>
    <w:rsid w:val="00AF3C0C"/>
    <w:rsid w:val="00AF498F"/>
    <w:rsid w:val="00AF4ACF"/>
    <w:rsid w:val="00AF6929"/>
    <w:rsid w:val="00AF75FB"/>
    <w:rsid w:val="00B02ED1"/>
    <w:rsid w:val="00B04D63"/>
    <w:rsid w:val="00B103A1"/>
    <w:rsid w:val="00B11524"/>
    <w:rsid w:val="00B11C40"/>
    <w:rsid w:val="00B15614"/>
    <w:rsid w:val="00B15990"/>
    <w:rsid w:val="00B1780C"/>
    <w:rsid w:val="00B20092"/>
    <w:rsid w:val="00B22761"/>
    <w:rsid w:val="00B24358"/>
    <w:rsid w:val="00B2445F"/>
    <w:rsid w:val="00B24F69"/>
    <w:rsid w:val="00B2678B"/>
    <w:rsid w:val="00B30CD0"/>
    <w:rsid w:val="00B422D4"/>
    <w:rsid w:val="00B438A3"/>
    <w:rsid w:val="00B54464"/>
    <w:rsid w:val="00B547C2"/>
    <w:rsid w:val="00B57A3D"/>
    <w:rsid w:val="00B60FD8"/>
    <w:rsid w:val="00B63865"/>
    <w:rsid w:val="00B70E93"/>
    <w:rsid w:val="00B778D7"/>
    <w:rsid w:val="00B77C0E"/>
    <w:rsid w:val="00B8115B"/>
    <w:rsid w:val="00B82A89"/>
    <w:rsid w:val="00B86CA9"/>
    <w:rsid w:val="00B8792F"/>
    <w:rsid w:val="00B879BD"/>
    <w:rsid w:val="00B92B53"/>
    <w:rsid w:val="00B92CAE"/>
    <w:rsid w:val="00B95077"/>
    <w:rsid w:val="00BA35FF"/>
    <w:rsid w:val="00BA4700"/>
    <w:rsid w:val="00BA5E6E"/>
    <w:rsid w:val="00BA785C"/>
    <w:rsid w:val="00BA7AC0"/>
    <w:rsid w:val="00BB3677"/>
    <w:rsid w:val="00BB3D37"/>
    <w:rsid w:val="00BB79D3"/>
    <w:rsid w:val="00BB7C07"/>
    <w:rsid w:val="00BC3C6C"/>
    <w:rsid w:val="00BC5AD8"/>
    <w:rsid w:val="00BD2A15"/>
    <w:rsid w:val="00BD2E2C"/>
    <w:rsid w:val="00BD4128"/>
    <w:rsid w:val="00BD72EE"/>
    <w:rsid w:val="00BF0804"/>
    <w:rsid w:val="00BF1B05"/>
    <w:rsid w:val="00BF1D0F"/>
    <w:rsid w:val="00BF3333"/>
    <w:rsid w:val="00BF6CAF"/>
    <w:rsid w:val="00BF6FD5"/>
    <w:rsid w:val="00C052E2"/>
    <w:rsid w:val="00C05F38"/>
    <w:rsid w:val="00C060C4"/>
    <w:rsid w:val="00C06337"/>
    <w:rsid w:val="00C06FDE"/>
    <w:rsid w:val="00C22E07"/>
    <w:rsid w:val="00C25818"/>
    <w:rsid w:val="00C30AC0"/>
    <w:rsid w:val="00C315B4"/>
    <w:rsid w:val="00C31AA4"/>
    <w:rsid w:val="00C34025"/>
    <w:rsid w:val="00C34C70"/>
    <w:rsid w:val="00C34D4B"/>
    <w:rsid w:val="00C367D2"/>
    <w:rsid w:val="00C41E7B"/>
    <w:rsid w:val="00C46951"/>
    <w:rsid w:val="00C4778F"/>
    <w:rsid w:val="00C505AD"/>
    <w:rsid w:val="00C5223E"/>
    <w:rsid w:val="00C53F9D"/>
    <w:rsid w:val="00C5477D"/>
    <w:rsid w:val="00C54DBD"/>
    <w:rsid w:val="00C62F49"/>
    <w:rsid w:val="00C6393A"/>
    <w:rsid w:val="00C64099"/>
    <w:rsid w:val="00C67467"/>
    <w:rsid w:val="00C75D1F"/>
    <w:rsid w:val="00C7738D"/>
    <w:rsid w:val="00C8399C"/>
    <w:rsid w:val="00C83EF3"/>
    <w:rsid w:val="00C858E8"/>
    <w:rsid w:val="00C8664E"/>
    <w:rsid w:val="00C936F2"/>
    <w:rsid w:val="00C93D5C"/>
    <w:rsid w:val="00C9606F"/>
    <w:rsid w:val="00CA2E48"/>
    <w:rsid w:val="00CB20F6"/>
    <w:rsid w:val="00CB61D3"/>
    <w:rsid w:val="00CC416D"/>
    <w:rsid w:val="00CC41CE"/>
    <w:rsid w:val="00CC679A"/>
    <w:rsid w:val="00CC740F"/>
    <w:rsid w:val="00CD1F90"/>
    <w:rsid w:val="00CD3528"/>
    <w:rsid w:val="00CD45FA"/>
    <w:rsid w:val="00CF1C93"/>
    <w:rsid w:val="00CF1E91"/>
    <w:rsid w:val="00CF3ABC"/>
    <w:rsid w:val="00CF48CE"/>
    <w:rsid w:val="00CF522C"/>
    <w:rsid w:val="00CF7392"/>
    <w:rsid w:val="00D00414"/>
    <w:rsid w:val="00D01117"/>
    <w:rsid w:val="00D01367"/>
    <w:rsid w:val="00D01B25"/>
    <w:rsid w:val="00D02CED"/>
    <w:rsid w:val="00D072A0"/>
    <w:rsid w:val="00D076A2"/>
    <w:rsid w:val="00D114FE"/>
    <w:rsid w:val="00D12C22"/>
    <w:rsid w:val="00D130E1"/>
    <w:rsid w:val="00D1313E"/>
    <w:rsid w:val="00D17475"/>
    <w:rsid w:val="00D22378"/>
    <w:rsid w:val="00D236E3"/>
    <w:rsid w:val="00D23FE6"/>
    <w:rsid w:val="00D24AA2"/>
    <w:rsid w:val="00D26195"/>
    <w:rsid w:val="00D2659A"/>
    <w:rsid w:val="00D30C34"/>
    <w:rsid w:val="00D32F85"/>
    <w:rsid w:val="00D40A54"/>
    <w:rsid w:val="00D4485A"/>
    <w:rsid w:val="00D47AC8"/>
    <w:rsid w:val="00D5588B"/>
    <w:rsid w:val="00D56B6C"/>
    <w:rsid w:val="00D57900"/>
    <w:rsid w:val="00D63B6C"/>
    <w:rsid w:val="00D728B3"/>
    <w:rsid w:val="00D81FC2"/>
    <w:rsid w:val="00D83313"/>
    <w:rsid w:val="00D83EF0"/>
    <w:rsid w:val="00D92FCE"/>
    <w:rsid w:val="00D944E4"/>
    <w:rsid w:val="00D97A9D"/>
    <w:rsid w:val="00DA3DDE"/>
    <w:rsid w:val="00DA49ED"/>
    <w:rsid w:val="00DA646F"/>
    <w:rsid w:val="00DB0EB6"/>
    <w:rsid w:val="00DB634D"/>
    <w:rsid w:val="00DB77DD"/>
    <w:rsid w:val="00DB7F57"/>
    <w:rsid w:val="00DC2771"/>
    <w:rsid w:val="00DC35F4"/>
    <w:rsid w:val="00DC35F9"/>
    <w:rsid w:val="00DC6380"/>
    <w:rsid w:val="00DD3BA3"/>
    <w:rsid w:val="00DD659C"/>
    <w:rsid w:val="00DE0996"/>
    <w:rsid w:val="00DE1432"/>
    <w:rsid w:val="00DE1D38"/>
    <w:rsid w:val="00DE5AF9"/>
    <w:rsid w:val="00DF282B"/>
    <w:rsid w:val="00DF73B6"/>
    <w:rsid w:val="00DF786C"/>
    <w:rsid w:val="00E0323B"/>
    <w:rsid w:val="00E05A57"/>
    <w:rsid w:val="00E118AD"/>
    <w:rsid w:val="00E12A68"/>
    <w:rsid w:val="00E15180"/>
    <w:rsid w:val="00E1795F"/>
    <w:rsid w:val="00E213D5"/>
    <w:rsid w:val="00E220A1"/>
    <w:rsid w:val="00E24BDF"/>
    <w:rsid w:val="00E26079"/>
    <w:rsid w:val="00E2763D"/>
    <w:rsid w:val="00E277D2"/>
    <w:rsid w:val="00E40196"/>
    <w:rsid w:val="00E430E5"/>
    <w:rsid w:val="00E46E2E"/>
    <w:rsid w:val="00E50F1B"/>
    <w:rsid w:val="00E514FF"/>
    <w:rsid w:val="00E56341"/>
    <w:rsid w:val="00E56583"/>
    <w:rsid w:val="00E56C06"/>
    <w:rsid w:val="00E57B2F"/>
    <w:rsid w:val="00E64D34"/>
    <w:rsid w:val="00E70E91"/>
    <w:rsid w:val="00E71EE9"/>
    <w:rsid w:val="00E74022"/>
    <w:rsid w:val="00E7746E"/>
    <w:rsid w:val="00E80834"/>
    <w:rsid w:val="00E8094C"/>
    <w:rsid w:val="00E83024"/>
    <w:rsid w:val="00E8310E"/>
    <w:rsid w:val="00E83D07"/>
    <w:rsid w:val="00E85473"/>
    <w:rsid w:val="00E90323"/>
    <w:rsid w:val="00E90364"/>
    <w:rsid w:val="00E903F1"/>
    <w:rsid w:val="00E91CBC"/>
    <w:rsid w:val="00E94857"/>
    <w:rsid w:val="00EA0257"/>
    <w:rsid w:val="00EA2915"/>
    <w:rsid w:val="00EA2D4E"/>
    <w:rsid w:val="00EA50D0"/>
    <w:rsid w:val="00EA59C6"/>
    <w:rsid w:val="00EA5B18"/>
    <w:rsid w:val="00EA697D"/>
    <w:rsid w:val="00EA7623"/>
    <w:rsid w:val="00EB0B0D"/>
    <w:rsid w:val="00EB2BF8"/>
    <w:rsid w:val="00EB4902"/>
    <w:rsid w:val="00EB5982"/>
    <w:rsid w:val="00EC28DE"/>
    <w:rsid w:val="00EC3036"/>
    <w:rsid w:val="00EC631B"/>
    <w:rsid w:val="00EC70F7"/>
    <w:rsid w:val="00ED49A1"/>
    <w:rsid w:val="00ED5BF1"/>
    <w:rsid w:val="00ED5D11"/>
    <w:rsid w:val="00ED5DD7"/>
    <w:rsid w:val="00ED649B"/>
    <w:rsid w:val="00EE1659"/>
    <w:rsid w:val="00EE71CF"/>
    <w:rsid w:val="00EF2E00"/>
    <w:rsid w:val="00EF48CC"/>
    <w:rsid w:val="00EF58D4"/>
    <w:rsid w:val="00F02701"/>
    <w:rsid w:val="00F02BBF"/>
    <w:rsid w:val="00F02FB5"/>
    <w:rsid w:val="00F06167"/>
    <w:rsid w:val="00F12835"/>
    <w:rsid w:val="00F16F05"/>
    <w:rsid w:val="00F224F0"/>
    <w:rsid w:val="00F23553"/>
    <w:rsid w:val="00F3274E"/>
    <w:rsid w:val="00F33753"/>
    <w:rsid w:val="00F3683E"/>
    <w:rsid w:val="00F40EEB"/>
    <w:rsid w:val="00F454AE"/>
    <w:rsid w:val="00F50A00"/>
    <w:rsid w:val="00F53128"/>
    <w:rsid w:val="00F53BEC"/>
    <w:rsid w:val="00F5450C"/>
    <w:rsid w:val="00F55A7C"/>
    <w:rsid w:val="00F62E87"/>
    <w:rsid w:val="00F63F70"/>
    <w:rsid w:val="00F659E7"/>
    <w:rsid w:val="00F662A3"/>
    <w:rsid w:val="00F66BA5"/>
    <w:rsid w:val="00F76AC4"/>
    <w:rsid w:val="00F76FE2"/>
    <w:rsid w:val="00F7753E"/>
    <w:rsid w:val="00F82DBF"/>
    <w:rsid w:val="00F835BF"/>
    <w:rsid w:val="00F90932"/>
    <w:rsid w:val="00F9130D"/>
    <w:rsid w:val="00F918E6"/>
    <w:rsid w:val="00F92521"/>
    <w:rsid w:val="00F93118"/>
    <w:rsid w:val="00FA1615"/>
    <w:rsid w:val="00FA4EAC"/>
    <w:rsid w:val="00FB4BB1"/>
    <w:rsid w:val="00FC0641"/>
    <w:rsid w:val="00FC3E1D"/>
    <w:rsid w:val="00FC4E66"/>
    <w:rsid w:val="00FC735B"/>
    <w:rsid w:val="00FC7773"/>
    <w:rsid w:val="00FD26F7"/>
    <w:rsid w:val="00FD34EC"/>
    <w:rsid w:val="00FD7AB7"/>
    <w:rsid w:val="00FE5217"/>
    <w:rsid w:val="00FE7C9D"/>
    <w:rsid w:val="00FF06FE"/>
    <w:rsid w:val="00FF0CC4"/>
    <w:rsid w:val="00FF0CD6"/>
    <w:rsid w:val="00FF2D1B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1EB6B"/>
  <w15:docId w15:val="{87720A65-AF69-4342-BBE9-CFBE28C7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134"/>
  </w:style>
  <w:style w:type="paragraph" w:styleId="Footer">
    <w:name w:val="footer"/>
    <w:basedOn w:val="Normal"/>
    <w:link w:val="FooterChar"/>
    <w:uiPriority w:val="99"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134"/>
  </w:style>
  <w:style w:type="paragraph" w:styleId="ListParagraph">
    <w:name w:val="List Paragraph"/>
    <w:aliases w:val="Bullets,List Paragraph1,List 100s,Numbered Paragraph,Main numbered paragraph,References,Numbered List Paragraph,123 List Paragraph,List Paragraph (numbered (a)),List Paragraph nowy,Liste 1,List_Paragraph,Multilevel para_II,Bullet paras"/>
    <w:basedOn w:val="Normal"/>
    <w:link w:val="ListParagraphChar"/>
    <w:uiPriority w:val="34"/>
    <w:qFormat/>
    <w:rsid w:val="00FF2D1B"/>
    <w:pPr>
      <w:ind w:left="720"/>
      <w:contextualSpacing/>
    </w:pPr>
  </w:style>
  <w:style w:type="table" w:styleId="TableGrid">
    <w:name w:val="Table Grid"/>
    <w:basedOn w:val="TableNormal"/>
    <w:rsid w:val="00475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C6409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91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8E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6485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0A36A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A36AD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6AD"/>
    <w:rPr>
      <w:rFonts w:ascii="CG Times" w:eastAsia="Times New Roman" w:hAnsi="CG Times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274E"/>
    <w:rPr>
      <w:color w:val="800080" w:themeColor="followedHyperlink"/>
      <w:u w:val="single"/>
    </w:rPr>
  </w:style>
  <w:style w:type="paragraph" w:customStyle="1" w:styleId="Default">
    <w:name w:val="Default"/>
    <w:rsid w:val="00B547C2"/>
    <w:pPr>
      <w:autoSpaceDE w:val="0"/>
      <w:autoSpaceDN w:val="0"/>
      <w:adjustRightInd w:val="0"/>
      <w:spacing w:after="0" w:line="240" w:lineRule="auto"/>
    </w:pPr>
    <w:rPr>
      <w:rFonts w:ascii="Now" w:hAnsi="Now" w:cs="Now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B547C2"/>
    <w:pPr>
      <w:spacing w:line="201" w:lineRule="atLeast"/>
    </w:pPr>
    <w:rPr>
      <w:rFonts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66748C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s Char,List Paragraph1 Char,List 100s Char,Numbered Paragraph Char,Main numbered paragraph Char,References Char,Numbered List Paragraph Char,123 List Paragraph Char,List Paragraph (numbered (a)) Char,List Paragraph nowy Char"/>
    <w:link w:val="ListParagraph"/>
    <w:uiPriority w:val="34"/>
    <w:qFormat/>
    <w:rsid w:val="00CD3528"/>
  </w:style>
  <w:style w:type="paragraph" w:styleId="Revision">
    <w:name w:val="Revision"/>
    <w:hidden/>
    <w:uiPriority w:val="99"/>
    <w:semiHidden/>
    <w:rsid w:val="002E6721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6AA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6AA3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3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dp.org/content/dam/undp/documents/procurement/documents/IC%20-%20General%20Condition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fo.undp.org/global/documents/cap/P11%20modified%20for%20SCs%20and%20ICs.do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fo.undp.org/global/documents/cap/Template%20for%20Confirmation%20of%20Interest%20and%20Submission%20of%20Financial%20Proposal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FD28441C5E748AFE43FAD53B15195" ma:contentTypeVersion="13" ma:contentTypeDescription="Create a new document." ma:contentTypeScope="" ma:versionID="133565337e49100df311983cfb947acf">
  <xsd:schema xmlns:xsd="http://www.w3.org/2001/XMLSchema" xmlns:xs="http://www.w3.org/2001/XMLSchema" xmlns:p="http://schemas.microsoft.com/office/2006/metadata/properties" xmlns:ns3="db9f1695-94d3-4a6e-b105-b8d6df9d55c3" xmlns:ns4="d4b227f1-419d-4851-b3fb-b07524625138" targetNamespace="http://schemas.microsoft.com/office/2006/metadata/properties" ma:root="true" ma:fieldsID="58f5fb775e4dcc9f8bac66c9834402df" ns3:_="" ns4:_="">
    <xsd:import namespace="db9f1695-94d3-4a6e-b105-b8d6df9d55c3"/>
    <xsd:import namespace="d4b227f1-419d-4851-b3fb-b075246251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695-94d3-4a6e-b105-b8d6df9d5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227f1-419d-4851-b3fb-b07524625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86A3F-6C7B-4F91-BCD8-67BE10C8E0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7199FF-56B2-486B-9A80-0F8C08BB7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40DA5-E4C7-410C-9B0F-0BECA3910A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ADF52E-1259-4FC4-9DA8-D0AA1DCC1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f1695-94d3-4a6e-b105-b8d6df9d55c3"/>
    <ds:schemaRef ds:uri="d4b227f1-419d-4851-b3fb-b07524625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 for MOF PFE Feb 2, 2020</vt:lpstr>
    </vt:vector>
  </TitlesOfParts>
  <Manager/>
  <Company>UNDP</Company>
  <LinksUpToDate>false</LinksUpToDate>
  <CharactersWithSpaces>14679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for MOF PFE Feb 2, 2020</dc:title>
  <dc:subject>ICs</dc:subject>
  <dc:creator>Baasankhuu Baska Damba</dc:creator>
  <cp:keywords/>
  <dc:description/>
  <cp:lastModifiedBy>Barkhas Losolsuren</cp:lastModifiedBy>
  <cp:revision>2</cp:revision>
  <cp:lastPrinted>2021-02-10T03:06:00Z</cp:lastPrinted>
  <dcterms:created xsi:type="dcterms:W3CDTF">2021-02-10T03:09:00Z</dcterms:created>
  <dcterms:modified xsi:type="dcterms:W3CDTF">2021-02-10T03:09:00Z</dcterms:modified>
  <cp:category>TOR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0x0101004C5FD28441C5E748AFE43FAD53B15195</vt:lpwstr>
  </property>
  <property fmtid="{D5CDD505-2E9C-101B-9397-08002B2CF9AE}" pid="3" name="_dlc_DocIdItemGuid">
    <vt:lpwstr>f33bece7-c656-43f6-b20e-7510aac5aa65</vt:lpwstr>
  </property>
</Properties>
</file>