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41CF" w14:textId="440E669C" w:rsidR="00495A9A" w:rsidRDefault="00495A9A" w:rsidP="00051E80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059DDE2" w14:textId="1D00FABC" w:rsidR="00495A9A" w:rsidRDefault="00495A9A" w:rsidP="00E47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87C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ACLARACION No.1</w:t>
      </w:r>
    </w:p>
    <w:p w14:paraId="66AFD869" w14:textId="499FADBA" w:rsidR="00495A9A" w:rsidRPr="00E478AE" w:rsidRDefault="00495A9A" w:rsidP="00E478A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45F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CONSULTORÍA INDIVIDUAL:</w:t>
      </w:r>
    </w:p>
    <w:p w14:paraId="4B8CC171" w14:textId="3DA9300C" w:rsidR="00495A9A" w:rsidRPr="00353569" w:rsidRDefault="00495A9A" w:rsidP="00E478AE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FF0000"/>
          <w:shd w:val="clear" w:color="auto" w:fill="FFFFFF"/>
          <w:lang w:val="es-ES_tradnl"/>
        </w:rPr>
        <w:t xml:space="preserve"> </w:t>
      </w:r>
      <w:r w:rsidRPr="00353569">
        <w:rPr>
          <w:rFonts w:ascii="Times New Roman" w:hAnsi="Times New Roman" w:cs="Times New Roman"/>
          <w:b/>
          <w:bCs/>
          <w:shd w:val="clear" w:color="auto" w:fill="FFFFFF"/>
          <w:lang w:val="es-ES_tradnl"/>
        </w:rPr>
        <w:t xml:space="preserve">SDP-2021-002 </w:t>
      </w:r>
      <w:r w:rsidR="00FE368C">
        <w:rPr>
          <w:rFonts w:ascii="Times New Roman" w:hAnsi="Times New Roman" w:cs="Times New Roman"/>
          <w:b/>
          <w:bCs/>
          <w:shd w:val="clear" w:color="auto" w:fill="FFFFFF"/>
          <w:lang w:val="es-ES_tradnl"/>
        </w:rPr>
        <w:t xml:space="preserve">NAP CR </w:t>
      </w:r>
      <w:r w:rsidR="00A90A56" w:rsidRPr="00353569">
        <w:rPr>
          <w:rFonts w:ascii="Times New Roman" w:hAnsi="Times New Roman" w:cs="Times New Roman"/>
          <w:b/>
          <w:bCs/>
          <w:shd w:val="clear" w:color="auto" w:fill="FFFFFF"/>
          <w:lang w:val="es-ES_tradnl"/>
        </w:rPr>
        <w:t>PUNTARENAS</w:t>
      </w:r>
    </w:p>
    <w:p w14:paraId="1CC3AB8A" w14:textId="77777777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CC0">
        <w:rPr>
          <w:rFonts w:ascii="Times New Roman" w:hAnsi="Times New Roman" w:cs="Times New Roman"/>
          <w:b/>
          <w:sz w:val="24"/>
          <w:szCs w:val="24"/>
        </w:rPr>
        <w:t>PREGUNTA No.1</w:t>
      </w:r>
      <w:r w:rsidRPr="00051E80">
        <w:rPr>
          <w:rFonts w:ascii="Times New Roman" w:hAnsi="Times New Roman" w:cs="Times New Roman"/>
          <w:sz w:val="24"/>
          <w:szCs w:val="24"/>
        </w:rPr>
        <w:t>:</w:t>
      </w:r>
    </w:p>
    <w:p w14:paraId="19988555" w14:textId="77777777" w:rsidR="00495A9A" w:rsidRDefault="00495A9A" w:rsidP="00495A9A">
      <w:pPr>
        <w:jc w:val="both"/>
      </w:pPr>
    </w:p>
    <w:p w14:paraId="4C8FD3DF" w14:textId="5987D5D6" w:rsidR="00495A9A" w:rsidRDefault="00495A9A" w:rsidP="000C20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Solicitamos desglosen la puntuación que se asigna a cada uno de los criterios de evaluación (i) Antecedentes de la empresa, </w:t>
      </w:r>
      <w:proofErr w:type="spellStart"/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ii</w:t>
      </w:r>
      <w:proofErr w:type="spellEnd"/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) Metodología, adecuación a las condiciones y plazos del plan de ejecución y </w:t>
      </w:r>
      <w:proofErr w:type="spellStart"/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iii</w:t>
      </w:r>
      <w:proofErr w:type="spellEnd"/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) Recurso Humano), así como la ponderación de los subcriterios considerados en cada uno de los mencionados criterios (formación académica y experiencia de personal, experiencia de la empresa en cada uno de los ámbitos </w:t>
      </w:r>
      <w:proofErr w:type="gramStart"/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requeridos,…</w:t>
      </w:r>
      <w:proofErr w:type="gramEnd"/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)</w:t>
      </w:r>
    </w:p>
    <w:p w14:paraId="4B235C3E" w14:textId="0A18DD30" w:rsidR="009C04E4" w:rsidRDefault="009C04E4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6EA1DE0" w14:textId="7D39030A" w:rsidR="00B72066" w:rsidRDefault="00B72066" w:rsidP="00495A9A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787CC0">
        <w:rPr>
          <w:b/>
          <w:color w:val="0070C0"/>
        </w:rPr>
        <w:t>ACLACRACIÓN No. 1:</w:t>
      </w:r>
    </w:p>
    <w:p w14:paraId="0F369A0F" w14:textId="3CC0FC01" w:rsidR="00B72066" w:rsidRDefault="00B72066" w:rsidP="00495A9A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</w:rPr>
      </w:pPr>
    </w:p>
    <w:p w14:paraId="529081F0" w14:textId="0CD5AA49" w:rsidR="00B72066" w:rsidRDefault="00B72066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color w:val="0070C0"/>
        </w:rPr>
        <w:t>Los criterios de evaluación son los siguientes:</w:t>
      </w:r>
    </w:p>
    <w:p w14:paraId="00F87F6A" w14:textId="77777777" w:rsidR="00B72066" w:rsidRDefault="00B72066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A20EFF7" w14:textId="050A8E0F" w:rsidR="00941135" w:rsidRPr="00B72066" w:rsidRDefault="00CA1761" w:rsidP="00495A9A">
      <w:pPr>
        <w:pStyle w:val="NormalWeb"/>
        <w:shd w:val="clear" w:color="auto" w:fill="FFFFFF"/>
        <w:spacing w:before="0" w:beforeAutospacing="0" w:after="0" w:afterAutospacing="0"/>
        <w:rPr>
          <w:color w:val="0070C0"/>
        </w:rPr>
      </w:pPr>
      <w:r w:rsidRPr="00B72066">
        <w:rPr>
          <w:color w:val="0070C0"/>
        </w:rPr>
        <w:t>Antecedentes / Perfil de la empresa: 300 puntos</w:t>
      </w:r>
    </w:p>
    <w:p w14:paraId="797356D4" w14:textId="184E3297" w:rsidR="00CA1761" w:rsidRPr="00B72066" w:rsidRDefault="00CA1761" w:rsidP="00495A9A">
      <w:pPr>
        <w:pStyle w:val="NormalWeb"/>
        <w:shd w:val="clear" w:color="auto" w:fill="FFFFFF"/>
        <w:spacing w:before="0" w:beforeAutospacing="0" w:after="0" w:afterAutospacing="0"/>
        <w:rPr>
          <w:color w:val="0070C0"/>
        </w:rPr>
      </w:pPr>
      <w:r w:rsidRPr="00B72066">
        <w:rPr>
          <w:color w:val="0070C0"/>
        </w:rPr>
        <w:t>Metodología</w:t>
      </w:r>
      <w:r w:rsidR="006D53AA" w:rsidRPr="00B72066">
        <w:rPr>
          <w:color w:val="0070C0"/>
        </w:rPr>
        <w:t xml:space="preserve"> / Oferta técnica: 300 puntos</w:t>
      </w:r>
    </w:p>
    <w:p w14:paraId="0AF78D9F" w14:textId="08A3CA4C" w:rsidR="006D53AA" w:rsidRPr="00B72066" w:rsidRDefault="006D53AA" w:rsidP="00495A9A">
      <w:pPr>
        <w:pStyle w:val="NormalWeb"/>
        <w:shd w:val="clear" w:color="auto" w:fill="FFFFFF"/>
        <w:spacing w:before="0" w:beforeAutospacing="0" w:after="0" w:afterAutospacing="0"/>
        <w:rPr>
          <w:color w:val="0070C0"/>
        </w:rPr>
      </w:pPr>
      <w:r w:rsidRPr="00B72066">
        <w:rPr>
          <w:color w:val="0070C0"/>
        </w:rPr>
        <w:t xml:space="preserve">Recurso Humano </w:t>
      </w:r>
      <w:r w:rsidR="005B2F37" w:rsidRPr="00B72066">
        <w:rPr>
          <w:color w:val="0070C0"/>
        </w:rPr>
        <w:t>/ Personal propuesto: 400 puntos</w:t>
      </w:r>
    </w:p>
    <w:p w14:paraId="0E947D6F" w14:textId="719CCB29" w:rsidR="003F0A06" w:rsidRPr="00B72066" w:rsidRDefault="003F0A06" w:rsidP="00495A9A">
      <w:pPr>
        <w:pStyle w:val="NormalWeb"/>
        <w:shd w:val="clear" w:color="auto" w:fill="FFFFFF"/>
        <w:spacing w:before="0" w:beforeAutospacing="0" w:after="0" w:afterAutospacing="0"/>
        <w:rPr>
          <w:color w:val="0070C0"/>
        </w:rPr>
      </w:pPr>
    </w:p>
    <w:p w14:paraId="272ADACF" w14:textId="297CC1FA" w:rsidR="003F0A06" w:rsidRPr="00B72066" w:rsidRDefault="003F0A06" w:rsidP="00495A9A">
      <w:pPr>
        <w:pStyle w:val="NormalWeb"/>
        <w:shd w:val="clear" w:color="auto" w:fill="FFFFFF"/>
        <w:spacing w:before="0" w:beforeAutospacing="0" w:after="0" w:afterAutospacing="0"/>
        <w:rPr>
          <w:color w:val="0070C0"/>
        </w:rPr>
      </w:pPr>
      <w:r w:rsidRPr="00B72066">
        <w:rPr>
          <w:color w:val="0070C0"/>
        </w:rPr>
        <w:t xml:space="preserve">No es obligación del PNUD </w:t>
      </w:r>
      <w:r w:rsidR="00444B36" w:rsidRPr="00B72066">
        <w:rPr>
          <w:color w:val="0070C0"/>
        </w:rPr>
        <w:t>publicar el desglo</w:t>
      </w:r>
      <w:r w:rsidR="0092628C" w:rsidRPr="00B72066">
        <w:rPr>
          <w:color w:val="0070C0"/>
        </w:rPr>
        <w:t>s</w:t>
      </w:r>
      <w:r w:rsidR="00444B36" w:rsidRPr="00B72066">
        <w:rPr>
          <w:color w:val="0070C0"/>
        </w:rPr>
        <w:t xml:space="preserve">e de los </w:t>
      </w:r>
      <w:r w:rsidR="005E0428" w:rsidRPr="00B72066">
        <w:rPr>
          <w:color w:val="0070C0"/>
        </w:rPr>
        <w:t xml:space="preserve">criterios de evaluación, sin </w:t>
      </w:r>
      <w:proofErr w:type="gramStart"/>
      <w:r w:rsidR="005E0428" w:rsidRPr="00B72066">
        <w:rPr>
          <w:color w:val="0070C0"/>
        </w:rPr>
        <w:t>embargo</w:t>
      </w:r>
      <w:proofErr w:type="gramEnd"/>
      <w:r w:rsidR="005E0428" w:rsidRPr="00B72066">
        <w:rPr>
          <w:color w:val="0070C0"/>
        </w:rPr>
        <w:t xml:space="preserve"> estaremos publicando una tabla </w:t>
      </w:r>
      <w:proofErr w:type="spellStart"/>
      <w:r w:rsidR="005E0428" w:rsidRPr="00B72066">
        <w:rPr>
          <w:color w:val="0070C0"/>
        </w:rPr>
        <w:t>mas</w:t>
      </w:r>
      <w:proofErr w:type="spellEnd"/>
      <w:r w:rsidR="005E0428" w:rsidRPr="00B72066">
        <w:rPr>
          <w:color w:val="0070C0"/>
        </w:rPr>
        <w:t xml:space="preserve"> detallada en los próximos días.</w:t>
      </w:r>
    </w:p>
    <w:p w14:paraId="0181FFDD" w14:textId="77777777" w:rsidR="00D12747" w:rsidRPr="00495A9A" w:rsidRDefault="00D12747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300C88" w14:textId="77777777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7F5DA135" w14:textId="77777777" w:rsidR="00495A9A" w:rsidRPr="00051E80" w:rsidRDefault="00495A9A" w:rsidP="00F00802">
      <w:pPr>
        <w:jc w:val="both"/>
        <w:rPr>
          <w:rFonts w:ascii="Times New Roman" w:hAnsi="Times New Roman" w:cs="Times New Roman"/>
          <w:sz w:val="24"/>
          <w:szCs w:val="24"/>
        </w:rPr>
      </w:pPr>
      <w:r w:rsidRPr="00787CC0">
        <w:rPr>
          <w:rFonts w:ascii="Times New Roman" w:hAnsi="Times New Roman" w:cs="Times New Roman"/>
          <w:b/>
          <w:sz w:val="24"/>
          <w:szCs w:val="24"/>
        </w:rPr>
        <w:t>PREGUNTA No. 2</w:t>
      </w:r>
      <w:r w:rsidRPr="00051E80">
        <w:rPr>
          <w:rFonts w:ascii="Times New Roman" w:hAnsi="Times New Roman" w:cs="Times New Roman"/>
          <w:sz w:val="24"/>
          <w:szCs w:val="24"/>
        </w:rPr>
        <w:t>:</w:t>
      </w:r>
    </w:p>
    <w:p w14:paraId="5E792AC2" w14:textId="77777777" w:rsidR="00495A9A" w:rsidRDefault="00495A9A" w:rsidP="00F0080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5496"/>
          <w:sz w:val="14"/>
          <w:szCs w:val="14"/>
          <w:bdr w:val="none" w:sz="0" w:space="0" w:color="auto" w:frame="1"/>
          <w:lang w:val="es-ES"/>
        </w:rPr>
      </w:pPr>
    </w:p>
    <w:p w14:paraId="1FF615D9" w14:textId="696A3D13" w:rsidR="00A90A56" w:rsidRDefault="00A90A56" w:rsidP="00F008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  <w:r w:rsidRPr="00495A9A">
        <w:rPr>
          <w:sz w:val="14"/>
          <w:szCs w:val="14"/>
          <w:bdr w:val="none" w:sz="0" w:space="0" w:color="auto" w:frame="1"/>
          <w:lang w:val="es-ES"/>
        </w:rPr>
        <w:t> </w:t>
      </w:r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Respecto al perfil Especialista 1, ¿los 7 años de experiencia en el análisis de riesgos climáticos y/</w:t>
      </w:r>
      <w:proofErr w:type="gramStart"/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o  la</w:t>
      </w:r>
      <w:proofErr w:type="gramEnd"/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 planificación de medidas de adaptación al cambio climático deben ser en Costa Rica o puntuarían experiencia internacional?¿las 2 experiencias previas proporcionando acompañamiento técnico a actores locales y/o instituciones gubernamentales, en procesos de planificación relacionados con el desarrollo deben ser en Costa Rica o puntuarían experiencias internacionales? ¿Cuánto puntúa cada uno de los criterios?</w:t>
      </w:r>
    </w:p>
    <w:p w14:paraId="2BB5F19F" w14:textId="4C643F35" w:rsidR="00495A9A" w:rsidRDefault="00495A9A" w:rsidP="00F008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</w:p>
    <w:p w14:paraId="04F30C2A" w14:textId="78D8AFA2" w:rsidR="00495A9A" w:rsidRDefault="00495A9A" w:rsidP="00F0080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ACLACRACIÓN No. </w:t>
      </w:r>
      <w:r w:rsidR="006B0240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46C7EEB" w14:textId="1F8FB174" w:rsidR="00A0097A" w:rsidRDefault="00F33C82" w:rsidP="00F0080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Sí debe de tener</w:t>
      </w:r>
      <w:r w:rsidR="001B10B9">
        <w:rPr>
          <w:rFonts w:ascii="Times New Roman" w:hAnsi="Times New Roman" w:cs="Times New Roman"/>
          <w:color w:val="0070C0"/>
          <w:sz w:val="24"/>
          <w:szCs w:val="24"/>
        </w:rPr>
        <w:t xml:space="preserve"> un mínimo de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7 años en Costa Rica, sin embargo si </w:t>
      </w:r>
      <w:r w:rsidR="001B10B9">
        <w:rPr>
          <w:rFonts w:ascii="Times New Roman" w:hAnsi="Times New Roman" w:cs="Times New Roman"/>
          <w:color w:val="0070C0"/>
          <w:sz w:val="24"/>
          <w:szCs w:val="24"/>
        </w:rPr>
        <w:t>demuestra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años de experiencia </w:t>
      </w:r>
      <w:r w:rsidR="001B10B9">
        <w:rPr>
          <w:rFonts w:ascii="Times New Roman" w:hAnsi="Times New Roman" w:cs="Times New Roman"/>
          <w:color w:val="0070C0"/>
          <w:sz w:val="24"/>
          <w:szCs w:val="24"/>
        </w:rPr>
        <w:t>adicionales en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otros países, estos años </w:t>
      </w:r>
      <w:r w:rsidR="001B10B9">
        <w:rPr>
          <w:rFonts w:ascii="Times New Roman" w:hAnsi="Times New Roman" w:cs="Times New Roman"/>
          <w:color w:val="0070C0"/>
          <w:sz w:val="24"/>
          <w:szCs w:val="24"/>
        </w:rPr>
        <w:t>se considerarán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dentro de la puntuación.</w:t>
      </w:r>
    </w:p>
    <w:p w14:paraId="5D1911A4" w14:textId="77777777" w:rsidR="00F33C82" w:rsidRDefault="00F33C82" w:rsidP="00F0080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E3157F7" w14:textId="66977306" w:rsidR="00F33C82" w:rsidRPr="00787CC0" w:rsidRDefault="00F33C82" w:rsidP="00F0080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Para cumplir con el criterio</w:t>
      </w:r>
      <w:r w:rsidR="004B2269">
        <w:rPr>
          <w:rFonts w:ascii="Times New Roman" w:hAnsi="Times New Roman" w:cs="Times New Roman"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“</w:t>
      </w:r>
      <w:r w:rsidRPr="00F33C82">
        <w:rPr>
          <w:rFonts w:ascii="Times New Roman" w:hAnsi="Times New Roman" w:cs="Times New Roman"/>
          <w:color w:val="0070C0"/>
          <w:sz w:val="24"/>
          <w:szCs w:val="24"/>
        </w:rPr>
        <w:t>Deseable 2 experiencias previas proporcionando acompañamiento técnico a actores locales y/o instituciones gubernamentales, en procesos de planificación relacionados con el desarrollo, la gestión del riesgo y/o el cambio climático en Costa Rica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”, </w:t>
      </w:r>
      <w:r w:rsidR="001B10B9">
        <w:rPr>
          <w:rFonts w:ascii="Times New Roman" w:hAnsi="Times New Roman" w:cs="Times New Roman"/>
          <w:color w:val="0070C0"/>
          <w:sz w:val="24"/>
          <w:szCs w:val="24"/>
        </w:rPr>
        <w:t xml:space="preserve">las experiencias </w:t>
      </w:r>
      <w:r>
        <w:rPr>
          <w:rFonts w:ascii="Times New Roman" w:hAnsi="Times New Roman" w:cs="Times New Roman"/>
          <w:color w:val="0070C0"/>
          <w:sz w:val="24"/>
          <w:szCs w:val="24"/>
        </w:rPr>
        <w:t>sí deben ser en Costa Rica. Sin embargo, es</w:t>
      </w:r>
      <w:r w:rsidR="001B10B9">
        <w:rPr>
          <w:rFonts w:ascii="Times New Roman" w:hAnsi="Times New Roman" w:cs="Times New Roman"/>
          <w:color w:val="0070C0"/>
          <w:sz w:val="24"/>
          <w:szCs w:val="24"/>
        </w:rPr>
        <w:t>te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un criterio “deseable” pero no obligatorio. Esto quiere decir que si </w:t>
      </w:r>
      <w:r w:rsidR="001B10B9">
        <w:rPr>
          <w:rFonts w:ascii="Times New Roman" w:hAnsi="Times New Roman" w:cs="Times New Roman"/>
          <w:color w:val="0070C0"/>
          <w:sz w:val="24"/>
          <w:szCs w:val="24"/>
        </w:rPr>
        <w:t xml:space="preserve">una persona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no cumple con este </w:t>
      </w:r>
      <w:r w:rsidR="001B10B9">
        <w:rPr>
          <w:rFonts w:ascii="Times New Roman" w:hAnsi="Times New Roman" w:cs="Times New Roman"/>
          <w:color w:val="0070C0"/>
          <w:sz w:val="24"/>
          <w:szCs w:val="24"/>
        </w:rPr>
        <w:t>criterio</w:t>
      </w:r>
      <w:r>
        <w:rPr>
          <w:rFonts w:ascii="Times New Roman" w:hAnsi="Times New Roman" w:cs="Times New Roman"/>
          <w:color w:val="0070C0"/>
          <w:sz w:val="24"/>
          <w:szCs w:val="24"/>
        </w:rPr>
        <w:t>, esto no lleva a</w:t>
      </w:r>
      <w:r w:rsidR="001B10B9">
        <w:rPr>
          <w:rFonts w:ascii="Times New Roman" w:hAnsi="Times New Roman" w:cs="Times New Roman"/>
          <w:color w:val="0070C0"/>
          <w:sz w:val="24"/>
          <w:szCs w:val="24"/>
        </w:rPr>
        <w:t xml:space="preserve"> que se descarte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el perfil, sino que únicamente no </w:t>
      </w:r>
      <w:r w:rsidR="00E478AE">
        <w:rPr>
          <w:rFonts w:ascii="Times New Roman" w:hAnsi="Times New Roman" w:cs="Times New Roman"/>
          <w:color w:val="0070C0"/>
          <w:sz w:val="24"/>
          <w:szCs w:val="24"/>
        </w:rPr>
        <w:t>suma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478AE">
        <w:rPr>
          <w:rFonts w:ascii="Times New Roman" w:hAnsi="Times New Roman" w:cs="Times New Roman"/>
          <w:color w:val="0070C0"/>
          <w:sz w:val="24"/>
          <w:szCs w:val="24"/>
        </w:rPr>
        <w:t>los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puntos </w:t>
      </w:r>
      <w:r w:rsidR="00E478AE">
        <w:rPr>
          <w:rFonts w:ascii="Times New Roman" w:hAnsi="Times New Roman" w:cs="Times New Roman"/>
          <w:color w:val="0070C0"/>
          <w:sz w:val="24"/>
          <w:szCs w:val="24"/>
        </w:rPr>
        <w:t>de ese criterio en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la evaluación.</w:t>
      </w:r>
    </w:p>
    <w:p w14:paraId="3CD9A746" w14:textId="29C8A949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04409748" w14:textId="77777777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3CF849DF" w14:textId="438FDB87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CC0">
        <w:rPr>
          <w:rFonts w:ascii="Times New Roman" w:hAnsi="Times New Roman" w:cs="Times New Roman"/>
          <w:b/>
          <w:sz w:val="24"/>
          <w:szCs w:val="24"/>
        </w:rPr>
        <w:t xml:space="preserve">PREGUNTA No.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1E80">
        <w:rPr>
          <w:rFonts w:ascii="Times New Roman" w:hAnsi="Times New Roman" w:cs="Times New Roman"/>
          <w:sz w:val="24"/>
          <w:szCs w:val="24"/>
        </w:rPr>
        <w:t>:</w:t>
      </w:r>
    </w:p>
    <w:p w14:paraId="1C36CA01" w14:textId="77777777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color w:val="2F5496"/>
          <w:sz w:val="14"/>
          <w:szCs w:val="14"/>
          <w:bdr w:val="none" w:sz="0" w:space="0" w:color="auto" w:frame="1"/>
          <w:lang w:val="es-ES"/>
        </w:rPr>
      </w:pPr>
    </w:p>
    <w:p w14:paraId="2811CED2" w14:textId="4AABD514" w:rsidR="00495A9A" w:rsidRPr="00495A9A" w:rsidRDefault="00495A9A" w:rsidP="00FE3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Respecto al perfil Especialista 2, ¿las 2 experiencias previas proporcionando acompañamiento técnico a actores locales y/o instituciones gubernamentales, en procesos de planificación relacionados con el desarrollo, la gestión del riesgo y/o el cambio climático deben ser en Costa Rica o puntuarían experiencias internacionales? ¿Cuánto puntúa este criterio?</w:t>
      </w:r>
      <w:r w:rsidR="00F33C82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 </w:t>
      </w:r>
    </w:p>
    <w:p w14:paraId="5962B8B9" w14:textId="77777777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</w:p>
    <w:p w14:paraId="6B8EFED0" w14:textId="77777777" w:rsidR="006B0240" w:rsidRDefault="00495A9A" w:rsidP="00495A9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ACLACRACIÓN No. </w:t>
      </w:r>
      <w:r w:rsidR="006B0240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7D452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E381D56" w14:textId="5F6973DE" w:rsidR="00495A9A" w:rsidRPr="00787CC0" w:rsidRDefault="007D452C" w:rsidP="00495A9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Las experiencias s</w:t>
      </w:r>
      <w:r w:rsidR="00F33C82">
        <w:rPr>
          <w:rFonts w:ascii="Times New Roman" w:hAnsi="Times New Roman" w:cs="Times New Roman"/>
          <w:color w:val="0070C0"/>
          <w:sz w:val="24"/>
          <w:szCs w:val="24"/>
        </w:rPr>
        <w:t xml:space="preserve">í deben ser en Costa Rica para obtener la puntuación. Sin embargo, no es necesario que sean experiencias concretas en la Provincia de Puntarenas, esto es recomendable más no obligatorio. </w:t>
      </w:r>
    </w:p>
    <w:p w14:paraId="12132A0B" w14:textId="10A9B5BF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09591323" w14:textId="77777777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393FE21C" w14:textId="3CA1607D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CC0">
        <w:rPr>
          <w:rFonts w:ascii="Times New Roman" w:hAnsi="Times New Roman" w:cs="Times New Roman"/>
          <w:b/>
          <w:sz w:val="24"/>
          <w:szCs w:val="24"/>
        </w:rPr>
        <w:t xml:space="preserve">PREGUNTA No.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1E80">
        <w:rPr>
          <w:rFonts w:ascii="Times New Roman" w:hAnsi="Times New Roman" w:cs="Times New Roman"/>
          <w:sz w:val="24"/>
          <w:szCs w:val="24"/>
        </w:rPr>
        <w:t>:</w:t>
      </w:r>
    </w:p>
    <w:p w14:paraId="62D20F15" w14:textId="77777777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color w:val="2F5496"/>
          <w:sz w:val="14"/>
          <w:szCs w:val="14"/>
          <w:bdr w:val="none" w:sz="0" w:space="0" w:color="auto" w:frame="1"/>
          <w:lang w:val="es-ES"/>
        </w:rPr>
      </w:pPr>
    </w:p>
    <w:p w14:paraId="2DF709B0" w14:textId="69E9BDD7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Solicitamos confirmen que el límite de 5 páginas estipulado para la propuesta técnica hace referencia únicamente al apartado B del Anexo 2.</w:t>
      </w:r>
    </w:p>
    <w:p w14:paraId="4724C1EA" w14:textId="77777777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</w:p>
    <w:p w14:paraId="54CF4F78" w14:textId="77777777" w:rsidR="006B0240" w:rsidRDefault="00495A9A" w:rsidP="00495A9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ACLACRACIÓN No. </w:t>
      </w:r>
      <w:r w:rsidR="006B0240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93B739C" w14:textId="700A4393" w:rsidR="00495A9A" w:rsidRPr="00A0097A" w:rsidRDefault="00A0097A" w:rsidP="00495A9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Confirmamos que el límite de 5 páginas únicamente hace referencia al apartado B (propuesta metodológica)</w:t>
      </w:r>
      <w:r w:rsidR="00F33C8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9AE289E" w14:textId="77777777" w:rsidR="00495A9A" w:rsidRP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678B5D8D" w14:textId="77777777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6890D777" w14:textId="267F35C0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CC0">
        <w:rPr>
          <w:rFonts w:ascii="Times New Roman" w:hAnsi="Times New Roman" w:cs="Times New Roman"/>
          <w:b/>
          <w:sz w:val="24"/>
          <w:szCs w:val="24"/>
        </w:rPr>
        <w:t xml:space="preserve">PREGUNTA No.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51E80">
        <w:rPr>
          <w:rFonts w:ascii="Times New Roman" w:hAnsi="Times New Roman" w:cs="Times New Roman"/>
          <w:sz w:val="24"/>
          <w:szCs w:val="24"/>
        </w:rPr>
        <w:t>:</w:t>
      </w:r>
    </w:p>
    <w:p w14:paraId="17A6E9FE" w14:textId="77777777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color w:val="2F5496"/>
          <w:sz w:val="14"/>
          <w:szCs w:val="14"/>
          <w:bdr w:val="none" w:sz="0" w:space="0" w:color="auto" w:frame="1"/>
          <w:lang w:val="es-ES"/>
        </w:rPr>
      </w:pPr>
    </w:p>
    <w:p w14:paraId="2992B46E" w14:textId="14B4B8F2" w:rsidR="00495A9A" w:rsidRDefault="00495A9A" w:rsidP="003535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¿Podrían indicar si las ofertas técnica y económica deben presentarse en un mismo archivo o en archivos independientes?</w:t>
      </w:r>
    </w:p>
    <w:p w14:paraId="7427D23C" w14:textId="77777777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</w:p>
    <w:p w14:paraId="391A6AC5" w14:textId="77777777" w:rsidR="006B0240" w:rsidRDefault="00495A9A" w:rsidP="00495A9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ACLACRACIÓN No. </w:t>
      </w:r>
      <w:r w:rsidR="006B0240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14:paraId="7C20B467" w14:textId="6ABC3423" w:rsidR="00495A9A" w:rsidRDefault="002B08B5" w:rsidP="00495A9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Preferiblemente presentar la oferta económica en un archivo separado</w:t>
      </w:r>
      <w:r w:rsidR="00353569">
        <w:rPr>
          <w:rFonts w:ascii="Times New Roman" w:hAnsi="Times New Roman" w:cs="Times New Roman"/>
          <w:color w:val="0070C0"/>
          <w:sz w:val="24"/>
          <w:szCs w:val="24"/>
        </w:rPr>
        <w:t>, completando el formato establecido, según los criterios solicitados</w:t>
      </w:r>
      <w:r w:rsidR="00A0097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0DB5C876" w14:textId="77777777" w:rsidR="00495A9A" w:rsidRP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4F6D314D" w14:textId="77777777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2B093888" w14:textId="2E5B12CF" w:rsidR="00495A9A" w:rsidRPr="00051E80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CC0">
        <w:rPr>
          <w:rFonts w:ascii="Times New Roman" w:hAnsi="Times New Roman" w:cs="Times New Roman"/>
          <w:b/>
          <w:sz w:val="24"/>
          <w:szCs w:val="24"/>
        </w:rPr>
        <w:t xml:space="preserve">PREGUNTA No. </w:t>
      </w:r>
      <w:r w:rsidR="006B0240">
        <w:rPr>
          <w:rFonts w:ascii="Times New Roman" w:hAnsi="Times New Roman" w:cs="Times New Roman"/>
          <w:b/>
          <w:sz w:val="24"/>
          <w:szCs w:val="24"/>
        </w:rPr>
        <w:t>6</w:t>
      </w:r>
      <w:r w:rsidRPr="00051E80">
        <w:rPr>
          <w:rFonts w:ascii="Times New Roman" w:hAnsi="Times New Roman" w:cs="Times New Roman"/>
          <w:sz w:val="24"/>
          <w:szCs w:val="24"/>
        </w:rPr>
        <w:t>:</w:t>
      </w:r>
    </w:p>
    <w:p w14:paraId="1BCA7FEB" w14:textId="77777777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color w:val="2F5496"/>
          <w:sz w:val="14"/>
          <w:szCs w:val="14"/>
          <w:bdr w:val="none" w:sz="0" w:space="0" w:color="auto" w:frame="1"/>
          <w:lang w:val="es-ES"/>
        </w:rPr>
      </w:pPr>
    </w:p>
    <w:p w14:paraId="2AA1F48D" w14:textId="09A98B89" w:rsidR="00495A9A" w:rsidRDefault="00495A9A" w:rsidP="003535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  <w:r w:rsidRPr="00495A9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 ¿Podrían informar sobre el presupuesto referencial de la consultoría o la dedicación total estimada para la ejecución del proyecto?</w:t>
      </w:r>
    </w:p>
    <w:p w14:paraId="0B09B305" w14:textId="77777777" w:rsidR="00495A9A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</w:p>
    <w:p w14:paraId="5BEC2320" w14:textId="0C621C21" w:rsidR="00495A9A" w:rsidRDefault="00495A9A" w:rsidP="007D452C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ACLACRACIÓN No. </w:t>
      </w:r>
      <w:r w:rsidR="006B0240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0097A">
        <w:rPr>
          <w:rFonts w:ascii="Times New Roman" w:hAnsi="Times New Roman" w:cs="Times New Roman"/>
          <w:color w:val="0070C0"/>
          <w:sz w:val="24"/>
          <w:szCs w:val="24"/>
        </w:rPr>
        <w:t>No es posible proporcionar un presupuesto referencial para esta consultoría</w:t>
      </w:r>
      <w:r w:rsidR="004103CD">
        <w:rPr>
          <w:rFonts w:ascii="Times New Roman" w:hAnsi="Times New Roman" w:cs="Times New Roman"/>
          <w:color w:val="0070C0"/>
          <w:sz w:val="24"/>
          <w:szCs w:val="24"/>
        </w:rPr>
        <w:t xml:space="preserve">. Con respecto a una </w:t>
      </w:r>
      <w:r w:rsidR="000458C8">
        <w:rPr>
          <w:rFonts w:ascii="Times New Roman" w:hAnsi="Times New Roman" w:cs="Times New Roman"/>
          <w:color w:val="0070C0"/>
          <w:sz w:val="24"/>
          <w:szCs w:val="24"/>
        </w:rPr>
        <w:t>estimación de la dedicación total</w:t>
      </w:r>
      <w:r w:rsidR="004103CD">
        <w:rPr>
          <w:rFonts w:ascii="Times New Roman" w:hAnsi="Times New Roman" w:cs="Times New Roman"/>
          <w:color w:val="0070C0"/>
          <w:sz w:val="24"/>
          <w:szCs w:val="24"/>
        </w:rPr>
        <w:t>, a modo de referencia se señala que se ha estimado una dedicación temporal equivalente a un tiempo completo para dos perfiles (especialista en adaptación y uno de los especialistas en planificación), mientras que para los demás perfiles se han contemplado contribuciones en actividades específicas</w:t>
      </w:r>
      <w:r w:rsidR="00A0097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4103CD">
        <w:rPr>
          <w:rFonts w:ascii="Times New Roman" w:hAnsi="Times New Roman" w:cs="Times New Roman"/>
          <w:color w:val="0070C0"/>
          <w:sz w:val="24"/>
          <w:szCs w:val="24"/>
        </w:rPr>
        <w:t xml:space="preserve"> No obstante, existe flexibilidad en torno a esta distribución.</w:t>
      </w:r>
      <w:r w:rsidR="000458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103CD">
        <w:rPr>
          <w:rFonts w:ascii="Times New Roman" w:hAnsi="Times New Roman" w:cs="Times New Roman"/>
          <w:color w:val="0070C0"/>
          <w:sz w:val="24"/>
          <w:szCs w:val="24"/>
        </w:rPr>
        <w:t>También</w:t>
      </w:r>
      <w:r w:rsidR="000458C8">
        <w:rPr>
          <w:rFonts w:ascii="Times New Roman" w:hAnsi="Times New Roman" w:cs="Times New Roman"/>
          <w:color w:val="0070C0"/>
          <w:sz w:val="24"/>
          <w:szCs w:val="24"/>
        </w:rPr>
        <w:t xml:space="preserve"> se señala que</w:t>
      </w:r>
      <w:r w:rsidR="00A009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D452C">
        <w:rPr>
          <w:rFonts w:ascii="Times New Roman" w:hAnsi="Times New Roman" w:cs="Times New Roman"/>
          <w:color w:val="0070C0"/>
          <w:sz w:val="24"/>
          <w:szCs w:val="24"/>
        </w:rPr>
        <w:t xml:space="preserve">las estimaciones </w:t>
      </w:r>
      <w:r w:rsidR="000458C8">
        <w:rPr>
          <w:rFonts w:ascii="Times New Roman" w:hAnsi="Times New Roman" w:cs="Times New Roman"/>
          <w:color w:val="0070C0"/>
          <w:sz w:val="24"/>
          <w:szCs w:val="24"/>
        </w:rPr>
        <w:t>de honorarios</w:t>
      </w:r>
      <w:r w:rsidR="007D452C">
        <w:rPr>
          <w:rFonts w:ascii="Times New Roman" w:hAnsi="Times New Roman" w:cs="Times New Roman"/>
          <w:color w:val="0070C0"/>
          <w:sz w:val="24"/>
          <w:szCs w:val="24"/>
        </w:rPr>
        <w:t xml:space="preserve"> se han realizado contemplando tarifas de consultores locales para todas las posiciones de esta licitación.</w:t>
      </w:r>
    </w:p>
    <w:p w14:paraId="5BB7D7AC" w14:textId="75115E78" w:rsidR="00495A9A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3662144F" w14:textId="77777777" w:rsidR="007D452C" w:rsidRPr="00051E80" w:rsidRDefault="007D452C" w:rsidP="00495A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FF8D5" w14:textId="77777777" w:rsidR="006B06DE" w:rsidRDefault="006B06D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D9C24B" w14:textId="18A7554C" w:rsidR="00495A9A" w:rsidRPr="00F33C82" w:rsidRDefault="00495A9A" w:rsidP="00495A9A">
      <w:pPr>
        <w:jc w:val="both"/>
        <w:rPr>
          <w:rFonts w:ascii="Times New Roman" w:hAnsi="Times New Roman" w:cs="Times New Roman"/>
          <w:sz w:val="24"/>
          <w:szCs w:val="24"/>
        </w:rPr>
      </w:pPr>
      <w:r w:rsidRPr="00F33C82">
        <w:rPr>
          <w:rFonts w:ascii="Times New Roman" w:hAnsi="Times New Roman" w:cs="Times New Roman"/>
          <w:b/>
          <w:sz w:val="24"/>
          <w:szCs w:val="24"/>
        </w:rPr>
        <w:t xml:space="preserve">PREGUNTA No. </w:t>
      </w:r>
      <w:r w:rsidR="006B0240">
        <w:rPr>
          <w:rFonts w:ascii="Times New Roman" w:hAnsi="Times New Roman" w:cs="Times New Roman"/>
          <w:b/>
          <w:sz w:val="24"/>
          <w:szCs w:val="24"/>
        </w:rPr>
        <w:t>7</w:t>
      </w:r>
      <w:r w:rsidRPr="00F33C82">
        <w:rPr>
          <w:rFonts w:ascii="Times New Roman" w:hAnsi="Times New Roman" w:cs="Times New Roman"/>
          <w:sz w:val="24"/>
          <w:szCs w:val="24"/>
        </w:rPr>
        <w:t>:</w:t>
      </w:r>
    </w:p>
    <w:p w14:paraId="5AFF84CC" w14:textId="77777777" w:rsidR="00495A9A" w:rsidRPr="00F33C82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color w:val="2F5496"/>
          <w:sz w:val="14"/>
          <w:szCs w:val="14"/>
          <w:bdr w:val="none" w:sz="0" w:space="0" w:color="auto" w:frame="1"/>
          <w:lang w:val="es-ES"/>
        </w:rPr>
      </w:pPr>
    </w:p>
    <w:p w14:paraId="7EE8DF13" w14:textId="20C108CE" w:rsidR="00495A9A" w:rsidRPr="00F33C82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  <w:r w:rsidRPr="00F33C82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Cuál es la empresa responsable del contrato?</w:t>
      </w:r>
    </w:p>
    <w:p w14:paraId="15673806" w14:textId="77777777" w:rsidR="00495A9A" w:rsidRPr="00F33C82" w:rsidRDefault="00495A9A" w:rsidP="00495A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</w:p>
    <w:p w14:paraId="46807B48" w14:textId="77777777" w:rsidR="0026191B" w:rsidRDefault="00495A9A" w:rsidP="006B024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3C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ACLACRACIÓN No. </w:t>
      </w:r>
      <w:r w:rsidR="006B0240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F33C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555E9DCE" w14:textId="4C2F1D36" w:rsidR="006B0240" w:rsidRDefault="00A0097A" w:rsidP="006B024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3C82">
        <w:rPr>
          <w:rFonts w:ascii="Times New Roman" w:hAnsi="Times New Roman" w:cs="Times New Roman"/>
          <w:color w:val="0070C0"/>
          <w:sz w:val="24"/>
          <w:szCs w:val="24"/>
        </w:rPr>
        <w:t xml:space="preserve">El contrato se genera desde el Programa de Naciones Unidas para el Desarrollo, en representación del Programa de Naciones Unidas para el Medio Ambiente. </w:t>
      </w:r>
    </w:p>
    <w:p w14:paraId="7BDC9715" w14:textId="01A295EF" w:rsidR="002F57F8" w:rsidRPr="006B0240" w:rsidRDefault="00A90A56" w:rsidP="006B0240">
      <w:pPr>
        <w:pBdr>
          <w:bottom w:val="single" w:sz="6" w:space="1" w:color="auto"/>
        </w:pBdr>
        <w:jc w:val="both"/>
      </w:pPr>
      <w:r w:rsidRPr="00F33C82">
        <w:rPr>
          <w:color w:val="2F5496"/>
          <w:sz w:val="14"/>
          <w:szCs w:val="14"/>
          <w:bdr w:val="none" w:sz="0" w:space="0" w:color="auto" w:frame="1"/>
          <w:lang w:val="es-ES"/>
        </w:rPr>
        <w:t>        </w:t>
      </w:r>
    </w:p>
    <w:p w14:paraId="1D3B8EDD" w14:textId="7F1FDDBA" w:rsidR="00E1011D" w:rsidRPr="00051E80" w:rsidRDefault="00E1011D" w:rsidP="00E1011D">
      <w:pPr>
        <w:jc w:val="both"/>
        <w:rPr>
          <w:rFonts w:ascii="Times New Roman" w:hAnsi="Times New Roman" w:cs="Times New Roman"/>
          <w:sz w:val="24"/>
          <w:szCs w:val="24"/>
        </w:rPr>
      </w:pPr>
      <w:r w:rsidRPr="00F33C82">
        <w:rPr>
          <w:rFonts w:ascii="Times New Roman" w:hAnsi="Times New Roman" w:cs="Times New Roman"/>
          <w:b/>
          <w:sz w:val="24"/>
          <w:szCs w:val="24"/>
        </w:rPr>
        <w:t xml:space="preserve">PREGUNTA No. </w:t>
      </w:r>
      <w:r w:rsidR="006B0240">
        <w:rPr>
          <w:rFonts w:ascii="Times New Roman" w:hAnsi="Times New Roman" w:cs="Times New Roman"/>
          <w:b/>
          <w:sz w:val="24"/>
          <w:szCs w:val="24"/>
        </w:rPr>
        <w:t>8</w:t>
      </w:r>
      <w:r w:rsidRPr="00F33C82">
        <w:rPr>
          <w:rFonts w:ascii="Times New Roman" w:hAnsi="Times New Roman" w:cs="Times New Roman"/>
          <w:sz w:val="24"/>
          <w:szCs w:val="24"/>
        </w:rPr>
        <w:t>:</w:t>
      </w:r>
    </w:p>
    <w:p w14:paraId="10E468E3" w14:textId="77777777" w:rsidR="00E1011D" w:rsidRDefault="00E1011D" w:rsidP="00E1011D">
      <w:pPr>
        <w:pStyle w:val="NormalWeb"/>
        <w:shd w:val="clear" w:color="auto" w:fill="FFFFFF"/>
        <w:spacing w:before="0" w:beforeAutospacing="0" w:after="0" w:afterAutospacing="0"/>
        <w:rPr>
          <w:color w:val="2F5496"/>
          <w:sz w:val="14"/>
          <w:szCs w:val="14"/>
          <w:bdr w:val="none" w:sz="0" w:space="0" w:color="auto" w:frame="1"/>
          <w:lang w:val="es-ES"/>
        </w:rPr>
      </w:pPr>
    </w:p>
    <w:p w14:paraId="49489592" w14:textId="77777777" w:rsidR="00E1011D" w:rsidRPr="00E1011D" w:rsidRDefault="00E1011D" w:rsidP="00E101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0"/>
          <w:szCs w:val="20"/>
        </w:rPr>
      </w:pPr>
      <w:r w:rsidRPr="00E1011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¿Es posible conjuntar experiencia de empresas distintas y hacer consorcio definiendo cuál es la empresa responsable del contrato?</w:t>
      </w:r>
    </w:p>
    <w:p w14:paraId="69623056" w14:textId="77777777" w:rsidR="00E1011D" w:rsidRPr="00E1011D" w:rsidRDefault="00E1011D" w:rsidP="00E101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01814061" w14:textId="77777777" w:rsidR="006B0240" w:rsidRDefault="00E1011D" w:rsidP="00051E8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ACLACRACIÓN No. </w:t>
      </w:r>
      <w:r w:rsidR="006B0240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787CC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14:paraId="331E28A2" w14:textId="74AD9E67" w:rsidR="002A27A1" w:rsidRPr="00BB0631" w:rsidRDefault="002A27A1" w:rsidP="00C977D9">
      <w:pPr>
        <w:jc w:val="both"/>
        <w:rPr>
          <w:rFonts w:cstheme="minorHAnsi"/>
          <w:color w:val="4472C4" w:themeColor="accent1"/>
        </w:rPr>
      </w:pPr>
      <w:r w:rsidRPr="00BB0631">
        <w:rPr>
          <w:rFonts w:cstheme="minorHAnsi"/>
          <w:color w:val="4472C4" w:themeColor="accent1"/>
        </w:rPr>
        <w:t xml:space="preserve">Si el oferente es un grupo de entidades legales que formarán o han formado un </w:t>
      </w:r>
      <w:proofErr w:type="spellStart"/>
      <w:r w:rsidRPr="00BB0631">
        <w:rPr>
          <w:rFonts w:cstheme="minorHAnsi"/>
          <w:color w:val="4472C4" w:themeColor="accent1"/>
        </w:rPr>
        <w:t>Joint</w:t>
      </w:r>
      <w:proofErr w:type="spellEnd"/>
      <w:r w:rsidRPr="00BB0631">
        <w:rPr>
          <w:rFonts w:cstheme="minorHAnsi"/>
          <w:color w:val="4472C4" w:themeColor="accent1"/>
        </w:rPr>
        <w:t xml:space="preserve"> Venture (JV), Consorcio o Asociación para la oferta, deberán confirmar en su Oferta que: (i) han designado a una de las partes para actuar como líder entidad, debidamente autorizada para vincular legalmente a los miembros de la JV, Consorcio o Asociación de manera conjunta y solidaria, lo que deberá constar mediante Acuerdo debidamente notariado entre las personas jurídicas, y presentado con la Oferta; y (</w:t>
      </w:r>
      <w:proofErr w:type="spellStart"/>
      <w:r w:rsidRPr="00BB0631">
        <w:rPr>
          <w:rFonts w:cstheme="minorHAnsi"/>
          <w:color w:val="4472C4" w:themeColor="accent1"/>
        </w:rPr>
        <w:t>ii</w:t>
      </w:r>
      <w:proofErr w:type="spellEnd"/>
      <w:r w:rsidRPr="00BB0631">
        <w:rPr>
          <w:rFonts w:cstheme="minorHAnsi"/>
          <w:color w:val="4472C4" w:themeColor="accent1"/>
        </w:rPr>
        <w:t>) si se les adjudica el contrato, el contrato será celebrado por y entre el PNUD y la entidad líder designada, quien actuará en nombre y representación de todas las entidades miembros que componen la empresa conjunta, Consorcio o Asociación.</w:t>
      </w:r>
    </w:p>
    <w:p w14:paraId="43A2DB17" w14:textId="77777777" w:rsidR="00E137B4" w:rsidRPr="00BB0631" w:rsidRDefault="00E137B4" w:rsidP="00C977D9">
      <w:pPr>
        <w:jc w:val="both"/>
        <w:rPr>
          <w:rFonts w:cstheme="minorHAnsi"/>
          <w:color w:val="4472C4" w:themeColor="accent1"/>
        </w:rPr>
      </w:pPr>
    </w:p>
    <w:p w14:paraId="27098DB8" w14:textId="527B0B14" w:rsidR="002A27A1" w:rsidRPr="00BB0631" w:rsidRDefault="00C279B2" w:rsidP="00C977D9">
      <w:pPr>
        <w:jc w:val="both"/>
        <w:rPr>
          <w:rFonts w:asciiTheme="minorHAnsi" w:hAnsiTheme="minorHAnsi" w:cstheme="minorHAnsi"/>
          <w:color w:val="4472C4" w:themeColor="accent1"/>
        </w:rPr>
      </w:pPr>
      <w:r w:rsidRPr="00BB0631">
        <w:rPr>
          <w:rFonts w:asciiTheme="minorHAnsi" w:hAnsiTheme="minorHAnsi" w:cstheme="minorHAnsi"/>
          <w:color w:val="4472C4" w:themeColor="accent1"/>
        </w:rPr>
        <w:t>S</w:t>
      </w:r>
      <w:r w:rsidR="00A90897" w:rsidRPr="00BB0631">
        <w:rPr>
          <w:rFonts w:asciiTheme="minorHAnsi" w:hAnsiTheme="minorHAnsi" w:cstheme="minorHAnsi"/>
          <w:color w:val="4472C4" w:themeColor="accent1"/>
        </w:rPr>
        <w:t xml:space="preserve">e </w:t>
      </w:r>
      <w:r w:rsidRPr="00BB0631">
        <w:rPr>
          <w:rFonts w:asciiTheme="minorHAnsi" w:hAnsiTheme="minorHAnsi" w:cstheme="minorHAnsi"/>
          <w:color w:val="4472C4" w:themeColor="accent1"/>
        </w:rPr>
        <w:t xml:space="preserve">debe </w:t>
      </w:r>
      <w:r w:rsidR="00A90897" w:rsidRPr="00BB0631">
        <w:rPr>
          <w:rFonts w:asciiTheme="minorHAnsi" w:hAnsiTheme="minorHAnsi" w:cstheme="minorHAnsi"/>
          <w:color w:val="4472C4" w:themeColor="accent1"/>
        </w:rPr>
        <w:t>proporcion</w:t>
      </w:r>
      <w:r w:rsidRPr="00BB0631">
        <w:rPr>
          <w:rFonts w:asciiTheme="minorHAnsi" w:hAnsiTheme="minorHAnsi" w:cstheme="minorHAnsi"/>
          <w:color w:val="4472C4" w:themeColor="accent1"/>
        </w:rPr>
        <w:t>ar</w:t>
      </w:r>
      <w:r w:rsidR="00A90897" w:rsidRPr="00BB0631">
        <w:rPr>
          <w:rFonts w:asciiTheme="minorHAnsi" w:hAnsiTheme="minorHAnsi" w:cstheme="minorHAnsi"/>
          <w:color w:val="4472C4" w:themeColor="accent1"/>
        </w:rPr>
        <w:t xml:space="preserve"> la siguiente información sobre ambas empresas:</w:t>
      </w:r>
    </w:p>
    <w:p w14:paraId="2A863B08" w14:textId="77777777" w:rsidR="00C279B2" w:rsidRPr="00BB0631" w:rsidRDefault="00C279B2" w:rsidP="00C977D9">
      <w:pPr>
        <w:pStyle w:val="Prrafodelista"/>
        <w:numPr>
          <w:ilvl w:val="0"/>
          <w:numId w:val="12"/>
        </w:numPr>
        <w:ind w:left="1010"/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BB0631">
        <w:rPr>
          <w:rFonts w:asciiTheme="minorHAnsi" w:hAnsiTheme="minorHAnsi" w:cstheme="minorHAnsi"/>
          <w:color w:val="4472C4" w:themeColor="accent1"/>
          <w:sz w:val="22"/>
          <w:szCs w:val="22"/>
        </w:rPr>
        <w:t>certificado de registro mercantil más reciente</w:t>
      </w:r>
    </w:p>
    <w:p w14:paraId="7A935F32" w14:textId="77777777" w:rsidR="00C279B2" w:rsidRPr="00BB0631" w:rsidRDefault="00C279B2" w:rsidP="00C977D9">
      <w:pPr>
        <w:pStyle w:val="Prrafodelista"/>
        <w:numPr>
          <w:ilvl w:val="0"/>
          <w:numId w:val="12"/>
        </w:numPr>
        <w:ind w:left="1010"/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BB0631">
        <w:rPr>
          <w:rFonts w:asciiTheme="minorHAnsi" w:hAnsiTheme="minorHAnsi" w:cstheme="minorHAnsi"/>
          <w:color w:val="4472C4" w:themeColor="accent1"/>
          <w:sz w:val="22"/>
          <w:szCs w:val="22"/>
        </w:rPr>
        <w:t>certificado de impuestos internos/</w:t>
      </w:r>
      <w:proofErr w:type="spellStart"/>
      <w:r w:rsidRPr="00BB0631">
        <w:rPr>
          <w:rFonts w:asciiTheme="minorHAnsi" w:hAnsiTheme="minorHAnsi" w:cstheme="minorHAnsi"/>
          <w:color w:val="4472C4" w:themeColor="accent1"/>
          <w:sz w:val="22"/>
          <w:szCs w:val="22"/>
        </w:rPr>
        <w:t>excención</w:t>
      </w:r>
      <w:proofErr w:type="spellEnd"/>
      <w:r w:rsidRPr="00BB063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de tasas más reciente</w:t>
      </w:r>
    </w:p>
    <w:p w14:paraId="02B7F156" w14:textId="77777777" w:rsidR="00C279B2" w:rsidRPr="00BB0631" w:rsidRDefault="00C279B2" w:rsidP="00C977D9">
      <w:pPr>
        <w:pStyle w:val="Prrafodelista"/>
        <w:numPr>
          <w:ilvl w:val="0"/>
          <w:numId w:val="12"/>
        </w:numPr>
        <w:ind w:left="1010"/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BB0631">
        <w:rPr>
          <w:rFonts w:asciiTheme="minorHAnsi" w:hAnsiTheme="minorHAnsi" w:cstheme="minorHAnsi"/>
          <w:color w:val="4472C4" w:themeColor="accent1"/>
          <w:sz w:val="22"/>
          <w:szCs w:val="22"/>
        </w:rPr>
        <w:t>certificado de estar al día con el pago de la seguridad social del país</w:t>
      </w:r>
    </w:p>
    <w:p w14:paraId="0BAA5A18" w14:textId="77DC8DCB" w:rsidR="00C279B2" w:rsidRPr="00BB0631" w:rsidRDefault="00C279B2" w:rsidP="00C977D9">
      <w:pPr>
        <w:pStyle w:val="Prrafodelista"/>
        <w:numPr>
          <w:ilvl w:val="0"/>
          <w:numId w:val="12"/>
        </w:numPr>
        <w:ind w:left="1010"/>
        <w:jc w:val="both"/>
        <w:rPr>
          <w:rFonts w:asciiTheme="minorHAnsi" w:hAnsiTheme="minorHAnsi" w:cstheme="minorHAnsi"/>
          <w:color w:val="4472C4" w:themeColor="accent1"/>
          <w:sz w:val="22"/>
          <w:szCs w:val="22"/>
          <w:lang w:val="es-CR"/>
        </w:rPr>
      </w:pPr>
      <w:r w:rsidRPr="00BB0631">
        <w:rPr>
          <w:rFonts w:asciiTheme="minorHAnsi" w:hAnsiTheme="minorHAnsi" w:cstheme="minorHAnsi"/>
          <w:color w:val="4472C4" w:themeColor="accent1"/>
          <w:sz w:val="22"/>
          <w:szCs w:val="22"/>
          <w:lang w:val="es-CR"/>
        </w:rPr>
        <w:t>autodeclaración jurada que consigne no estar afectado en forma directa o indirecta por intereses contrapuestos a los de las agencias ONU) para ambas empresas</w:t>
      </w:r>
    </w:p>
    <w:p w14:paraId="02296D1E" w14:textId="2D44C2BA" w:rsidR="002658AD" w:rsidRPr="002658AD" w:rsidRDefault="002658AD" w:rsidP="00710C79">
      <w:pPr>
        <w:spacing w:before="100" w:beforeAutospacing="1" w:after="100" w:afterAutospacing="1"/>
        <w:jc w:val="both"/>
        <w:rPr>
          <w:rFonts w:cstheme="minorHAnsi"/>
          <w:color w:val="4472C4" w:themeColor="accent1"/>
        </w:rPr>
      </w:pPr>
      <w:r w:rsidRPr="002658AD">
        <w:rPr>
          <w:rFonts w:cstheme="minorHAnsi"/>
          <w:color w:val="4472C4" w:themeColor="accent1"/>
        </w:rPr>
        <w:t>Una vez que la Oferta haya sido presentada al PNUD, la entidad líder designada para representar a la empresa mixta no podrá cambiar sin el consentimiento escrito previo del PNUD. Además, ni la entidad líder ni las entidades asociadas de la empresa mixta podrán:</w:t>
      </w:r>
    </w:p>
    <w:p w14:paraId="0A4BB7E5" w14:textId="77777777" w:rsidR="002658AD" w:rsidRPr="002658AD" w:rsidRDefault="002658AD" w:rsidP="005704BA">
      <w:pPr>
        <w:spacing w:before="100" w:beforeAutospacing="1" w:after="100" w:afterAutospacing="1"/>
        <w:ind w:left="708"/>
        <w:jc w:val="both"/>
        <w:rPr>
          <w:rFonts w:cstheme="minorHAnsi"/>
          <w:color w:val="4472C4" w:themeColor="accent1"/>
        </w:rPr>
      </w:pPr>
      <w:r w:rsidRPr="002658AD">
        <w:rPr>
          <w:rFonts w:cstheme="minorHAnsi"/>
          <w:color w:val="4472C4" w:themeColor="accent1"/>
        </w:rPr>
        <w:t>a. presentar una nueva Oferta, ni en representación propia ni</w:t>
      </w:r>
    </w:p>
    <w:p w14:paraId="15DA952D" w14:textId="77777777" w:rsidR="002658AD" w:rsidRPr="002658AD" w:rsidRDefault="002658AD" w:rsidP="005704BA">
      <w:pPr>
        <w:spacing w:before="100" w:beforeAutospacing="1" w:after="100" w:afterAutospacing="1"/>
        <w:ind w:left="708"/>
        <w:jc w:val="both"/>
        <w:rPr>
          <w:rFonts w:cstheme="minorHAnsi"/>
          <w:color w:val="4472C4" w:themeColor="accent1"/>
        </w:rPr>
      </w:pPr>
      <w:r w:rsidRPr="002658AD">
        <w:rPr>
          <w:rFonts w:cstheme="minorHAnsi"/>
          <w:color w:val="4472C4" w:themeColor="accent1"/>
        </w:rPr>
        <w:t>b. como entidad líder o entidad asociada de otra empresa mixta que presente otra Oferta.</w:t>
      </w:r>
    </w:p>
    <w:p w14:paraId="7D99A6AB" w14:textId="3829903F" w:rsidR="002658AD" w:rsidRPr="002658AD" w:rsidRDefault="002658AD" w:rsidP="00710C79">
      <w:pPr>
        <w:spacing w:before="100" w:beforeAutospacing="1" w:after="100" w:afterAutospacing="1"/>
        <w:jc w:val="both"/>
        <w:rPr>
          <w:rFonts w:cstheme="minorHAnsi"/>
          <w:color w:val="4472C4" w:themeColor="accent1"/>
        </w:rPr>
      </w:pPr>
      <w:r w:rsidRPr="002658AD">
        <w:rPr>
          <w:rFonts w:cstheme="minorHAnsi"/>
          <w:color w:val="4472C4" w:themeColor="accent1"/>
        </w:rPr>
        <w:t>La descripción de la organización de la empresa mixta, el consorcio o la asociación deberá definir con claridad la función que se espera de cada una de las entidades de la empresa mixta en el cumplimiento de los requisitos de la RFQ/ITB/RFP, tanto en la Oferta como en el Acuerdo de Empresa Mixta. Todas las entidades que forman la empresa mixta estarán sujetas a la evaluación de elegibilidad y calificación por parte del PNUD.</w:t>
      </w:r>
    </w:p>
    <w:p w14:paraId="0A9BDC15" w14:textId="35116282" w:rsidR="002658AD" w:rsidRPr="002658AD" w:rsidRDefault="002658AD" w:rsidP="00710C79">
      <w:pPr>
        <w:spacing w:before="100" w:beforeAutospacing="1" w:after="100" w:afterAutospacing="1"/>
        <w:jc w:val="both"/>
        <w:rPr>
          <w:rFonts w:cstheme="minorHAnsi"/>
          <w:color w:val="4472C4" w:themeColor="accent1"/>
        </w:rPr>
      </w:pPr>
      <w:r w:rsidRPr="002658AD">
        <w:rPr>
          <w:rFonts w:cstheme="minorHAnsi"/>
          <w:color w:val="4472C4" w:themeColor="accent1"/>
        </w:rPr>
        <w:t>Cuando una empresa mixta presente su trayectoria y experiencia en compromisos similares a los que exige la RFQ/ITB/RFP, deberá presentar dicha información de la siguiente manera:</w:t>
      </w:r>
    </w:p>
    <w:p w14:paraId="1856C75B" w14:textId="77777777" w:rsidR="002658AD" w:rsidRPr="002658AD" w:rsidRDefault="002658AD" w:rsidP="005704BA">
      <w:pPr>
        <w:spacing w:before="100" w:beforeAutospacing="1" w:after="100" w:afterAutospacing="1"/>
        <w:ind w:left="708"/>
        <w:jc w:val="both"/>
        <w:rPr>
          <w:rFonts w:cstheme="minorHAnsi"/>
          <w:color w:val="4472C4" w:themeColor="accent1"/>
        </w:rPr>
      </w:pPr>
      <w:r w:rsidRPr="002658AD">
        <w:rPr>
          <w:rFonts w:cstheme="minorHAnsi"/>
          <w:color w:val="4472C4" w:themeColor="accent1"/>
        </w:rPr>
        <w:t>a. los compromisos que hayan sido asumidos conjuntamente por la empresa mixta; y</w:t>
      </w:r>
    </w:p>
    <w:p w14:paraId="542AAA9A" w14:textId="77777777" w:rsidR="002658AD" w:rsidRPr="002658AD" w:rsidRDefault="002658AD" w:rsidP="005704BA">
      <w:pPr>
        <w:spacing w:before="100" w:beforeAutospacing="1" w:after="100" w:afterAutospacing="1"/>
        <w:ind w:left="708"/>
        <w:jc w:val="both"/>
        <w:rPr>
          <w:rFonts w:cstheme="minorHAnsi"/>
          <w:color w:val="4472C4" w:themeColor="accent1"/>
        </w:rPr>
      </w:pPr>
      <w:r w:rsidRPr="002658AD">
        <w:rPr>
          <w:rFonts w:cstheme="minorHAnsi"/>
          <w:color w:val="4472C4" w:themeColor="accent1"/>
        </w:rPr>
        <w:t>b. los que hayan sido asumidos por las entidades individuales de la empresa mixta que se supone que participen en la ejecución de los requisitos definidos en la RFQ/ITB/RFP.</w:t>
      </w:r>
    </w:p>
    <w:p w14:paraId="03DFA6CC" w14:textId="3307C45B" w:rsidR="002658AD" w:rsidRPr="002658AD" w:rsidRDefault="002658AD" w:rsidP="00710C79">
      <w:pPr>
        <w:spacing w:before="100" w:beforeAutospacing="1" w:after="100" w:afterAutospacing="1"/>
        <w:jc w:val="both"/>
        <w:rPr>
          <w:rFonts w:cstheme="minorHAnsi"/>
          <w:color w:val="4472C4" w:themeColor="accent1"/>
        </w:rPr>
      </w:pPr>
      <w:r w:rsidRPr="002658AD">
        <w:rPr>
          <w:rFonts w:cstheme="minorHAnsi"/>
          <w:color w:val="4472C4" w:themeColor="accent1"/>
        </w:rPr>
        <w:t>Los contratos anteriores suscritos por expertos individuales independientes que estén asociados de forma permanente o hayan estado asociados de forma temporal con cualquiera de las empresas asociadas no podrán ser presentados como experiencia de la empresa mixta o de sus asociadas, y únicamente podrán reivindicarlos los expertos individuales mismos en la presentación de sus credenciales individuales.</w:t>
      </w:r>
    </w:p>
    <w:p w14:paraId="683253CF" w14:textId="26CC9C12" w:rsidR="002658AD" w:rsidRPr="002658AD" w:rsidRDefault="002658AD" w:rsidP="00B03947">
      <w:pPr>
        <w:jc w:val="both"/>
        <w:rPr>
          <w:rFonts w:cstheme="minorHAnsi"/>
          <w:color w:val="4472C4" w:themeColor="accent1"/>
        </w:rPr>
      </w:pPr>
      <w:r w:rsidRPr="002658AD">
        <w:rPr>
          <w:rFonts w:cstheme="minorHAnsi"/>
          <w:color w:val="4472C4" w:themeColor="accent1"/>
        </w:rPr>
        <w:t>Si la Oferta de una empresa mixta es considerada por el PNUD como la que mejor cumple con todos los requisitos exigidos y la que ofrece la mejor relación entre calidad y precio, el PNUD</w:t>
      </w:r>
      <w:r w:rsidR="00933BC9" w:rsidRPr="00AD68C6">
        <w:rPr>
          <w:rFonts w:cstheme="minorHAnsi"/>
          <w:color w:val="4472C4" w:themeColor="accent1"/>
        </w:rPr>
        <w:t xml:space="preserve"> </w:t>
      </w:r>
      <w:r w:rsidRPr="002658AD">
        <w:rPr>
          <w:rFonts w:cstheme="minorHAnsi"/>
          <w:color w:val="4472C4" w:themeColor="accent1"/>
        </w:rPr>
        <w:t>adjudicará el contrato a la empresa mixta, a nombre de su entidad líder designada, quien deberá firmar el contrato para todas las entidades asociadas y en nombre de estas.</w:t>
      </w:r>
    </w:p>
    <w:p w14:paraId="769DA696" w14:textId="77777777" w:rsidR="002658AD" w:rsidRPr="00710C79" w:rsidRDefault="002658AD" w:rsidP="00C977D9">
      <w:pPr>
        <w:jc w:val="both"/>
        <w:rPr>
          <w:rFonts w:cstheme="minorHAnsi"/>
        </w:rPr>
      </w:pPr>
    </w:p>
    <w:p w14:paraId="565E252A" w14:textId="77777777" w:rsidR="00051E80" w:rsidRPr="00051E80" w:rsidRDefault="00051E80" w:rsidP="00051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--------------------------------ULTIMA LINEA---------------------------</w:t>
      </w:r>
    </w:p>
    <w:sectPr w:rsidR="00051E80" w:rsidRPr="00051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25F"/>
    <w:multiLevelType w:val="hybridMultilevel"/>
    <w:tmpl w:val="4E5EC170"/>
    <w:lvl w:ilvl="0" w:tplc="A59E41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FAE"/>
    <w:multiLevelType w:val="hybridMultilevel"/>
    <w:tmpl w:val="3D068EF0"/>
    <w:lvl w:ilvl="0" w:tplc="1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D773E84"/>
    <w:multiLevelType w:val="hybridMultilevel"/>
    <w:tmpl w:val="19EA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B2C"/>
    <w:multiLevelType w:val="multilevel"/>
    <w:tmpl w:val="C89A7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E45B3"/>
    <w:multiLevelType w:val="hybridMultilevel"/>
    <w:tmpl w:val="56E2B6A2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E914E8"/>
    <w:multiLevelType w:val="hybridMultilevel"/>
    <w:tmpl w:val="8D52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2E30CA"/>
    <w:multiLevelType w:val="hybridMultilevel"/>
    <w:tmpl w:val="FFDC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C64B2"/>
    <w:multiLevelType w:val="hybridMultilevel"/>
    <w:tmpl w:val="116E2C14"/>
    <w:lvl w:ilvl="0" w:tplc="B8DAF7A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C1432"/>
    <w:multiLevelType w:val="hybridMultilevel"/>
    <w:tmpl w:val="EC66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829C2"/>
    <w:multiLevelType w:val="hybridMultilevel"/>
    <w:tmpl w:val="4D54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16DE"/>
    <w:multiLevelType w:val="hybridMultilevel"/>
    <w:tmpl w:val="03E2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5C39"/>
    <w:multiLevelType w:val="multilevel"/>
    <w:tmpl w:val="6EDA0FA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80"/>
    <w:rsid w:val="000458C8"/>
    <w:rsid w:val="00051E80"/>
    <w:rsid w:val="0005695A"/>
    <w:rsid w:val="000A47B5"/>
    <w:rsid w:val="000C201E"/>
    <w:rsid w:val="00104E29"/>
    <w:rsid w:val="001A6503"/>
    <w:rsid w:val="001B10B9"/>
    <w:rsid w:val="00226784"/>
    <w:rsid w:val="00232116"/>
    <w:rsid w:val="0026191B"/>
    <w:rsid w:val="002658AD"/>
    <w:rsid w:val="00272CA0"/>
    <w:rsid w:val="002A27A1"/>
    <w:rsid w:val="002B08B5"/>
    <w:rsid w:val="002F57F8"/>
    <w:rsid w:val="00353569"/>
    <w:rsid w:val="00381C64"/>
    <w:rsid w:val="003B7C11"/>
    <w:rsid w:val="003F0A06"/>
    <w:rsid w:val="004103CD"/>
    <w:rsid w:val="00444B36"/>
    <w:rsid w:val="00463409"/>
    <w:rsid w:val="00495A9A"/>
    <w:rsid w:val="004B2269"/>
    <w:rsid w:val="004F31C2"/>
    <w:rsid w:val="005704BA"/>
    <w:rsid w:val="005A7D52"/>
    <w:rsid w:val="005B2F37"/>
    <w:rsid w:val="005E0428"/>
    <w:rsid w:val="00632F14"/>
    <w:rsid w:val="00641C80"/>
    <w:rsid w:val="006B0240"/>
    <w:rsid w:val="006B06DE"/>
    <w:rsid w:val="006D53AA"/>
    <w:rsid w:val="00710C79"/>
    <w:rsid w:val="00730428"/>
    <w:rsid w:val="0075401B"/>
    <w:rsid w:val="00787CC0"/>
    <w:rsid w:val="007D452C"/>
    <w:rsid w:val="0082595D"/>
    <w:rsid w:val="008641B9"/>
    <w:rsid w:val="00880E05"/>
    <w:rsid w:val="00887D9F"/>
    <w:rsid w:val="008A758A"/>
    <w:rsid w:val="008D24F5"/>
    <w:rsid w:val="0092628C"/>
    <w:rsid w:val="00933BC9"/>
    <w:rsid w:val="00941135"/>
    <w:rsid w:val="009561D2"/>
    <w:rsid w:val="009A0730"/>
    <w:rsid w:val="009B661B"/>
    <w:rsid w:val="009C04E4"/>
    <w:rsid w:val="00A0097A"/>
    <w:rsid w:val="00A1206B"/>
    <w:rsid w:val="00A20ECF"/>
    <w:rsid w:val="00A329F6"/>
    <w:rsid w:val="00A34132"/>
    <w:rsid w:val="00A6398D"/>
    <w:rsid w:val="00A90897"/>
    <w:rsid w:val="00A90A56"/>
    <w:rsid w:val="00AD68C6"/>
    <w:rsid w:val="00B03947"/>
    <w:rsid w:val="00B45F67"/>
    <w:rsid w:val="00B57BF0"/>
    <w:rsid w:val="00B72066"/>
    <w:rsid w:val="00BB0631"/>
    <w:rsid w:val="00BD04AB"/>
    <w:rsid w:val="00BE00FC"/>
    <w:rsid w:val="00C279B2"/>
    <w:rsid w:val="00C321E4"/>
    <w:rsid w:val="00C977D9"/>
    <w:rsid w:val="00CA1761"/>
    <w:rsid w:val="00D12747"/>
    <w:rsid w:val="00D20433"/>
    <w:rsid w:val="00E1011D"/>
    <w:rsid w:val="00E137B4"/>
    <w:rsid w:val="00E25D9C"/>
    <w:rsid w:val="00E478AE"/>
    <w:rsid w:val="00EE5ED2"/>
    <w:rsid w:val="00F00802"/>
    <w:rsid w:val="00F33C82"/>
    <w:rsid w:val="00FA4B5C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C720"/>
  <w15:chartTrackingRefBased/>
  <w15:docId w15:val="{DE972B82-2F44-4B4D-910F-5D079CA6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80"/>
    <w:pPr>
      <w:spacing w:after="0" w:line="240" w:lineRule="auto"/>
    </w:pPr>
    <w:rPr>
      <w:rFonts w:ascii="Calibri" w:hAnsi="Calibri" w:cs="Calibri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E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95D"/>
    <w:rPr>
      <w:rFonts w:ascii="Segoe UI" w:hAnsi="Segoe UI" w:cs="Segoe UI"/>
      <w:sz w:val="18"/>
      <w:szCs w:val="18"/>
      <w:lang w:eastAsia="es-CR"/>
    </w:rPr>
  </w:style>
  <w:style w:type="paragraph" w:styleId="Prrafodelista">
    <w:name w:val="List Paragraph"/>
    <w:aliases w:val="Cuadros,figuras y gráficos,Lista multicolor - Énfasis 11"/>
    <w:basedOn w:val="Normal"/>
    <w:link w:val="PrrafodelistaCar"/>
    <w:uiPriority w:val="34"/>
    <w:qFormat/>
    <w:rsid w:val="004F31C2"/>
    <w:pPr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aliases w:val="Cuadros Car,figuras y gráficos Car,Lista multicolor - Énfasis 11 Car"/>
    <w:basedOn w:val="Fuentedeprrafopredeter"/>
    <w:link w:val="Prrafodelista"/>
    <w:uiPriority w:val="34"/>
    <w:locked/>
    <w:rsid w:val="004F31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401B"/>
    <w:pPr>
      <w:widowControl w:val="0"/>
      <w:overflowPunct w:val="0"/>
      <w:adjustRightInd w:val="0"/>
      <w:spacing w:after="120"/>
    </w:pPr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401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81C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1C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1C64"/>
    <w:rPr>
      <w:rFonts w:ascii="Calibri" w:hAnsi="Calibri" w:cs="Calibri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1C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1C64"/>
    <w:rPr>
      <w:rFonts w:ascii="Calibri" w:hAnsi="Calibri" w:cs="Calibri"/>
      <w:b/>
      <w:bCs/>
      <w:sz w:val="20"/>
      <w:szCs w:val="20"/>
      <w:lang w:eastAsia="es-CR"/>
    </w:rPr>
  </w:style>
  <w:style w:type="character" w:styleId="Hipervnculo">
    <w:name w:val="Hyperlink"/>
    <w:basedOn w:val="Fuentedeprrafopredeter"/>
    <w:uiPriority w:val="99"/>
    <w:unhideWhenUsed/>
    <w:rsid w:val="002A27A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Rocio Cartin</cp:lastModifiedBy>
  <cp:revision>2</cp:revision>
  <dcterms:created xsi:type="dcterms:W3CDTF">2021-02-23T17:32:00Z</dcterms:created>
  <dcterms:modified xsi:type="dcterms:W3CDTF">2021-02-23T17:32:00Z</dcterms:modified>
</cp:coreProperties>
</file>