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63D7"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Thamrin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r w:rsidRPr="00AC358D">
        <w:rPr>
          <w:rFonts w:ascii="Arial" w:hAnsi="Arial" w:cs="Arial"/>
          <w:color w:val="000000"/>
          <w:sz w:val="20"/>
          <w:lang w:val="es-ES_tradnl" w:eastAsia="en-PH"/>
        </w:rPr>
        <w:t>Dear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57B9C24D" w14:textId="374ABE82" w:rsidR="007A7B7C" w:rsidRDefault="008E7FBB" w:rsidP="005F7417">
      <w:pPr>
        <w:jc w:val="both"/>
        <w:rPr>
          <w:rFonts w:ascii="Arial" w:hAnsi="Arial" w:cs="Arial"/>
          <w:sz w:val="20"/>
        </w:rPr>
      </w:pPr>
      <w:r w:rsidRPr="00D0425F">
        <w:rPr>
          <w:rFonts w:ascii="Arial" w:hAnsi="Arial" w:cs="Arial"/>
          <w:color w:val="000000"/>
          <w:sz w:val="20"/>
          <w:lang w:eastAsia="en-PH"/>
        </w:rPr>
        <w:t xml:space="preserve">I have read, </w:t>
      </w:r>
      <w:proofErr w:type="gramStart"/>
      <w:r w:rsidRPr="00D0425F">
        <w:rPr>
          <w:rFonts w:ascii="Arial" w:hAnsi="Arial" w:cs="Arial"/>
          <w:color w:val="000000"/>
          <w:sz w:val="20"/>
          <w:lang w:eastAsia="en-PH"/>
        </w:rPr>
        <w:t>understood</w:t>
      </w:r>
      <w:proofErr w:type="gramEnd"/>
      <w:r w:rsidRPr="00D0425F">
        <w:rPr>
          <w:rFonts w:ascii="Arial" w:hAnsi="Arial" w:cs="Arial"/>
          <w:color w:val="000000"/>
          <w:sz w:val="20"/>
          <w:lang w:eastAsia="en-PH"/>
        </w:rPr>
        <w:t xml:space="preserve"> and hereby accept the Terms of Reference desc</w:t>
      </w:r>
      <w:r w:rsidRPr="009F59A5">
        <w:rPr>
          <w:rFonts w:ascii="Arial" w:hAnsi="Arial" w:cs="Arial"/>
          <w:color w:val="000000"/>
          <w:sz w:val="20"/>
          <w:lang w:eastAsia="en-PH"/>
        </w:rPr>
        <w:t>ribing the duties and responsibilities of</w:t>
      </w:r>
      <w:r w:rsidR="005B3A60" w:rsidRPr="009F59A5">
        <w:rPr>
          <w:rFonts w:ascii="Arial" w:hAnsi="Arial" w:cs="Arial"/>
          <w:color w:val="000000"/>
          <w:sz w:val="20"/>
          <w:lang w:eastAsia="en-PH"/>
        </w:rPr>
        <w:t xml:space="preserve"> </w:t>
      </w:r>
      <w:r w:rsidR="002D6428" w:rsidRPr="00B1782E">
        <w:rPr>
          <w:rFonts w:ascii="Arial" w:hAnsi="Arial" w:cs="Arial"/>
          <w:b/>
          <w:bCs/>
          <w:sz w:val="20"/>
        </w:rPr>
        <w:t>Biodiversity Budget and Expenditure Tracking Expert</w:t>
      </w:r>
    </w:p>
    <w:p w14:paraId="497B5BE4" w14:textId="77777777" w:rsidR="002D6428" w:rsidRDefault="002D6428" w:rsidP="005F7417">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have also read, understood and hereby accept UNDP’s General Conditions of Contract for the Services of the Individual </w:t>
      </w:r>
      <w:proofErr w:type="gramStart"/>
      <w:r w:rsidRPr="00D0425F">
        <w:rPr>
          <w:rFonts w:ascii="Arial" w:hAnsi="Arial" w:cs="Arial"/>
          <w:color w:val="000000"/>
          <w:sz w:val="20"/>
          <w:lang w:eastAsia="en-PH"/>
        </w:rPr>
        <w:t>Contractors;</w:t>
      </w:r>
      <w:proofErr w:type="gramEnd"/>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5B2AD31E" w:rsidR="008E7FBB" w:rsidRDefault="008E7FBB" w:rsidP="008157DF">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 xml:space="preserve">ANNEX </w:t>
      </w:r>
      <w:r w:rsidR="004167B0">
        <w:rPr>
          <w:rFonts w:ascii="Arial" w:hAnsi="Arial" w:cs="Arial"/>
          <w:b/>
          <w:color w:val="000000"/>
          <w:sz w:val="20"/>
          <w:lang w:eastAsia="en-PH"/>
        </w:rPr>
        <w:t>3</w:t>
      </w:r>
    </w:p>
    <w:p w14:paraId="21FAC3F3" w14:textId="77777777" w:rsidR="008157DF" w:rsidRDefault="008157DF"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68CB06E" w14:textId="77777777" w:rsidR="00CB564A" w:rsidRDefault="00CB564A" w:rsidP="00CB564A">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Components:</w:t>
      </w:r>
    </w:p>
    <w:p w14:paraId="6E5945F3" w14:textId="77777777" w:rsidR="00CB564A" w:rsidRPr="00F449BE" w:rsidRDefault="00CB564A" w:rsidP="00CB564A">
      <w:pPr>
        <w:pStyle w:val="ListParagraph"/>
        <w:rPr>
          <w:rFonts w:ascii="Arial" w:hAnsi="Arial" w:cs="Arial"/>
          <w:b/>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1329"/>
        <w:gridCol w:w="1345"/>
        <w:gridCol w:w="2228"/>
      </w:tblGrid>
      <w:tr w:rsidR="00CB564A" w:rsidRPr="000F482B" w14:paraId="143839C8" w14:textId="77777777" w:rsidTr="000F3C13">
        <w:trPr>
          <w:trHeight w:val="566"/>
          <w:jc w:val="center"/>
        </w:trPr>
        <w:tc>
          <w:tcPr>
            <w:tcW w:w="3780" w:type="dxa"/>
            <w:vAlign w:val="center"/>
          </w:tcPr>
          <w:p w14:paraId="71DD5AE2" w14:textId="77777777" w:rsidR="00CB564A" w:rsidRPr="000F482B" w:rsidRDefault="00CB564A" w:rsidP="000F3C1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53F4879C" w14:textId="1FDA4B57" w:rsidR="00CB564A" w:rsidRDefault="00CB564A" w:rsidP="000F3C1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r w:rsidR="00D6589F">
              <w:rPr>
                <w:rFonts w:ascii="Arial" w:eastAsia="Calibri" w:hAnsi="Arial" w:cs="Arial"/>
                <w:b/>
                <w:snapToGrid w:val="0"/>
                <w:sz w:val="20"/>
              </w:rPr>
              <w:t>/Daily Rate</w:t>
            </w:r>
          </w:p>
          <w:p w14:paraId="67036115" w14:textId="77777777" w:rsidR="00CB564A" w:rsidRPr="0069355A" w:rsidRDefault="00CB564A" w:rsidP="000F3C13">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07B054AC" w14:textId="77777777" w:rsidR="00CB564A" w:rsidRPr="000F482B" w:rsidRDefault="00CB564A" w:rsidP="000F3C1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12AD0F7F" w14:textId="77777777" w:rsidR="00CB564A" w:rsidRPr="000F482B" w:rsidRDefault="00CB564A" w:rsidP="000F3C1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CB564A" w:rsidRPr="000F482B" w14:paraId="06D5596A" w14:textId="77777777" w:rsidTr="000F3C13">
        <w:trPr>
          <w:trHeight w:val="255"/>
          <w:jc w:val="center"/>
        </w:trPr>
        <w:tc>
          <w:tcPr>
            <w:tcW w:w="3780" w:type="dxa"/>
          </w:tcPr>
          <w:p w14:paraId="4C0D5B70" w14:textId="77777777" w:rsidR="00CB564A" w:rsidRPr="000F482B" w:rsidRDefault="00CB564A" w:rsidP="000F3C1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3779B0DA" w14:textId="77777777" w:rsidR="00CB564A" w:rsidRPr="000F482B" w:rsidRDefault="00CB564A" w:rsidP="000F3C13">
            <w:pPr>
              <w:ind w:right="134"/>
              <w:jc w:val="both"/>
              <w:rPr>
                <w:rFonts w:ascii="Arial" w:eastAsia="Calibri" w:hAnsi="Arial" w:cs="Arial"/>
                <w:snapToGrid w:val="0"/>
                <w:sz w:val="20"/>
              </w:rPr>
            </w:pPr>
          </w:p>
        </w:tc>
        <w:tc>
          <w:tcPr>
            <w:tcW w:w="1350" w:type="dxa"/>
          </w:tcPr>
          <w:p w14:paraId="52827AE1" w14:textId="77777777" w:rsidR="00CB564A" w:rsidRPr="000F482B" w:rsidRDefault="00CB564A" w:rsidP="000F3C13">
            <w:pPr>
              <w:ind w:right="72"/>
              <w:jc w:val="both"/>
              <w:rPr>
                <w:rFonts w:ascii="Arial" w:eastAsia="Calibri" w:hAnsi="Arial" w:cs="Arial"/>
                <w:snapToGrid w:val="0"/>
                <w:sz w:val="20"/>
              </w:rPr>
            </w:pPr>
          </w:p>
        </w:tc>
        <w:tc>
          <w:tcPr>
            <w:tcW w:w="2250" w:type="dxa"/>
          </w:tcPr>
          <w:p w14:paraId="72B0E1DA" w14:textId="77777777" w:rsidR="00CB564A" w:rsidRPr="000F482B" w:rsidRDefault="00CB564A" w:rsidP="000F3C13">
            <w:pPr>
              <w:jc w:val="both"/>
              <w:rPr>
                <w:rFonts w:ascii="Arial" w:eastAsia="Calibri" w:hAnsi="Arial" w:cs="Arial"/>
                <w:snapToGrid w:val="0"/>
                <w:sz w:val="20"/>
              </w:rPr>
            </w:pPr>
          </w:p>
        </w:tc>
      </w:tr>
      <w:tr w:rsidR="00CB564A" w:rsidRPr="000F482B" w14:paraId="3BABF563" w14:textId="77777777" w:rsidTr="000F3C13">
        <w:trPr>
          <w:trHeight w:val="199"/>
          <w:jc w:val="center"/>
        </w:trPr>
        <w:tc>
          <w:tcPr>
            <w:tcW w:w="3780" w:type="dxa"/>
            <w:vAlign w:val="center"/>
          </w:tcPr>
          <w:p w14:paraId="41D3FCAB" w14:textId="77777777" w:rsidR="00CB564A" w:rsidRPr="000F482B" w:rsidRDefault="00CB564A" w:rsidP="000F3C13">
            <w:pPr>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7C90F8B2" w14:textId="211F486F" w:rsidR="00CB564A" w:rsidRPr="000F482B" w:rsidRDefault="00CB564A" w:rsidP="000F3C13">
            <w:pPr>
              <w:jc w:val="both"/>
              <w:rPr>
                <w:rFonts w:ascii="Arial" w:eastAsia="Calibri" w:hAnsi="Arial" w:cs="Arial"/>
                <w:snapToGrid w:val="0"/>
                <w:sz w:val="20"/>
              </w:rPr>
            </w:pPr>
          </w:p>
        </w:tc>
        <w:tc>
          <w:tcPr>
            <w:tcW w:w="1350" w:type="dxa"/>
          </w:tcPr>
          <w:p w14:paraId="60A1B6EE" w14:textId="42D90412" w:rsidR="00CB564A" w:rsidRPr="009569CE" w:rsidRDefault="002D6428" w:rsidP="000F3C13">
            <w:pPr>
              <w:jc w:val="both"/>
              <w:rPr>
                <w:rFonts w:ascii="Arial" w:eastAsia="Calibri" w:hAnsi="Arial" w:cs="Arial"/>
                <w:snapToGrid w:val="0"/>
                <w:sz w:val="20"/>
                <w:highlight w:val="yellow"/>
              </w:rPr>
            </w:pPr>
            <w:r>
              <w:rPr>
                <w:rFonts w:ascii="Arial" w:eastAsia="Calibri" w:hAnsi="Arial" w:cs="Arial"/>
                <w:snapToGrid w:val="0"/>
                <w:sz w:val="20"/>
                <w:highlight w:val="yellow"/>
              </w:rPr>
              <w:t>8</w:t>
            </w:r>
            <w:r w:rsidR="00CB564A">
              <w:rPr>
                <w:rFonts w:ascii="Arial" w:eastAsia="Calibri" w:hAnsi="Arial" w:cs="Arial"/>
                <w:snapToGrid w:val="0"/>
                <w:sz w:val="20"/>
                <w:highlight w:val="yellow"/>
              </w:rPr>
              <w:t>0</w:t>
            </w:r>
            <w:r w:rsidR="00D6589F" w:rsidRPr="00D6589F">
              <w:rPr>
                <w:rFonts w:ascii="Arial" w:eastAsia="Calibri" w:hAnsi="Arial" w:cs="Arial"/>
                <w:snapToGrid w:val="0"/>
                <w:sz w:val="20"/>
              </w:rPr>
              <w:t xml:space="preserve"> </w:t>
            </w:r>
            <w:r w:rsidR="00D6589F" w:rsidRPr="00D6589F">
              <w:rPr>
                <w:rFonts w:ascii="Arial" w:eastAsia="Calibri" w:hAnsi="Arial" w:cs="Arial"/>
                <w:snapToGrid w:val="0"/>
                <w:sz w:val="20"/>
                <w:highlight w:val="yellow"/>
              </w:rPr>
              <w:t>Working days</w:t>
            </w:r>
          </w:p>
        </w:tc>
        <w:tc>
          <w:tcPr>
            <w:tcW w:w="2250" w:type="dxa"/>
          </w:tcPr>
          <w:p w14:paraId="36F3A273" w14:textId="77777777" w:rsidR="00CB564A" w:rsidRPr="000F482B" w:rsidRDefault="00CB564A" w:rsidP="000F3C13">
            <w:pPr>
              <w:jc w:val="both"/>
              <w:rPr>
                <w:rFonts w:ascii="Arial" w:eastAsia="Calibri" w:hAnsi="Arial" w:cs="Arial"/>
                <w:snapToGrid w:val="0"/>
                <w:sz w:val="20"/>
              </w:rPr>
            </w:pPr>
          </w:p>
        </w:tc>
      </w:tr>
      <w:tr w:rsidR="00CB564A" w:rsidRPr="000F482B" w14:paraId="38EA794D" w14:textId="77777777" w:rsidTr="000F3C13">
        <w:trPr>
          <w:trHeight w:val="199"/>
          <w:jc w:val="center"/>
        </w:trPr>
        <w:tc>
          <w:tcPr>
            <w:tcW w:w="6390" w:type="dxa"/>
            <w:gridSpan w:val="3"/>
            <w:vAlign w:val="center"/>
          </w:tcPr>
          <w:p w14:paraId="4EF1A81D" w14:textId="1CA19A92" w:rsidR="00CB564A" w:rsidRDefault="00CB564A" w:rsidP="000F3C13">
            <w:pPr>
              <w:jc w:val="both"/>
              <w:rPr>
                <w:rFonts w:ascii="Arial" w:eastAsia="Calibri" w:hAnsi="Arial" w:cs="Arial"/>
                <w:snapToGrid w:val="0"/>
                <w:sz w:val="20"/>
                <w:highlight w:val="yellow"/>
              </w:rPr>
            </w:pPr>
            <w:r w:rsidRPr="00F449BE">
              <w:rPr>
                <w:rFonts w:ascii="Arial" w:eastAsia="Calibri" w:hAnsi="Arial" w:cs="Arial"/>
                <w:snapToGrid w:val="0"/>
                <w:sz w:val="20"/>
              </w:rPr>
              <w:t xml:space="preserve">TOTAL </w:t>
            </w:r>
          </w:p>
        </w:tc>
        <w:tc>
          <w:tcPr>
            <w:tcW w:w="2250" w:type="dxa"/>
          </w:tcPr>
          <w:p w14:paraId="27CB2F83" w14:textId="77777777" w:rsidR="00CB564A" w:rsidRPr="000F482B" w:rsidRDefault="00CB564A" w:rsidP="000F3C13">
            <w:pPr>
              <w:jc w:val="both"/>
              <w:rPr>
                <w:rFonts w:ascii="Arial" w:eastAsia="Calibri" w:hAnsi="Arial" w:cs="Arial"/>
                <w:snapToGrid w:val="0"/>
                <w:sz w:val="20"/>
              </w:rPr>
            </w:pPr>
          </w:p>
        </w:tc>
      </w:tr>
    </w:tbl>
    <w:p w14:paraId="163C481B" w14:textId="77777777" w:rsidR="00CB564A" w:rsidRPr="00B14B8F" w:rsidRDefault="00CB564A" w:rsidP="00CB564A">
      <w:pPr>
        <w:tabs>
          <w:tab w:val="right" w:pos="9360"/>
        </w:tabs>
        <w:rPr>
          <w:rFonts w:ascii="Arial" w:hAnsi="Arial" w:cs="Arial"/>
          <w:i/>
          <w:snapToGrid w:val="0"/>
          <w:sz w:val="20"/>
        </w:rPr>
      </w:pPr>
    </w:p>
    <w:p w14:paraId="1C7F3122" w14:textId="77777777" w:rsidR="00CB564A" w:rsidRDefault="008E7FBB" w:rsidP="00CB564A">
      <w:pPr>
        <w:pStyle w:val="ListParagraph"/>
        <w:spacing w:line="360" w:lineRule="auto"/>
        <w:ind w:left="540"/>
        <w:contextualSpacing/>
        <w:rPr>
          <w:rFonts w:ascii="Arial" w:hAnsi="Arial" w:cs="Arial"/>
          <w:b/>
          <w:snapToGrid w:val="0"/>
          <w:sz w:val="20"/>
        </w:rPr>
      </w:pPr>
      <w:r>
        <w:rPr>
          <w:rFonts w:ascii="Arial" w:hAnsi="Arial" w:cs="Arial"/>
          <w:b/>
          <w:snapToGrid w:val="0"/>
          <w:sz w:val="20"/>
        </w:rPr>
        <w:t xml:space="preserve">   </w:t>
      </w:r>
    </w:p>
    <w:p w14:paraId="5A083E7F" w14:textId="0B4977A2" w:rsidR="008E7FBB" w:rsidRDefault="008E7FBB" w:rsidP="008E7FBB">
      <w:pPr>
        <w:pStyle w:val="ListParagraph"/>
        <w:numPr>
          <w:ilvl w:val="0"/>
          <w:numId w:val="6"/>
        </w:numPr>
        <w:spacing w:line="360" w:lineRule="auto"/>
        <w:contextualSpacing/>
        <w:rPr>
          <w:rFonts w:ascii="Arial" w:hAnsi="Arial" w:cs="Arial"/>
          <w:b/>
          <w:snapToGrid w:val="0"/>
          <w:sz w:val="20"/>
        </w:rPr>
      </w:pPr>
      <w:r w:rsidRPr="00030B0F">
        <w:rPr>
          <w:rFonts w:ascii="Arial" w:hAnsi="Arial" w:cs="Arial"/>
          <w:b/>
          <w:snapToGrid w:val="0"/>
          <w:sz w:val="20"/>
        </w:rPr>
        <w:t xml:space="preserve">Breakdown of Cost by </w:t>
      </w:r>
      <w:proofErr w:type="spellStart"/>
      <w:r w:rsidR="00F449BE" w:rsidRPr="00030B0F">
        <w:rPr>
          <w:rFonts w:ascii="Arial" w:hAnsi="Arial" w:cs="Arial"/>
          <w:b/>
          <w:snapToGrid w:val="0"/>
          <w:sz w:val="20"/>
        </w:rPr>
        <w:t>by</w:t>
      </w:r>
      <w:proofErr w:type="spellEnd"/>
      <w:r w:rsidR="00F449BE" w:rsidRPr="00030B0F">
        <w:rPr>
          <w:rFonts w:ascii="Arial" w:hAnsi="Arial" w:cs="Arial"/>
          <w:b/>
          <w:snapToGrid w:val="0"/>
          <w:sz w:val="20"/>
        </w:rPr>
        <w:t xml:space="preserve"> Deliverables*</w:t>
      </w:r>
      <w:r w:rsidRPr="00030B0F">
        <w:rPr>
          <w:rFonts w:ascii="Arial" w:hAnsi="Arial" w:cs="Arial"/>
          <w:b/>
          <w:snapToGrid w:val="0"/>
          <w:sz w:val="20"/>
        </w:rPr>
        <w:t xml:space="preserve">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2460"/>
        <w:gridCol w:w="1559"/>
      </w:tblGrid>
      <w:tr w:rsidR="00F449BE" w:rsidRPr="00976DB1" w14:paraId="264332FF" w14:textId="77777777" w:rsidTr="00990716">
        <w:trPr>
          <w:trHeight w:val="734"/>
        </w:trPr>
        <w:tc>
          <w:tcPr>
            <w:tcW w:w="5649" w:type="dxa"/>
            <w:shd w:val="clear" w:color="auto" w:fill="auto"/>
            <w:vAlign w:val="center"/>
          </w:tcPr>
          <w:p w14:paraId="3E2AB7EE" w14:textId="77777777" w:rsidR="00F449BE" w:rsidRPr="00332177" w:rsidRDefault="00F449BE" w:rsidP="00990716">
            <w:pPr>
              <w:ind w:left="-14"/>
              <w:jc w:val="center"/>
              <w:rPr>
                <w:rFonts w:ascii="Arial" w:hAnsi="Arial" w:cs="Arial"/>
                <w:b/>
                <w:bCs/>
                <w:sz w:val="20"/>
              </w:rPr>
            </w:pPr>
            <w:r w:rsidRPr="00332177">
              <w:rPr>
                <w:rFonts w:ascii="Arial" w:hAnsi="Arial" w:cs="Arial"/>
                <w:b/>
                <w:bCs/>
                <w:sz w:val="20"/>
              </w:rPr>
              <w:t>Deliverable</w:t>
            </w:r>
          </w:p>
        </w:tc>
        <w:tc>
          <w:tcPr>
            <w:tcW w:w="2460" w:type="dxa"/>
            <w:shd w:val="clear" w:color="auto" w:fill="auto"/>
            <w:vAlign w:val="center"/>
          </w:tcPr>
          <w:p w14:paraId="07DEEC59" w14:textId="77777777" w:rsidR="00F449BE" w:rsidRPr="00332177" w:rsidRDefault="00F449BE" w:rsidP="00990716">
            <w:pPr>
              <w:ind w:left="-14"/>
              <w:jc w:val="center"/>
              <w:rPr>
                <w:rFonts w:ascii="Arial" w:hAnsi="Arial" w:cs="Arial"/>
                <w:bCs/>
                <w:color w:val="000000"/>
                <w:sz w:val="20"/>
              </w:rPr>
            </w:pPr>
            <w:r w:rsidRPr="00332177">
              <w:rPr>
                <w:rFonts w:ascii="Arial" w:hAnsi="Arial" w:cs="Arial"/>
                <w:b/>
                <w:bCs/>
                <w:color w:val="000000"/>
                <w:sz w:val="20"/>
                <w:lang w:val="en-GB"/>
              </w:rPr>
              <w:t>Percentage of Total Price (Weight for payment)</w:t>
            </w:r>
          </w:p>
        </w:tc>
        <w:tc>
          <w:tcPr>
            <w:tcW w:w="1559" w:type="dxa"/>
            <w:shd w:val="clear" w:color="auto" w:fill="auto"/>
            <w:vAlign w:val="center"/>
          </w:tcPr>
          <w:p w14:paraId="0E1DBF5E" w14:textId="4E13BA74" w:rsidR="00F449BE" w:rsidRPr="007B76C0" w:rsidRDefault="00F449BE" w:rsidP="00990716">
            <w:pPr>
              <w:jc w:val="center"/>
              <w:rPr>
                <w:rFonts w:ascii="Arial" w:hAnsi="Arial" w:cs="Arial"/>
                <w:bCs/>
                <w:color w:val="000000"/>
                <w:sz w:val="20"/>
              </w:rPr>
            </w:pPr>
            <w:r w:rsidRPr="007B76C0">
              <w:rPr>
                <w:rFonts w:ascii="Arial" w:hAnsi="Arial" w:cs="Arial"/>
                <w:b/>
                <w:bCs/>
                <w:sz w:val="20"/>
              </w:rPr>
              <w:t xml:space="preserve">Amount </w:t>
            </w:r>
          </w:p>
        </w:tc>
      </w:tr>
      <w:tr w:rsidR="00F449BE" w:rsidRPr="00976DB1" w14:paraId="7B8D5F6D" w14:textId="77777777" w:rsidTr="00990716">
        <w:trPr>
          <w:trHeight w:val="926"/>
        </w:trPr>
        <w:tc>
          <w:tcPr>
            <w:tcW w:w="5649" w:type="dxa"/>
          </w:tcPr>
          <w:p w14:paraId="62DE12C5" w14:textId="77777777" w:rsidR="00053CEB" w:rsidRPr="00053CEB" w:rsidRDefault="00053CEB" w:rsidP="00053CEB">
            <w:pPr>
              <w:contextualSpacing/>
              <w:rPr>
                <w:rFonts w:asciiTheme="minorHAnsi" w:hAnsiTheme="minorHAnsi" w:cstheme="minorHAnsi"/>
                <w:sz w:val="20"/>
              </w:rPr>
            </w:pPr>
            <w:r w:rsidRPr="00053CEB">
              <w:rPr>
                <w:rFonts w:asciiTheme="minorHAnsi" w:hAnsiTheme="minorHAnsi" w:cstheme="minorHAnsi"/>
                <w:sz w:val="20"/>
              </w:rPr>
              <w:t>1st payment will be made upon submission and approval by UNDP of:</w:t>
            </w:r>
          </w:p>
          <w:p w14:paraId="7C82FAEF" w14:textId="77777777" w:rsidR="00053CEB" w:rsidRPr="00053CEB" w:rsidRDefault="00053CEB" w:rsidP="00053CEB">
            <w:pPr>
              <w:contextualSpacing/>
              <w:rPr>
                <w:rFonts w:asciiTheme="minorHAnsi" w:hAnsiTheme="minorHAnsi" w:cstheme="minorHAnsi"/>
                <w:sz w:val="20"/>
              </w:rPr>
            </w:pPr>
          </w:p>
          <w:p w14:paraId="1145A15B" w14:textId="5BE7AECE" w:rsidR="002D6428" w:rsidRDefault="002D6428" w:rsidP="002D6428">
            <w:pPr>
              <w:contextualSpacing/>
              <w:rPr>
                <w:rFonts w:asciiTheme="minorHAnsi" w:hAnsiTheme="minorHAnsi" w:cstheme="minorHAnsi"/>
                <w:sz w:val="20"/>
              </w:rPr>
            </w:pPr>
            <w:r>
              <w:rPr>
                <w:rFonts w:asciiTheme="minorHAnsi" w:hAnsiTheme="minorHAnsi" w:cstheme="minorHAnsi"/>
                <w:sz w:val="20"/>
              </w:rPr>
              <w:t>R</w:t>
            </w:r>
            <w:r w:rsidRPr="002D6428">
              <w:rPr>
                <w:rFonts w:asciiTheme="minorHAnsi" w:hAnsiTheme="minorHAnsi" w:cstheme="minorHAnsi"/>
                <w:sz w:val="20"/>
              </w:rPr>
              <w:t xml:space="preserve">eport on update the biodiversity expenditure from public and private fund including various actors such as central government, regional government, and non-state actors (private sectors, NGO, communities etc.) </w:t>
            </w:r>
          </w:p>
          <w:p w14:paraId="6229FC16" w14:textId="77777777" w:rsidR="002D6428" w:rsidRPr="002D6428" w:rsidRDefault="002D6428" w:rsidP="002D6428">
            <w:pPr>
              <w:contextualSpacing/>
              <w:rPr>
                <w:rFonts w:asciiTheme="minorHAnsi" w:hAnsiTheme="minorHAnsi" w:cstheme="minorHAnsi"/>
                <w:sz w:val="20"/>
              </w:rPr>
            </w:pPr>
          </w:p>
          <w:p w14:paraId="7B081CCD" w14:textId="374BDC27" w:rsidR="005C7F45" w:rsidRPr="002D6428" w:rsidRDefault="002D6428" w:rsidP="002D6428">
            <w:pPr>
              <w:contextualSpacing/>
              <w:rPr>
                <w:rFonts w:ascii="Arial" w:hAnsi="Arial" w:cs="Arial"/>
                <w:i/>
                <w:iCs/>
                <w:color w:val="000000"/>
                <w:sz w:val="20"/>
                <w:lang w:eastAsia="en-GB"/>
              </w:rPr>
            </w:pPr>
            <w:r w:rsidRPr="002D6428">
              <w:rPr>
                <w:rFonts w:asciiTheme="minorHAnsi" w:hAnsiTheme="minorHAnsi" w:cstheme="minorHAnsi"/>
                <w:i/>
                <w:iCs/>
                <w:sz w:val="20"/>
              </w:rPr>
              <w:t>Including In-depth consultation with relevant stakeholders to inform and influence them on relevant biodiversity expenditures</w:t>
            </w:r>
          </w:p>
        </w:tc>
        <w:tc>
          <w:tcPr>
            <w:tcW w:w="2460" w:type="dxa"/>
            <w:shd w:val="clear" w:color="auto" w:fill="auto"/>
          </w:tcPr>
          <w:p w14:paraId="0145DF36" w14:textId="3E18915F" w:rsidR="00F449BE" w:rsidRPr="00332177" w:rsidRDefault="00F449BE" w:rsidP="00990716">
            <w:pPr>
              <w:jc w:val="center"/>
              <w:rPr>
                <w:rFonts w:ascii="Arial" w:hAnsi="Arial" w:cs="Arial"/>
                <w:bCs/>
                <w:color w:val="000000"/>
                <w:sz w:val="20"/>
              </w:rPr>
            </w:pPr>
          </w:p>
        </w:tc>
        <w:tc>
          <w:tcPr>
            <w:tcW w:w="1559" w:type="dxa"/>
            <w:shd w:val="clear" w:color="auto" w:fill="auto"/>
          </w:tcPr>
          <w:p w14:paraId="7090BC1C" w14:textId="77777777" w:rsidR="00F449BE" w:rsidRPr="00976DB1" w:rsidRDefault="00F449BE" w:rsidP="00990716">
            <w:pPr>
              <w:tabs>
                <w:tab w:val="left" w:pos="450"/>
              </w:tabs>
              <w:jc w:val="both"/>
              <w:rPr>
                <w:rFonts w:cs="Calibri"/>
                <w:bCs/>
                <w:sz w:val="18"/>
                <w:szCs w:val="18"/>
              </w:rPr>
            </w:pPr>
          </w:p>
        </w:tc>
      </w:tr>
      <w:tr w:rsidR="00F449BE" w:rsidRPr="00976DB1" w14:paraId="216730AB" w14:textId="77777777" w:rsidTr="00990716">
        <w:trPr>
          <w:trHeight w:val="575"/>
        </w:trPr>
        <w:tc>
          <w:tcPr>
            <w:tcW w:w="5649" w:type="dxa"/>
          </w:tcPr>
          <w:p w14:paraId="06B1AD8B" w14:textId="77777777" w:rsidR="00053CEB" w:rsidRPr="00053CEB" w:rsidRDefault="00053CEB" w:rsidP="00053CEB">
            <w:pPr>
              <w:autoSpaceDE w:val="0"/>
              <w:autoSpaceDN w:val="0"/>
              <w:adjustRightInd w:val="0"/>
              <w:contextualSpacing/>
              <w:jc w:val="both"/>
              <w:rPr>
                <w:rFonts w:asciiTheme="minorHAnsi" w:hAnsiTheme="minorHAnsi" w:cstheme="minorHAnsi"/>
                <w:sz w:val="20"/>
              </w:rPr>
            </w:pPr>
            <w:r w:rsidRPr="00053CEB">
              <w:rPr>
                <w:rFonts w:asciiTheme="minorHAnsi" w:hAnsiTheme="minorHAnsi" w:cstheme="minorHAnsi"/>
                <w:sz w:val="20"/>
              </w:rPr>
              <w:t>2nd payment will be made upon submission and approval by UNDP of:</w:t>
            </w:r>
          </w:p>
          <w:p w14:paraId="695B6624" w14:textId="77777777" w:rsidR="00053CEB" w:rsidRPr="00053CEB" w:rsidRDefault="00053CEB" w:rsidP="00053CEB">
            <w:pPr>
              <w:autoSpaceDE w:val="0"/>
              <w:autoSpaceDN w:val="0"/>
              <w:adjustRightInd w:val="0"/>
              <w:contextualSpacing/>
              <w:jc w:val="both"/>
              <w:rPr>
                <w:rFonts w:asciiTheme="minorHAnsi" w:hAnsiTheme="minorHAnsi" w:cstheme="minorHAnsi"/>
                <w:sz w:val="20"/>
              </w:rPr>
            </w:pPr>
          </w:p>
          <w:p w14:paraId="7992DB7F" w14:textId="0457D7C2" w:rsidR="00F449BE" w:rsidRPr="00332177" w:rsidRDefault="002D6428" w:rsidP="003A7C32">
            <w:pPr>
              <w:autoSpaceDE w:val="0"/>
              <w:autoSpaceDN w:val="0"/>
              <w:adjustRightInd w:val="0"/>
              <w:contextualSpacing/>
              <w:jc w:val="both"/>
              <w:rPr>
                <w:rFonts w:ascii="Arial" w:hAnsi="Arial" w:cs="Arial"/>
                <w:sz w:val="20"/>
                <w:lang w:val="en-ID"/>
              </w:rPr>
            </w:pPr>
            <w:r w:rsidRPr="002D6428">
              <w:rPr>
                <w:rFonts w:asciiTheme="minorHAnsi" w:hAnsiTheme="minorHAnsi" w:cstheme="minorHAnsi"/>
                <w:sz w:val="20"/>
              </w:rPr>
              <w:t>Report on mapping and identification of the biodiversity harmful expenditure/incentive leading to the deterioration of biodiversity and ecosystem and recommending plan to repurpose such expenditure</w:t>
            </w:r>
          </w:p>
        </w:tc>
        <w:tc>
          <w:tcPr>
            <w:tcW w:w="2460" w:type="dxa"/>
            <w:shd w:val="clear" w:color="auto" w:fill="auto"/>
          </w:tcPr>
          <w:p w14:paraId="11FB7D91" w14:textId="5BAAC493" w:rsidR="00F449BE" w:rsidRPr="00332177" w:rsidRDefault="00F449BE" w:rsidP="00990716">
            <w:pPr>
              <w:jc w:val="center"/>
              <w:rPr>
                <w:rFonts w:ascii="Arial" w:hAnsi="Arial" w:cs="Arial"/>
                <w:bCs/>
                <w:color w:val="000000"/>
                <w:sz w:val="20"/>
              </w:rPr>
            </w:pPr>
          </w:p>
        </w:tc>
        <w:tc>
          <w:tcPr>
            <w:tcW w:w="1559" w:type="dxa"/>
            <w:shd w:val="clear" w:color="auto" w:fill="auto"/>
          </w:tcPr>
          <w:p w14:paraId="780CE2D6" w14:textId="77777777" w:rsidR="00F449BE" w:rsidRPr="00976DB1" w:rsidRDefault="00F449BE" w:rsidP="00990716">
            <w:pPr>
              <w:tabs>
                <w:tab w:val="left" w:pos="450"/>
              </w:tabs>
              <w:jc w:val="both"/>
              <w:rPr>
                <w:rFonts w:cs="Calibri"/>
                <w:bCs/>
                <w:sz w:val="18"/>
                <w:szCs w:val="18"/>
              </w:rPr>
            </w:pPr>
          </w:p>
        </w:tc>
      </w:tr>
      <w:tr w:rsidR="00F449BE" w:rsidRPr="00976DB1" w14:paraId="37AB2DEC" w14:textId="77777777" w:rsidTr="00990716">
        <w:trPr>
          <w:trHeight w:val="575"/>
        </w:trPr>
        <w:tc>
          <w:tcPr>
            <w:tcW w:w="5649" w:type="dxa"/>
          </w:tcPr>
          <w:p w14:paraId="5D93B67D" w14:textId="77777777" w:rsidR="00053CEB" w:rsidRPr="00053CEB" w:rsidRDefault="00053CEB" w:rsidP="00053CEB">
            <w:pPr>
              <w:autoSpaceDE w:val="0"/>
              <w:autoSpaceDN w:val="0"/>
              <w:adjustRightInd w:val="0"/>
              <w:contextualSpacing/>
              <w:jc w:val="both"/>
              <w:rPr>
                <w:rFonts w:asciiTheme="minorHAnsi" w:hAnsiTheme="minorHAnsi" w:cstheme="minorHAnsi"/>
                <w:sz w:val="20"/>
              </w:rPr>
            </w:pPr>
            <w:r w:rsidRPr="00053CEB">
              <w:rPr>
                <w:rFonts w:asciiTheme="minorHAnsi" w:hAnsiTheme="minorHAnsi" w:cstheme="minorHAnsi"/>
                <w:sz w:val="20"/>
              </w:rPr>
              <w:t>3rd payment will be made upon submission and approval by UNDP of:</w:t>
            </w:r>
          </w:p>
          <w:p w14:paraId="06CCC310" w14:textId="77777777" w:rsidR="00053CEB" w:rsidRPr="00053CEB" w:rsidRDefault="00053CEB" w:rsidP="00053CEB">
            <w:pPr>
              <w:autoSpaceDE w:val="0"/>
              <w:autoSpaceDN w:val="0"/>
              <w:adjustRightInd w:val="0"/>
              <w:contextualSpacing/>
              <w:jc w:val="both"/>
              <w:rPr>
                <w:rFonts w:asciiTheme="minorHAnsi" w:hAnsiTheme="minorHAnsi" w:cstheme="minorHAnsi"/>
                <w:sz w:val="20"/>
              </w:rPr>
            </w:pPr>
          </w:p>
          <w:p w14:paraId="0EC2CC97" w14:textId="22DD24CB" w:rsidR="00F449BE" w:rsidRPr="00332177" w:rsidRDefault="002D6428" w:rsidP="003A7C32">
            <w:pPr>
              <w:autoSpaceDE w:val="0"/>
              <w:autoSpaceDN w:val="0"/>
              <w:adjustRightInd w:val="0"/>
              <w:contextualSpacing/>
              <w:jc w:val="both"/>
              <w:rPr>
                <w:rFonts w:ascii="Arial" w:hAnsi="Arial" w:cs="Arial"/>
                <w:sz w:val="20"/>
                <w:lang w:val="en-ID"/>
              </w:rPr>
            </w:pPr>
            <w:r w:rsidRPr="002D6428">
              <w:rPr>
                <w:rFonts w:asciiTheme="minorHAnsi" w:hAnsiTheme="minorHAnsi" w:cstheme="minorHAnsi"/>
                <w:sz w:val="20"/>
              </w:rPr>
              <w:t>Report on the development of biodiversity criteria and classification for key relevant ministries’ program/activities and recommending mechanism to integrate biodiversity tracking mechanism be implemented</w:t>
            </w:r>
          </w:p>
        </w:tc>
        <w:tc>
          <w:tcPr>
            <w:tcW w:w="2460" w:type="dxa"/>
            <w:shd w:val="clear" w:color="auto" w:fill="auto"/>
          </w:tcPr>
          <w:p w14:paraId="622F86BC" w14:textId="0A8E0FAB" w:rsidR="00F449BE" w:rsidRPr="00332177" w:rsidRDefault="00F449BE" w:rsidP="00990716">
            <w:pPr>
              <w:jc w:val="center"/>
              <w:rPr>
                <w:rFonts w:ascii="Arial" w:hAnsi="Arial" w:cs="Arial"/>
                <w:bCs/>
                <w:color w:val="000000"/>
                <w:sz w:val="20"/>
              </w:rPr>
            </w:pPr>
          </w:p>
        </w:tc>
        <w:tc>
          <w:tcPr>
            <w:tcW w:w="1559" w:type="dxa"/>
            <w:shd w:val="clear" w:color="auto" w:fill="auto"/>
          </w:tcPr>
          <w:p w14:paraId="5450B7E2" w14:textId="77777777" w:rsidR="00F449BE" w:rsidRPr="00976DB1" w:rsidRDefault="00F449BE" w:rsidP="00990716">
            <w:pPr>
              <w:tabs>
                <w:tab w:val="left" w:pos="450"/>
              </w:tabs>
              <w:jc w:val="both"/>
              <w:rPr>
                <w:rFonts w:cs="Calibri"/>
                <w:bCs/>
                <w:sz w:val="18"/>
                <w:szCs w:val="18"/>
              </w:rPr>
            </w:pPr>
          </w:p>
        </w:tc>
      </w:tr>
      <w:tr w:rsidR="005C7F45" w:rsidRPr="00976DB1" w14:paraId="50F83B68" w14:textId="77777777" w:rsidTr="00990716">
        <w:trPr>
          <w:trHeight w:val="575"/>
        </w:trPr>
        <w:tc>
          <w:tcPr>
            <w:tcW w:w="5649" w:type="dxa"/>
          </w:tcPr>
          <w:p w14:paraId="6C544ECD" w14:textId="77777777" w:rsidR="00053CEB" w:rsidRPr="00053CEB" w:rsidRDefault="00053CEB" w:rsidP="00053CEB">
            <w:pPr>
              <w:autoSpaceDE w:val="0"/>
              <w:autoSpaceDN w:val="0"/>
              <w:adjustRightInd w:val="0"/>
              <w:contextualSpacing/>
              <w:jc w:val="both"/>
              <w:rPr>
                <w:rFonts w:asciiTheme="minorHAnsi" w:hAnsiTheme="minorHAnsi" w:cstheme="minorHAnsi"/>
                <w:sz w:val="20"/>
              </w:rPr>
            </w:pPr>
            <w:r w:rsidRPr="00053CEB">
              <w:rPr>
                <w:rFonts w:asciiTheme="minorHAnsi" w:hAnsiTheme="minorHAnsi" w:cstheme="minorHAnsi"/>
                <w:sz w:val="20"/>
              </w:rPr>
              <w:t>4th payment will be made upon submission and approval by UNDP of:</w:t>
            </w:r>
          </w:p>
          <w:p w14:paraId="0AA74BE5" w14:textId="486101C1" w:rsidR="002D6428" w:rsidRDefault="002D6428" w:rsidP="002D6428">
            <w:pPr>
              <w:autoSpaceDE w:val="0"/>
              <w:autoSpaceDN w:val="0"/>
              <w:adjustRightInd w:val="0"/>
              <w:contextualSpacing/>
              <w:jc w:val="both"/>
              <w:rPr>
                <w:rFonts w:asciiTheme="minorHAnsi" w:hAnsiTheme="minorHAnsi" w:cstheme="minorHAnsi"/>
                <w:sz w:val="20"/>
              </w:rPr>
            </w:pPr>
            <w:r w:rsidRPr="002D6428">
              <w:rPr>
                <w:rFonts w:asciiTheme="minorHAnsi" w:hAnsiTheme="minorHAnsi" w:cstheme="minorHAnsi"/>
                <w:sz w:val="20"/>
              </w:rPr>
              <w:t>Guideline/manual on biodiversity classification and the implementation of tracking mechanism</w:t>
            </w:r>
          </w:p>
          <w:p w14:paraId="4C8D183D" w14:textId="77777777" w:rsidR="002D6428" w:rsidRPr="002D6428" w:rsidRDefault="002D6428" w:rsidP="002D6428">
            <w:pPr>
              <w:autoSpaceDE w:val="0"/>
              <w:autoSpaceDN w:val="0"/>
              <w:adjustRightInd w:val="0"/>
              <w:contextualSpacing/>
              <w:jc w:val="both"/>
              <w:rPr>
                <w:rFonts w:asciiTheme="minorHAnsi" w:hAnsiTheme="minorHAnsi" w:cstheme="minorHAnsi"/>
                <w:sz w:val="20"/>
              </w:rPr>
            </w:pPr>
          </w:p>
          <w:p w14:paraId="30B5220C" w14:textId="4F173535" w:rsidR="005C7F45" w:rsidRPr="002D6428" w:rsidRDefault="002D6428" w:rsidP="002D6428">
            <w:pPr>
              <w:autoSpaceDE w:val="0"/>
              <w:autoSpaceDN w:val="0"/>
              <w:adjustRightInd w:val="0"/>
              <w:contextualSpacing/>
              <w:jc w:val="both"/>
              <w:rPr>
                <w:rFonts w:asciiTheme="minorHAnsi" w:hAnsiTheme="minorHAnsi" w:cstheme="minorHAnsi"/>
                <w:i/>
                <w:iCs/>
                <w:sz w:val="20"/>
              </w:rPr>
            </w:pPr>
            <w:r w:rsidRPr="002D6428">
              <w:rPr>
                <w:rFonts w:asciiTheme="minorHAnsi" w:hAnsiTheme="minorHAnsi" w:cstheme="minorHAnsi"/>
                <w:i/>
                <w:iCs/>
                <w:sz w:val="20"/>
              </w:rPr>
              <w:t>Including In-depth consultation with relevant stakeholders to inform and influence them on relevant biodiversity expenditures</w:t>
            </w:r>
          </w:p>
        </w:tc>
        <w:tc>
          <w:tcPr>
            <w:tcW w:w="2460" w:type="dxa"/>
            <w:shd w:val="clear" w:color="auto" w:fill="auto"/>
          </w:tcPr>
          <w:p w14:paraId="2FE7EA9F" w14:textId="484B9E82" w:rsidR="005C7F45" w:rsidRDefault="005C7F45" w:rsidP="00990716">
            <w:pPr>
              <w:jc w:val="center"/>
              <w:rPr>
                <w:rFonts w:ascii="Arial" w:hAnsi="Arial" w:cs="Arial"/>
                <w:bCs/>
                <w:color w:val="000000"/>
                <w:sz w:val="20"/>
              </w:rPr>
            </w:pPr>
          </w:p>
        </w:tc>
        <w:tc>
          <w:tcPr>
            <w:tcW w:w="1559" w:type="dxa"/>
            <w:shd w:val="clear" w:color="auto" w:fill="auto"/>
          </w:tcPr>
          <w:p w14:paraId="6F209B71" w14:textId="77777777" w:rsidR="005C7F45" w:rsidRPr="00976DB1" w:rsidRDefault="005C7F45" w:rsidP="00990716">
            <w:pPr>
              <w:tabs>
                <w:tab w:val="left" w:pos="450"/>
              </w:tabs>
              <w:jc w:val="both"/>
              <w:rPr>
                <w:rFonts w:cs="Calibri"/>
                <w:bCs/>
                <w:sz w:val="18"/>
                <w:szCs w:val="18"/>
              </w:rPr>
            </w:pPr>
          </w:p>
        </w:tc>
      </w:tr>
      <w:tr w:rsidR="005C7F45" w:rsidRPr="00976DB1" w14:paraId="39772A68" w14:textId="77777777" w:rsidTr="00990716">
        <w:trPr>
          <w:trHeight w:val="575"/>
        </w:trPr>
        <w:tc>
          <w:tcPr>
            <w:tcW w:w="5649" w:type="dxa"/>
          </w:tcPr>
          <w:p w14:paraId="5428E4C4" w14:textId="77777777" w:rsidR="00053CEB" w:rsidRPr="00053CEB" w:rsidRDefault="00053CEB" w:rsidP="00053CEB">
            <w:pPr>
              <w:autoSpaceDE w:val="0"/>
              <w:autoSpaceDN w:val="0"/>
              <w:adjustRightInd w:val="0"/>
              <w:contextualSpacing/>
              <w:jc w:val="both"/>
              <w:rPr>
                <w:rFonts w:asciiTheme="minorHAnsi" w:hAnsiTheme="minorHAnsi" w:cstheme="minorHAnsi"/>
                <w:sz w:val="20"/>
              </w:rPr>
            </w:pPr>
            <w:r w:rsidRPr="00053CEB">
              <w:rPr>
                <w:rFonts w:asciiTheme="minorHAnsi" w:hAnsiTheme="minorHAnsi" w:cstheme="minorHAnsi"/>
                <w:sz w:val="20"/>
              </w:rPr>
              <w:t>5th payment will be made upon submission and approval by UNDP of:</w:t>
            </w:r>
          </w:p>
          <w:p w14:paraId="3BDA1A2F" w14:textId="77777777" w:rsidR="002D6428" w:rsidRPr="002D6428" w:rsidRDefault="002D6428" w:rsidP="002D6428">
            <w:pPr>
              <w:autoSpaceDE w:val="0"/>
              <w:autoSpaceDN w:val="0"/>
              <w:adjustRightInd w:val="0"/>
              <w:contextualSpacing/>
              <w:jc w:val="both"/>
              <w:rPr>
                <w:rFonts w:asciiTheme="minorHAnsi" w:hAnsiTheme="minorHAnsi" w:cstheme="minorHAnsi"/>
                <w:sz w:val="20"/>
              </w:rPr>
            </w:pPr>
            <w:r w:rsidRPr="002D6428">
              <w:rPr>
                <w:rFonts w:asciiTheme="minorHAnsi" w:hAnsiTheme="minorHAnsi" w:cstheme="minorHAnsi"/>
                <w:sz w:val="20"/>
              </w:rPr>
              <w:lastRenderedPageBreak/>
              <w:t xml:space="preserve">Training materials for government officials on implementation of budget tracking for biodiversity </w:t>
            </w:r>
          </w:p>
          <w:p w14:paraId="112130B5" w14:textId="77777777" w:rsidR="002D6428" w:rsidRDefault="002D6428" w:rsidP="002D6428">
            <w:pPr>
              <w:autoSpaceDE w:val="0"/>
              <w:autoSpaceDN w:val="0"/>
              <w:adjustRightInd w:val="0"/>
              <w:contextualSpacing/>
              <w:jc w:val="both"/>
              <w:rPr>
                <w:rFonts w:asciiTheme="minorHAnsi" w:hAnsiTheme="minorHAnsi" w:cstheme="minorHAnsi"/>
                <w:sz w:val="20"/>
              </w:rPr>
            </w:pPr>
          </w:p>
          <w:p w14:paraId="27E1E323" w14:textId="77777777" w:rsidR="002D6428" w:rsidRPr="009F509C" w:rsidRDefault="002D6428" w:rsidP="002D6428">
            <w:pPr>
              <w:tabs>
                <w:tab w:val="left" w:pos="450"/>
              </w:tabs>
              <w:jc w:val="both"/>
              <w:rPr>
                <w:rFonts w:asciiTheme="minorHAnsi" w:hAnsiTheme="minorHAnsi" w:cstheme="minorHAnsi"/>
                <w:sz w:val="20"/>
              </w:rPr>
            </w:pPr>
            <w:r w:rsidRPr="009F509C">
              <w:rPr>
                <w:rFonts w:asciiTheme="minorHAnsi" w:hAnsiTheme="minorHAnsi" w:cstheme="minorHAnsi"/>
                <w:sz w:val="20"/>
              </w:rPr>
              <w:t xml:space="preserve">Training materials for government officials on implementation of budget </w:t>
            </w:r>
            <w:r>
              <w:rPr>
                <w:rFonts w:asciiTheme="minorHAnsi" w:hAnsiTheme="minorHAnsi" w:cstheme="minorHAnsi"/>
                <w:sz w:val="20"/>
              </w:rPr>
              <w:t xml:space="preserve">tracking </w:t>
            </w:r>
            <w:r w:rsidRPr="009F509C">
              <w:rPr>
                <w:rFonts w:asciiTheme="minorHAnsi" w:hAnsiTheme="minorHAnsi" w:cstheme="minorHAnsi"/>
                <w:sz w:val="20"/>
              </w:rPr>
              <w:t xml:space="preserve">for biodiversity </w:t>
            </w:r>
          </w:p>
          <w:p w14:paraId="2C1B954A" w14:textId="1FD38CB5" w:rsidR="005C7F45" w:rsidRPr="005C7F45" w:rsidRDefault="002D6428" w:rsidP="002D6428">
            <w:pPr>
              <w:autoSpaceDE w:val="0"/>
              <w:autoSpaceDN w:val="0"/>
              <w:adjustRightInd w:val="0"/>
              <w:contextualSpacing/>
              <w:jc w:val="both"/>
              <w:rPr>
                <w:rFonts w:asciiTheme="minorHAnsi" w:hAnsiTheme="minorHAnsi" w:cstheme="minorHAnsi"/>
                <w:sz w:val="20"/>
              </w:rPr>
            </w:pPr>
            <w:r w:rsidRPr="009F509C">
              <w:rPr>
                <w:rFonts w:asciiTheme="minorHAnsi" w:hAnsiTheme="minorHAnsi" w:cstheme="minorHAnsi"/>
                <w:i/>
                <w:iCs/>
                <w:sz w:val="20"/>
              </w:rPr>
              <w:t xml:space="preserve">Including deliver on-the-job training to key government officials, and work with them to implement biodiversity </w:t>
            </w:r>
            <w:r>
              <w:rPr>
                <w:rFonts w:asciiTheme="minorHAnsi" w:hAnsiTheme="minorHAnsi" w:cstheme="minorHAnsi"/>
                <w:i/>
                <w:iCs/>
                <w:sz w:val="20"/>
              </w:rPr>
              <w:t xml:space="preserve">tracking </w:t>
            </w:r>
            <w:r w:rsidRPr="009F509C">
              <w:rPr>
                <w:rFonts w:asciiTheme="minorHAnsi" w:hAnsiTheme="minorHAnsi" w:cstheme="minorHAnsi"/>
                <w:i/>
                <w:iCs/>
                <w:sz w:val="20"/>
              </w:rPr>
              <w:t>analysis as part of the formulation of performance indicators and priority budget documents</w:t>
            </w:r>
          </w:p>
        </w:tc>
        <w:tc>
          <w:tcPr>
            <w:tcW w:w="2460" w:type="dxa"/>
            <w:shd w:val="clear" w:color="auto" w:fill="auto"/>
          </w:tcPr>
          <w:p w14:paraId="393B0AAE" w14:textId="3CEF9BA6" w:rsidR="005C7F45" w:rsidRDefault="005C7F45" w:rsidP="00CB564A">
            <w:pPr>
              <w:rPr>
                <w:rFonts w:ascii="Arial" w:hAnsi="Arial" w:cs="Arial"/>
                <w:bCs/>
                <w:color w:val="000000"/>
                <w:sz w:val="20"/>
              </w:rPr>
            </w:pPr>
          </w:p>
        </w:tc>
        <w:tc>
          <w:tcPr>
            <w:tcW w:w="1559" w:type="dxa"/>
            <w:shd w:val="clear" w:color="auto" w:fill="auto"/>
          </w:tcPr>
          <w:p w14:paraId="2915840A" w14:textId="77777777" w:rsidR="005C7F45" w:rsidRPr="00976DB1" w:rsidRDefault="005C7F45" w:rsidP="00990716">
            <w:pPr>
              <w:tabs>
                <w:tab w:val="left" w:pos="450"/>
              </w:tabs>
              <w:jc w:val="both"/>
              <w:rPr>
                <w:rFonts w:cs="Calibri"/>
                <w:bCs/>
                <w:sz w:val="18"/>
                <w:szCs w:val="18"/>
              </w:rPr>
            </w:pPr>
          </w:p>
        </w:tc>
      </w:tr>
      <w:tr w:rsidR="003A7C32" w:rsidRPr="00976DB1" w14:paraId="356610CF" w14:textId="77777777" w:rsidTr="00990716">
        <w:trPr>
          <w:trHeight w:val="575"/>
        </w:trPr>
        <w:tc>
          <w:tcPr>
            <w:tcW w:w="5649" w:type="dxa"/>
          </w:tcPr>
          <w:p w14:paraId="1FF63ED5" w14:textId="408EF03F" w:rsidR="003A7C32" w:rsidRPr="00053CEB" w:rsidRDefault="003A7C32" w:rsidP="003A7C32">
            <w:pPr>
              <w:autoSpaceDE w:val="0"/>
              <w:autoSpaceDN w:val="0"/>
              <w:adjustRightInd w:val="0"/>
              <w:contextualSpacing/>
              <w:jc w:val="both"/>
              <w:rPr>
                <w:rFonts w:asciiTheme="minorHAnsi" w:hAnsiTheme="minorHAnsi" w:cstheme="minorHAnsi"/>
                <w:sz w:val="20"/>
              </w:rPr>
            </w:pPr>
            <w:r>
              <w:rPr>
                <w:rFonts w:asciiTheme="minorHAnsi" w:hAnsiTheme="minorHAnsi" w:cstheme="minorHAnsi"/>
                <w:sz w:val="20"/>
              </w:rPr>
              <w:t>6</w:t>
            </w:r>
            <w:r w:rsidRPr="00053CEB">
              <w:rPr>
                <w:rFonts w:asciiTheme="minorHAnsi" w:hAnsiTheme="minorHAnsi" w:cstheme="minorHAnsi"/>
                <w:sz w:val="20"/>
              </w:rPr>
              <w:t>th payment will be made upon submission and approval by UNDP of:</w:t>
            </w:r>
          </w:p>
          <w:p w14:paraId="269B2BAC" w14:textId="0BE60481" w:rsidR="003A7C32" w:rsidRPr="00053CEB" w:rsidRDefault="002D6428" w:rsidP="003A7C32">
            <w:pPr>
              <w:autoSpaceDE w:val="0"/>
              <w:autoSpaceDN w:val="0"/>
              <w:adjustRightInd w:val="0"/>
              <w:contextualSpacing/>
              <w:jc w:val="both"/>
              <w:rPr>
                <w:rFonts w:asciiTheme="minorHAnsi" w:hAnsiTheme="minorHAnsi" w:cstheme="minorHAnsi"/>
                <w:sz w:val="20"/>
              </w:rPr>
            </w:pPr>
            <w:r w:rsidRPr="002D6428">
              <w:rPr>
                <w:rFonts w:asciiTheme="minorHAnsi" w:hAnsiTheme="minorHAnsi" w:cstheme="minorHAnsi"/>
                <w:sz w:val="20"/>
              </w:rPr>
              <w:t xml:space="preserve">Review and evaluation report of biodiversity tracking mechanism pilot implementation  </w:t>
            </w:r>
          </w:p>
        </w:tc>
        <w:tc>
          <w:tcPr>
            <w:tcW w:w="2460" w:type="dxa"/>
            <w:shd w:val="clear" w:color="auto" w:fill="auto"/>
          </w:tcPr>
          <w:p w14:paraId="29E71DE8" w14:textId="77777777" w:rsidR="003A7C32" w:rsidRDefault="003A7C32" w:rsidP="00990716">
            <w:pPr>
              <w:jc w:val="center"/>
              <w:rPr>
                <w:rFonts w:ascii="Arial" w:hAnsi="Arial" w:cs="Arial"/>
                <w:bCs/>
                <w:color w:val="000000"/>
                <w:sz w:val="20"/>
              </w:rPr>
            </w:pPr>
          </w:p>
        </w:tc>
        <w:tc>
          <w:tcPr>
            <w:tcW w:w="1559" w:type="dxa"/>
            <w:shd w:val="clear" w:color="auto" w:fill="auto"/>
          </w:tcPr>
          <w:p w14:paraId="22731E81" w14:textId="77777777" w:rsidR="003A7C32" w:rsidRPr="00976DB1" w:rsidRDefault="003A7C32" w:rsidP="00990716">
            <w:pPr>
              <w:tabs>
                <w:tab w:val="left" w:pos="450"/>
              </w:tabs>
              <w:jc w:val="both"/>
              <w:rPr>
                <w:rFonts w:cs="Calibri"/>
                <w:bCs/>
                <w:sz w:val="18"/>
                <w:szCs w:val="18"/>
              </w:rPr>
            </w:pPr>
          </w:p>
        </w:tc>
      </w:tr>
      <w:tr w:rsidR="003A7C32" w:rsidRPr="00976DB1" w14:paraId="4EA06122" w14:textId="77777777" w:rsidTr="00990716">
        <w:trPr>
          <w:trHeight w:val="575"/>
        </w:trPr>
        <w:tc>
          <w:tcPr>
            <w:tcW w:w="5649" w:type="dxa"/>
          </w:tcPr>
          <w:p w14:paraId="12640012" w14:textId="77777777" w:rsidR="003A7C32" w:rsidRDefault="003A7C32" w:rsidP="003A7C32">
            <w:pPr>
              <w:autoSpaceDE w:val="0"/>
              <w:autoSpaceDN w:val="0"/>
              <w:adjustRightInd w:val="0"/>
              <w:contextualSpacing/>
              <w:jc w:val="both"/>
            </w:pPr>
            <w:r>
              <w:rPr>
                <w:rFonts w:asciiTheme="minorHAnsi" w:hAnsiTheme="minorHAnsi" w:cstheme="minorHAnsi"/>
                <w:sz w:val="20"/>
              </w:rPr>
              <w:t>7</w:t>
            </w:r>
            <w:r w:rsidRPr="00053CEB">
              <w:rPr>
                <w:rFonts w:asciiTheme="minorHAnsi" w:hAnsiTheme="minorHAnsi" w:cstheme="minorHAnsi"/>
                <w:sz w:val="20"/>
              </w:rPr>
              <w:t>th payment will be made upon submission and approval by UNDP of:</w:t>
            </w:r>
            <w:r>
              <w:t xml:space="preserve"> </w:t>
            </w:r>
          </w:p>
          <w:p w14:paraId="38A5A912" w14:textId="314EA384" w:rsidR="003A7C32" w:rsidRPr="00053CEB" w:rsidRDefault="002D6428" w:rsidP="00053CEB">
            <w:pPr>
              <w:autoSpaceDE w:val="0"/>
              <w:autoSpaceDN w:val="0"/>
              <w:adjustRightInd w:val="0"/>
              <w:contextualSpacing/>
              <w:jc w:val="both"/>
              <w:rPr>
                <w:rFonts w:asciiTheme="minorHAnsi" w:hAnsiTheme="minorHAnsi" w:cstheme="minorHAnsi"/>
                <w:sz w:val="20"/>
              </w:rPr>
            </w:pPr>
            <w:r w:rsidRPr="002D6428">
              <w:rPr>
                <w:rFonts w:asciiTheme="minorHAnsi" w:hAnsiTheme="minorHAnsi" w:cstheme="minorHAnsi"/>
                <w:sz w:val="20"/>
              </w:rPr>
              <w:t xml:space="preserve">Development of strategic brief (policy brief) on biodiversity tracking mechanism </w:t>
            </w:r>
          </w:p>
        </w:tc>
        <w:tc>
          <w:tcPr>
            <w:tcW w:w="2460" w:type="dxa"/>
            <w:shd w:val="clear" w:color="auto" w:fill="auto"/>
          </w:tcPr>
          <w:p w14:paraId="4653DE1F" w14:textId="77777777" w:rsidR="003A7C32" w:rsidRDefault="003A7C32" w:rsidP="00990716">
            <w:pPr>
              <w:jc w:val="center"/>
              <w:rPr>
                <w:rFonts w:ascii="Arial" w:hAnsi="Arial" w:cs="Arial"/>
                <w:bCs/>
                <w:color w:val="000000"/>
                <w:sz w:val="20"/>
              </w:rPr>
            </w:pPr>
          </w:p>
        </w:tc>
        <w:tc>
          <w:tcPr>
            <w:tcW w:w="1559" w:type="dxa"/>
            <w:shd w:val="clear" w:color="auto" w:fill="auto"/>
          </w:tcPr>
          <w:p w14:paraId="1A7D2926" w14:textId="77777777" w:rsidR="003A7C32" w:rsidRPr="00976DB1" w:rsidRDefault="003A7C32" w:rsidP="00990716">
            <w:pPr>
              <w:tabs>
                <w:tab w:val="left" w:pos="450"/>
              </w:tabs>
              <w:jc w:val="both"/>
              <w:rPr>
                <w:rFonts w:cs="Calibri"/>
                <w:bCs/>
                <w:sz w:val="18"/>
                <w:szCs w:val="18"/>
              </w:rPr>
            </w:pPr>
          </w:p>
        </w:tc>
      </w:tr>
      <w:tr w:rsidR="00F449BE" w:rsidRPr="00976DB1" w14:paraId="271F7EBB" w14:textId="77777777" w:rsidTr="00990716">
        <w:tc>
          <w:tcPr>
            <w:tcW w:w="5649" w:type="dxa"/>
            <w:shd w:val="clear" w:color="auto" w:fill="auto"/>
          </w:tcPr>
          <w:p w14:paraId="3D0D81E3" w14:textId="4B38E539" w:rsidR="00F449BE" w:rsidRPr="005C7F45" w:rsidRDefault="00F449BE" w:rsidP="005C7F45">
            <w:pPr>
              <w:jc w:val="center"/>
              <w:rPr>
                <w:rFonts w:asciiTheme="minorHAnsi" w:hAnsiTheme="minorHAnsi" w:cstheme="minorHAnsi"/>
                <w:b/>
                <w:bCs/>
                <w:color w:val="000000"/>
                <w:sz w:val="20"/>
              </w:rPr>
            </w:pPr>
            <w:r w:rsidRPr="005C7F45">
              <w:rPr>
                <w:rFonts w:asciiTheme="minorHAnsi" w:hAnsiTheme="minorHAnsi" w:cstheme="minorHAnsi"/>
                <w:b/>
                <w:bCs/>
                <w:color w:val="000000"/>
                <w:sz w:val="20"/>
              </w:rPr>
              <w:t>Total</w:t>
            </w:r>
            <w:r w:rsidR="00CB564A">
              <w:rPr>
                <w:rFonts w:asciiTheme="minorHAnsi" w:hAnsiTheme="minorHAnsi" w:cstheme="minorHAnsi"/>
                <w:b/>
                <w:bCs/>
                <w:color w:val="000000"/>
                <w:sz w:val="20"/>
              </w:rPr>
              <w:t xml:space="preserve"> </w:t>
            </w:r>
            <w:r w:rsidR="00CB564A" w:rsidRPr="00F449BE">
              <w:rPr>
                <w:rFonts w:ascii="Arial" w:eastAsia="Calibri" w:hAnsi="Arial" w:cs="Arial"/>
                <w:snapToGrid w:val="0"/>
                <w:sz w:val="20"/>
              </w:rPr>
              <w:t>(must match with total indicated in table under section A)</w:t>
            </w:r>
          </w:p>
        </w:tc>
        <w:tc>
          <w:tcPr>
            <w:tcW w:w="2460" w:type="dxa"/>
            <w:shd w:val="clear" w:color="auto" w:fill="auto"/>
          </w:tcPr>
          <w:p w14:paraId="4A3CC26C" w14:textId="77777777" w:rsidR="00F449BE" w:rsidRPr="005C7F45" w:rsidRDefault="00F449BE" w:rsidP="00990716">
            <w:pPr>
              <w:jc w:val="center"/>
              <w:rPr>
                <w:rFonts w:asciiTheme="minorHAnsi" w:hAnsiTheme="minorHAnsi" w:cstheme="minorHAnsi"/>
                <w:bCs/>
                <w:color w:val="000000"/>
                <w:sz w:val="20"/>
              </w:rPr>
            </w:pPr>
            <w:r w:rsidRPr="005C7F45">
              <w:rPr>
                <w:rFonts w:asciiTheme="minorHAnsi" w:hAnsiTheme="minorHAnsi" w:cstheme="minorHAnsi"/>
                <w:bCs/>
                <w:color w:val="000000"/>
                <w:sz w:val="20"/>
              </w:rPr>
              <w:t>100%</w:t>
            </w:r>
          </w:p>
        </w:tc>
        <w:tc>
          <w:tcPr>
            <w:tcW w:w="1559" w:type="dxa"/>
            <w:shd w:val="clear" w:color="auto" w:fill="auto"/>
          </w:tcPr>
          <w:p w14:paraId="17FB84B9" w14:textId="77777777" w:rsidR="00F449BE" w:rsidRPr="005C7F45" w:rsidRDefault="00F449BE" w:rsidP="00990716">
            <w:pPr>
              <w:tabs>
                <w:tab w:val="left" w:pos="450"/>
              </w:tabs>
              <w:jc w:val="both"/>
              <w:rPr>
                <w:rFonts w:asciiTheme="minorHAnsi" w:hAnsiTheme="minorHAnsi" w:cstheme="minorHAnsi"/>
                <w:bCs/>
                <w:sz w:val="20"/>
              </w:rPr>
            </w:pPr>
            <w:r w:rsidRPr="005C7F45">
              <w:rPr>
                <w:rFonts w:asciiTheme="minorHAnsi" w:hAnsiTheme="minorHAnsi" w:cstheme="minorHAnsi"/>
                <w:bCs/>
                <w:sz w:val="20"/>
              </w:rPr>
              <w:t>IDR………</w:t>
            </w:r>
          </w:p>
        </w:tc>
      </w:tr>
    </w:tbl>
    <w:p w14:paraId="3BDA024F" w14:textId="77777777" w:rsidR="00F449BE" w:rsidRPr="00B14B8F" w:rsidRDefault="00F449BE" w:rsidP="00F449BE">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p>
    <w:p w14:paraId="43EEE096" w14:textId="0E791CE0" w:rsidR="00F449BE" w:rsidRDefault="00F449BE" w:rsidP="00F449BE">
      <w:pPr>
        <w:pStyle w:val="ListParagraph"/>
        <w:spacing w:line="360" w:lineRule="auto"/>
        <w:ind w:left="540"/>
        <w:contextualSpacing/>
        <w:rPr>
          <w:rFonts w:ascii="Arial" w:hAnsi="Arial" w:cs="Arial"/>
          <w:b/>
          <w:snapToGrid w:val="0"/>
          <w:sz w:val="20"/>
        </w:rPr>
      </w:pPr>
    </w:p>
    <w:sectPr w:rsidR="00F449BE"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72257" w14:textId="77777777" w:rsidR="002973B0" w:rsidRDefault="002973B0" w:rsidP="008E7FBB">
      <w:r>
        <w:separator/>
      </w:r>
    </w:p>
  </w:endnote>
  <w:endnote w:type="continuationSeparator" w:id="0">
    <w:p w14:paraId="22257BDB" w14:textId="77777777" w:rsidR="002973B0" w:rsidRDefault="002973B0"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3115C" w14:textId="77777777" w:rsidR="002973B0" w:rsidRDefault="002973B0" w:rsidP="008E7FBB">
      <w:r>
        <w:separator/>
      </w:r>
    </w:p>
  </w:footnote>
  <w:footnote w:type="continuationSeparator" w:id="0">
    <w:p w14:paraId="57EBB6CE" w14:textId="77777777" w:rsidR="002973B0" w:rsidRDefault="002973B0"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E01"/>
    <w:multiLevelType w:val="hybridMultilevel"/>
    <w:tmpl w:val="552CF69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37D0512"/>
    <w:multiLevelType w:val="hybridMultilevel"/>
    <w:tmpl w:val="5E1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7421FE9"/>
    <w:multiLevelType w:val="hybridMultilevel"/>
    <w:tmpl w:val="C8586C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BE1E8C"/>
    <w:multiLevelType w:val="hybridMultilevel"/>
    <w:tmpl w:val="3CCCA97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B5A20C0"/>
    <w:multiLevelType w:val="hybridMultilevel"/>
    <w:tmpl w:val="40F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340CA"/>
    <w:multiLevelType w:val="hybridMultilevel"/>
    <w:tmpl w:val="1B46CFB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3B9447A"/>
    <w:multiLevelType w:val="hybridMultilevel"/>
    <w:tmpl w:val="7772DD1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5517BEF"/>
    <w:multiLevelType w:val="hybridMultilevel"/>
    <w:tmpl w:val="C1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A57F7"/>
    <w:multiLevelType w:val="hybridMultilevel"/>
    <w:tmpl w:val="B22838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D644CE"/>
    <w:multiLevelType w:val="hybridMultilevel"/>
    <w:tmpl w:val="92B0D0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115AF"/>
    <w:multiLevelType w:val="hybridMultilevel"/>
    <w:tmpl w:val="06CE616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2BD54C6"/>
    <w:multiLevelType w:val="hybridMultilevel"/>
    <w:tmpl w:val="E7AC5E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3715EC"/>
    <w:multiLevelType w:val="hybridMultilevel"/>
    <w:tmpl w:val="78D8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339CA"/>
    <w:multiLevelType w:val="hybridMultilevel"/>
    <w:tmpl w:val="5EA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25A82"/>
    <w:multiLevelType w:val="hybridMultilevel"/>
    <w:tmpl w:val="D6586D62"/>
    <w:lvl w:ilvl="0" w:tplc="3BB88B4C">
      <w:start w:val="4"/>
      <w:numFmt w:val="bullet"/>
      <w:lvlText w:val="•"/>
      <w:lvlJc w:val="left"/>
      <w:pPr>
        <w:ind w:left="1080" w:hanging="360"/>
      </w:pPr>
      <w:rPr>
        <w:rFonts w:ascii="Myriad Pro" w:eastAsia="Calibri" w:hAnsi="Myriad Pro"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97AA3"/>
    <w:multiLevelType w:val="hybridMultilevel"/>
    <w:tmpl w:val="7A049062"/>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2748BF"/>
    <w:multiLevelType w:val="hybridMultilevel"/>
    <w:tmpl w:val="39B09EF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43C181C"/>
    <w:multiLevelType w:val="hybridMultilevel"/>
    <w:tmpl w:val="259080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3577649F"/>
    <w:multiLevelType w:val="hybridMultilevel"/>
    <w:tmpl w:val="EA5C8EB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3C7051A7"/>
    <w:multiLevelType w:val="hybridMultilevel"/>
    <w:tmpl w:val="5FD86F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8901D8"/>
    <w:multiLevelType w:val="hybridMultilevel"/>
    <w:tmpl w:val="824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260F3"/>
    <w:multiLevelType w:val="hybridMultilevel"/>
    <w:tmpl w:val="41605D4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488552B"/>
    <w:multiLevelType w:val="hybridMultilevel"/>
    <w:tmpl w:val="1B44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8D11F63"/>
    <w:multiLevelType w:val="hybridMultilevel"/>
    <w:tmpl w:val="9D3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A31F4"/>
    <w:multiLevelType w:val="hybridMultilevel"/>
    <w:tmpl w:val="546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FE05227"/>
    <w:multiLevelType w:val="hybridMultilevel"/>
    <w:tmpl w:val="D60419E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530277E"/>
    <w:multiLevelType w:val="hybridMultilevel"/>
    <w:tmpl w:val="9C50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52584"/>
    <w:multiLevelType w:val="hybridMultilevel"/>
    <w:tmpl w:val="06BA66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5A16E89"/>
    <w:multiLevelType w:val="hybridMultilevel"/>
    <w:tmpl w:val="C4988934"/>
    <w:lvl w:ilvl="0" w:tplc="F2368E92">
      <w:start w:val="1"/>
      <w:numFmt w:val="upperLetter"/>
      <w:lvlText w:val="%1)"/>
      <w:lvlJc w:val="left"/>
      <w:pPr>
        <w:ind w:left="360" w:hanging="360"/>
      </w:pPr>
      <w:rPr>
        <w:rFonts w:hint="default"/>
      </w:rPr>
    </w:lvl>
    <w:lvl w:ilvl="1" w:tplc="2E0A95FE">
      <w:numFmt w:val="bullet"/>
      <w:lvlText w:val="•"/>
      <w:lvlJc w:val="left"/>
      <w:pPr>
        <w:ind w:left="1440" w:hanging="720"/>
      </w:pPr>
      <w:rPr>
        <w:rFonts w:ascii="Myriad Pro" w:eastAsia="Times New Roman" w:hAnsi="Myriad Pro"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79BF6DAF"/>
    <w:multiLevelType w:val="hybridMultilevel"/>
    <w:tmpl w:val="2EDAED6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29"/>
  </w:num>
  <w:num w:numId="4">
    <w:abstractNumId w:val="34"/>
  </w:num>
  <w:num w:numId="5">
    <w:abstractNumId w:val="39"/>
  </w:num>
  <w:num w:numId="6">
    <w:abstractNumId w:val="31"/>
  </w:num>
  <w:num w:numId="7">
    <w:abstractNumId w:val="30"/>
  </w:num>
  <w:num w:numId="8">
    <w:abstractNumId w:val="25"/>
  </w:num>
  <w:num w:numId="9">
    <w:abstractNumId w:val="11"/>
  </w:num>
  <w:num w:numId="10">
    <w:abstractNumId w:val="2"/>
  </w:num>
  <w:num w:numId="11">
    <w:abstractNumId w:val="36"/>
  </w:num>
  <w:num w:numId="12">
    <w:abstractNumId w:val="24"/>
  </w:num>
  <w:num w:numId="13">
    <w:abstractNumId w:val="20"/>
  </w:num>
  <w:num w:numId="14">
    <w:abstractNumId w:val="27"/>
  </w:num>
  <w:num w:numId="15">
    <w:abstractNumId w:val="23"/>
  </w:num>
  <w:num w:numId="16">
    <w:abstractNumId w:val="16"/>
  </w:num>
  <w:num w:numId="17">
    <w:abstractNumId w:val="14"/>
  </w:num>
  <w:num w:numId="18">
    <w:abstractNumId w:val="28"/>
  </w:num>
  <w:num w:numId="19">
    <w:abstractNumId w:val="15"/>
  </w:num>
  <w:num w:numId="20">
    <w:abstractNumId w:val="1"/>
  </w:num>
  <w:num w:numId="21">
    <w:abstractNumId w:val="8"/>
  </w:num>
  <w:num w:numId="22">
    <w:abstractNumId w:val="33"/>
  </w:num>
  <w:num w:numId="23">
    <w:abstractNumId w:val="5"/>
  </w:num>
  <w:num w:numId="24">
    <w:abstractNumId w:val="32"/>
  </w:num>
  <w:num w:numId="25">
    <w:abstractNumId w:val="37"/>
  </w:num>
  <w:num w:numId="26">
    <w:abstractNumId w:val="26"/>
  </w:num>
  <w:num w:numId="27">
    <w:abstractNumId w:val="10"/>
  </w:num>
  <w:num w:numId="28">
    <w:abstractNumId w:val="18"/>
  </w:num>
  <w:num w:numId="29">
    <w:abstractNumId w:val="21"/>
  </w:num>
  <w:num w:numId="30">
    <w:abstractNumId w:val="19"/>
  </w:num>
  <w:num w:numId="31">
    <w:abstractNumId w:val="7"/>
  </w:num>
  <w:num w:numId="32">
    <w:abstractNumId w:val="41"/>
  </w:num>
  <w:num w:numId="33">
    <w:abstractNumId w:val="35"/>
  </w:num>
  <w:num w:numId="34">
    <w:abstractNumId w:val="0"/>
  </w:num>
  <w:num w:numId="35">
    <w:abstractNumId w:val="4"/>
  </w:num>
  <w:num w:numId="36">
    <w:abstractNumId w:val="6"/>
  </w:num>
  <w:num w:numId="37">
    <w:abstractNumId w:val="3"/>
  </w:num>
  <w:num w:numId="38">
    <w:abstractNumId w:val="12"/>
  </w:num>
  <w:num w:numId="39">
    <w:abstractNumId w:val="9"/>
  </w:num>
  <w:num w:numId="40">
    <w:abstractNumId w:val="13"/>
  </w:num>
  <w:num w:numId="41">
    <w:abstractNumId w:val="3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316CA"/>
    <w:rsid w:val="00034FEE"/>
    <w:rsid w:val="000378C8"/>
    <w:rsid w:val="00053CEB"/>
    <w:rsid w:val="00081F6E"/>
    <w:rsid w:val="000F0701"/>
    <w:rsid w:val="0011262C"/>
    <w:rsid w:val="00115B65"/>
    <w:rsid w:val="0012462F"/>
    <w:rsid w:val="001439AE"/>
    <w:rsid w:val="00183C41"/>
    <w:rsid w:val="001C3E09"/>
    <w:rsid w:val="00203766"/>
    <w:rsid w:val="00207FCB"/>
    <w:rsid w:val="00247F93"/>
    <w:rsid w:val="00250354"/>
    <w:rsid w:val="00266B39"/>
    <w:rsid w:val="002973B0"/>
    <w:rsid w:val="002C1972"/>
    <w:rsid w:val="002D6428"/>
    <w:rsid w:val="002E2FA8"/>
    <w:rsid w:val="002F0BEE"/>
    <w:rsid w:val="00306672"/>
    <w:rsid w:val="00316FF3"/>
    <w:rsid w:val="00325436"/>
    <w:rsid w:val="00332177"/>
    <w:rsid w:val="003342F6"/>
    <w:rsid w:val="003664D9"/>
    <w:rsid w:val="00391361"/>
    <w:rsid w:val="00394C61"/>
    <w:rsid w:val="003A1F1A"/>
    <w:rsid w:val="003A7C32"/>
    <w:rsid w:val="003C5C23"/>
    <w:rsid w:val="003D1B74"/>
    <w:rsid w:val="003D23EB"/>
    <w:rsid w:val="003F422E"/>
    <w:rsid w:val="004167B0"/>
    <w:rsid w:val="00492C17"/>
    <w:rsid w:val="004A5CAD"/>
    <w:rsid w:val="004A6A57"/>
    <w:rsid w:val="004F5664"/>
    <w:rsid w:val="005249A7"/>
    <w:rsid w:val="0057438B"/>
    <w:rsid w:val="005B3A60"/>
    <w:rsid w:val="005B4993"/>
    <w:rsid w:val="005C7F45"/>
    <w:rsid w:val="005D3FD9"/>
    <w:rsid w:val="005D4CA6"/>
    <w:rsid w:val="005F7417"/>
    <w:rsid w:val="0063214B"/>
    <w:rsid w:val="00692BB9"/>
    <w:rsid w:val="0069355A"/>
    <w:rsid w:val="006C3131"/>
    <w:rsid w:val="006C338A"/>
    <w:rsid w:val="006F0335"/>
    <w:rsid w:val="00781676"/>
    <w:rsid w:val="00786DF5"/>
    <w:rsid w:val="007A7B7C"/>
    <w:rsid w:val="007B76C0"/>
    <w:rsid w:val="007D1ADC"/>
    <w:rsid w:val="007D2536"/>
    <w:rsid w:val="007D38F8"/>
    <w:rsid w:val="007E010E"/>
    <w:rsid w:val="00803083"/>
    <w:rsid w:val="008115B7"/>
    <w:rsid w:val="008157DF"/>
    <w:rsid w:val="00846F4D"/>
    <w:rsid w:val="008B6722"/>
    <w:rsid w:val="008E7FBB"/>
    <w:rsid w:val="009047F4"/>
    <w:rsid w:val="00934712"/>
    <w:rsid w:val="009517C0"/>
    <w:rsid w:val="009569CE"/>
    <w:rsid w:val="0096205E"/>
    <w:rsid w:val="00964CDF"/>
    <w:rsid w:val="00965304"/>
    <w:rsid w:val="00980568"/>
    <w:rsid w:val="00992934"/>
    <w:rsid w:val="009A6CC4"/>
    <w:rsid w:val="009F0E13"/>
    <w:rsid w:val="009F59A5"/>
    <w:rsid w:val="00A37A9E"/>
    <w:rsid w:val="00A63A3C"/>
    <w:rsid w:val="00A70AC1"/>
    <w:rsid w:val="00A965C8"/>
    <w:rsid w:val="00AE0C65"/>
    <w:rsid w:val="00AF76A6"/>
    <w:rsid w:val="00B14B8F"/>
    <w:rsid w:val="00B1782E"/>
    <w:rsid w:val="00B42169"/>
    <w:rsid w:val="00B708AB"/>
    <w:rsid w:val="00BD1664"/>
    <w:rsid w:val="00C2177E"/>
    <w:rsid w:val="00C21F3F"/>
    <w:rsid w:val="00C30AEC"/>
    <w:rsid w:val="00C34196"/>
    <w:rsid w:val="00C356DD"/>
    <w:rsid w:val="00C90976"/>
    <w:rsid w:val="00CB564A"/>
    <w:rsid w:val="00CC0BB5"/>
    <w:rsid w:val="00D00FDB"/>
    <w:rsid w:val="00D26342"/>
    <w:rsid w:val="00D37753"/>
    <w:rsid w:val="00D37D23"/>
    <w:rsid w:val="00D41DE7"/>
    <w:rsid w:val="00D6589F"/>
    <w:rsid w:val="00DB62F1"/>
    <w:rsid w:val="00DC0E45"/>
    <w:rsid w:val="00E330B0"/>
    <w:rsid w:val="00E35391"/>
    <w:rsid w:val="00E4240E"/>
    <w:rsid w:val="00E6543D"/>
    <w:rsid w:val="00E71413"/>
    <w:rsid w:val="00E82587"/>
    <w:rsid w:val="00F011AD"/>
    <w:rsid w:val="00F2437C"/>
    <w:rsid w:val="00F449BE"/>
    <w:rsid w:val="00F82210"/>
    <w:rsid w:val="00F951E5"/>
    <w:rsid w:val="00FA527B"/>
    <w:rsid w:val="00FB3EEF"/>
    <w:rsid w:val="00FB6014"/>
    <w:rsid w:val="00FE2210"/>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p28">
    <w:name w:val="p28"/>
    <w:basedOn w:val="Normal"/>
    <w:rsid w:val="00332177"/>
    <w:pPr>
      <w:widowControl w:val="0"/>
      <w:tabs>
        <w:tab w:val="left" w:pos="680"/>
        <w:tab w:val="left" w:pos="1060"/>
      </w:tabs>
      <w:snapToGrid w:val="0"/>
      <w:spacing w:line="240" w:lineRule="atLeast"/>
      <w:ind w:left="43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Fathia Alya Shabrina</cp:lastModifiedBy>
  <cp:revision>4</cp:revision>
  <dcterms:created xsi:type="dcterms:W3CDTF">2021-03-15T06:15:00Z</dcterms:created>
  <dcterms:modified xsi:type="dcterms:W3CDTF">2021-03-25T05:11:00Z</dcterms:modified>
</cp:coreProperties>
</file>